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39" w:rsidRDefault="00E95739" w:rsidP="00E95739">
      <w:pPr>
        <w:jc w:val="center"/>
        <w:rPr>
          <w:b/>
        </w:rPr>
      </w:pPr>
      <w:r w:rsidRPr="00406BDF">
        <w:rPr>
          <w:b/>
        </w:rPr>
        <w:t>BEFORE THE</w:t>
      </w:r>
      <w:r>
        <w:rPr>
          <w:b/>
        </w:rPr>
        <w:t xml:space="preserve"> </w:t>
      </w:r>
      <w:r w:rsidRPr="00406BDF">
        <w:rPr>
          <w:b/>
        </w:rPr>
        <w:t>FLORIDA PUBLIC SERVICE COMMISSION</w:t>
      </w:r>
    </w:p>
    <w:tbl>
      <w:tblPr>
        <w:tblW w:w="0" w:type="auto"/>
        <w:tblLook w:val="01E0"/>
      </w:tblPr>
      <w:tblGrid>
        <w:gridCol w:w="4656"/>
        <w:gridCol w:w="987"/>
        <w:gridCol w:w="3588"/>
      </w:tblGrid>
      <w:tr w:rsidR="00E95739" w:rsidRPr="00406BDF" w:rsidTr="00E641CD">
        <w:tc>
          <w:tcPr>
            <w:tcW w:w="4281" w:type="dxa"/>
          </w:tcPr>
          <w:p w:rsidR="00E95739" w:rsidRDefault="00E95739" w:rsidP="00E641CD"/>
          <w:p w:rsidR="00E95739" w:rsidRDefault="00E95739" w:rsidP="00E641CD">
            <w:r w:rsidRPr="00406BDF">
              <w:t xml:space="preserve">In re: Complaint of BellSouth Telecommunications, Inc. d/b/a AT&amp;T Florida Against </w:t>
            </w:r>
            <w:proofErr w:type="spellStart"/>
            <w:r w:rsidRPr="00406BDF">
              <w:t>LifeConnex</w:t>
            </w:r>
            <w:proofErr w:type="spellEnd"/>
            <w:r w:rsidRPr="00406BDF">
              <w:t xml:space="preserve"> Telecom, LLC f/k/a </w:t>
            </w:r>
            <w:proofErr w:type="spellStart"/>
            <w:r w:rsidRPr="00406BDF">
              <w:t>Swiftel</w:t>
            </w:r>
            <w:proofErr w:type="spellEnd"/>
            <w:r w:rsidRPr="00406BDF">
              <w:t>, LLC</w:t>
            </w:r>
          </w:p>
          <w:p w:rsidR="00E95739" w:rsidRDefault="00E95739" w:rsidP="00E641CD">
            <w:r>
              <w:t>_____________________________________</w:t>
            </w:r>
          </w:p>
          <w:p w:rsidR="00E95739" w:rsidRPr="00406BDF" w:rsidRDefault="00E95739" w:rsidP="00E641CD"/>
        </w:tc>
        <w:tc>
          <w:tcPr>
            <w:tcW w:w="987" w:type="dxa"/>
          </w:tcPr>
          <w:p w:rsidR="00E95739" w:rsidRDefault="00E95739" w:rsidP="00E641CD"/>
          <w:p w:rsidR="00E95739" w:rsidRDefault="00E95739" w:rsidP="00E641CD">
            <w:r w:rsidRPr="00406BDF">
              <w:t>)</w:t>
            </w:r>
            <w:r w:rsidRPr="00406BDF">
              <w:br/>
              <w:t>)</w:t>
            </w:r>
            <w:r w:rsidRPr="00406BDF">
              <w:br/>
              <w:t>)</w:t>
            </w:r>
          </w:p>
          <w:p w:rsidR="00E95739" w:rsidRDefault="00E95739" w:rsidP="00E641CD">
            <w:r>
              <w:t>)</w:t>
            </w:r>
          </w:p>
          <w:p w:rsidR="00E95739" w:rsidRPr="00406BDF" w:rsidRDefault="00E95739" w:rsidP="00E641CD">
            <w:r>
              <w:t>)</w:t>
            </w:r>
          </w:p>
        </w:tc>
        <w:tc>
          <w:tcPr>
            <w:tcW w:w="3588" w:type="dxa"/>
          </w:tcPr>
          <w:p w:rsidR="00E95739" w:rsidRPr="00406BDF" w:rsidRDefault="00E95739" w:rsidP="00E641CD"/>
          <w:p w:rsidR="00E95739" w:rsidRPr="00406BDF" w:rsidRDefault="00E95739" w:rsidP="00E641CD">
            <w:r w:rsidRPr="00406BDF">
              <w:t>Docket No.</w:t>
            </w:r>
            <w:r w:rsidRPr="00406BDF" w:rsidDel="004F3A72">
              <w:t xml:space="preserve"> </w:t>
            </w:r>
            <w:r w:rsidRPr="00406BDF">
              <w:t>100021-TP</w:t>
            </w:r>
          </w:p>
          <w:p w:rsidR="00E95739" w:rsidRPr="00406BDF" w:rsidRDefault="00E95739" w:rsidP="00E641CD"/>
          <w:p w:rsidR="00E95739" w:rsidRDefault="00E95739" w:rsidP="00E641CD"/>
          <w:p w:rsidR="00E95739" w:rsidRDefault="00E95739" w:rsidP="00E641CD">
            <w:r w:rsidRPr="00406BDF">
              <w:t xml:space="preserve">Filed: </w:t>
            </w:r>
            <w:r>
              <w:t>Ju</w:t>
            </w:r>
            <w:r w:rsidR="00784227">
              <w:t>ly 6</w:t>
            </w:r>
            <w:r w:rsidRPr="00406BDF">
              <w:t>, 2010</w:t>
            </w:r>
          </w:p>
          <w:p w:rsidR="00E95739" w:rsidRPr="00406BDF" w:rsidRDefault="00E95739" w:rsidP="00E641CD"/>
        </w:tc>
      </w:tr>
    </w:tbl>
    <w:p w:rsidR="00784227" w:rsidRPr="00784227" w:rsidRDefault="005A1720" w:rsidP="00784227">
      <w:pPr>
        <w:jc w:val="center"/>
        <w:rPr>
          <w:b/>
        </w:rPr>
      </w:pPr>
      <w:r>
        <w:rPr>
          <w:b/>
        </w:rPr>
        <w:t>A</w:t>
      </w:r>
      <w:r w:rsidR="00E95739" w:rsidRPr="00784227">
        <w:rPr>
          <w:b/>
        </w:rPr>
        <w:t xml:space="preserve">T&amp;T FLORIDA’S RESPONSE </w:t>
      </w:r>
      <w:r w:rsidR="00784227" w:rsidRPr="00784227">
        <w:rPr>
          <w:b/>
        </w:rPr>
        <w:t xml:space="preserve">IN OPPOSITION </w:t>
      </w:r>
      <w:r w:rsidR="00E95739" w:rsidRPr="00784227">
        <w:rPr>
          <w:b/>
        </w:rPr>
        <w:t xml:space="preserve">TO </w:t>
      </w:r>
      <w:r w:rsidR="00784227" w:rsidRPr="00784227">
        <w:rPr>
          <w:b/>
        </w:rPr>
        <w:t>LIFECONNEX’S</w:t>
      </w:r>
    </w:p>
    <w:p w:rsidR="00E95739" w:rsidRDefault="00E95739" w:rsidP="00784227">
      <w:pPr>
        <w:jc w:val="center"/>
        <w:rPr>
          <w:b/>
          <w:u w:val="single"/>
        </w:rPr>
      </w:pPr>
      <w:r>
        <w:rPr>
          <w:b/>
          <w:u w:val="single"/>
        </w:rPr>
        <w:t>REQUEST FOR EMERGENCY RELIEF</w:t>
      </w:r>
    </w:p>
    <w:p w:rsidR="00784227" w:rsidRPr="0019268A" w:rsidRDefault="00784227" w:rsidP="00784227">
      <w:pPr>
        <w:jc w:val="center"/>
        <w:rPr>
          <w:bCs/>
          <w:iCs/>
          <w:color w:val="000000"/>
          <w:u w:val="single"/>
        </w:rPr>
      </w:pPr>
    </w:p>
    <w:p w:rsidR="00E95739" w:rsidRDefault="00E95739" w:rsidP="00E95739">
      <w:pPr>
        <w:spacing w:line="480" w:lineRule="auto"/>
        <w:rPr>
          <w:b/>
          <w:bCs/>
          <w:iCs/>
          <w:color w:val="000000"/>
        </w:rPr>
      </w:pPr>
      <w:r>
        <w:rPr>
          <w:bCs/>
          <w:iCs/>
          <w:color w:val="000000"/>
        </w:rPr>
        <w:tab/>
        <w:t>BellSouth Telecommunications, Inc. d/b/a AT&amp;T Florida (“AT&amp;T Florida”) respectfully submits its Response to the Request</w:t>
      </w:r>
      <w:r w:rsidR="00B55B92">
        <w:rPr>
          <w:rStyle w:val="FootnoteReference"/>
          <w:bCs/>
          <w:iCs/>
          <w:color w:val="000000"/>
        </w:rPr>
        <w:footnoteReference w:id="1"/>
      </w:r>
      <w:r>
        <w:rPr>
          <w:bCs/>
          <w:iCs/>
          <w:color w:val="000000"/>
        </w:rPr>
        <w:t xml:space="preserve"> for Emergency Relief</w:t>
      </w:r>
      <w:r w:rsidR="00FC7316">
        <w:rPr>
          <w:rStyle w:val="FootnoteReference"/>
          <w:bCs/>
          <w:iCs/>
          <w:color w:val="000000"/>
        </w:rPr>
        <w:footnoteReference w:id="2"/>
      </w:r>
      <w:r>
        <w:rPr>
          <w:bCs/>
          <w:iCs/>
          <w:color w:val="000000"/>
        </w:rPr>
        <w:t xml:space="preserve"> (“Request”) filed by </w:t>
      </w:r>
      <w:proofErr w:type="spellStart"/>
      <w:r>
        <w:rPr>
          <w:bCs/>
          <w:iCs/>
          <w:color w:val="000000"/>
        </w:rPr>
        <w:t>LifeConnex</w:t>
      </w:r>
      <w:proofErr w:type="spellEnd"/>
      <w:r>
        <w:rPr>
          <w:bCs/>
          <w:iCs/>
          <w:color w:val="000000"/>
        </w:rPr>
        <w:t xml:space="preserve"> Telecom, LLC f/k/a </w:t>
      </w:r>
      <w:proofErr w:type="spellStart"/>
      <w:r>
        <w:rPr>
          <w:bCs/>
          <w:iCs/>
          <w:color w:val="000000"/>
        </w:rPr>
        <w:t>Swiftel</w:t>
      </w:r>
      <w:proofErr w:type="spellEnd"/>
      <w:r>
        <w:rPr>
          <w:bCs/>
          <w:iCs/>
          <w:color w:val="000000"/>
        </w:rPr>
        <w:t>, LLC (“</w:t>
      </w:r>
      <w:proofErr w:type="spellStart"/>
      <w:r>
        <w:rPr>
          <w:bCs/>
          <w:iCs/>
          <w:color w:val="000000"/>
        </w:rPr>
        <w:t>LifeConnex</w:t>
      </w:r>
      <w:proofErr w:type="spellEnd"/>
      <w:r>
        <w:rPr>
          <w:bCs/>
          <w:iCs/>
          <w:color w:val="000000"/>
        </w:rPr>
        <w:t xml:space="preserve">”).  </w:t>
      </w:r>
      <w:r w:rsidR="00725FFA">
        <w:rPr>
          <w:bCs/>
          <w:iCs/>
          <w:color w:val="000000"/>
        </w:rPr>
        <w:t>T</w:t>
      </w:r>
      <w:r>
        <w:rPr>
          <w:bCs/>
          <w:iCs/>
          <w:color w:val="000000"/>
        </w:rPr>
        <w:t>he Florida Public Service Commission (“the Commission”) should deny the Request</w:t>
      </w:r>
      <w:r w:rsidR="00725FFA">
        <w:rPr>
          <w:bCs/>
          <w:iCs/>
          <w:color w:val="000000"/>
        </w:rPr>
        <w:t xml:space="preserve"> because</w:t>
      </w:r>
      <w:r w:rsidR="00651CC5">
        <w:rPr>
          <w:bCs/>
          <w:iCs/>
          <w:color w:val="000000"/>
        </w:rPr>
        <w:t>:</w:t>
      </w:r>
      <w:r w:rsidR="00725FFA">
        <w:rPr>
          <w:bCs/>
          <w:iCs/>
          <w:color w:val="000000"/>
        </w:rPr>
        <w:t xml:space="preserve"> </w:t>
      </w:r>
      <w:r w:rsidR="00651CC5">
        <w:rPr>
          <w:bCs/>
          <w:iCs/>
          <w:color w:val="000000"/>
        </w:rPr>
        <w:t xml:space="preserve">(a) </w:t>
      </w:r>
      <w:r w:rsidR="00755353">
        <w:rPr>
          <w:bCs/>
          <w:iCs/>
          <w:color w:val="000000"/>
        </w:rPr>
        <w:t xml:space="preserve">the Request </w:t>
      </w:r>
      <w:r w:rsidR="00725FFA">
        <w:rPr>
          <w:bCs/>
          <w:iCs/>
          <w:color w:val="000000"/>
        </w:rPr>
        <w:t xml:space="preserve">is contrary to the plain and unambiguous language of the </w:t>
      </w:r>
      <w:r w:rsidR="00755353">
        <w:rPr>
          <w:bCs/>
          <w:iCs/>
          <w:color w:val="000000"/>
        </w:rPr>
        <w:t xml:space="preserve">Commission-approved </w:t>
      </w:r>
      <w:r w:rsidR="00725FFA">
        <w:rPr>
          <w:bCs/>
          <w:iCs/>
          <w:color w:val="000000"/>
        </w:rPr>
        <w:t xml:space="preserve">contract between the parties, </w:t>
      </w:r>
      <w:r w:rsidR="00651CC5">
        <w:rPr>
          <w:bCs/>
          <w:iCs/>
          <w:color w:val="000000"/>
        </w:rPr>
        <w:t xml:space="preserve">(b) </w:t>
      </w:r>
      <w:r w:rsidR="00755353">
        <w:rPr>
          <w:bCs/>
          <w:iCs/>
          <w:color w:val="000000"/>
        </w:rPr>
        <w:t xml:space="preserve">AT&amp;T Florida’s demand </w:t>
      </w:r>
      <w:r w:rsidR="00651CC5">
        <w:rPr>
          <w:bCs/>
          <w:iCs/>
          <w:color w:val="000000"/>
        </w:rPr>
        <w:t xml:space="preserve">is not inconsistent with the procedural status of this docket, </w:t>
      </w:r>
      <w:r w:rsidR="00B55B92">
        <w:rPr>
          <w:bCs/>
          <w:iCs/>
          <w:color w:val="000000"/>
        </w:rPr>
        <w:t xml:space="preserve">and </w:t>
      </w:r>
      <w:r w:rsidR="00651CC5">
        <w:rPr>
          <w:bCs/>
          <w:iCs/>
          <w:color w:val="000000"/>
        </w:rPr>
        <w:t xml:space="preserve">(c) </w:t>
      </w:r>
      <w:r w:rsidR="00755353">
        <w:rPr>
          <w:bCs/>
          <w:iCs/>
          <w:color w:val="000000"/>
        </w:rPr>
        <w:t xml:space="preserve">the relief </w:t>
      </w:r>
      <w:proofErr w:type="gramStart"/>
      <w:r w:rsidR="00755353">
        <w:rPr>
          <w:bCs/>
          <w:iCs/>
          <w:color w:val="000000"/>
        </w:rPr>
        <w:t>sought</w:t>
      </w:r>
      <w:proofErr w:type="gramEnd"/>
      <w:r w:rsidR="00755353">
        <w:rPr>
          <w:bCs/>
          <w:iCs/>
          <w:color w:val="000000"/>
        </w:rPr>
        <w:t xml:space="preserve"> in the Request </w:t>
      </w:r>
      <w:r w:rsidR="00725FFA">
        <w:rPr>
          <w:bCs/>
          <w:iCs/>
          <w:color w:val="000000"/>
        </w:rPr>
        <w:t xml:space="preserve">is outside </w:t>
      </w:r>
      <w:r w:rsidR="00755353">
        <w:rPr>
          <w:bCs/>
          <w:iCs/>
          <w:color w:val="000000"/>
        </w:rPr>
        <w:t xml:space="preserve">of </w:t>
      </w:r>
      <w:r w:rsidR="00725FFA">
        <w:rPr>
          <w:bCs/>
          <w:iCs/>
          <w:color w:val="000000"/>
        </w:rPr>
        <w:t>the Commission’s jurisdiction</w:t>
      </w:r>
      <w:r w:rsidR="00B55B92">
        <w:rPr>
          <w:bCs/>
          <w:iCs/>
          <w:color w:val="000000"/>
        </w:rPr>
        <w:t xml:space="preserve">. </w:t>
      </w:r>
      <w:r>
        <w:rPr>
          <w:bCs/>
          <w:iCs/>
          <w:color w:val="000000"/>
        </w:rPr>
        <w:t xml:space="preserve">  </w:t>
      </w:r>
    </w:p>
    <w:p w:rsidR="00A12E95" w:rsidRPr="00A12E95" w:rsidRDefault="00A12E95" w:rsidP="00A12E95">
      <w:pPr>
        <w:pStyle w:val="ListParagraph"/>
        <w:numPr>
          <w:ilvl w:val="0"/>
          <w:numId w:val="3"/>
        </w:numPr>
        <w:spacing w:line="480" w:lineRule="auto"/>
        <w:ind w:left="720"/>
        <w:jc w:val="center"/>
        <w:rPr>
          <w:b/>
          <w:bCs/>
          <w:iCs/>
          <w:color w:val="000000"/>
        </w:rPr>
      </w:pPr>
      <w:r w:rsidRPr="00A12E95">
        <w:rPr>
          <w:b/>
          <w:bCs/>
          <w:iCs/>
          <w:color w:val="000000"/>
        </w:rPr>
        <w:t>INTRODUCTION</w:t>
      </w:r>
    </w:p>
    <w:p w:rsidR="00E95739" w:rsidRDefault="00A12E95" w:rsidP="00A12E95">
      <w:pPr>
        <w:spacing w:line="480" w:lineRule="auto"/>
        <w:ind w:firstLine="720"/>
        <w:rPr>
          <w:bCs/>
          <w:iCs/>
          <w:color w:val="000000"/>
        </w:rPr>
      </w:pPr>
      <w:r>
        <w:rPr>
          <w:bCs/>
          <w:iCs/>
          <w:color w:val="000000"/>
        </w:rPr>
        <w:t xml:space="preserve">On </w:t>
      </w:r>
      <w:r w:rsidR="00E95739">
        <w:rPr>
          <w:bCs/>
          <w:iCs/>
          <w:color w:val="000000"/>
        </w:rPr>
        <w:t xml:space="preserve">September 28, 2007, AT&amp;T Florida filed a request for approval of the interconnection, unbundling, resale, and collocation agreement and one amendment with </w:t>
      </w:r>
      <w:proofErr w:type="spellStart"/>
      <w:r w:rsidR="00E95739">
        <w:rPr>
          <w:bCs/>
          <w:iCs/>
          <w:color w:val="000000"/>
        </w:rPr>
        <w:t>LifeConnex</w:t>
      </w:r>
      <w:proofErr w:type="spellEnd"/>
      <w:r w:rsidR="00E95739">
        <w:rPr>
          <w:bCs/>
          <w:iCs/>
          <w:color w:val="000000"/>
        </w:rPr>
        <w:t>.</w:t>
      </w:r>
      <w:r w:rsidR="00E95739">
        <w:rPr>
          <w:rStyle w:val="FootnoteReference"/>
          <w:bCs/>
          <w:iCs/>
          <w:color w:val="000000"/>
        </w:rPr>
        <w:footnoteReference w:id="3"/>
      </w:r>
      <w:r w:rsidR="00E95739">
        <w:rPr>
          <w:bCs/>
          <w:iCs/>
          <w:color w:val="000000"/>
        </w:rPr>
        <w:t xml:space="preserve">  By operation of law, on December 27, 2007, the Commission approved the negotiated interconnection agreement (“ICA”) between </w:t>
      </w:r>
      <w:proofErr w:type="spellStart"/>
      <w:r w:rsidR="00E95739">
        <w:rPr>
          <w:bCs/>
          <w:iCs/>
          <w:color w:val="000000"/>
        </w:rPr>
        <w:t>LifeConnex</w:t>
      </w:r>
      <w:proofErr w:type="spellEnd"/>
      <w:r w:rsidR="00E95739">
        <w:rPr>
          <w:bCs/>
          <w:iCs/>
          <w:color w:val="000000"/>
        </w:rPr>
        <w:t xml:space="preserve"> and AT&amp;T Florida.</w:t>
      </w:r>
      <w:r w:rsidR="00E95739">
        <w:rPr>
          <w:rStyle w:val="FootnoteReference"/>
          <w:bCs/>
          <w:iCs/>
          <w:color w:val="000000"/>
        </w:rPr>
        <w:footnoteReference w:id="4"/>
      </w:r>
      <w:r w:rsidR="00E95739">
        <w:rPr>
          <w:bCs/>
          <w:iCs/>
          <w:color w:val="000000"/>
        </w:rPr>
        <w:t xml:space="preserve">  In that Commission-approved and binding ICA, </w:t>
      </w:r>
      <w:proofErr w:type="spellStart"/>
      <w:r w:rsidR="00E95739">
        <w:rPr>
          <w:bCs/>
          <w:iCs/>
          <w:color w:val="000000"/>
        </w:rPr>
        <w:t>LifeConnex</w:t>
      </w:r>
      <w:proofErr w:type="spellEnd"/>
      <w:r w:rsidR="00E95739">
        <w:rPr>
          <w:bCs/>
          <w:iCs/>
          <w:color w:val="000000"/>
        </w:rPr>
        <w:t xml:space="preserve"> expressly agreed to “make payment to </w:t>
      </w:r>
      <w:r w:rsidR="00E95739">
        <w:rPr>
          <w:bCs/>
          <w:iCs/>
          <w:color w:val="000000"/>
        </w:rPr>
        <w:lastRenderedPageBreak/>
        <w:t xml:space="preserve">[AT&amp;T </w:t>
      </w:r>
      <w:r w:rsidR="00784227">
        <w:rPr>
          <w:bCs/>
          <w:iCs/>
          <w:color w:val="000000"/>
        </w:rPr>
        <w:t>Florida</w:t>
      </w:r>
      <w:r w:rsidR="00E95739">
        <w:rPr>
          <w:bCs/>
          <w:iCs/>
          <w:color w:val="000000"/>
        </w:rPr>
        <w:t xml:space="preserve">] for all services billed </w:t>
      </w:r>
      <w:r w:rsidR="00E95739">
        <w:rPr>
          <w:b/>
          <w:bCs/>
          <w:i/>
          <w:iCs/>
          <w:color w:val="000000"/>
        </w:rPr>
        <w:t>including disputed amounts</w:t>
      </w:r>
      <w:r w:rsidR="00E95739">
        <w:rPr>
          <w:bCs/>
          <w:iCs/>
          <w:color w:val="000000"/>
        </w:rPr>
        <w:t>,” and it agreed to make those payments “on or before the next bill date.”</w:t>
      </w:r>
      <w:r w:rsidR="00E95739">
        <w:rPr>
          <w:rStyle w:val="FootnoteReference"/>
          <w:bCs/>
          <w:iCs/>
          <w:color w:val="000000"/>
        </w:rPr>
        <w:footnoteReference w:id="5"/>
      </w:r>
      <w:r w:rsidR="00E95739">
        <w:rPr>
          <w:bCs/>
          <w:iCs/>
          <w:color w:val="000000"/>
        </w:rPr>
        <w:t xml:space="preserve">  On June 18, 2010, AT&amp;T </w:t>
      </w:r>
      <w:r w:rsidR="00784227">
        <w:rPr>
          <w:bCs/>
          <w:iCs/>
          <w:color w:val="000000"/>
        </w:rPr>
        <w:t xml:space="preserve">Florida </w:t>
      </w:r>
      <w:r w:rsidR="00E95739">
        <w:rPr>
          <w:bCs/>
          <w:iCs/>
          <w:color w:val="000000"/>
        </w:rPr>
        <w:t xml:space="preserve">sent </w:t>
      </w:r>
      <w:proofErr w:type="spellStart"/>
      <w:r w:rsidR="00E95739">
        <w:rPr>
          <w:bCs/>
          <w:iCs/>
          <w:color w:val="000000"/>
        </w:rPr>
        <w:t>LifeConnex</w:t>
      </w:r>
      <w:proofErr w:type="spellEnd"/>
      <w:r w:rsidR="00E95739">
        <w:rPr>
          <w:bCs/>
          <w:iCs/>
          <w:color w:val="000000"/>
        </w:rPr>
        <w:t xml:space="preserve"> a letter and attachments that, among other things: sets forth </w:t>
      </w:r>
      <w:proofErr w:type="spellStart"/>
      <w:r w:rsidR="00E95739">
        <w:rPr>
          <w:bCs/>
          <w:iCs/>
          <w:color w:val="000000"/>
        </w:rPr>
        <w:t>LifeConnex’s</w:t>
      </w:r>
      <w:proofErr w:type="spellEnd"/>
      <w:r w:rsidR="00E95739">
        <w:rPr>
          <w:bCs/>
          <w:iCs/>
          <w:color w:val="000000"/>
        </w:rPr>
        <w:t xml:space="preserve"> substantial past due balance; quotes the operative language of the parties’ ICA; notes that from December </w:t>
      </w:r>
      <w:r w:rsidR="006117A3">
        <w:rPr>
          <w:bCs/>
          <w:iCs/>
          <w:color w:val="000000"/>
        </w:rPr>
        <w:t>20</w:t>
      </w:r>
      <w:r w:rsidR="00E95739">
        <w:rPr>
          <w:bCs/>
          <w:iCs/>
          <w:color w:val="000000"/>
        </w:rPr>
        <w:t xml:space="preserve">, 2009 to May 20, 2010, </w:t>
      </w:r>
      <w:proofErr w:type="spellStart"/>
      <w:r w:rsidR="00E95739">
        <w:rPr>
          <w:bCs/>
          <w:iCs/>
          <w:color w:val="000000"/>
        </w:rPr>
        <w:t>LifeConnex</w:t>
      </w:r>
      <w:proofErr w:type="spellEnd"/>
      <w:r w:rsidR="00E95739">
        <w:rPr>
          <w:bCs/>
          <w:iCs/>
          <w:color w:val="000000"/>
        </w:rPr>
        <w:t xml:space="preserve"> paid AT&amp;T </w:t>
      </w:r>
      <w:r w:rsidR="006117A3">
        <w:rPr>
          <w:bCs/>
          <w:iCs/>
          <w:color w:val="000000"/>
        </w:rPr>
        <w:t xml:space="preserve">Florida less than ten percent </w:t>
      </w:r>
      <w:r w:rsidR="00E95739">
        <w:rPr>
          <w:bCs/>
          <w:iCs/>
          <w:color w:val="000000"/>
        </w:rPr>
        <w:t xml:space="preserve">of the net amount owed (the billed amounts less credits AT&amp;T </w:t>
      </w:r>
      <w:r w:rsidR="006117A3">
        <w:rPr>
          <w:bCs/>
          <w:iCs/>
          <w:color w:val="000000"/>
        </w:rPr>
        <w:t>Florida</w:t>
      </w:r>
      <w:r w:rsidR="00E95739">
        <w:rPr>
          <w:bCs/>
          <w:iCs/>
          <w:color w:val="000000"/>
        </w:rPr>
        <w:t xml:space="preserve"> applied for promotions and other adjustments) for that same time period; and demands payment of all past due charges on or before July </w:t>
      </w:r>
      <w:r w:rsidR="00725FFA">
        <w:rPr>
          <w:bCs/>
          <w:iCs/>
          <w:color w:val="000000"/>
        </w:rPr>
        <w:t>6</w:t>
      </w:r>
      <w:r w:rsidR="00E95739">
        <w:rPr>
          <w:bCs/>
          <w:iCs/>
          <w:color w:val="000000"/>
        </w:rPr>
        <w:t>, 2010</w:t>
      </w:r>
      <w:r w:rsidR="00725FFA">
        <w:rPr>
          <w:bCs/>
          <w:iCs/>
          <w:color w:val="000000"/>
        </w:rPr>
        <w:t>, or suffer suspension of order processing,</w:t>
      </w:r>
      <w:r w:rsidR="00725FFA">
        <w:rPr>
          <w:rStyle w:val="FootnoteReference"/>
          <w:bCs/>
          <w:iCs/>
          <w:color w:val="000000"/>
        </w:rPr>
        <w:footnoteReference w:id="6"/>
      </w:r>
      <w:r w:rsidR="00725FFA">
        <w:rPr>
          <w:bCs/>
          <w:iCs/>
          <w:color w:val="000000"/>
        </w:rPr>
        <w:t xml:space="preserve"> and payment on or before July 21, 2010 or </w:t>
      </w:r>
      <w:proofErr w:type="spellStart"/>
      <w:r w:rsidR="00725FFA">
        <w:rPr>
          <w:bCs/>
          <w:iCs/>
          <w:color w:val="000000"/>
        </w:rPr>
        <w:t>LifeConnex’s</w:t>
      </w:r>
      <w:proofErr w:type="spellEnd"/>
      <w:r w:rsidR="00725FFA">
        <w:rPr>
          <w:bCs/>
          <w:iCs/>
          <w:color w:val="000000"/>
        </w:rPr>
        <w:t xml:space="preserve"> service will be disconnected</w:t>
      </w:r>
      <w:r w:rsidR="00E95739">
        <w:rPr>
          <w:bCs/>
          <w:iCs/>
          <w:color w:val="000000"/>
        </w:rPr>
        <w:t>.  Exhibit 2 to this Response is a copy of that letter</w:t>
      </w:r>
      <w:r w:rsidR="00FC7316">
        <w:rPr>
          <w:rStyle w:val="FootnoteReference"/>
          <w:bCs/>
          <w:iCs/>
          <w:color w:val="000000"/>
        </w:rPr>
        <w:footnoteReference w:id="7"/>
      </w:r>
      <w:r w:rsidR="00E95739">
        <w:rPr>
          <w:bCs/>
          <w:iCs/>
          <w:color w:val="000000"/>
        </w:rPr>
        <w:t xml:space="preserve"> and its attachments, supported by the affidavit of </w:t>
      </w:r>
      <w:proofErr w:type="spellStart"/>
      <w:r w:rsidR="00E95739">
        <w:rPr>
          <w:bCs/>
          <w:iCs/>
          <w:color w:val="000000"/>
        </w:rPr>
        <w:t>Gert</w:t>
      </w:r>
      <w:proofErr w:type="spellEnd"/>
      <w:r w:rsidR="00E95739">
        <w:rPr>
          <w:bCs/>
          <w:iCs/>
          <w:color w:val="000000"/>
        </w:rPr>
        <w:t xml:space="preserve"> Andersen.</w:t>
      </w:r>
    </w:p>
    <w:p w:rsidR="00B55B92" w:rsidRDefault="00E95739" w:rsidP="00E95739">
      <w:pPr>
        <w:spacing w:line="480" w:lineRule="auto"/>
        <w:rPr>
          <w:bCs/>
          <w:iCs/>
          <w:color w:val="000000"/>
        </w:rPr>
      </w:pPr>
      <w:r>
        <w:rPr>
          <w:bCs/>
          <w:iCs/>
          <w:color w:val="000000"/>
        </w:rPr>
        <w:tab/>
        <w:t xml:space="preserve">In its </w:t>
      </w:r>
      <w:r w:rsidR="00707F8B">
        <w:rPr>
          <w:bCs/>
          <w:iCs/>
          <w:color w:val="000000"/>
        </w:rPr>
        <w:t>Request</w:t>
      </w:r>
      <w:r>
        <w:rPr>
          <w:bCs/>
          <w:iCs/>
          <w:color w:val="000000"/>
        </w:rPr>
        <w:t xml:space="preserve">, </w:t>
      </w:r>
      <w:proofErr w:type="spellStart"/>
      <w:r>
        <w:rPr>
          <w:bCs/>
          <w:iCs/>
          <w:color w:val="000000"/>
        </w:rPr>
        <w:t>Lifeconnex</w:t>
      </w:r>
      <w:proofErr w:type="spellEnd"/>
      <w:r>
        <w:rPr>
          <w:bCs/>
          <w:iCs/>
          <w:color w:val="000000"/>
        </w:rPr>
        <w:t xml:space="preserve"> acknowledges that it has breached its ICA by consistently refusing to make the payments it agreed to make,</w:t>
      </w:r>
      <w:r>
        <w:rPr>
          <w:rStyle w:val="FootnoteReference"/>
          <w:bCs/>
          <w:iCs/>
          <w:color w:val="000000"/>
        </w:rPr>
        <w:footnoteReference w:id="8"/>
      </w:r>
      <w:r>
        <w:rPr>
          <w:bCs/>
          <w:iCs/>
          <w:color w:val="000000"/>
        </w:rPr>
        <w:t xml:space="preserve"> and as a result it has a past-due </w:t>
      </w:r>
      <w:r w:rsidR="00725FFA">
        <w:rPr>
          <w:bCs/>
          <w:iCs/>
          <w:color w:val="000000"/>
        </w:rPr>
        <w:t xml:space="preserve">balance due AT&amp;T Florida </w:t>
      </w:r>
      <w:r>
        <w:rPr>
          <w:bCs/>
          <w:iCs/>
          <w:color w:val="000000"/>
        </w:rPr>
        <w:t>in excess of $1</w:t>
      </w:r>
      <w:r w:rsidR="00C205C9">
        <w:rPr>
          <w:bCs/>
          <w:iCs/>
          <w:color w:val="000000"/>
        </w:rPr>
        <w:t>.4</w:t>
      </w:r>
      <w:r>
        <w:rPr>
          <w:bCs/>
          <w:iCs/>
          <w:color w:val="000000"/>
        </w:rPr>
        <w:t xml:space="preserve"> million.</w:t>
      </w:r>
      <w:r>
        <w:rPr>
          <w:rStyle w:val="FootnoteReference"/>
          <w:bCs/>
          <w:iCs/>
          <w:color w:val="000000"/>
        </w:rPr>
        <w:footnoteReference w:id="9"/>
      </w:r>
      <w:r>
        <w:rPr>
          <w:bCs/>
          <w:iCs/>
          <w:color w:val="000000"/>
        </w:rPr>
        <w:t xml:space="preserve">  </w:t>
      </w:r>
      <w:proofErr w:type="spellStart"/>
      <w:r w:rsidRPr="00FE3C95">
        <w:rPr>
          <w:bCs/>
          <w:iCs/>
          <w:color w:val="000000"/>
        </w:rPr>
        <w:t>LifeConnex</w:t>
      </w:r>
      <w:proofErr w:type="spellEnd"/>
      <w:r w:rsidRPr="00FE3C95">
        <w:rPr>
          <w:bCs/>
          <w:iCs/>
          <w:color w:val="000000"/>
        </w:rPr>
        <w:t xml:space="preserve"> alleges that </w:t>
      </w:r>
      <w:r w:rsidR="002564BA" w:rsidRPr="00FE3C95">
        <w:rPr>
          <w:bCs/>
          <w:iCs/>
          <w:color w:val="000000"/>
        </w:rPr>
        <w:t xml:space="preserve">“if all pending disputes are resolved in favor of </w:t>
      </w:r>
      <w:proofErr w:type="spellStart"/>
      <w:r w:rsidR="002564BA" w:rsidRPr="00FE3C95">
        <w:rPr>
          <w:bCs/>
          <w:iCs/>
          <w:color w:val="000000"/>
        </w:rPr>
        <w:t>LifeConnex</w:t>
      </w:r>
      <w:proofErr w:type="spellEnd"/>
      <w:r w:rsidR="002564BA" w:rsidRPr="00FE3C95">
        <w:rPr>
          <w:bCs/>
          <w:iCs/>
          <w:color w:val="000000"/>
        </w:rPr>
        <w:t xml:space="preserve">, AT&amp;T would owe money to </w:t>
      </w:r>
      <w:proofErr w:type="spellStart"/>
      <w:r w:rsidR="002564BA" w:rsidRPr="00FE3C95">
        <w:rPr>
          <w:bCs/>
          <w:iCs/>
          <w:color w:val="000000"/>
        </w:rPr>
        <w:t>LifeConnex</w:t>
      </w:r>
      <w:proofErr w:type="spellEnd"/>
      <w:r w:rsidR="002564BA" w:rsidRPr="00FE3C95">
        <w:rPr>
          <w:bCs/>
          <w:iCs/>
          <w:color w:val="000000"/>
        </w:rPr>
        <w:t>”</w:t>
      </w:r>
      <w:r w:rsidRPr="00FE3C95">
        <w:rPr>
          <w:bCs/>
          <w:iCs/>
          <w:color w:val="000000"/>
        </w:rPr>
        <w:t xml:space="preserve"> (presumably in promotional credits that </w:t>
      </w:r>
      <w:proofErr w:type="spellStart"/>
      <w:r w:rsidRPr="00FE3C95">
        <w:rPr>
          <w:bCs/>
          <w:iCs/>
          <w:color w:val="000000"/>
        </w:rPr>
        <w:t>LifeConnex</w:t>
      </w:r>
      <w:proofErr w:type="spellEnd"/>
      <w:r w:rsidRPr="00FE3C95">
        <w:rPr>
          <w:bCs/>
          <w:iCs/>
          <w:color w:val="000000"/>
        </w:rPr>
        <w:t xml:space="preserve"> has requested and AT&amp;T </w:t>
      </w:r>
      <w:r w:rsidR="002564BA" w:rsidRPr="00FE3C95">
        <w:rPr>
          <w:bCs/>
          <w:iCs/>
          <w:color w:val="000000"/>
        </w:rPr>
        <w:t>Florida</w:t>
      </w:r>
      <w:r w:rsidRPr="00FE3C95">
        <w:rPr>
          <w:bCs/>
          <w:iCs/>
          <w:color w:val="000000"/>
        </w:rPr>
        <w:t xml:space="preserve"> has denied)</w:t>
      </w:r>
      <w:r w:rsidR="00B55B92">
        <w:rPr>
          <w:bCs/>
          <w:iCs/>
          <w:color w:val="000000"/>
        </w:rPr>
        <w:t xml:space="preserve">.  AT&amp;T Florida denies this allegation, which is, in effect, an argument that AT&amp;T Florida must pay </w:t>
      </w:r>
      <w:proofErr w:type="spellStart"/>
      <w:r w:rsidR="00B55B92">
        <w:rPr>
          <w:bCs/>
          <w:iCs/>
          <w:color w:val="000000"/>
        </w:rPr>
        <w:t>LifeConnex</w:t>
      </w:r>
      <w:proofErr w:type="spellEnd"/>
      <w:r w:rsidR="00B55B92">
        <w:rPr>
          <w:bCs/>
          <w:iCs/>
          <w:color w:val="000000"/>
        </w:rPr>
        <w:t xml:space="preserve"> for having ordered services from AT&amp;T Florida and resold those services to its end </w:t>
      </w:r>
      <w:r w:rsidR="00B55B92">
        <w:rPr>
          <w:bCs/>
          <w:iCs/>
          <w:color w:val="000000"/>
        </w:rPr>
        <w:lastRenderedPageBreak/>
        <w:t xml:space="preserve">users. More importantly, </w:t>
      </w:r>
      <w:proofErr w:type="spellStart"/>
      <w:r w:rsidR="00B55B92">
        <w:rPr>
          <w:bCs/>
          <w:iCs/>
          <w:color w:val="000000"/>
        </w:rPr>
        <w:t>LifeConnex’s</w:t>
      </w:r>
      <w:proofErr w:type="spellEnd"/>
      <w:r w:rsidR="00B55B92">
        <w:rPr>
          <w:bCs/>
          <w:iCs/>
          <w:color w:val="000000"/>
        </w:rPr>
        <w:t xml:space="preserve"> allegation does nothing to alter the fact that the plain language of the ICA requires it to pay all amounts it is billed, even if it disputes those amounts.</w:t>
      </w:r>
      <w:r w:rsidR="00B55B92">
        <w:rPr>
          <w:rStyle w:val="FootnoteReference"/>
          <w:bCs/>
          <w:iCs/>
          <w:color w:val="000000"/>
        </w:rPr>
        <w:footnoteReference w:id="10"/>
      </w:r>
      <w:r w:rsidR="00B55B92">
        <w:rPr>
          <w:bCs/>
          <w:iCs/>
          <w:color w:val="000000"/>
        </w:rPr>
        <w:t xml:space="preserve">   </w:t>
      </w:r>
    </w:p>
    <w:p w:rsidR="00A12E95" w:rsidRPr="00A12E95" w:rsidRDefault="00A12E95" w:rsidP="00A12E95">
      <w:pPr>
        <w:spacing w:line="480" w:lineRule="auto"/>
        <w:jc w:val="center"/>
        <w:rPr>
          <w:b/>
          <w:bCs/>
          <w:iCs/>
          <w:color w:val="000000"/>
        </w:rPr>
      </w:pPr>
      <w:r>
        <w:rPr>
          <w:b/>
          <w:bCs/>
          <w:iCs/>
          <w:color w:val="000000"/>
        </w:rPr>
        <w:t>II.</w:t>
      </w:r>
      <w:r>
        <w:rPr>
          <w:b/>
          <w:bCs/>
          <w:iCs/>
          <w:color w:val="000000"/>
        </w:rPr>
        <w:tab/>
      </w:r>
      <w:r w:rsidRPr="00A12E95">
        <w:rPr>
          <w:b/>
          <w:bCs/>
          <w:iCs/>
          <w:color w:val="000000"/>
        </w:rPr>
        <w:t>ARGUMENT</w:t>
      </w:r>
    </w:p>
    <w:p w:rsidR="00E95739" w:rsidRDefault="00A12E95" w:rsidP="00A12E95">
      <w:pPr>
        <w:ind w:left="1440" w:hanging="720"/>
        <w:rPr>
          <w:b/>
          <w:bCs/>
          <w:iCs/>
          <w:color w:val="000000"/>
        </w:rPr>
      </w:pPr>
      <w:r>
        <w:rPr>
          <w:b/>
          <w:bCs/>
          <w:iCs/>
          <w:color w:val="000000"/>
        </w:rPr>
        <w:t>A</w:t>
      </w:r>
      <w:r w:rsidR="00E95739">
        <w:rPr>
          <w:b/>
          <w:bCs/>
          <w:iCs/>
          <w:color w:val="000000"/>
        </w:rPr>
        <w:t>.</w:t>
      </w:r>
      <w:r w:rsidR="00E95739">
        <w:rPr>
          <w:b/>
          <w:bCs/>
          <w:iCs/>
          <w:color w:val="000000"/>
        </w:rPr>
        <w:tab/>
        <w:t xml:space="preserve">The unambiguous language of the ICA requires </w:t>
      </w:r>
      <w:proofErr w:type="spellStart"/>
      <w:r w:rsidR="00E95739">
        <w:rPr>
          <w:b/>
          <w:bCs/>
          <w:iCs/>
          <w:color w:val="000000"/>
        </w:rPr>
        <w:t>LifeConnex</w:t>
      </w:r>
      <w:proofErr w:type="spellEnd"/>
      <w:r w:rsidR="00E95739">
        <w:rPr>
          <w:b/>
          <w:bCs/>
          <w:iCs/>
          <w:color w:val="000000"/>
        </w:rPr>
        <w:t xml:space="preserve"> to pay all amounts billed, including disputed charges.</w:t>
      </w:r>
    </w:p>
    <w:p w:rsidR="00E95739" w:rsidRPr="00D85FDC" w:rsidRDefault="00E95739" w:rsidP="00E95739">
      <w:pPr>
        <w:ind w:left="1440" w:hanging="720"/>
        <w:rPr>
          <w:b/>
          <w:bCs/>
          <w:iCs/>
          <w:color w:val="000000"/>
        </w:rPr>
      </w:pPr>
    </w:p>
    <w:p w:rsidR="00E95739" w:rsidRDefault="00E95739" w:rsidP="00E95739">
      <w:pPr>
        <w:spacing w:line="480" w:lineRule="auto"/>
        <w:rPr>
          <w:bCs/>
          <w:iCs/>
          <w:color w:val="000000"/>
        </w:rPr>
      </w:pPr>
      <w:r>
        <w:rPr>
          <w:bCs/>
          <w:iCs/>
          <w:color w:val="000000"/>
        </w:rPr>
        <w:tab/>
        <w:t xml:space="preserve">The parties’ Commission-approved ICA requires </w:t>
      </w:r>
      <w:proofErr w:type="spellStart"/>
      <w:r>
        <w:rPr>
          <w:bCs/>
          <w:iCs/>
          <w:color w:val="000000"/>
        </w:rPr>
        <w:t>LifeConnex</w:t>
      </w:r>
      <w:proofErr w:type="spellEnd"/>
      <w:r>
        <w:rPr>
          <w:bCs/>
          <w:iCs/>
          <w:color w:val="000000"/>
        </w:rPr>
        <w:t xml:space="preserve"> to pay all amounts it is billed, even if it disputes those amounts:</w:t>
      </w:r>
    </w:p>
    <w:p w:rsidR="00E95739" w:rsidRDefault="00E95739" w:rsidP="00E95739">
      <w:pPr>
        <w:ind w:left="1440" w:right="720"/>
        <w:rPr>
          <w:bCs/>
          <w:iCs/>
          <w:color w:val="000000"/>
        </w:rPr>
      </w:pPr>
      <w:r>
        <w:rPr>
          <w:bCs/>
          <w:iCs/>
          <w:color w:val="000000"/>
        </w:rPr>
        <w:t xml:space="preserve">Payment of </w:t>
      </w:r>
      <w:r>
        <w:rPr>
          <w:b/>
          <w:bCs/>
          <w:i/>
          <w:iCs/>
          <w:color w:val="000000"/>
        </w:rPr>
        <w:t xml:space="preserve">all </w:t>
      </w:r>
      <w:r>
        <w:rPr>
          <w:bCs/>
          <w:iCs/>
          <w:color w:val="000000"/>
        </w:rPr>
        <w:t>charges will be the responsibility of [</w:t>
      </w:r>
      <w:proofErr w:type="spellStart"/>
      <w:r>
        <w:rPr>
          <w:bCs/>
          <w:iCs/>
          <w:color w:val="000000"/>
        </w:rPr>
        <w:t>LifeConnex</w:t>
      </w:r>
      <w:proofErr w:type="spellEnd"/>
      <w:r>
        <w:rPr>
          <w:bCs/>
          <w:iCs/>
          <w:color w:val="000000"/>
        </w:rPr>
        <w:t>].</w:t>
      </w:r>
      <w:r>
        <w:rPr>
          <w:rStyle w:val="FootnoteReference"/>
          <w:bCs/>
          <w:iCs/>
          <w:color w:val="000000"/>
        </w:rPr>
        <w:footnoteReference w:id="11"/>
      </w:r>
    </w:p>
    <w:p w:rsidR="00E95739" w:rsidRDefault="00E95739" w:rsidP="00E95739">
      <w:pPr>
        <w:ind w:left="1440" w:right="720"/>
        <w:rPr>
          <w:bCs/>
          <w:iCs/>
          <w:color w:val="000000"/>
        </w:rPr>
      </w:pPr>
    </w:p>
    <w:p w:rsidR="00E95739" w:rsidRDefault="00E95739" w:rsidP="00E95739">
      <w:pPr>
        <w:ind w:left="1440" w:right="720"/>
        <w:rPr>
          <w:b/>
          <w:bCs/>
          <w:i/>
          <w:iCs/>
          <w:color w:val="000000"/>
        </w:rPr>
      </w:pPr>
      <w:r>
        <w:rPr>
          <w:bCs/>
          <w:iCs/>
          <w:color w:val="000000"/>
        </w:rPr>
        <w:t>[</w:t>
      </w:r>
      <w:proofErr w:type="spellStart"/>
      <w:r>
        <w:rPr>
          <w:bCs/>
          <w:iCs/>
          <w:color w:val="000000"/>
        </w:rPr>
        <w:t>Lifeconnex</w:t>
      </w:r>
      <w:proofErr w:type="spellEnd"/>
      <w:r>
        <w:rPr>
          <w:bCs/>
          <w:iCs/>
          <w:color w:val="000000"/>
        </w:rPr>
        <w:t xml:space="preserve">] shall make payment to [AT&amp;T </w:t>
      </w:r>
      <w:r w:rsidR="005D3E14">
        <w:rPr>
          <w:bCs/>
          <w:iCs/>
          <w:color w:val="000000"/>
        </w:rPr>
        <w:t>Florida</w:t>
      </w:r>
      <w:r>
        <w:rPr>
          <w:bCs/>
          <w:iCs/>
          <w:color w:val="000000"/>
        </w:rPr>
        <w:t xml:space="preserve">] for all services billed </w:t>
      </w:r>
      <w:r>
        <w:rPr>
          <w:b/>
          <w:bCs/>
          <w:i/>
          <w:iCs/>
          <w:color w:val="000000"/>
        </w:rPr>
        <w:t>including disputed amounts.</w:t>
      </w:r>
      <w:r w:rsidRPr="003D42B5">
        <w:rPr>
          <w:rStyle w:val="FootnoteReference"/>
          <w:bCs/>
          <w:iCs/>
          <w:color w:val="000000"/>
        </w:rPr>
        <w:footnoteReference w:id="12"/>
      </w:r>
    </w:p>
    <w:p w:rsidR="00E95739" w:rsidRDefault="00E95739" w:rsidP="00E95739">
      <w:pPr>
        <w:ind w:left="1440" w:right="720"/>
        <w:rPr>
          <w:b/>
          <w:bCs/>
          <w:i/>
          <w:iCs/>
          <w:color w:val="000000"/>
        </w:rPr>
      </w:pPr>
    </w:p>
    <w:p w:rsidR="00E95739" w:rsidRDefault="00E95739" w:rsidP="00E95739">
      <w:pPr>
        <w:ind w:left="1440" w:right="720"/>
        <w:rPr>
          <w:bCs/>
          <w:iCs/>
          <w:color w:val="000000"/>
        </w:rPr>
      </w:pPr>
      <w:r>
        <w:rPr>
          <w:bCs/>
          <w:iCs/>
          <w:color w:val="000000"/>
        </w:rPr>
        <w:t xml:space="preserve">Payment for services provided by [AT&amp;T </w:t>
      </w:r>
      <w:r w:rsidR="005D3E14">
        <w:rPr>
          <w:bCs/>
          <w:iCs/>
          <w:color w:val="000000"/>
        </w:rPr>
        <w:t>Florida</w:t>
      </w:r>
      <w:r>
        <w:rPr>
          <w:bCs/>
          <w:iCs/>
          <w:color w:val="000000"/>
        </w:rPr>
        <w:t xml:space="preserve">], </w:t>
      </w:r>
      <w:r>
        <w:rPr>
          <w:b/>
          <w:bCs/>
          <w:i/>
          <w:iCs/>
          <w:color w:val="000000"/>
        </w:rPr>
        <w:t xml:space="preserve">including disputed charges, </w:t>
      </w:r>
      <w:r>
        <w:rPr>
          <w:bCs/>
          <w:iCs/>
          <w:color w:val="000000"/>
        </w:rPr>
        <w:t>is due on or before the next bill date.</w:t>
      </w:r>
      <w:r>
        <w:rPr>
          <w:rStyle w:val="FootnoteReference"/>
          <w:bCs/>
          <w:iCs/>
          <w:color w:val="000000"/>
        </w:rPr>
        <w:footnoteReference w:id="13"/>
      </w:r>
    </w:p>
    <w:p w:rsidR="00E95739" w:rsidRDefault="00E95739" w:rsidP="00E95739">
      <w:pPr>
        <w:ind w:left="1440" w:right="720"/>
        <w:rPr>
          <w:bCs/>
          <w:iCs/>
          <w:color w:val="000000"/>
        </w:rPr>
      </w:pPr>
    </w:p>
    <w:p w:rsidR="003D770D" w:rsidRDefault="00C704D0" w:rsidP="00E406C2">
      <w:pPr>
        <w:spacing w:line="480" w:lineRule="auto"/>
        <w:ind w:firstLine="720"/>
        <w:rPr>
          <w:szCs w:val="20"/>
        </w:rPr>
      </w:pPr>
      <w:r>
        <w:rPr>
          <w:szCs w:val="20"/>
        </w:rPr>
        <w:t xml:space="preserve">The language quoted above is unambiguous, and the Commission-approved ICA is a valid contract.   </w:t>
      </w:r>
      <w:r w:rsidRPr="00715860">
        <w:rPr>
          <w:color w:val="000000"/>
        </w:rPr>
        <w:t>The Commission, therefore, is required by law to enforce the ICA as written</w:t>
      </w:r>
      <w:r>
        <w:rPr>
          <w:color w:val="000000"/>
        </w:rPr>
        <w:t xml:space="preserve"> as </w:t>
      </w:r>
      <w:r>
        <w:rPr>
          <w:szCs w:val="20"/>
        </w:rPr>
        <w:t xml:space="preserve">Florida law is clear that </w:t>
      </w:r>
      <w:r w:rsidRPr="008C609D">
        <w:rPr>
          <w:szCs w:val="20"/>
        </w:rPr>
        <w:t xml:space="preserve">"an </w:t>
      </w:r>
      <w:r w:rsidRPr="008C609D">
        <w:rPr>
          <w:rStyle w:val="term1"/>
          <w:b w:val="0"/>
          <w:szCs w:val="20"/>
        </w:rPr>
        <w:t>unambiguous</w:t>
      </w:r>
      <w:r w:rsidRPr="008C609D">
        <w:rPr>
          <w:szCs w:val="20"/>
        </w:rPr>
        <w:t xml:space="preserve"> agreement must be enforced in accordance with its terms</w:t>
      </w:r>
      <w:r>
        <w:rPr>
          <w:szCs w:val="20"/>
        </w:rPr>
        <w:t>.</w:t>
      </w:r>
      <w:r w:rsidRPr="008C609D">
        <w:rPr>
          <w:szCs w:val="20"/>
        </w:rPr>
        <w:t>"</w:t>
      </w:r>
      <w:r>
        <w:rPr>
          <w:szCs w:val="20"/>
        </w:rPr>
        <w:t xml:space="preserve">  </w:t>
      </w:r>
      <w:r>
        <w:rPr>
          <w:i/>
          <w:szCs w:val="20"/>
        </w:rPr>
        <w:t>Paddock v. Bay Concrete Indus., Inc.</w:t>
      </w:r>
      <w:r>
        <w:rPr>
          <w:szCs w:val="20"/>
        </w:rPr>
        <w:t xml:space="preserve">, 154 So.2d 313 (Fla. 2d DCA 1963).  </w:t>
      </w:r>
      <w:r>
        <w:rPr>
          <w:i/>
          <w:szCs w:val="20"/>
        </w:rPr>
        <w:t>See also, Brooks v. Green</w:t>
      </w:r>
      <w:r>
        <w:rPr>
          <w:szCs w:val="20"/>
        </w:rPr>
        <w:t xml:space="preserve">, 993 </w:t>
      </w:r>
      <w:proofErr w:type="gramStart"/>
      <w:r>
        <w:rPr>
          <w:szCs w:val="20"/>
        </w:rPr>
        <w:t>So</w:t>
      </w:r>
      <w:proofErr w:type="gramEnd"/>
      <w:r>
        <w:rPr>
          <w:szCs w:val="20"/>
        </w:rPr>
        <w:t>. 2d 58 (Fla. 1</w:t>
      </w:r>
      <w:r w:rsidRPr="00F2732D">
        <w:rPr>
          <w:szCs w:val="20"/>
          <w:vertAlign w:val="superscript"/>
        </w:rPr>
        <w:t>st</w:t>
      </w:r>
      <w:r>
        <w:rPr>
          <w:szCs w:val="20"/>
        </w:rPr>
        <w:t xml:space="preserve"> DCA 2008</w:t>
      </w:r>
      <w:proofErr w:type="gramStart"/>
      <w:r>
        <w:rPr>
          <w:szCs w:val="20"/>
        </w:rPr>
        <w:t>)(</w:t>
      </w:r>
      <w:proofErr w:type="gramEnd"/>
      <w:r>
        <w:rPr>
          <w:szCs w:val="20"/>
        </w:rPr>
        <w:t xml:space="preserve">“It is established law in this state that a contract must be applied as written, absent an ambiguity or some illegality.”) and </w:t>
      </w:r>
      <w:r>
        <w:rPr>
          <w:i/>
          <w:szCs w:val="20"/>
        </w:rPr>
        <w:t>Medical Center Health Plan v. Brick</w:t>
      </w:r>
      <w:r>
        <w:rPr>
          <w:szCs w:val="20"/>
        </w:rPr>
        <w:t>, 572 So. 2d 548, 551 (Fla. 1</w:t>
      </w:r>
      <w:r w:rsidRPr="00F2732D">
        <w:rPr>
          <w:szCs w:val="20"/>
          <w:vertAlign w:val="superscript"/>
        </w:rPr>
        <w:t>st</w:t>
      </w:r>
      <w:r>
        <w:rPr>
          <w:szCs w:val="20"/>
        </w:rPr>
        <w:t xml:space="preserve"> DCA 1990</w:t>
      </w:r>
      <w:proofErr w:type="gramStart"/>
      <w:r>
        <w:rPr>
          <w:szCs w:val="20"/>
        </w:rPr>
        <w:t>)(</w:t>
      </w:r>
      <w:proofErr w:type="gramEnd"/>
      <w:r>
        <w:rPr>
          <w:szCs w:val="20"/>
        </w:rPr>
        <w:t xml:space="preserve">“A party is bound by, and a court is powerless to rewrite, the clear and unambiguous terms of a voluntary contract. </w:t>
      </w:r>
      <w:proofErr w:type="gramStart"/>
      <w:r w:rsidRPr="000237E7">
        <w:rPr>
          <w:i/>
          <w:szCs w:val="20"/>
        </w:rPr>
        <w:t>Nat’l</w:t>
      </w:r>
      <w:r>
        <w:rPr>
          <w:szCs w:val="20"/>
        </w:rPr>
        <w:t xml:space="preserve"> </w:t>
      </w:r>
      <w:r>
        <w:rPr>
          <w:i/>
          <w:szCs w:val="20"/>
        </w:rPr>
        <w:t xml:space="preserve">Health Laboratories, Inc. v. </w:t>
      </w:r>
      <w:proofErr w:type="spellStart"/>
      <w:r>
        <w:rPr>
          <w:i/>
          <w:szCs w:val="20"/>
        </w:rPr>
        <w:t>Bailmar</w:t>
      </w:r>
      <w:proofErr w:type="spellEnd"/>
      <w:r>
        <w:rPr>
          <w:i/>
          <w:szCs w:val="20"/>
        </w:rPr>
        <w:t xml:space="preserve">, Inc., </w:t>
      </w:r>
      <w:r w:rsidRPr="00F2732D">
        <w:rPr>
          <w:szCs w:val="20"/>
        </w:rPr>
        <w:t xml:space="preserve">444 So.2d 1078, 1080 </w:t>
      </w:r>
      <w:r w:rsidRPr="0021715C">
        <w:rPr>
          <w:szCs w:val="20"/>
        </w:rPr>
        <w:t xml:space="preserve">(Fla. 3d DCA </w:t>
      </w:r>
      <w:r w:rsidR="0021715C" w:rsidRPr="0021715C">
        <w:rPr>
          <w:szCs w:val="20"/>
        </w:rPr>
        <w:t>1984</w:t>
      </w:r>
      <w:r w:rsidRPr="0021715C">
        <w:rPr>
          <w:szCs w:val="20"/>
        </w:rPr>
        <w:t>).”).</w:t>
      </w:r>
      <w:proofErr w:type="gramEnd"/>
      <w:r>
        <w:rPr>
          <w:szCs w:val="20"/>
        </w:rPr>
        <w:t xml:space="preserve">  Moreover</w:t>
      </w:r>
      <w:proofErr w:type="gramStart"/>
      <w:r>
        <w:rPr>
          <w:szCs w:val="20"/>
        </w:rPr>
        <w:t>,</w:t>
      </w:r>
      <w:r w:rsidR="00F2732D">
        <w:rPr>
          <w:szCs w:val="20"/>
        </w:rPr>
        <w:t>“</w:t>
      </w:r>
      <w:proofErr w:type="gramEnd"/>
      <w:r>
        <w:rPr>
          <w:szCs w:val="20"/>
        </w:rPr>
        <w:t>[</w:t>
      </w:r>
      <w:proofErr w:type="spellStart"/>
      <w:r>
        <w:rPr>
          <w:szCs w:val="20"/>
        </w:rPr>
        <w:t>i</w:t>
      </w:r>
      <w:proofErr w:type="spellEnd"/>
      <w:r>
        <w:rPr>
          <w:szCs w:val="20"/>
        </w:rPr>
        <w:t>]</w:t>
      </w:r>
      <w:r w:rsidR="00F2732D">
        <w:rPr>
          <w:szCs w:val="20"/>
        </w:rPr>
        <w:t xml:space="preserve">t </w:t>
      </w:r>
      <w:r w:rsidR="00F2732D">
        <w:rPr>
          <w:szCs w:val="20"/>
        </w:rPr>
        <w:lastRenderedPageBreak/>
        <w:t>is a fundamental rule of contract interpretation that a contract which is clear, complete, and unambiguous does not require judicial construction</w:t>
      </w:r>
      <w:r w:rsidR="003D770D">
        <w:rPr>
          <w:szCs w:val="20"/>
        </w:rPr>
        <w:t>,</w:t>
      </w:r>
      <w:r w:rsidR="00F2732D">
        <w:rPr>
          <w:szCs w:val="20"/>
        </w:rPr>
        <w:t xml:space="preserve">” </w:t>
      </w:r>
      <w:r w:rsidR="00F2732D">
        <w:rPr>
          <w:i/>
          <w:szCs w:val="20"/>
        </w:rPr>
        <w:t>Jenkins v. Eckerd Corp.</w:t>
      </w:r>
      <w:r w:rsidR="00F2732D">
        <w:rPr>
          <w:szCs w:val="20"/>
        </w:rPr>
        <w:t>, 913 So.2d 43 (Fla. 1</w:t>
      </w:r>
      <w:r w:rsidR="00F2732D" w:rsidRPr="00E406C2">
        <w:rPr>
          <w:szCs w:val="20"/>
          <w:vertAlign w:val="superscript"/>
        </w:rPr>
        <w:t>st</w:t>
      </w:r>
      <w:r w:rsidR="00F2732D">
        <w:rPr>
          <w:szCs w:val="20"/>
        </w:rPr>
        <w:t xml:space="preserve"> DCA 2005)</w:t>
      </w:r>
      <w:r>
        <w:rPr>
          <w:szCs w:val="20"/>
        </w:rPr>
        <w:t xml:space="preserve">, and </w:t>
      </w:r>
      <w:r w:rsidR="000237E7">
        <w:rPr>
          <w:szCs w:val="20"/>
        </w:rPr>
        <w:t>“[</w:t>
      </w:r>
      <w:proofErr w:type="spellStart"/>
      <w:r w:rsidR="000237E7">
        <w:rPr>
          <w:szCs w:val="20"/>
        </w:rPr>
        <w:t>i</w:t>
      </w:r>
      <w:proofErr w:type="spellEnd"/>
      <w:r w:rsidR="000237E7">
        <w:rPr>
          <w:szCs w:val="20"/>
        </w:rPr>
        <w:t xml:space="preserve">]t is not the role of the courts to make an otherwise valid contract more reasonable from the standpoint of one contracting party.”  </w:t>
      </w:r>
      <w:proofErr w:type="gramStart"/>
      <w:r w:rsidR="000237E7">
        <w:rPr>
          <w:i/>
          <w:szCs w:val="20"/>
        </w:rPr>
        <w:t xml:space="preserve">Stack v. State Farm </w:t>
      </w:r>
      <w:proofErr w:type="spellStart"/>
      <w:r w:rsidR="000237E7">
        <w:rPr>
          <w:i/>
          <w:szCs w:val="20"/>
        </w:rPr>
        <w:t>Mut</w:t>
      </w:r>
      <w:proofErr w:type="spellEnd"/>
      <w:r w:rsidR="000237E7">
        <w:rPr>
          <w:i/>
          <w:szCs w:val="20"/>
        </w:rPr>
        <w:t>.</w:t>
      </w:r>
      <w:proofErr w:type="gramEnd"/>
      <w:r w:rsidR="000237E7">
        <w:rPr>
          <w:i/>
          <w:szCs w:val="20"/>
        </w:rPr>
        <w:t xml:space="preserve"> </w:t>
      </w:r>
      <w:proofErr w:type="gramStart"/>
      <w:r w:rsidR="000237E7">
        <w:rPr>
          <w:i/>
          <w:szCs w:val="20"/>
        </w:rPr>
        <w:t>Auto Ins. Co.</w:t>
      </w:r>
      <w:r w:rsidR="000237E7">
        <w:rPr>
          <w:szCs w:val="20"/>
        </w:rPr>
        <w:t>, 507 So.2d 617, 619 (</w:t>
      </w:r>
      <w:r w:rsidR="000237E7" w:rsidRPr="0021715C">
        <w:rPr>
          <w:szCs w:val="20"/>
        </w:rPr>
        <w:t xml:space="preserve">Fla. 3d DCA </w:t>
      </w:r>
      <w:r w:rsidR="0021715C" w:rsidRPr="0021715C">
        <w:rPr>
          <w:szCs w:val="20"/>
        </w:rPr>
        <w:t>1987</w:t>
      </w:r>
      <w:r w:rsidR="000237E7">
        <w:rPr>
          <w:szCs w:val="20"/>
        </w:rPr>
        <w:t>).</w:t>
      </w:r>
      <w:proofErr w:type="gramEnd"/>
      <w:r w:rsidR="000237E7">
        <w:rPr>
          <w:szCs w:val="20"/>
        </w:rPr>
        <w:t xml:space="preserve">  </w:t>
      </w:r>
    </w:p>
    <w:p w:rsidR="000237E7" w:rsidRPr="001941E7" w:rsidRDefault="000237E7" w:rsidP="00E406C2">
      <w:pPr>
        <w:spacing w:line="480" w:lineRule="auto"/>
        <w:ind w:firstLine="720"/>
        <w:rPr>
          <w:szCs w:val="20"/>
        </w:rPr>
      </w:pPr>
      <w:r>
        <w:rPr>
          <w:szCs w:val="20"/>
        </w:rPr>
        <w:t xml:space="preserve">This principle applies even when contractual terms bind a party to a seemingly harsh or out of the ordinary bargain.  </w:t>
      </w:r>
      <w:r>
        <w:rPr>
          <w:i/>
          <w:szCs w:val="20"/>
        </w:rPr>
        <w:t xml:space="preserve">See </w:t>
      </w:r>
      <w:proofErr w:type="spellStart"/>
      <w:r>
        <w:rPr>
          <w:i/>
          <w:szCs w:val="20"/>
        </w:rPr>
        <w:t>Barakat</w:t>
      </w:r>
      <w:proofErr w:type="spellEnd"/>
      <w:r>
        <w:rPr>
          <w:i/>
          <w:szCs w:val="20"/>
        </w:rPr>
        <w:t xml:space="preserve"> v. Broward County </w:t>
      </w:r>
      <w:proofErr w:type="spellStart"/>
      <w:r>
        <w:rPr>
          <w:i/>
          <w:szCs w:val="20"/>
        </w:rPr>
        <w:t>Hous</w:t>
      </w:r>
      <w:proofErr w:type="spellEnd"/>
      <w:r>
        <w:rPr>
          <w:i/>
          <w:szCs w:val="20"/>
        </w:rPr>
        <w:t>. Auth.</w:t>
      </w:r>
      <w:r>
        <w:rPr>
          <w:szCs w:val="20"/>
        </w:rPr>
        <w:t>, 771 So.2d 1193, 1195 (Fla. 4</w:t>
      </w:r>
      <w:r w:rsidRPr="000237E7">
        <w:rPr>
          <w:szCs w:val="20"/>
          <w:vertAlign w:val="superscript"/>
        </w:rPr>
        <w:t>th</w:t>
      </w:r>
      <w:r>
        <w:rPr>
          <w:szCs w:val="20"/>
        </w:rPr>
        <w:t xml:space="preserve"> DCA 2000</w:t>
      </w:r>
      <w:proofErr w:type="gramStart"/>
      <w:r>
        <w:rPr>
          <w:szCs w:val="20"/>
        </w:rPr>
        <w:t>)(</w:t>
      </w:r>
      <w:proofErr w:type="gramEnd"/>
      <w:r>
        <w:rPr>
          <w:szCs w:val="20"/>
        </w:rPr>
        <w:t>“Contracts are to be construed in accordance with the plain meaning of the words contained there</w:t>
      </w:r>
      <w:r w:rsidR="008C7637">
        <w:rPr>
          <w:szCs w:val="20"/>
        </w:rPr>
        <w:t>in</w:t>
      </w:r>
      <w:r>
        <w:rPr>
          <w:szCs w:val="20"/>
        </w:rPr>
        <w:t>….It is never the role of the trial court to rewrite a contract to make it more reasonable for one of the parties or to relieve a party from what turns out to be bad bargain….A fundamental tenet of contract law is that parties are free to contract, even when one side negotiates a harsh bargain.”)</w:t>
      </w:r>
      <w:r w:rsidR="001941E7">
        <w:rPr>
          <w:szCs w:val="20"/>
        </w:rPr>
        <w:t xml:space="preserve">.  </w:t>
      </w:r>
      <w:r w:rsidR="001941E7">
        <w:rPr>
          <w:i/>
          <w:szCs w:val="20"/>
        </w:rPr>
        <w:t xml:space="preserve">See also, Applica Inc. v. </w:t>
      </w:r>
      <w:proofErr w:type="spellStart"/>
      <w:r w:rsidR="001941E7">
        <w:rPr>
          <w:i/>
          <w:szCs w:val="20"/>
        </w:rPr>
        <w:t>Newtech</w:t>
      </w:r>
      <w:proofErr w:type="spellEnd"/>
      <w:r w:rsidR="001941E7">
        <w:rPr>
          <w:i/>
          <w:szCs w:val="20"/>
        </w:rPr>
        <w:t xml:space="preserve"> Electronics Indus., Inc.</w:t>
      </w:r>
      <w:r w:rsidR="001941E7">
        <w:rPr>
          <w:szCs w:val="20"/>
        </w:rPr>
        <w:t>, 980 So.2d 1194 (Fla. 3d DCA 2008)(“where an agreement is unambiguous…we enforce the contract as written, no matter how disadvantageous the language might later prove to be.”).</w:t>
      </w:r>
    </w:p>
    <w:p w:rsidR="00BF40DB" w:rsidRDefault="005F6750" w:rsidP="00BF40DB">
      <w:pPr>
        <w:widowControl w:val="0"/>
        <w:autoSpaceDE w:val="0"/>
        <w:autoSpaceDN w:val="0"/>
        <w:adjustRightInd w:val="0"/>
        <w:spacing w:line="480" w:lineRule="auto"/>
        <w:ind w:firstLine="720"/>
        <w:jc w:val="both"/>
      </w:pPr>
      <w:r>
        <w:rPr>
          <w:szCs w:val="20"/>
        </w:rPr>
        <w:t>The parties</w:t>
      </w:r>
      <w:r w:rsidR="003D770D">
        <w:rPr>
          <w:szCs w:val="20"/>
        </w:rPr>
        <w:t>’</w:t>
      </w:r>
      <w:r>
        <w:rPr>
          <w:szCs w:val="20"/>
        </w:rPr>
        <w:t xml:space="preserve"> </w:t>
      </w:r>
      <w:r w:rsidR="000237E7">
        <w:rPr>
          <w:szCs w:val="20"/>
        </w:rPr>
        <w:t>interconnection agreement</w:t>
      </w:r>
      <w:r>
        <w:rPr>
          <w:szCs w:val="20"/>
        </w:rPr>
        <w:t xml:space="preserve"> is </w:t>
      </w:r>
      <w:r w:rsidR="00B55B92">
        <w:rPr>
          <w:szCs w:val="20"/>
        </w:rPr>
        <w:t xml:space="preserve">not only </w:t>
      </w:r>
      <w:r>
        <w:rPr>
          <w:szCs w:val="20"/>
        </w:rPr>
        <w:t xml:space="preserve">a contract </w:t>
      </w:r>
      <w:r w:rsidR="00B55B92">
        <w:rPr>
          <w:szCs w:val="20"/>
        </w:rPr>
        <w:t xml:space="preserve">but also </w:t>
      </w:r>
      <w:r w:rsidR="00BF40DB" w:rsidRPr="001B466E">
        <w:t>“the Congressionally prescribed vehicle for implementing the substantive rights and obligations set forth in the Act,”</w:t>
      </w:r>
      <w:r w:rsidR="003D770D">
        <w:t xml:space="preserve"> </w:t>
      </w:r>
      <w:r w:rsidR="00BF40DB" w:rsidRPr="001B466E">
        <w:rPr>
          <w:i/>
        </w:rPr>
        <w:t>Michigan Bell Tel. Co. v. Strand</w:t>
      </w:r>
      <w:r w:rsidR="00BF40DB" w:rsidRPr="001B466E">
        <w:t>, 305 F.3d 580, 582 (6</w:t>
      </w:r>
      <w:r w:rsidR="00BF40DB" w:rsidRPr="001B466E">
        <w:rPr>
          <w:vertAlign w:val="superscript"/>
        </w:rPr>
        <w:t>th</w:t>
      </w:r>
      <w:r w:rsidR="00BF40DB" w:rsidRPr="001B466E">
        <w:t xml:space="preserve"> Cir. 2003)</w:t>
      </w:r>
      <w:r w:rsidR="00BF40DB">
        <w:t xml:space="preserve">, and </w:t>
      </w:r>
      <w:r w:rsidR="00BF40DB" w:rsidRPr="001B466E">
        <w:t xml:space="preserve">once a carrier enters “into an interconnection agreement in accordance with section 252, … it is then regulated directly by the interconnection agreement.” </w:t>
      </w:r>
      <w:r w:rsidR="00BF40DB" w:rsidRPr="001B466E">
        <w:rPr>
          <w:i/>
        </w:rPr>
        <w:t xml:space="preserve">Law Offices of Curtis V. </w:t>
      </w:r>
      <w:proofErr w:type="spellStart"/>
      <w:r w:rsidR="00BF40DB" w:rsidRPr="001B466E">
        <w:rPr>
          <w:i/>
        </w:rPr>
        <w:t>Trinko</w:t>
      </w:r>
      <w:proofErr w:type="spellEnd"/>
      <w:r w:rsidR="00BF40DB" w:rsidRPr="001B466E">
        <w:rPr>
          <w:i/>
        </w:rPr>
        <w:t xml:space="preserve"> LLP v. Bell Atl. Corp</w:t>
      </w:r>
      <w:r w:rsidR="00BF40DB" w:rsidRPr="001B466E">
        <w:t xml:space="preserve">., 305 F.3d 89, 104 (2d Cir. 2002), </w:t>
      </w:r>
      <w:proofErr w:type="spellStart"/>
      <w:r w:rsidR="00BF40DB" w:rsidRPr="001B466E">
        <w:rPr>
          <w:i/>
        </w:rPr>
        <w:t>rev’d</w:t>
      </w:r>
      <w:proofErr w:type="spellEnd"/>
      <w:r w:rsidR="00BF40DB" w:rsidRPr="001B466E">
        <w:rPr>
          <w:i/>
        </w:rPr>
        <w:t xml:space="preserve"> in part on other grounds sub nom;</w:t>
      </w:r>
      <w:r w:rsidR="00BF40DB" w:rsidRPr="001B466E">
        <w:t xml:space="preserve"> </w:t>
      </w:r>
      <w:r w:rsidR="00BF40DB" w:rsidRPr="001B466E">
        <w:rPr>
          <w:i/>
        </w:rPr>
        <w:t xml:space="preserve">Verizon </w:t>
      </w:r>
      <w:proofErr w:type="spellStart"/>
      <w:r w:rsidR="00BF40DB" w:rsidRPr="001B466E">
        <w:rPr>
          <w:i/>
        </w:rPr>
        <w:t>Commc’ns</w:t>
      </w:r>
      <w:proofErr w:type="spellEnd"/>
      <w:r w:rsidR="00BF40DB" w:rsidRPr="001B466E">
        <w:rPr>
          <w:i/>
        </w:rPr>
        <w:t xml:space="preserve">, Inc. v. Law Offices of Curtis V. </w:t>
      </w:r>
      <w:proofErr w:type="spellStart"/>
      <w:r w:rsidR="00BF40DB" w:rsidRPr="001B466E">
        <w:rPr>
          <w:i/>
        </w:rPr>
        <w:t>Trinko</w:t>
      </w:r>
      <w:proofErr w:type="spellEnd"/>
      <w:r w:rsidR="00BF40DB" w:rsidRPr="001B466E">
        <w:rPr>
          <w:i/>
        </w:rPr>
        <w:t>, LLP</w:t>
      </w:r>
      <w:r w:rsidR="00BF40DB" w:rsidRPr="001B466E">
        <w:t>, 540 U.S. 398 (2004)</w:t>
      </w:r>
      <w:r w:rsidR="00BF40DB">
        <w:t xml:space="preserve">.  </w:t>
      </w:r>
      <w:r w:rsidR="00BF40DB">
        <w:rPr>
          <w:i/>
        </w:rPr>
        <w:t>See also,</w:t>
      </w:r>
      <w:r w:rsidR="00BF40DB" w:rsidRPr="001B466E">
        <w:t xml:space="preserve"> </w:t>
      </w:r>
      <w:r w:rsidR="00BF40DB" w:rsidRPr="001B466E">
        <w:rPr>
          <w:i/>
        </w:rPr>
        <w:t xml:space="preserve">Mich. Bell Tel. Co. v. </w:t>
      </w:r>
      <w:proofErr w:type="spellStart"/>
      <w:r w:rsidR="00BF40DB" w:rsidRPr="001B466E">
        <w:rPr>
          <w:i/>
        </w:rPr>
        <w:t>MCImetro</w:t>
      </w:r>
      <w:proofErr w:type="spellEnd"/>
      <w:r w:rsidR="00BF40DB" w:rsidRPr="001B466E">
        <w:rPr>
          <w:i/>
        </w:rPr>
        <w:t xml:space="preserve"> Access Trans. </w:t>
      </w:r>
      <w:proofErr w:type="spellStart"/>
      <w:r w:rsidR="00BF40DB" w:rsidRPr="001B466E">
        <w:rPr>
          <w:i/>
        </w:rPr>
        <w:t>Servs</w:t>
      </w:r>
      <w:proofErr w:type="spellEnd"/>
      <w:r w:rsidR="00BF40DB" w:rsidRPr="001B466E">
        <w:rPr>
          <w:i/>
        </w:rPr>
        <w:t>., Inc.</w:t>
      </w:r>
      <w:r w:rsidR="00BF40DB" w:rsidRPr="001B466E">
        <w:t>, 323 F.3d 348, 359 (6</w:t>
      </w:r>
      <w:r w:rsidR="00BF40DB" w:rsidRPr="001B466E">
        <w:rPr>
          <w:vertAlign w:val="superscript"/>
        </w:rPr>
        <w:t>th</w:t>
      </w:r>
      <w:r w:rsidR="00BF40DB" w:rsidRPr="001B466E">
        <w:t xml:space="preserve"> Cir. 2003) (“[O]</w:t>
      </w:r>
      <w:proofErr w:type="spellStart"/>
      <w:r w:rsidR="00BF40DB" w:rsidRPr="001B466E">
        <w:t>nce</w:t>
      </w:r>
      <w:proofErr w:type="spellEnd"/>
      <w:r w:rsidR="00BF40DB" w:rsidRPr="001B466E">
        <w:t xml:space="preserve"> an agreement is approved, these general duties [under the 1996 Act] do not control” and parties </w:t>
      </w:r>
      <w:r w:rsidR="00BF40DB" w:rsidRPr="001B466E">
        <w:lastRenderedPageBreak/>
        <w:t xml:space="preserve">are “governed by the interconnection agreement” instead, and “the general duties of [the 1996 Act] no longer apply”).  </w:t>
      </w:r>
      <w:r w:rsidR="00247BFD">
        <w:t xml:space="preserve">Moreover, </w:t>
      </w:r>
      <w:r>
        <w:t>“[t]</w:t>
      </w:r>
      <w:r w:rsidRPr="001B466E">
        <w:t>he Act does not authorize a state commission to alter terms within an approved negotiated agreement or to nullify an approved negotiated agreement.”</w:t>
      </w:r>
      <w:r w:rsidRPr="005F6750">
        <w:rPr>
          <w:i/>
        </w:rPr>
        <w:t xml:space="preserve"> </w:t>
      </w:r>
      <w:r w:rsidRPr="001B466E">
        <w:rPr>
          <w:i/>
        </w:rPr>
        <w:t>In re: Petition of Supra Telecommunications &amp; Information Systems for generic proceeding to arbitrate rates, terms, and conditions of interconnection with BellSouth Telecommunications, Inc., or, in the alternative, petition for arbitration of interconnection agreement</w:t>
      </w:r>
      <w:r w:rsidRPr="001B466E">
        <w:t xml:space="preserve">, Docket No. 980155-TP; Order No. </w:t>
      </w:r>
      <w:proofErr w:type="gramStart"/>
      <w:r w:rsidRPr="001B466E">
        <w:t>PSC-98-0466-FOF-TP (March 31, 1998)</w:t>
      </w:r>
      <w:r>
        <w:t>.</w:t>
      </w:r>
      <w:proofErr w:type="gramEnd"/>
    </w:p>
    <w:p w:rsidR="00E95739" w:rsidRPr="00D85FDC" w:rsidRDefault="005F6750" w:rsidP="005F6750">
      <w:pPr>
        <w:spacing w:line="480" w:lineRule="auto"/>
        <w:ind w:firstLine="720"/>
        <w:rPr>
          <w:bCs/>
          <w:iCs/>
          <w:color w:val="000000"/>
        </w:rPr>
      </w:pPr>
      <w:r>
        <w:rPr>
          <w:szCs w:val="20"/>
        </w:rPr>
        <w:t xml:space="preserve">The language quoted above </w:t>
      </w:r>
      <w:r w:rsidR="0021715C">
        <w:rPr>
          <w:szCs w:val="20"/>
        </w:rPr>
        <w:t xml:space="preserve">from </w:t>
      </w:r>
      <w:r w:rsidR="003328DE">
        <w:rPr>
          <w:szCs w:val="20"/>
        </w:rPr>
        <w:t xml:space="preserve">Sections 1.4 and 1.4.1 of </w:t>
      </w:r>
      <w:r w:rsidR="0021715C">
        <w:rPr>
          <w:szCs w:val="20"/>
        </w:rPr>
        <w:t>the parties’ ICA</w:t>
      </w:r>
      <w:r w:rsidR="003328DE">
        <w:rPr>
          <w:szCs w:val="20"/>
        </w:rPr>
        <w:t xml:space="preserve"> is unambiguous</w:t>
      </w:r>
      <w:r>
        <w:rPr>
          <w:szCs w:val="20"/>
        </w:rPr>
        <w:t xml:space="preserve">, and the Commission-approved ICA is a “valid contract.”  </w:t>
      </w:r>
      <w:r w:rsidR="00F2732D">
        <w:rPr>
          <w:szCs w:val="20"/>
        </w:rPr>
        <w:t xml:space="preserve"> </w:t>
      </w:r>
      <w:r w:rsidR="00E95739" w:rsidRPr="00715860">
        <w:rPr>
          <w:color w:val="000000"/>
        </w:rPr>
        <w:t>The Commission, therefore, is required to enforce the ICA</w:t>
      </w:r>
      <w:r w:rsidR="00755353">
        <w:rPr>
          <w:color w:val="000000"/>
        </w:rPr>
        <w:t xml:space="preserve"> </w:t>
      </w:r>
      <w:r w:rsidR="00E95739" w:rsidRPr="00715860">
        <w:rPr>
          <w:color w:val="000000"/>
        </w:rPr>
        <w:t>as written</w:t>
      </w:r>
      <w:r w:rsidR="00755353">
        <w:rPr>
          <w:color w:val="000000"/>
        </w:rPr>
        <w:t>.</w:t>
      </w:r>
      <w:r w:rsidR="00715860" w:rsidRPr="00715860">
        <w:rPr>
          <w:szCs w:val="20"/>
        </w:rPr>
        <w:t xml:space="preserve">  </w:t>
      </w:r>
      <w:proofErr w:type="spellStart"/>
      <w:r w:rsidR="003328DE">
        <w:rPr>
          <w:color w:val="000000"/>
        </w:rPr>
        <w:t>LifeConnex</w:t>
      </w:r>
      <w:proofErr w:type="spellEnd"/>
      <w:r w:rsidR="003328DE">
        <w:rPr>
          <w:color w:val="000000"/>
        </w:rPr>
        <w:t xml:space="preserve"> has admitted that it breached the ICA</w:t>
      </w:r>
      <w:r w:rsidR="00755353">
        <w:rPr>
          <w:color w:val="000000"/>
        </w:rPr>
        <w:t xml:space="preserve">; thus, </w:t>
      </w:r>
      <w:r w:rsidR="00E95739" w:rsidRPr="00715860">
        <w:rPr>
          <w:color w:val="000000"/>
        </w:rPr>
        <w:t xml:space="preserve">the Commission should deny </w:t>
      </w:r>
      <w:proofErr w:type="spellStart"/>
      <w:r w:rsidR="00E95739" w:rsidRPr="00715860">
        <w:rPr>
          <w:color w:val="000000"/>
        </w:rPr>
        <w:t>LifeConnex’s</w:t>
      </w:r>
      <w:proofErr w:type="spellEnd"/>
      <w:r w:rsidR="00E95739" w:rsidRPr="00715860">
        <w:rPr>
          <w:color w:val="000000"/>
        </w:rPr>
        <w:t xml:space="preserve"> </w:t>
      </w:r>
      <w:r w:rsidR="00715860" w:rsidRPr="00715860">
        <w:rPr>
          <w:color w:val="000000"/>
        </w:rPr>
        <w:t>Request</w:t>
      </w:r>
      <w:r w:rsidR="003328DE">
        <w:rPr>
          <w:color w:val="000000"/>
        </w:rPr>
        <w:t xml:space="preserve"> </w:t>
      </w:r>
      <w:r w:rsidR="00755353">
        <w:rPr>
          <w:color w:val="000000"/>
        </w:rPr>
        <w:t xml:space="preserve">in which </w:t>
      </w:r>
      <w:proofErr w:type="spellStart"/>
      <w:r w:rsidR="00755353">
        <w:rPr>
          <w:color w:val="000000"/>
        </w:rPr>
        <w:t>LifeConnex</w:t>
      </w:r>
      <w:proofErr w:type="spellEnd"/>
      <w:r w:rsidR="00755353">
        <w:rPr>
          <w:color w:val="000000"/>
        </w:rPr>
        <w:t xml:space="preserve"> </w:t>
      </w:r>
      <w:r w:rsidR="003328DE">
        <w:rPr>
          <w:color w:val="000000"/>
        </w:rPr>
        <w:t>does nothing more than ask to be relieved of its contractual obligations</w:t>
      </w:r>
      <w:r w:rsidR="00E95739" w:rsidRPr="00715860">
        <w:rPr>
          <w:color w:val="000000"/>
        </w:rPr>
        <w:t>.</w:t>
      </w:r>
      <w:r w:rsidR="00E95739">
        <w:rPr>
          <w:i/>
          <w:color w:val="000000"/>
        </w:rPr>
        <w:t xml:space="preserve"> </w:t>
      </w:r>
      <w:r w:rsidR="00E95739" w:rsidRPr="00D85FDC">
        <w:rPr>
          <w:color w:val="000000"/>
        </w:rPr>
        <w:t xml:space="preserve"> </w:t>
      </w:r>
      <w:r w:rsidR="00E95739">
        <w:rPr>
          <w:color w:val="000000"/>
        </w:rPr>
        <w:t xml:space="preserve"> </w:t>
      </w:r>
    </w:p>
    <w:p w:rsidR="00CF2894" w:rsidRDefault="00E95739">
      <w:pPr>
        <w:keepNext/>
        <w:ind w:left="1440" w:hanging="720"/>
        <w:rPr>
          <w:b/>
          <w:bCs/>
          <w:iCs/>
          <w:color w:val="000000"/>
        </w:rPr>
      </w:pPr>
      <w:r>
        <w:rPr>
          <w:b/>
          <w:bCs/>
          <w:iCs/>
          <w:color w:val="000000"/>
        </w:rPr>
        <w:t>B.</w:t>
      </w:r>
      <w:r>
        <w:rPr>
          <w:b/>
          <w:bCs/>
          <w:iCs/>
          <w:color w:val="000000"/>
        </w:rPr>
        <w:tab/>
      </w:r>
      <w:proofErr w:type="gramStart"/>
      <w:r>
        <w:rPr>
          <w:b/>
          <w:bCs/>
          <w:iCs/>
          <w:color w:val="000000"/>
        </w:rPr>
        <w:t>The</w:t>
      </w:r>
      <w:proofErr w:type="gramEnd"/>
      <w:r>
        <w:rPr>
          <w:b/>
          <w:bCs/>
          <w:iCs/>
          <w:color w:val="000000"/>
        </w:rPr>
        <w:t xml:space="preserve"> Joint Motion</w:t>
      </w:r>
      <w:r w:rsidR="00FE3C95">
        <w:rPr>
          <w:b/>
          <w:bCs/>
          <w:iCs/>
          <w:color w:val="000000"/>
        </w:rPr>
        <w:t>s</w:t>
      </w:r>
      <w:r>
        <w:rPr>
          <w:b/>
          <w:bCs/>
          <w:iCs/>
          <w:color w:val="000000"/>
        </w:rPr>
        <w:t xml:space="preserve"> on Procedural Issues </w:t>
      </w:r>
      <w:r w:rsidR="002F4AD6">
        <w:rPr>
          <w:b/>
          <w:bCs/>
          <w:iCs/>
          <w:color w:val="000000"/>
        </w:rPr>
        <w:t xml:space="preserve">and </w:t>
      </w:r>
      <w:r w:rsidR="00FE3C95">
        <w:rPr>
          <w:b/>
          <w:bCs/>
          <w:iCs/>
          <w:color w:val="000000"/>
        </w:rPr>
        <w:t xml:space="preserve">the </w:t>
      </w:r>
      <w:r w:rsidR="002F4AD6">
        <w:rPr>
          <w:b/>
          <w:bCs/>
          <w:iCs/>
          <w:color w:val="000000"/>
        </w:rPr>
        <w:t xml:space="preserve">Commission Order </w:t>
      </w:r>
      <w:r w:rsidR="00FE3C95">
        <w:rPr>
          <w:b/>
          <w:bCs/>
          <w:iCs/>
          <w:color w:val="000000"/>
        </w:rPr>
        <w:t xml:space="preserve">Regarding </w:t>
      </w:r>
      <w:r w:rsidR="002F4AD6">
        <w:rPr>
          <w:b/>
          <w:bCs/>
          <w:iCs/>
          <w:color w:val="000000"/>
        </w:rPr>
        <w:t>the Joint Motion</w:t>
      </w:r>
      <w:r w:rsidR="00FE3C95">
        <w:rPr>
          <w:b/>
          <w:bCs/>
          <w:iCs/>
          <w:color w:val="000000"/>
        </w:rPr>
        <w:t>s</w:t>
      </w:r>
      <w:r w:rsidR="002F4AD6">
        <w:rPr>
          <w:b/>
          <w:bCs/>
          <w:iCs/>
          <w:color w:val="000000"/>
        </w:rPr>
        <w:t xml:space="preserve"> </w:t>
      </w:r>
      <w:r>
        <w:rPr>
          <w:b/>
          <w:bCs/>
          <w:iCs/>
          <w:color w:val="000000"/>
        </w:rPr>
        <w:t xml:space="preserve">in </w:t>
      </w:r>
      <w:r w:rsidR="002564BA">
        <w:rPr>
          <w:b/>
          <w:bCs/>
          <w:iCs/>
          <w:color w:val="000000"/>
        </w:rPr>
        <w:t>this Docket</w:t>
      </w:r>
      <w:r>
        <w:rPr>
          <w:b/>
          <w:bCs/>
          <w:iCs/>
          <w:color w:val="000000"/>
        </w:rPr>
        <w:t xml:space="preserve"> do not relieve </w:t>
      </w:r>
      <w:proofErr w:type="spellStart"/>
      <w:r>
        <w:rPr>
          <w:b/>
          <w:bCs/>
          <w:iCs/>
          <w:color w:val="000000"/>
        </w:rPr>
        <w:t>LifeConnex</w:t>
      </w:r>
      <w:proofErr w:type="spellEnd"/>
      <w:r>
        <w:rPr>
          <w:b/>
          <w:bCs/>
          <w:iCs/>
          <w:color w:val="000000"/>
        </w:rPr>
        <w:t xml:space="preserve"> of its contractual obligation to pay all amounts, including disputed charges.</w:t>
      </w:r>
    </w:p>
    <w:p w:rsidR="00CF2894" w:rsidRDefault="00CF2894">
      <w:pPr>
        <w:keepNext/>
        <w:ind w:left="720"/>
        <w:rPr>
          <w:b/>
          <w:bCs/>
          <w:iCs/>
          <w:color w:val="000000"/>
        </w:rPr>
      </w:pPr>
    </w:p>
    <w:p w:rsidR="00E95739" w:rsidRDefault="00E95739" w:rsidP="00E95739">
      <w:pPr>
        <w:spacing w:line="480" w:lineRule="auto"/>
        <w:rPr>
          <w:bCs/>
          <w:iCs/>
          <w:color w:val="000000"/>
        </w:rPr>
      </w:pPr>
      <w:r>
        <w:rPr>
          <w:bCs/>
          <w:iCs/>
          <w:color w:val="000000"/>
        </w:rPr>
        <w:tab/>
      </w:r>
      <w:proofErr w:type="spellStart"/>
      <w:r>
        <w:rPr>
          <w:bCs/>
          <w:iCs/>
          <w:color w:val="000000"/>
        </w:rPr>
        <w:t>LifeConnex</w:t>
      </w:r>
      <w:proofErr w:type="spellEnd"/>
      <w:r>
        <w:rPr>
          <w:bCs/>
          <w:iCs/>
          <w:color w:val="000000"/>
        </w:rPr>
        <w:t xml:space="preserve"> correctly notes that the </w:t>
      </w:r>
      <w:r w:rsidR="00A06219">
        <w:rPr>
          <w:bCs/>
          <w:iCs/>
          <w:color w:val="000000"/>
        </w:rPr>
        <w:t xml:space="preserve">May 13, 2010 </w:t>
      </w:r>
      <w:r>
        <w:rPr>
          <w:bCs/>
          <w:iCs/>
          <w:color w:val="000000"/>
        </w:rPr>
        <w:t xml:space="preserve">Joint Motion on Procedural Issues </w:t>
      </w:r>
      <w:r w:rsidR="002564BA">
        <w:rPr>
          <w:bCs/>
          <w:iCs/>
          <w:color w:val="000000"/>
        </w:rPr>
        <w:t>(“</w:t>
      </w:r>
      <w:r w:rsidR="006775F2">
        <w:rPr>
          <w:bCs/>
          <w:iCs/>
          <w:color w:val="000000"/>
        </w:rPr>
        <w:t xml:space="preserve">May 13, 2010 </w:t>
      </w:r>
      <w:r w:rsidR="002564BA">
        <w:rPr>
          <w:bCs/>
          <w:iCs/>
          <w:color w:val="000000"/>
        </w:rPr>
        <w:t xml:space="preserve">Joint Motion”) </w:t>
      </w:r>
      <w:r>
        <w:rPr>
          <w:bCs/>
          <w:iCs/>
          <w:color w:val="000000"/>
        </w:rPr>
        <w:t xml:space="preserve">in </w:t>
      </w:r>
      <w:r w:rsidR="002564BA">
        <w:rPr>
          <w:bCs/>
          <w:iCs/>
          <w:color w:val="000000"/>
        </w:rPr>
        <w:t xml:space="preserve">this </w:t>
      </w:r>
      <w:r>
        <w:rPr>
          <w:bCs/>
          <w:iCs/>
          <w:color w:val="000000"/>
        </w:rPr>
        <w:t>Docket</w:t>
      </w:r>
      <w:r w:rsidR="002564BA">
        <w:rPr>
          <w:bCs/>
          <w:iCs/>
          <w:color w:val="000000"/>
        </w:rPr>
        <w:t xml:space="preserve"> </w:t>
      </w:r>
      <w:r>
        <w:rPr>
          <w:bCs/>
          <w:iCs/>
          <w:color w:val="000000"/>
        </w:rPr>
        <w:t xml:space="preserve">provides, in part, </w:t>
      </w:r>
      <w:r w:rsidRPr="00A06219">
        <w:rPr>
          <w:bCs/>
          <w:iCs/>
          <w:color w:val="000000"/>
        </w:rPr>
        <w:t>that “[o]</w:t>
      </w:r>
      <w:proofErr w:type="spellStart"/>
      <w:r w:rsidRPr="00A06219">
        <w:rPr>
          <w:bCs/>
          <w:iCs/>
          <w:color w:val="000000"/>
        </w:rPr>
        <w:t>nce</w:t>
      </w:r>
      <w:proofErr w:type="spellEnd"/>
      <w:r w:rsidRPr="00A06219">
        <w:rPr>
          <w:bCs/>
          <w:iCs/>
          <w:color w:val="000000"/>
        </w:rPr>
        <w:t xml:space="preserve"> the Commission has issued an order resolving the issues in the Consolidated Phase, the Parties will work in good faith to address all remaining unresolved claims and counterclaims related to the Consolidated Phase and determine what, if any, dollar amounts are owed or credits due each party.”</w:t>
      </w:r>
      <w:r w:rsidRPr="00A06219">
        <w:rPr>
          <w:rStyle w:val="FootnoteReference"/>
          <w:bCs/>
          <w:iCs/>
          <w:color w:val="000000"/>
        </w:rPr>
        <w:footnoteReference w:id="14"/>
      </w:r>
      <w:r>
        <w:rPr>
          <w:bCs/>
          <w:iCs/>
          <w:color w:val="000000"/>
        </w:rPr>
        <w:t xml:space="preserve"> </w:t>
      </w:r>
      <w:r w:rsidR="006775F2">
        <w:rPr>
          <w:bCs/>
          <w:iCs/>
          <w:color w:val="000000"/>
        </w:rPr>
        <w:t xml:space="preserve">Moreover, </w:t>
      </w:r>
      <w:proofErr w:type="spellStart"/>
      <w:r w:rsidR="006775F2">
        <w:rPr>
          <w:bCs/>
          <w:iCs/>
          <w:color w:val="000000"/>
        </w:rPr>
        <w:t>LifeConnex</w:t>
      </w:r>
      <w:proofErr w:type="spellEnd"/>
      <w:r w:rsidR="006775F2">
        <w:rPr>
          <w:bCs/>
          <w:iCs/>
          <w:color w:val="000000"/>
        </w:rPr>
        <w:t xml:space="preserve"> correctly notes that the parties filed their June 15, 2010 Joint Motion on Procedural Schedule (“June 15, 2010 Joint Motion”) requesting that the proceeding in Florida be held in abeyance</w:t>
      </w:r>
      <w:r w:rsidR="006775F2">
        <w:rPr>
          <w:rStyle w:val="FootnoteReference"/>
          <w:bCs/>
          <w:iCs/>
          <w:color w:val="000000"/>
        </w:rPr>
        <w:footnoteReference w:id="15"/>
      </w:r>
      <w:r w:rsidR="006775F2">
        <w:rPr>
          <w:bCs/>
          <w:iCs/>
          <w:color w:val="000000"/>
        </w:rPr>
        <w:t xml:space="preserve"> and that Order No. PSC-10-0402-PCO-TP </w:t>
      </w:r>
      <w:r w:rsidR="005D3E14">
        <w:rPr>
          <w:bCs/>
          <w:iCs/>
          <w:color w:val="000000"/>
        </w:rPr>
        <w:t xml:space="preserve">was issued </w:t>
      </w:r>
      <w:r w:rsidR="006775F2">
        <w:rPr>
          <w:bCs/>
          <w:iCs/>
          <w:color w:val="000000"/>
        </w:rPr>
        <w:t>on June 18, 2010</w:t>
      </w:r>
      <w:r w:rsidR="005D3E14">
        <w:rPr>
          <w:bCs/>
          <w:iCs/>
          <w:color w:val="000000"/>
        </w:rPr>
        <w:t xml:space="preserve"> holding the </w:t>
      </w:r>
      <w:r w:rsidR="005D3E14">
        <w:rPr>
          <w:bCs/>
          <w:iCs/>
          <w:color w:val="000000"/>
        </w:rPr>
        <w:lastRenderedPageBreak/>
        <w:t>docket in abeyance</w:t>
      </w:r>
      <w:r w:rsidR="006775F2">
        <w:rPr>
          <w:bCs/>
          <w:iCs/>
          <w:color w:val="000000"/>
        </w:rPr>
        <w:t>.</w:t>
      </w:r>
      <w:r w:rsidR="006775F2">
        <w:rPr>
          <w:rStyle w:val="FootnoteReference"/>
          <w:bCs/>
          <w:iCs/>
          <w:color w:val="000000"/>
        </w:rPr>
        <w:footnoteReference w:id="16"/>
      </w:r>
      <w:r w:rsidR="006775F2">
        <w:rPr>
          <w:bCs/>
          <w:iCs/>
          <w:color w:val="000000"/>
        </w:rPr>
        <w:t xml:space="preserve"> </w:t>
      </w:r>
      <w:r>
        <w:rPr>
          <w:bCs/>
          <w:iCs/>
          <w:color w:val="000000"/>
        </w:rPr>
        <w:t xml:space="preserve"> </w:t>
      </w:r>
      <w:r w:rsidR="00651CC5">
        <w:rPr>
          <w:bCs/>
          <w:iCs/>
          <w:color w:val="000000"/>
        </w:rPr>
        <w:t xml:space="preserve">AT&amp;T Florida does not dispute these points.  But, </w:t>
      </w:r>
      <w:proofErr w:type="spellStart"/>
      <w:r>
        <w:rPr>
          <w:bCs/>
          <w:iCs/>
          <w:color w:val="000000"/>
        </w:rPr>
        <w:t>LifeConnex</w:t>
      </w:r>
      <w:proofErr w:type="spellEnd"/>
      <w:r>
        <w:rPr>
          <w:bCs/>
          <w:iCs/>
          <w:color w:val="000000"/>
        </w:rPr>
        <w:t xml:space="preserve"> then </w:t>
      </w:r>
      <w:r w:rsidR="00651CC5">
        <w:rPr>
          <w:bCs/>
          <w:iCs/>
          <w:color w:val="000000"/>
        </w:rPr>
        <w:t xml:space="preserve">stretches these motions beyond recognition and </w:t>
      </w:r>
      <w:r>
        <w:rPr>
          <w:bCs/>
          <w:iCs/>
          <w:color w:val="000000"/>
        </w:rPr>
        <w:t xml:space="preserve">contends that AT&amp;T </w:t>
      </w:r>
      <w:r w:rsidR="002564BA">
        <w:rPr>
          <w:bCs/>
          <w:iCs/>
          <w:color w:val="000000"/>
        </w:rPr>
        <w:t>Florida</w:t>
      </w:r>
      <w:r>
        <w:rPr>
          <w:bCs/>
          <w:iCs/>
          <w:color w:val="000000"/>
        </w:rPr>
        <w:t>’s lawful demand for payment of past-due amounts is contrary to th</w:t>
      </w:r>
      <w:r w:rsidR="00A93D11">
        <w:rPr>
          <w:bCs/>
          <w:iCs/>
          <w:color w:val="000000"/>
        </w:rPr>
        <w:t xml:space="preserve">e abeyance granted by </w:t>
      </w:r>
      <w:r w:rsidR="002564BA" w:rsidRPr="00A93D11">
        <w:rPr>
          <w:bCs/>
          <w:iCs/>
          <w:color w:val="000000"/>
        </w:rPr>
        <w:t>Order No, PSC-10-0402-PCO-TP</w:t>
      </w:r>
      <w:r>
        <w:rPr>
          <w:bCs/>
          <w:iCs/>
          <w:color w:val="000000"/>
        </w:rPr>
        <w:t>.</w:t>
      </w:r>
      <w:r>
        <w:rPr>
          <w:rStyle w:val="FootnoteReference"/>
          <w:bCs/>
          <w:iCs/>
          <w:color w:val="000000"/>
        </w:rPr>
        <w:footnoteReference w:id="17"/>
      </w:r>
      <w:r>
        <w:rPr>
          <w:bCs/>
          <w:iCs/>
          <w:color w:val="000000"/>
        </w:rPr>
        <w:t xml:space="preserve">  </w:t>
      </w:r>
      <w:proofErr w:type="gramStart"/>
      <w:r w:rsidR="00651CC5">
        <w:rPr>
          <w:bCs/>
          <w:iCs/>
          <w:color w:val="000000"/>
        </w:rPr>
        <w:t>This</w:t>
      </w:r>
      <w:proofErr w:type="gramEnd"/>
      <w:r w:rsidR="0008577A">
        <w:rPr>
          <w:bCs/>
          <w:iCs/>
          <w:color w:val="000000"/>
        </w:rPr>
        <w:t xml:space="preserve"> </w:t>
      </w:r>
      <w:r w:rsidR="00651CC5">
        <w:rPr>
          <w:bCs/>
          <w:iCs/>
          <w:color w:val="000000"/>
        </w:rPr>
        <w:t xml:space="preserve">is where </w:t>
      </w:r>
      <w:proofErr w:type="spellStart"/>
      <w:r w:rsidR="00651CC5">
        <w:rPr>
          <w:bCs/>
          <w:iCs/>
          <w:color w:val="000000"/>
        </w:rPr>
        <w:t>LifeConnex’s</w:t>
      </w:r>
      <w:proofErr w:type="spellEnd"/>
      <w:r w:rsidR="00651CC5">
        <w:rPr>
          <w:bCs/>
          <w:iCs/>
          <w:color w:val="000000"/>
        </w:rPr>
        <w:t xml:space="preserve"> logic fails</w:t>
      </w:r>
      <w:r>
        <w:rPr>
          <w:bCs/>
          <w:iCs/>
          <w:color w:val="000000"/>
        </w:rPr>
        <w:t>.</w:t>
      </w:r>
    </w:p>
    <w:p w:rsidR="005D3E14" w:rsidRDefault="005D3E14" w:rsidP="00E95739">
      <w:pPr>
        <w:spacing w:line="480" w:lineRule="auto"/>
        <w:rPr>
          <w:bCs/>
          <w:iCs/>
          <w:color w:val="000000"/>
        </w:rPr>
      </w:pPr>
      <w:r>
        <w:rPr>
          <w:bCs/>
          <w:iCs/>
          <w:color w:val="000000"/>
        </w:rPr>
        <w:tab/>
        <w:t xml:space="preserve">In </w:t>
      </w:r>
      <w:r w:rsidRPr="00A93D11">
        <w:rPr>
          <w:bCs/>
          <w:iCs/>
          <w:color w:val="000000"/>
        </w:rPr>
        <w:t>Order No, PSC-10-0402-PCO-TP</w:t>
      </w:r>
      <w:r>
        <w:rPr>
          <w:bCs/>
          <w:iCs/>
          <w:color w:val="000000"/>
        </w:rPr>
        <w:t xml:space="preserve">, </w:t>
      </w:r>
      <w:r w:rsidR="00D53840">
        <w:rPr>
          <w:bCs/>
          <w:iCs/>
          <w:color w:val="000000"/>
        </w:rPr>
        <w:t xml:space="preserve">in addressing the May 13, 2010 Joint Motion and the June 15, 2010 Joint Motion, </w:t>
      </w:r>
      <w:r>
        <w:rPr>
          <w:bCs/>
          <w:iCs/>
          <w:color w:val="000000"/>
        </w:rPr>
        <w:t>the pre-hearing officer held the docket “in abeyance pending either resolution of the cases in the states set forth above or the filing of a persuasive motion to resume the dockets.</w:t>
      </w:r>
      <w:r w:rsidR="00D53840">
        <w:rPr>
          <w:bCs/>
          <w:iCs/>
          <w:color w:val="000000"/>
        </w:rPr>
        <w:t>”</w:t>
      </w:r>
      <w:r>
        <w:rPr>
          <w:bCs/>
          <w:iCs/>
          <w:color w:val="000000"/>
        </w:rPr>
        <w:t xml:space="preserve">  </w:t>
      </w:r>
      <w:proofErr w:type="gramStart"/>
      <w:r w:rsidRPr="00A93D11">
        <w:rPr>
          <w:bCs/>
          <w:iCs/>
          <w:color w:val="000000"/>
        </w:rPr>
        <w:t>Order No</w:t>
      </w:r>
      <w:r w:rsidR="00D53840">
        <w:rPr>
          <w:bCs/>
          <w:iCs/>
          <w:color w:val="000000"/>
        </w:rPr>
        <w:t>.</w:t>
      </w:r>
      <w:proofErr w:type="gramEnd"/>
      <w:r w:rsidRPr="00A93D11">
        <w:rPr>
          <w:bCs/>
          <w:iCs/>
          <w:color w:val="000000"/>
        </w:rPr>
        <w:t xml:space="preserve"> PSC-10-0402-PCO-TP</w:t>
      </w:r>
      <w:r w:rsidR="00651CC5">
        <w:rPr>
          <w:bCs/>
          <w:iCs/>
          <w:color w:val="000000"/>
        </w:rPr>
        <w:t xml:space="preserve"> did not in any way excuse </w:t>
      </w:r>
      <w:proofErr w:type="spellStart"/>
      <w:r w:rsidR="00651CC5">
        <w:rPr>
          <w:bCs/>
          <w:iCs/>
          <w:color w:val="000000"/>
        </w:rPr>
        <w:t>LifeConnex</w:t>
      </w:r>
      <w:proofErr w:type="spellEnd"/>
      <w:r w:rsidR="00651CC5">
        <w:rPr>
          <w:bCs/>
          <w:iCs/>
          <w:color w:val="000000"/>
        </w:rPr>
        <w:t xml:space="preserve"> from complying with the plain terms of the ICA, nor did it </w:t>
      </w:r>
      <w:r>
        <w:rPr>
          <w:bCs/>
          <w:iCs/>
          <w:color w:val="000000"/>
        </w:rPr>
        <w:t xml:space="preserve">prohibit AT&amp;T Florida from taking an action which is clearly permitted by the plain language of the ICA. </w:t>
      </w:r>
      <w:proofErr w:type="gramStart"/>
      <w:r>
        <w:rPr>
          <w:bCs/>
          <w:iCs/>
          <w:color w:val="000000"/>
        </w:rPr>
        <w:t>i.e</w:t>
      </w:r>
      <w:proofErr w:type="gramEnd"/>
      <w:r>
        <w:rPr>
          <w:bCs/>
          <w:iCs/>
          <w:color w:val="000000"/>
        </w:rPr>
        <w:t xml:space="preserve">. demanding payment from </w:t>
      </w:r>
      <w:proofErr w:type="spellStart"/>
      <w:r>
        <w:rPr>
          <w:bCs/>
          <w:iCs/>
          <w:color w:val="000000"/>
        </w:rPr>
        <w:t>LifeConnex</w:t>
      </w:r>
      <w:proofErr w:type="spellEnd"/>
      <w:r>
        <w:rPr>
          <w:bCs/>
          <w:iCs/>
          <w:color w:val="000000"/>
        </w:rPr>
        <w:t xml:space="preserve"> “for all services billed </w:t>
      </w:r>
      <w:r>
        <w:rPr>
          <w:b/>
          <w:bCs/>
          <w:i/>
          <w:iCs/>
          <w:color w:val="000000"/>
        </w:rPr>
        <w:t>including disputed amounts</w:t>
      </w:r>
      <w:r w:rsidRPr="005D3E14">
        <w:rPr>
          <w:bCs/>
          <w:iCs/>
          <w:color w:val="000000"/>
        </w:rPr>
        <w:t>.”</w:t>
      </w:r>
    </w:p>
    <w:p w:rsidR="00E95739" w:rsidRDefault="00E95739" w:rsidP="00E95739">
      <w:pPr>
        <w:spacing w:line="480" w:lineRule="auto"/>
        <w:rPr>
          <w:bCs/>
          <w:iCs/>
          <w:color w:val="000000"/>
        </w:rPr>
      </w:pPr>
      <w:r>
        <w:rPr>
          <w:bCs/>
          <w:iCs/>
          <w:color w:val="000000"/>
        </w:rPr>
        <w:tab/>
      </w:r>
      <w:r w:rsidR="00651CC5">
        <w:rPr>
          <w:bCs/>
          <w:iCs/>
          <w:color w:val="000000"/>
        </w:rPr>
        <w:t>In fact, the</w:t>
      </w:r>
      <w:r>
        <w:rPr>
          <w:bCs/>
          <w:iCs/>
          <w:color w:val="000000"/>
        </w:rPr>
        <w:t xml:space="preserve"> plain language</w:t>
      </w:r>
      <w:r w:rsidR="00651CC5">
        <w:rPr>
          <w:bCs/>
          <w:iCs/>
          <w:color w:val="000000"/>
        </w:rPr>
        <w:t xml:space="preserve"> of</w:t>
      </w:r>
      <w:r>
        <w:rPr>
          <w:bCs/>
          <w:iCs/>
          <w:color w:val="000000"/>
        </w:rPr>
        <w:t xml:space="preserve"> the </w:t>
      </w:r>
      <w:r w:rsidR="00F64B99">
        <w:rPr>
          <w:bCs/>
          <w:iCs/>
          <w:color w:val="000000"/>
        </w:rPr>
        <w:t xml:space="preserve">May 13, 2010 </w:t>
      </w:r>
      <w:r>
        <w:rPr>
          <w:bCs/>
          <w:iCs/>
          <w:color w:val="000000"/>
        </w:rPr>
        <w:t xml:space="preserve">Joint Motion </w:t>
      </w:r>
      <w:r w:rsidR="00651CC5">
        <w:rPr>
          <w:bCs/>
          <w:iCs/>
          <w:color w:val="000000"/>
        </w:rPr>
        <w:t xml:space="preserve">supports AT&amp;T Florida’s position that </w:t>
      </w:r>
      <w:proofErr w:type="spellStart"/>
      <w:r w:rsidR="00651CC5">
        <w:rPr>
          <w:bCs/>
          <w:iCs/>
          <w:color w:val="000000"/>
        </w:rPr>
        <w:t>LifeConnex</w:t>
      </w:r>
      <w:proofErr w:type="spellEnd"/>
      <w:r w:rsidR="00651CC5">
        <w:rPr>
          <w:bCs/>
          <w:iCs/>
          <w:color w:val="000000"/>
        </w:rPr>
        <w:t xml:space="preserve"> must comply with all terms of the ICA while this docket is pending.  That motion </w:t>
      </w:r>
      <w:r>
        <w:rPr>
          <w:bCs/>
          <w:iCs/>
          <w:color w:val="000000"/>
        </w:rPr>
        <w:t>provide</w:t>
      </w:r>
      <w:r w:rsidR="00F64B99">
        <w:rPr>
          <w:bCs/>
          <w:iCs/>
          <w:color w:val="000000"/>
        </w:rPr>
        <w:t>s</w:t>
      </w:r>
      <w:r>
        <w:rPr>
          <w:bCs/>
          <w:iCs/>
          <w:color w:val="000000"/>
        </w:rPr>
        <w:t>:</w:t>
      </w:r>
    </w:p>
    <w:p w:rsidR="00E95739" w:rsidRPr="004B78C1" w:rsidRDefault="00E95739" w:rsidP="00E95739">
      <w:pPr>
        <w:ind w:left="720" w:right="720"/>
        <w:rPr>
          <w:color w:val="000000"/>
        </w:rPr>
      </w:pPr>
      <w:r>
        <w:rPr>
          <w:color w:val="000000"/>
        </w:rPr>
        <w:t xml:space="preserve">As stated </w:t>
      </w:r>
      <w:r w:rsidRPr="004B78C1">
        <w:rPr>
          <w:color w:val="000000"/>
        </w:rPr>
        <w:t xml:space="preserve">below, any individual Party may also seek to pursue in its respective docket, either concurrent with or following the Consolidated Phase, any issue, claim, or counterclaim, including related </w:t>
      </w:r>
      <w:proofErr w:type="gramStart"/>
      <w:r w:rsidRPr="004B78C1">
        <w:rPr>
          <w:color w:val="000000"/>
        </w:rPr>
        <w:t>discovery, that</w:t>
      </w:r>
      <w:proofErr w:type="gramEnd"/>
      <w:r w:rsidRPr="004B78C1">
        <w:rPr>
          <w:color w:val="000000"/>
        </w:rPr>
        <w:t xml:space="preserve"> is not addressed in the Consolidated Phase.</w:t>
      </w:r>
    </w:p>
    <w:p w:rsidR="00E95739" w:rsidRDefault="00E95739" w:rsidP="00E95739">
      <w:pPr>
        <w:ind w:left="720" w:right="720"/>
        <w:rPr>
          <w:color w:val="000000"/>
        </w:rPr>
      </w:pPr>
    </w:p>
    <w:p w:rsidR="00E95739" w:rsidRDefault="00E95739" w:rsidP="00E95739">
      <w:pPr>
        <w:ind w:left="720" w:right="720"/>
        <w:rPr>
          <w:color w:val="000000"/>
        </w:rPr>
      </w:pPr>
      <w:r>
        <w:rPr>
          <w:color w:val="000000"/>
        </w:rPr>
        <w:t xml:space="preserve">Nothing in this Joint Motion is </w:t>
      </w:r>
      <w:r w:rsidRPr="00AF16FA">
        <w:rPr>
          <w:color w:val="000000"/>
        </w:rPr>
        <w:t xml:space="preserve">intended, or shall be construed, as a waiver of any Party’s </w:t>
      </w:r>
      <w:r>
        <w:rPr>
          <w:color w:val="000000"/>
        </w:rPr>
        <w:t xml:space="preserve">right to amend and supplement its claims, counterclaims, or other pleadings, or to pursue any issue, claim, or counterclaim that is not </w:t>
      </w:r>
      <w:r w:rsidRPr="00AF16FA">
        <w:rPr>
          <w:color w:val="000000"/>
        </w:rPr>
        <w:t>addressed in the Consolidate</w:t>
      </w:r>
      <w:r>
        <w:rPr>
          <w:color w:val="000000"/>
        </w:rPr>
        <w:t>d</w:t>
      </w:r>
      <w:r w:rsidRPr="00AF16FA">
        <w:rPr>
          <w:color w:val="000000"/>
        </w:rPr>
        <w:t xml:space="preserve"> Phase in each Party’s respective docket, either concurrent with our following the Consolidated Phase, or to seek such other relief as a change </w:t>
      </w:r>
      <w:r>
        <w:rPr>
          <w:color w:val="000000"/>
        </w:rPr>
        <w:t>in circumstances may warrant.</w:t>
      </w:r>
    </w:p>
    <w:p w:rsidR="00E95739" w:rsidRDefault="00E95739" w:rsidP="00E95739">
      <w:pPr>
        <w:ind w:left="720" w:right="720"/>
        <w:rPr>
          <w:color w:val="000000"/>
        </w:rPr>
      </w:pPr>
    </w:p>
    <w:p w:rsidR="00651CC5" w:rsidRDefault="00651CC5" w:rsidP="00E95739">
      <w:pPr>
        <w:spacing w:line="480" w:lineRule="auto"/>
        <w:rPr>
          <w:color w:val="000000"/>
        </w:rPr>
      </w:pPr>
      <w:proofErr w:type="spellStart"/>
      <w:r>
        <w:rPr>
          <w:color w:val="000000"/>
        </w:rPr>
        <w:t>LifeConnex</w:t>
      </w:r>
      <w:proofErr w:type="spellEnd"/>
      <w:r>
        <w:rPr>
          <w:color w:val="000000"/>
        </w:rPr>
        <w:t xml:space="preserve"> ignores this section of the motion in its Request.  The reason is obvious: </w:t>
      </w:r>
      <w:r w:rsidR="00E95739">
        <w:rPr>
          <w:color w:val="000000"/>
        </w:rPr>
        <w:t xml:space="preserve">the </w:t>
      </w:r>
      <w:r w:rsidR="00D858F4">
        <w:rPr>
          <w:color w:val="000000"/>
        </w:rPr>
        <w:t xml:space="preserve">May 13, 2010 </w:t>
      </w:r>
      <w:r w:rsidR="00E95739">
        <w:rPr>
          <w:color w:val="000000"/>
        </w:rPr>
        <w:t xml:space="preserve">Joint Motion does not prevent AT&amp;T </w:t>
      </w:r>
      <w:r w:rsidR="004A5E1F">
        <w:rPr>
          <w:color w:val="000000"/>
        </w:rPr>
        <w:t>Florida</w:t>
      </w:r>
      <w:r w:rsidR="00E95739">
        <w:rPr>
          <w:color w:val="000000"/>
        </w:rPr>
        <w:t xml:space="preserve"> from pursuing “any issue” or “claim” that is </w:t>
      </w:r>
      <w:r w:rsidR="00E95739">
        <w:rPr>
          <w:color w:val="000000"/>
        </w:rPr>
        <w:lastRenderedPageBreak/>
        <w:t>not addressed in the Consolidated Phase</w:t>
      </w:r>
      <w:r w:rsidR="00D53840">
        <w:rPr>
          <w:color w:val="000000"/>
        </w:rPr>
        <w:t xml:space="preserve"> nor does</w:t>
      </w:r>
      <w:r w:rsidR="00D53840" w:rsidRPr="00D53840">
        <w:rPr>
          <w:bCs/>
          <w:iCs/>
          <w:color w:val="000000"/>
        </w:rPr>
        <w:t xml:space="preserve"> </w:t>
      </w:r>
      <w:r w:rsidR="00D53840" w:rsidRPr="00A93D11">
        <w:rPr>
          <w:bCs/>
          <w:iCs/>
          <w:color w:val="000000"/>
        </w:rPr>
        <w:t>Order No</w:t>
      </w:r>
      <w:r w:rsidR="00D53840">
        <w:rPr>
          <w:bCs/>
          <w:iCs/>
          <w:color w:val="000000"/>
        </w:rPr>
        <w:t>.</w:t>
      </w:r>
      <w:r w:rsidR="00D53840" w:rsidRPr="00A93D11">
        <w:rPr>
          <w:bCs/>
          <w:iCs/>
          <w:color w:val="000000"/>
        </w:rPr>
        <w:t xml:space="preserve"> PSC-10-0402-PCO-TP</w:t>
      </w:r>
      <w:r>
        <w:rPr>
          <w:bCs/>
          <w:iCs/>
          <w:color w:val="000000"/>
        </w:rPr>
        <w:t>, and thus does not prevent AT&amp;T Florida from enforcing Sections 1.4 and 1.4.1 of the ICA</w:t>
      </w:r>
      <w:r w:rsidR="00E95739">
        <w:rPr>
          <w:color w:val="000000"/>
        </w:rPr>
        <w:t xml:space="preserve">.  </w:t>
      </w:r>
    </w:p>
    <w:p w:rsidR="00CF2894" w:rsidRDefault="00E95739">
      <w:pPr>
        <w:spacing w:line="480" w:lineRule="auto"/>
        <w:ind w:firstLine="720"/>
        <w:rPr>
          <w:bCs/>
          <w:iCs/>
          <w:color w:val="000000"/>
        </w:rPr>
      </w:pPr>
      <w:proofErr w:type="spellStart"/>
      <w:proofErr w:type="gramStart"/>
      <w:r>
        <w:rPr>
          <w:color w:val="000000"/>
        </w:rPr>
        <w:t>LifeConnex</w:t>
      </w:r>
      <w:r w:rsidR="00651CC5">
        <w:rPr>
          <w:color w:val="000000"/>
        </w:rPr>
        <w:t>’s</w:t>
      </w:r>
      <w:proofErr w:type="spellEnd"/>
      <w:r>
        <w:rPr>
          <w:color w:val="000000"/>
        </w:rPr>
        <w:t xml:space="preserve"> assert</w:t>
      </w:r>
      <w:r w:rsidR="00651CC5">
        <w:rPr>
          <w:color w:val="000000"/>
        </w:rPr>
        <w:t>ion</w:t>
      </w:r>
      <w:r>
        <w:rPr>
          <w:color w:val="000000"/>
        </w:rPr>
        <w:t xml:space="preserve"> </w:t>
      </w:r>
      <w:r w:rsidRPr="00E86820">
        <w:rPr>
          <w:bCs/>
          <w:iCs/>
          <w:color w:val="000000"/>
        </w:rPr>
        <w:t>that “the primary issues in dispute between the parties are pending</w:t>
      </w:r>
      <w:r w:rsidR="005D3E14" w:rsidRPr="00E86820">
        <w:rPr>
          <w:bCs/>
          <w:iCs/>
          <w:color w:val="000000"/>
        </w:rPr>
        <w:t>”</w:t>
      </w:r>
      <w:r w:rsidRPr="00E86820">
        <w:rPr>
          <w:bCs/>
          <w:iCs/>
          <w:color w:val="000000"/>
        </w:rPr>
        <w:t xml:space="preserve"> in </w:t>
      </w:r>
      <w:r w:rsidR="005D3E14" w:rsidRPr="00E86820">
        <w:rPr>
          <w:bCs/>
          <w:iCs/>
          <w:color w:val="000000"/>
        </w:rPr>
        <w:t>this docket</w:t>
      </w:r>
      <w:r>
        <w:rPr>
          <w:bCs/>
          <w:iCs/>
          <w:color w:val="000000"/>
        </w:rPr>
        <w:t xml:space="preserve"> is simply wrong.</w:t>
      </w:r>
      <w:proofErr w:type="gramEnd"/>
      <w:r>
        <w:rPr>
          <w:bCs/>
          <w:iCs/>
          <w:color w:val="000000"/>
        </w:rPr>
        <w:t xml:space="preserve">  The issues </w:t>
      </w:r>
      <w:r w:rsidR="004A5E1F">
        <w:rPr>
          <w:bCs/>
          <w:iCs/>
          <w:color w:val="000000"/>
        </w:rPr>
        <w:t xml:space="preserve">raised in </w:t>
      </w:r>
      <w:r w:rsidR="00E86820">
        <w:rPr>
          <w:bCs/>
          <w:iCs/>
          <w:color w:val="000000"/>
        </w:rPr>
        <w:t xml:space="preserve">AT&amp;T Florida’s </w:t>
      </w:r>
      <w:r w:rsidR="004A5E1F">
        <w:rPr>
          <w:bCs/>
          <w:iCs/>
          <w:color w:val="000000"/>
        </w:rPr>
        <w:t xml:space="preserve">Complaint </w:t>
      </w:r>
      <w:r>
        <w:rPr>
          <w:bCs/>
          <w:iCs/>
          <w:color w:val="000000"/>
        </w:rPr>
        <w:t xml:space="preserve">in </w:t>
      </w:r>
      <w:r w:rsidR="004A5E1F">
        <w:rPr>
          <w:bCs/>
          <w:iCs/>
          <w:color w:val="000000"/>
        </w:rPr>
        <w:t xml:space="preserve">this </w:t>
      </w:r>
      <w:r>
        <w:rPr>
          <w:bCs/>
          <w:iCs/>
          <w:color w:val="000000"/>
        </w:rPr>
        <w:t xml:space="preserve">Docket are how much (if any) credit </w:t>
      </w:r>
      <w:proofErr w:type="spellStart"/>
      <w:r>
        <w:rPr>
          <w:bCs/>
          <w:iCs/>
          <w:color w:val="000000"/>
        </w:rPr>
        <w:t>LifeConnex</w:t>
      </w:r>
      <w:proofErr w:type="spellEnd"/>
      <w:r>
        <w:rPr>
          <w:bCs/>
          <w:iCs/>
          <w:color w:val="000000"/>
        </w:rPr>
        <w:t xml:space="preserve"> is entitled to receive when it resells services that are the subject of certain promotional offers.  </w:t>
      </w:r>
      <w:proofErr w:type="spellStart"/>
      <w:r>
        <w:rPr>
          <w:bCs/>
          <w:iCs/>
          <w:color w:val="000000"/>
        </w:rPr>
        <w:t>LifeConnex’s</w:t>
      </w:r>
      <w:proofErr w:type="spellEnd"/>
      <w:r>
        <w:rPr>
          <w:bCs/>
          <w:iCs/>
          <w:color w:val="000000"/>
        </w:rPr>
        <w:t xml:space="preserve"> request for emergency relief in this Docket has nothing to do with the merits of those issues.   The separate and distinct issue addressed by </w:t>
      </w:r>
      <w:proofErr w:type="spellStart"/>
      <w:r>
        <w:rPr>
          <w:bCs/>
          <w:iCs/>
          <w:color w:val="000000"/>
        </w:rPr>
        <w:t>LifeConnex’s</w:t>
      </w:r>
      <w:proofErr w:type="spellEnd"/>
      <w:r>
        <w:rPr>
          <w:bCs/>
          <w:iCs/>
          <w:color w:val="000000"/>
        </w:rPr>
        <w:t xml:space="preserve"> </w:t>
      </w:r>
      <w:r w:rsidR="00E86820">
        <w:rPr>
          <w:bCs/>
          <w:iCs/>
          <w:color w:val="000000"/>
        </w:rPr>
        <w:t>Request</w:t>
      </w:r>
      <w:r>
        <w:rPr>
          <w:bCs/>
          <w:iCs/>
          <w:color w:val="000000"/>
        </w:rPr>
        <w:t xml:space="preserve"> is: who bears the risk of non-payment while those disputed issues are resolved?  That question clearly is not being addressed in </w:t>
      </w:r>
      <w:r w:rsidR="00E86820">
        <w:rPr>
          <w:bCs/>
          <w:iCs/>
          <w:color w:val="000000"/>
        </w:rPr>
        <w:t>this docket</w:t>
      </w:r>
      <w:r w:rsidR="00EE5FA0">
        <w:rPr>
          <w:bCs/>
          <w:iCs/>
          <w:color w:val="000000"/>
        </w:rPr>
        <w:t xml:space="preserve"> and, a</w:t>
      </w:r>
      <w:r>
        <w:rPr>
          <w:bCs/>
          <w:iCs/>
          <w:color w:val="000000"/>
        </w:rPr>
        <w:t xml:space="preserve">s explained above, the Commission-approved ICA </w:t>
      </w:r>
      <w:r w:rsidR="00EE5FA0">
        <w:rPr>
          <w:bCs/>
          <w:iCs/>
          <w:color w:val="000000"/>
        </w:rPr>
        <w:t xml:space="preserve">already </w:t>
      </w:r>
      <w:r>
        <w:rPr>
          <w:bCs/>
          <w:iCs/>
          <w:color w:val="000000"/>
        </w:rPr>
        <w:t xml:space="preserve">addresses (and resolves) that issue by requiring </w:t>
      </w:r>
      <w:proofErr w:type="spellStart"/>
      <w:r>
        <w:rPr>
          <w:bCs/>
          <w:iCs/>
          <w:color w:val="000000"/>
        </w:rPr>
        <w:t>LifeConnex</w:t>
      </w:r>
      <w:proofErr w:type="spellEnd"/>
      <w:r>
        <w:rPr>
          <w:bCs/>
          <w:iCs/>
          <w:color w:val="000000"/>
        </w:rPr>
        <w:t xml:space="preserve"> to pay all amounts AT&amp;T bills, even if it disputes those amounts.  </w:t>
      </w:r>
    </w:p>
    <w:p w:rsidR="00CF2894" w:rsidRDefault="00E95739">
      <w:pPr>
        <w:keepNext/>
        <w:ind w:left="1440" w:hanging="720"/>
        <w:rPr>
          <w:b/>
          <w:bCs/>
          <w:iCs/>
          <w:color w:val="000000"/>
        </w:rPr>
      </w:pPr>
      <w:r>
        <w:rPr>
          <w:b/>
          <w:bCs/>
          <w:iCs/>
          <w:color w:val="000000"/>
        </w:rPr>
        <w:t>C.</w:t>
      </w:r>
      <w:r>
        <w:rPr>
          <w:b/>
          <w:bCs/>
          <w:iCs/>
          <w:color w:val="000000"/>
        </w:rPr>
        <w:tab/>
        <w:t xml:space="preserve">AT&amp;T </w:t>
      </w:r>
      <w:r w:rsidR="004A5E1F">
        <w:rPr>
          <w:b/>
          <w:bCs/>
          <w:iCs/>
          <w:color w:val="000000"/>
        </w:rPr>
        <w:t>Florida</w:t>
      </w:r>
      <w:r>
        <w:rPr>
          <w:b/>
          <w:bCs/>
          <w:iCs/>
          <w:color w:val="000000"/>
        </w:rPr>
        <w:t xml:space="preserve"> has not waived its right to demand payment of all amounts, including amounts </w:t>
      </w:r>
      <w:proofErr w:type="spellStart"/>
      <w:r>
        <w:rPr>
          <w:b/>
          <w:bCs/>
          <w:iCs/>
          <w:color w:val="000000"/>
        </w:rPr>
        <w:t>Life</w:t>
      </w:r>
      <w:r w:rsidR="00801E6F">
        <w:rPr>
          <w:b/>
          <w:bCs/>
          <w:iCs/>
          <w:color w:val="000000"/>
        </w:rPr>
        <w:t>C</w:t>
      </w:r>
      <w:r>
        <w:rPr>
          <w:b/>
          <w:bCs/>
          <w:iCs/>
          <w:color w:val="000000"/>
        </w:rPr>
        <w:t>onnex</w:t>
      </w:r>
      <w:proofErr w:type="spellEnd"/>
      <w:r>
        <w:rPr>
          <w:b/>
          <w:bCs/>
          <w:iCs/>
          <w:color w:val="000000"/>
        </w:rPr>
        <w:t xml:space="preserve"> disputes.</w:t>
      </w:r>
    </w:p>
    <w:p w:rsidR="00CF2894" w:rsidRDefault="00CF2894">
      <w:pPr>
        <w:keepNext/>
        <w:ind w:left="1440" w:hanging="720"/>
        <w:rPr>
          <w:b/>
          <w:bCs/>
          <w:iCs/>
          <w:color w:val="000000"/>
        </w:rPr>
      </w:pPr>
    </w:p>
    <w:p w:rsidR="00E95739" w:rsidRDefault="00E95739" w:rsidP="00E95739">
      <w:pPr>
        <w:spacing w:line="480" w:lineRule="auto"/>
        <w:rPr>
          <w:bCs/>
          <w:iCs/>
          <w:color w:val="000000"/>
        </w:rPr>
      </w:pPr>
      <w:r>
        <w:rPr>
          <w:bCs/>
          <w:iCs/>
          <w:color w:val="000000"/>
        </w:rPr>
        <w:tab/>
      </w:r>
      <w:proofErr w:type="spellStart"/>
      <w:r>
        <w:rPr>
          <w:bCs/>
          <w:iCs/>
          <w:color w:val="000000"/>
        </w:rPr>
        <w:t>LifeConnex</w:t>
      </w:r>
      <w:proofErr w:type="spellEnd"/>
      <w:r>
        <w:rPr>
          <w:bCs/>
          <w:iCs/>
          <w:color w:val="000000"/>
        </w:rPr>
        <w:t xml:space="preserve"> alleges that it </w:t>
      </w:r>
      <w:r w:rsidRPr="00D53840">
        <w:rPr>
          <w:bCs/>
          <w:iCs/>
          <w:color w:val="000000"/>
        </w:rPr>
        <w:t>“has been deducting from its bill claims for promotional credits and disputed charges – without any objection from AT&amp;T – since October, 2007.”</w:t>
      </w:r>
      <w:r w:rsidRPr="00D53840">
        <w:rPr>
          <w:rStyle w:val="FootnoteReference"/>
          <w:bCs/>
          <w:iCs/>
          <w:color w:val="000000"/>
        </w:rPr>
        <w:footnoteReference w:id="18"/>
      </w:r>
      <w:r w:rsidRPr="00D53840">
        <w:rPr>
          <w:bCs/>
          <w:iCs/>
          <w:color w:val="000000"/>
        </w:rPr>
        <w:t xml:space="preserve">  It</w:t>
      </w:r>
      <w:r>
        <w:rPr>
          <w:bCs/>
          <w:iCs/>
          <w:color w:val="000000"/>
        </w:rPr>
        <w:t xml:space="preserve"> then alleges that AT&amp;T </w:t>
      </w:r>
      <w:r w:rsidR="004A5E1F">
        <w:rPr>
          <w:bCs/>
          <w:iCs/>
          <w:color w:val="000000"/>
        </w:rPr>
        <w:t>Florida</w:t>
      </w:r>
      <w:r>
        <w:rPr>
          <w:bCs/>
          <w:iCs/>
          <w:color w:val="000000"/>
        </w:rPr>
        <w:t xml:space="preserve"> has “</w:t>
      </w:r>
      <w:r w:rsidRPr="00E838B7">
        <w:rPr>
          <w:bCs/>
          <w:iCs/>
          <w:color w:val="000000"/>
        </w:rPr>
        <w:t xml:space="preserve">acquiesced” to </w:t>
      </w:r>
      <w:proofErr w:type="spellStart"/>
      <w:r w:rsidRPr="00E838B7">
        <w:rPr>
          <w:bCs/>
          <w:iCs/>
          <w:color w:val="000000"/>
        </w:rPr>
        <w:t>LifeConnex’s</w:t>
      </w:r>
      <w:proofErr w:type="spellEnd"/>
      <w:r w:rsidRPr="00E838B7">
        <w:rPr>
          <w:bCs/>
          <w:iCs/>
          <w:color w:val="000000"/>
        </w:rPr>
        <w:t xml:space="preserve"> “practice”</w:t>
      </w:r>
      <w:r>
        <w:rPr>
          <w:bCs/>
          <w:iCs/>
          <w:color w:val="000000"/>
        </w:rPr>
        <w:t xml:space="preserve"> of not paying its bills.  In essence, </w:t>
      </w:r>
      <w:proofErr w:type="spellStart"/>
      <w:r>
        <w:rPr>
          <w:bCs/>
          <w:iCs/>
          <w:color w:val="000000"/>
        </w:rPr>
        <w:t>LifeConnex</w:t>
      </w:r>
      <w:proofErr w:type="spellEnd"/>
      <w:r>
        <w:rPr>
          <w:bCs/>
          <w:iCs/>
          <w:color w:val="000000"/>
        </w:rPr>
        <w:t xml:space="preserve"> argues that by not having demanded payment of all charges due in the past, AT&amp;T </w:t>
      </w:r>
      <w:r w:rsidR="004A5E1F">
        <w:rPr>
          <w:bCs/>
          <w:iCs/>
          <w:color w:val="000000"/>
        </w:rPr>
        <w:t>Florida</w:t>
      </w:r>
      <w:r>
        <w:rPr>
          <w:bCs/>
          <w:iCs/>
          <w:color w:val="000000"/>
        </w:rPr>
        <w:t xml:space="preserve"> has waived its right to do so now.  </w:t>
      </w:r>
    </w:p>
    <w:p w:rsidR="00E95739" w:rsidRDefault="00E95739" w:rsidP="00E95739">
      <w:pPr>
        <w:spacing w:line="480" w:lineRule="auto"/>
        <w:rPr>
          <w:bCs/>
          <w:iCs/>
          <w:color w:val="000000"/>
        </w:rPr>
      </w:pPr>
      <w:r>
        <w:rPr>
          <w:bCs/>
          <w:iCs/>
          <w:color w:val="000000"/>
        </w:rPr>
        <w:lastRenderedPageBreak/>
        <w:tab/>
        <w:t xml:space="preserve">Once again, </w:t>
      </w:r>
      <w:proofErr w:type="spellStart"/>
      <w:r>
        <w:rPr>
          <w:bCs/>
          <w:iCs/>
          <w:color w:val="000000"/>
        </w:rPr>
        <w:t>LifeConnex’s</w:t>
      </w:r>
      <w:proofErr w:type="spellEnd"/>
      <w:r>
        <w:rPr>
          <w:bCs/>
          <w:iCs/>
          <w:color w:val="000000"/>
        </w:rPr>
        <w:t xml:space="preserve"> argument is refuted by the unambiguous language of the </w:t>
      </w:r>
      <w:r w:rsidR="00F95F25">
        <w:rPr>
          <w:bCs/>
          <w:iCs/>
          <w:color w:val="000000"/>
        </w:rPr>
        <w:t>p</w:t>
      </w:r>
      <w:r>
        <w:rPr>
          <w:bCs/>
          <w:iCs/>
          <w:color w:val="000000"/>
        </w:rPr>
        <w:t>arties</w:t>
      </w:r>
      <w:r w:rsidR="00F95F25">
        <w:rPr>
          <w:bCs/>
          <w:iCs/>
          <w:color w:val="000000"/>
        </w:rPr>
        <w:t>’</w:t>
      </w:r>
      <w:r>
        <w:rPr>
          <w:bCs/>
          <w:iCs/>
          <w:color w:val="000000"/>
        </w:rPr>
        <w:t xml:space="preserve"> Commission-approved ICA:</w:t>
      </w:r>
    </w:p>
    <w:p w:rsidR="00E95739" w:rsidRDefault="00E95739" w:rsidP="00E95739">
      <w:pPr>
        <w:ind w:left="720" w:right="720"/>
        <w:rPr>
          <w:bCs/>
          <w:iCs/>
          <w:color w:val="000000"/>
        </w:rPr>
      </w:pPr>
      <w:r>
        <w:rPr>
          <w:bCs/>
          <w:iCs/>
          <w:color w:val="000000"/>
        </w:rPr>
        <w:t>A failure or delay of either party to enforce any of the provisions hereof, to exercise any option which is herein provided, or to require performance of any of the provisions hereof shall in no way be construed to be a waiver of such provisions or options, and each Party, notwithstanding such failure, shall have the right thereafter to insist upon the performance of any and all of the provisions of this Agreement.</w:t>
      </w:r>
      <w:r>
        <w:rPr>
          <w:rStyle w:val="FootnoteReference"/>
          <w:bCs/>
          <w:iCs/>
          <w:color w:val="000000"/>
        </w:rPr>
        <w:footnoteReference w:id="19"/>
      </w:r>
    </w:p>
    <w:p w:rsidR="00E95739" w:rsidRDefault="00E95739" w:rsidP="00E95739">
      <w:pPr>
        <w:ind w:left="720" w:right="720"/>
        <w:rPr>
          <w:bCs/>
          <w:iCs/>
          <w:color w:val="000000"/>
        </w:rPr>
      </w:pPr>
    </w:p>
    <w:p w:rsidR="00E95739" w:rsidRDefault="00E95739" w:rsidP="00E95739">
      <w:pPr>
        <w:spacing w:line="480" w:lineRule="auto"/>
        <w:rPr>
          <w:bCs/>
          <w:iCs/>
          <w:color w:val="000000"/>
        </w:rPr>
      </w:pPr>
      <w:r>
        <w:rPr>
          <w:bCs/>
          <w:iCs/>
          <w:color w:val="000000"/>
        </w:rPr>
        <w:t xml:space="preserve">Even if AT&amp;T </w:t>
      </w:r>
      <w:r w:rsidR="004A5E1F">
        <w:rPr>
          <w:bCs/>
          <w:iCs/>
          <w:color w:val="000000"/>
        </w:rPr>
        <w:t>Florida</w:t>
      </w:r>
      <w:r>
        <w:rPr>
          <w:bCs/>
          <w:iCs/>
          <w:color w:val="000000"/>
        </w:rPr>
        <w:t xml:space="preserve"> ha</w:t>
      </w:r>
      <w:r w:rsidR="00F95F25">
        <w:rPr>
          <w:bCs/>
          <w:iCs/>
          <w:color w:val="000000"/>
        </w:rPr>
        <w:t>d</w:t>
      </w:r>
      <w:r>
        <w:rPr>
          <w:bCs/>
          <w:iCs/>
          <w:color w:val="000000"/>
        </w:rPr>
        <w:t xml:space="preserve"> not insisted that </w:t>
      </w:r>
      <w:proofErr w:type="spellStart"/>
      <w:r>
        <w:rPr>
          <w:bCs/>
          <w:iCs/>
          <w:color w:val="000000"/>
        </w:rPr>
        <w:t>LifeConnex</w:t>
      </w:r>
      <w:proofErr w:type="spellEnd"/>
      <w:r>
        <w:rPr>
          <w:bCs/>
          <w:iCs/>
          <w:color w:val="000000"/>
        </w:rPr>
        <w:t xml:space="preserve"> pay all amounts (including disputed amounts) in the past, it clearly has the right “thereafter (i.e. now) to insist upon the performance of any and all provisions” of the ICA.  AT&amp;T </w:t>
      </w:r>
      <w:r w:rsidR="004A5E1F">
        <w:rPr>
          <w:bCs/>
          <w:iCs/>
          <w:color w:val="000000"/>
        </w:rPr>
        <w:t>Florida</w:t>
      </w:r>
      <w:r>
        <w:rPr>
          <w:bCs/>
          <w:iCs/>
          <w:color w:val="000000"/>
        </w:rPr>
        <w:t xml:space="preserve"> has exercised its lawful right to insist that </w:t>
      </w:r>
      <w:proofErr w:type="spellStart"/>
      <w:r>
        <w:rPr>
          <w:bCs/>
          <w:iCs/>
          <w:color w:val="000000"/>
        </w:rPr>
        <w:t>LifeConnex</w:t>
      </w:r>
      <w:proofErr w:type="spellEnd"/>
      <w:r>
        <w:rPr>
          <w:bCs/>
          <w:iCs/>
          <w:color w:val="000000"/>
        </w:rPr>
        <w:t xml:space="preserve"> pay all amounts it has been billed, and if it does not do so, AT&amp;T </w:t>
      </w:r>
      <w:r w:rsidR="004A5E1F">
        <w:rPr>
          <w:bCs/>
          <w:iCs/>
          <w:color w:val="000000"/>
        </w:rPr>
        <w:t>Florida</w:t>
      </w:r>
      <w:r>
        <w:rPr>
          <w:bCs/>
          <w:iCs/>
          <w:color w:val="000000"/>
        </w:rPr>
        <w:t xml:space="preserve"> has the right to suspend, disconnect, and terminate </w:t>
      </w:r>
      <w:proofErr w:type="spellStart"/>
      <w:r>
        <w:rPr>
          <w:bCs/>
          <w:iCs/>
          <w:color w:val="000000"/>
        </w:rPr>
        <w:t>LifeConnex’s</w:t>
      </w:r>
      <w:proofErr w:type="spellEnd"/>
      <w:r>
        <w:rPr>
          <w:bCs/>
          <w:iCs/>
          <w:color w:val="000000"/>
        </w:rPr>
        <w:t xml:space="preserve"> service as allowed by the ICA.</w:t>
      </w:r>
      <w:r>
        <w:rPr>
          <w:rStyle w:val="FootnoteReference"/>
          <w:bCs/>
          <w:iCs/>
          <w:color w:val="000000"/>
        </w:rPr>
        <w:footnoteReference w:id="20"/>
      </w:r>
      <w:r>
        <w:rPr>
          <w:bCs/>
          <w:iCs/>
          <w:color w:val="000000"/>
        </w:rPr>
        <w:t xml:space="preserve"> </w:t>
      </w:r>
    </w:p>
    <w:p w:rsidR="00CF2894" w:rsidRDefault="00E95739">
      <w:pPr>
        <w:keepNext/>
        <w:ind w:left="1440" w:hanging="720"/>
        <w:rPr>
          <w:b/>
          <w:bCs/>
          <w:iCs/>
          <w:color w:val="000000"/>
        </w:rPr>
      </w:pPr>
      <w:r>
        <w:rPr>
          <w:b/>
          <w:bCs/>
          <w:iCs/>
          <w:color w:val="000000"/>
        </w:rPr>
        <w:t>D.</w:t>
      </w:r>
      <w:r>
        <w:rPr>
          <w:b/>
          <w:bCs/>
          <w:iCs/>
          <w:color w:val="000000"/>
        </w:rPr>
        <w:tab/>
      </w:r>
      <w:r w:rsidR="006953E4">
        <w:rPr>
          <w:b/>
          <w:bCs/>
          <w:iCs/>
          <w:color w:val="000000"/>
        </w:rPr>
        <w:t>Commission does not have the authority to issue an Injunction</w:t>
      </w:r>
    </w:p>
    <w:p w:rsidR="00B51BDC" w:rsidRDefault="00B51BDC" w:rsidP="00E95739">
      <w:pPr>
        <w:ind w:left="1440" w:hanging="720"/>
        <w:rPr>
          <w:b/>
          <w:bCs/>
          <w:iCs/>
          <w:color w:val="000000"/>
        </w:rPr>
      </w:pPr>
    </w:p>
    <w:p w:rsidR="00F241E3" w:rsidRPr="00D303EC" w:rsidRDefault="00F241E3" w:rsidP="00F241E3">
      <w:pPr>
        <w:spacing w:line="480" w:lineRule="auto"/>
        <w:ind w:firstLine="720"/>
        <w:jc w:val="both"/>
        <w:rPr>
          <w:rFonts w:cs="Arial"/>
        </w:rPr>
      </w:pPr>
      <w:r w:rsidRPr="00D303EC">
        <w:rPr>
          <w:rFonts w:cs="Arial"/>
        </w:rPr>
        <w:t xml:space="preserve">In order to hear and determine a complaint or petition, a court or agency must be vested not only with jurisdiction over the parties, but also with subject matter jurisdiction to grant the relief requested by the parties.  </w:t>
      </w:r>
      <w:r w:rsidRPr="00D303EC">
        <w:rPr>
          <w:rFonts w:cs="Arial"/>
          <w:i/>
        </w:rPr>
        <w:t xml:space="preserve">See </w:t>
      </w:r>
      <w:proofErr w:type="spellStart"/>
      <w:r w:rsidRPr="00D303EC">
        <w:rPr>
          <w:rFonts w:cs="Arial"/>
          <w:i/>
        </w:rPr>
        <w:t>Keena</w:t>
      </w:r>
      <w:proofErr w:type="spellEnd"/>
      <w:r w:rsidRPr="00D303EC">
        <w:rPr>
          <w:rFonts w:cs="Arial"/>
          <w:i/>
        </w:rPr>
        <w:t xml:space="preserve"> v. </w:t>
      </w:r>
      <w:proofErr w:type="spellStart"/>
      <w:r w:rsidRPr="00D303EC">
        <w:rPr>
          <w:rFonts w:cs="Arial"/>
          <w:i/>
        </w:rPr>
        <w:t>Keena</w:t>
      </w:r>
      <w:proofErr w:type="spellEnd"/>
      <w:r w:rsidRPr="00D303EC">
        <w:rPr>
          <w:rFonts w:cs="Arial"/>
        </w:rPr>
        <w:t xml:space="preserve">, 245 So. </w:t>
      </w:r>
      <w:proofErr w:type="gramStart"/>
      <w:r w:rsidRPr="00D303EC">
        <w:rPr>
          <w:rFonts w:cs="Arial"/>
        </w:rPr>
        <w:t>2d 665, 666 (Fla. 1</w:t>
      </w:r>
      <w:r w:rsidRPr="00D303EC">
        <w:rPr>
          <w:rFonts w:cs="Arial"/>
          <w:vertAlign w:val="superscript"/>
        </w:rPr>
        <w:t>st</w:t>
      </w:r>
      <w:r w:rsidRPr="00D303EC">
        <w:rPr>
          <w:rFonts w:cs="Arial"/>
        </w:rPr>
        <w:t xml:space="preserve"> DCA 1971).</w:t>
      </w:r>
      <w:proofErr w:type="gramEnd"/>
      <w:r w:rsidRPr="00D303EC">
        <w:rPr>
          <w:rFonts w:cs="Arial"/>
        </w:rPr>
        <w:t xml:space="preserve">  Subject matter jurisdiction arises only by virtue of law – it must be conferred by constitution or statute and cannot be created by waiver or acquiescence.  </w:t>
      </w:r>
      <w:r w:rsidRPr="00D303EC">
        <w:rPr>
          <w:rFonts w:cs="Arial"/>
          <w:i/>
        </w:rPr>
        <w:t>Jesse v. State</w:t>
      </w:r>
      <w:r w:rsidRPr="00D303EC">
        <w:rPr>
          <w:rFonts w:cs="Arial"/>
        </w:rPr>
        <w:t xml:space="preserve">, 711 So. </w:t>
      </w:r>
      <w:proofErr w:type="gramStart"/>
      <w:r w:rsidRPr="00D303EC">
        <w:rPr>
          <w:rFonts w:cs="Arial"/>
        </w:rPr>
        <w:t>2d 1179, 1180 (Fla. 2d DCA 1998).</w:t>
      </w:r>
      <w:proofErr w:type="gramEnd"/>
      <w:r w:rsidRPr="00D303EC">
        <w:rPr>
          <w:rFonts w:cs="Arial"/>
        </w:rPr>
        <w:t xml:space="preserve"> This Commission, therefore, must dismiss a complaint or </w:t>
      </w:r>
      <w:r w:rsidR="00467BA5">
        <w:rPr>
          <w:rFonts w:cs="Arial"/>
        </w:rPr>
        <w:t xml:space="preserve">deny a request for relief </w:t>
      </w:r>
      <w:r w:rsidRPr="00D303EC">
        <w:rPr>
          <w:rFonts w:cs="Arial"/>
        </w:rPr>
        <w:t xml:space="preserve">to the extent that it asks the Commission to address matters over which it has no jurisdiction or to the extent that it seeks relief that the Commission is not authorized to grant.  </w:t>
      </w:r>
      <w:r w:rsidRPr="00D303EC">
        <w:rPr>
          <w:rFonts w:cs="Arial"/>
          <w:i/>
        </w:rPr>
        <w:t xml:space="preserve">See, </w:t>
      </w:r>
      <w:proofErr w:type="spellStart"/>
      <w:r w:rsidRPr="00D303EC">
        <w:rPr>
          <w:rFonts w:cs="Arial"/>
          <w:i/>
        </w:rPr>
        <w:t>e.g</w:t>
      </w:r>
      <w:proofErr w:type="spellEnd"/>
      <w:r w:rsidRPr="00D303EC">
        <w:rPr>
          <w:rFonts w:cs="Arial"/>
          <w:i/>
        </w:rPr>
        <w:t xml:space="preserve">, In re: Petition by AT&amp;T Communications of the Southern States, Inc. TCG South Florida, and </w:t>
      </w:r>
      <w:proofErr w:type="spellStart"/>
      <w:r w:rsidRPr="00D303EC">
        <w:rPr>
          <w:rFonts w:cs="Arial"/>
          <w:i/>
        </w:rPr>
        <w:t>MediaOne</w:t>
      </w:r>
      <w:proofErr w:type="spellEnd"/>
      <w:r w:rsidRPr="00D303EC">
        <w:rPr>
          <w:rFonts w:cs="Arial"/>
          <w:i/>
        </w:rPr>
        <w:t xml:space="preserve"> Florida Telecommunications, Inc. for structural separation of BellSouth </w:t>
      </w:r>
      <w:r w:rsidRPr="00D303EC">
        <w:rPr>
          <w:rFonts w:cs="Arial"/>
          <w:i/>
        </w:rPr>
        <w:lastRenderedPageBreak/>
        <w:t xml:space="preserve">Telecommunications, Inc. into two distinct wholesale and retail corporate subsidiaries. </w:t>
      </w:r>
      <w:r w:rsidRPr="00D303EC">
        <w:rPr>
          <w:rFonts w:cs="Arial"/>
        </w:rPr>
        <w:t xml:space="preserve"> Docket No. 010345-TP, PSC-01-2178-FOF-TP (Nov. 6, 2001) (granting BellSouth’s Motion to Dismiss AT&amp;T’s and FCCA’s Petition for Structural Separation because “the Petitions fail to state a cause of action upon which</w:t>
      </w:r>
      <w:r w:rsidRPr="00D303EC">
        <w:rPr>
          <w:rFonts w:cs="Arial"/>
          <w:i/>
        </w:rPr>
        <w:t xml:space="preserve"> </w:t>
      </w:r>
      <w:r w:rsidRPr="00D303EC">
        <w:rPr>
          <w:rFonts w:cs="Arial"/>
        </w:rPr>
        <w:t>relief can be granted. Namely, we have neither Federal nor State authority to grant the relief requested”</w:t>
      </w:r>
      <w:r>
        <w:rPr>
          <w:rFonts w:cs="Arial"/>
        </w:rPr>
        <w:t>.</w:t>
      </w:r>
      <w:r w:rsidRPr="00D303EC">
        <w:rPr>
          <w:rFonts w:cs="Arial"/>
        </w:rPr>
        <w:t>);</w:t>
      </w:r>
      <w:r w:rsidRPr="00D303EC">
        <w:rPr>
          <w:rFonts w:cs="Arial"/>
          <w:i/>
        </w:rPr>
        <w:t xml:space="preserve"> In re: Complaint and petition of John Charles </w:t>
      </w:r>
      <w:proofErr w:type="spellStart"/>
      <w:r w:rsidRPr="00D303EC">
        <w:rPr>
          <w:rFonts w:cs="Arial"/>
          <w:i/>
        </w:rPr>
        <w:t>Heekin</w:t>
      </w:r>
      <w:proofErr w:type="spellEnd"/>
      <w:r w:rsidRPr="00D303EC">
        <w:rPr>
          <w:rFonts w:cs="Arial"/>
          <w:i/>
        </w:rPr>
        <w:t xml:space="preserve"> against Florida Power &amp; Light Company</w:t>
      </w:r>
      <w:r w:rsidRPr="00D303EC">
        <w:rPr>
          <w:rFonts w:cs="Arial"/>
        </w:rPr>
        <w:t xml:space="preserve">, Docket No. 981923-EI, Order No. PSC-99-1054-FOF-EI (May 24, 1999) (Commission dismissed a complaint because the complaint involved “a claim…outside this Commission’s jurisdiction.”). </w:t>
      </w:r>
    </w:p>
    <w:p w:rsidR="00F241E3" w:rsidRPr="00D303EC" w:rsidRDefault="00F241E3" w:rsidP="00F241E3">
      <w:pPr>
        <w:spacing w:line="480" w:lineRule="auto"/>
        <w:ind w:firstLine="720"/>
        <w:jc w:val="both"/>
      </w:pPr>
      <w:r w:rsidRPr="00D303EC">
        <w:t xml:space="preserve">The Commission, therefore, must determine whether the Legislature has granted it any authority to </w:t>
      </w:r>
      <w:r>
        <w:t xml:space="preserve">force AT&amp;T Florida to continue to provide service to </w:t>
      </w:r>
      <w:proofErr w:type="spellStart"/>
      <w:r>
        <w:t>LifeConnex</w:t>
      </w:r>
      <w:proofErr w:type="spellEnd"/>
      <w:r>
        <w:t xml:space="preserve"> for which AT&amp;T Florida is not being paid.</w:t>
      </w:r>
      <w:r w:rsidRPr="00D303EC">
        <w:t xml:space="preserve">  In making th</w:t>
      </w:r>
      <w:r>
        <w:t>is</w:t>
      </w:r>
      <w:r w:rsidRPr="00D303EC">
        <w:t xml:space="preserve"> determination, the Commission must keep in mind that the Legislature has never conferred upon the Commission any general authority to regulate public utilities, including telephone companies.  </w:t>
      </w:r>
      <w:proofErr w:type="gramStart"/>
      <w:r w:rsidRPr="00D303EC">
        <w:rPr>
          <w:i/>
        </w:rPr>
        <w:t>See City of Cape Coral v. GAC Util., Inc.</w:t>
      </w:r>
      <w:r w:rsidRPr="00D303EC">
        <w:t>, 281 So.</w:t>
      </w:r>
      <w:proofErr w:type="gramEnd"/>
      <w:r w:rsidRPr="00D303EC">
        <w:t xml:space="preserve"> </w:t>
      </w:r>
      <w:proofErr w:type="gramStart"/>
      <w:r w:rsidRPr="00D303EC">
        <w:t>2d 493, 496 (Fla. 1973).</w:t>
      </w:r>
      <w:proofErr w:type="gramEnd"/>
      <w:r w:rsidRPr="00D303EC">
        <w:t xml:space="preserve">  Instead, “[t]he Commission has only those powers granted by statute expressly or by necessary implication.”  </w:t>
      </w:r>
      <w:r w:rsidRPr="00D303EC">
        <w:rPr>
          <w:i/>
        </w:rPr>
        <w:t>See Deltona Corp. v. Mayo</w:t>
      </w:r>
      <w:r w:rsidRPr="00D303EC">
        <w:t>, 342 So. 2d 510, 512 n.4 (</w:t>
      </w:r>
      <w:smartTag w:uri="urn:schemas-microsoft-com:office:smarttags" w:element="State">
        <w:smartTag w:uri="urn:schemas-microsoft-com:office:smarttags" w:element="place">
          <w:r w:rsidRPr="00D303EC">
            <w:t>Fla.</w:t>
          </w:r>
        </w:smartTag>
      </w:smartTag>
      <w:r w:rsidRPr="00D303EC">
        <w:t xml:space="preserve"> 1977); </w:t>
      </w:r>
      <w:r w:rsidRPr="00D303EC">
        <w:rPr>
          <w:i/>
        </w:rPr>
        <w:t xml:space="preserve">accord East Central Regional Wastewater Facilities </w:t>
      </w:r>
      <w:proofErr w:type="spellStart"/>
      <w:r w:rsidRPr="00D303EC">
        <w:rPr>
          <w:i/>
        </w:rPr>
        <w:t>Oper</w:t>
      </w:r>
      <w:proofErr w:type="spellEnd"/>
      <w:r w:rsidRPr="00D303EC">
        <w:rPr>
          <w:i/>
        </w:rPr>
        <w:t>. Bd. v. City of West Palm Beach,</w:t>
      </w:r>
      <w:r w:rsidRPr="00D303EC">
        <w:t xml:space="preserve"> 659 So.2d 402, 404 (Fla. 4th DCA 1995) (noting that an agency has “only such power as expressly or by necessary implication is granted by legislative enactment” and that “as a creature of statu</w:t>
      </w:r>
      <w:r>
        <w:t>t</w:t>
      </w:r>
      <w:r w:rsidRPr="00D303EC">
        <w:t>e,” an agency “has no common law jurisdiction or inherent power . . . .”).</w:t>
      </w:r>
    </w:p>
    <w:p w:rsidR="00F241E3" w:rsidRPr="00D303EC" w:rsidRDefault="00F241E3" w:rsidP="00F241E3">
      <w:pPr>
        <w:spacing w:line="480" w:lineRule="auto"/>
        <w:ind w:firstLine="720"/>
        <w:jc w:val="both"/>
      </w:pPr>
      <w:r w:rsidRPr="00D303EC">
        <w:t xml:space="preserve">Moreover, any authority granted by necessary implication must be derived from fair implication and intendment incident to any express authority.  </w:t>
      </w:r>
      <w:r w:rsidRPr="00D303EC">
        <w:rPr>
          <w:i/>
        </w:rPr>
        <w:t xml:space="preserve">See Atlantic Coast Line R.R. </w:t>
      </w:r>
      <w:smartTag w:uri="urn:schemas-microsoft-com:office:smarttags" w:element="place">
        <w:r w:rsidRPr="00D303EC">
          <w:rPr>
            <w:i/>
          </w:rPr>
          <w:t>Co.</w:t>
        </w:r>
      </w:smartTag>
      <w:r w:rsidRPr="00D303EC">
        <w:rPr>
          <w:i/>
        </w:rPr>
        <w:t xml:space="preserve"> v. State</w:t>
      </w:r>
      <w:r w:rsidRPr="00D303EC">
        <w:t xml:space="preserve">, 74 So. </w:t>
      </w:r>
      <w:proofErr w:type="gramStart"/>
      <w:r w:rsidRPr="00D303EC">
        <w:t xml:space="preserve">595, 601 (Fla. 1917); </w:t>
      </w:r>
      <w:r w:rsidRPr="00D303EC">
        <w:rPr>
          <w:i/>
        </w:rPr>
        <w:t>State v. Louisville &amp; N. R. Co., 49</w:t>
      </w:r>
      <w:r w:rsidRPr="00D303EC">
        <w:t xml:space="preserve"> So.</w:t>
      </w:r>
      <w:proofErr w:type="gramEnd"/>
      <w:r w:rsidRPr="00D303EC">
        <w:t xml:space="preserve"> </w:t>
      </w:r>
      <w:proofErr w:type="gramStart"/>
      <w:r w:rsidRPr="00D303EC">
        <w:t>39 (Fla. 1909).</w:t>
      </w:r>
      <w:proofErr w:type="gramEnd"/>
      <w:r w:rsidRPr="00D303EC">
        <w:t xml:space="preserve">  Finally, “any reasonable doubt as to the existence of a particular power of the Commission must </w:t>
      </w:r>
      <w:r w:rsidRPr="00D303EC">
        <w:lastRenderedPageBreak/>
        <w:t xml:space="preserve">be resolved against it.”  </w:t>
      </w:r>
      <w:proofErr w:type="gramStart"/>
      <w:r w:rsidRPr="00D303EC">
        <w:rPr>
          <w:i/>
        </w:rPr>
        <w:t>State v. Mayo</w:t>
      </w:r>
      <w:r w:rsidRPr="00D303EC">
        <w:t>, 354 So.</w:t>
      </w:r>
      <w:proofErr w:type="gramEnd"/>
      <w:r w:rsidRPr="00D303EC">
        <w:t xml:space="preserve"> </w:t>
      </w:r>
      <w:proofErr w:type="gramStart"/>
      <w:r w:rsidRPr="00D303EC">
        <w:t>2d 359, 361 (Fla. 1977).</w:t>
      </w:r>
      <w:proofErr w:type="gramEnd"/>
      <w:r w:rsidRPr="00D303EC">
        <w:t xml:space="preserve">  For the reasons discussed below, </w:t>
      </w:r>
      <w:proofErr w:type="spellStart"/>
      <w:r>
        <w:t>LifeConnex</w:t>
      </w:r>
      <w:proofErr w:type="spellEnd"/>
      <w:r>
        <w:t xml:space="preserve"> </w:t>
      </w:r>
      <w:r w:rsidRPr="00D303EC">
        <w:t xml:space="preserve">cannot demonstrate that the Commission has the authority to grant the </w:t>
      </w:r>
      <w:r>
        <w:t xml:space="preserve">“emergency </w:t>
      </w:r>
      <w:r w:rsidRPr="00D303EC">
        <w:t>relief</w:t>
      </w:r>
      <w:r>
        <w:t>”</w:t>
      </w:r>
      <w:r w:rsidRPr="00D303EC">
        <w:t xml:space="preserve"> </w:t>
      </w:r>
      <w:proofErr w:type="spellStart"/>
      <w:r>
        <w:t>LifeConnex</w:t>
      </w:r>
      <w:proofErr w:type="spellEnd"/>
      <w:r>
        <w:t xml:space="preserve"> </w:t>
      </w:r>
      <w:r w:rsidRPr="00D303EC">
        <w:t>requests.</w:t>
      </w:r>
    </w:p>
    <w:p w:rsidR="0042424F" w:rsidRPr="007B7103" w:rsidRDefault="006953E4" w:rsidP="00F241E3">
      <w:pPr>
        <w:spacing w:line="480" w:lineRule="auto"/>
        <w:ind w:firstLine="720"/>
      </w:pPr>
      <w:r>
        <w:rPr>
          <w:bCs/>
          <w:iCs/>
          <w:color w:val="000000"/>
        </w:rPr>
        <w:t>The “emergency relief</w:t>
      </w:r>
      <w:r w:rsidR="00595C83">
        <w:rPr>
          <w:bCs/>
          <w:iCs/>
          <w:color w:val="000000"/>
        </w:rPr>
        <w:t>”</w:t>
      </w:r>
      <w:r>
        <w:rPr>
          <w:bCs/>
          <w:iCs/>
          <w:color w:val="000000"/>
        </w:rPr>
        <w:t xml:space="preserve"> </w:t>
      </w:r>
      <w:proofErr w:type="spellStart"/>
      <w:r>
        <w:rPr>
          <w:bCs/>
          <w:iCs/>
          <w:color w:val="000000"/>
        </w:rPr>
        <w:t>LifeConnex</w:t>
      </w:r>
      <w:proofErr w:type="spellEnd"/>
      <w:r>
        <w:rPr>
          <w:bCs/>
          <w:iCs/>
          <w:color w:val="000000"/>
        </w:rPr>
        <w:t xml:space="preserve"> seeks is for the Commission to order AT&amp;T Florida “to take no actions to suspend or otherwise interfere with </w:t>
      </w:r>
      <w:proofErr w:type="spellStart"/>
      <w:r>
        <w:rPr>
          <w:bCs/>
          <w:iCs/>
          <w:color w:val="000000"/>
        </w:rPr>
        <w:t>LifeConnex’s</w:t>
      </w:r>
      <w:proofErr w:type="spellEnd"/>
      <w:r>
        <w:rPr>
          <w:bCs/>
          <w:iCs/>
          <w:color w:val="000000"/>
        </w:rPr>
        <w:t xml:space="preserve"> service to its customers….”  </w:t>
      </w:r>
      <w:r>
        <w:rPr>
          <w:bCs/>
          <w:i/>
          <w:iCs/>
          <w:color w:val="000000"/>
        </w:rPr>
        <w:t>See</w:t>
      </w:r>
      <w:r>
        <w:rPr>
          <w:bCs/>
          <w:iCs/>
          <w:color w:val="000000"/>
        </w:rPr>
        <w:t xml:space="preserve"> Request at p.10, </w:t>
      </w:r>
      <w:r w:rsidR="0042424F">
        <w:rPr>
          <w:bCs/>
          <w:iCs/>
          <w:color w:val="000000"/>
        </w:rPr>
        <w:t>¶ 25.</w:t>
      </w:r>
      <w:r w:rsidR="006A0B41">
        <w:rPr>
          <w:bCs/>
          <w:iCs/>
          <w:color w:val="000000"/>
        </w:rPr>
        <w:t xml:space="preserve"> </w:t>
      </w:r>
      <w:r w:rsidR="0042424F">
        <w:t xml:space="preserve"> That relief is identical to that which a court would call an injunction, </w:t>
      </w:r>
      <w:r w:rsidR="0042424F" w:rsidRPr="00595C83">
        <w:rPr>
          <w:i/>
        </w:rPr>
        <w:t>See</w:t>
      </w:r>
      <w:r w:rsidR="00595C83" w:rsidRPr="00595C83">
        <w:rPr>
          <w:i/>
        </w:rPr>
        <w:t xml:space="preserve"> First Nat’l Bank in St. Petersburg v. Ferris</w:t>
      </w:r>
      <w:r w:rsidR="00595C83" w:rsidRPr="00595C83">
        <w:t>, 156 So.2d 421 (Fla. 2d DCA 1963)(An injunction “commands that acts be done or undone.”).</w:t>
      </w:r>
      <w:r w:rsidR="0042424F">
        <w:t xml:space="preserve">  However, the Commission cannot grant the relief requested because it </w:t>
      </w:r>
      <w:r w:rsidR="0042424F" w:rsidRPr="007B7103">
        <w:t xml:space="preserve">lacks </w:t>
      </w:r>
      <w:r w:rsidR="0042424F">
        <w:t xml:space="preserve">the </w:t>
      </w:r>
      <w:r w:rsidR="0042424F" w:rsidRPr="007B7103">
        <w:t>authority to issue injunctions</w:t>
      </w:r>
      <w:r w:rsidR="0042424F">
        <w:t xml:space="preserve">.  </w:t>
      </w:r>
      <w:r w:rsidR="0042424F">
        <w:rPr>
          <w:i/>
        </w:rPr>
        <w:t xml:space="preserve">See </w:t>
      </w:r>
      <w:r w:rsidR="0042424F" w:rsidRPr="007B7103">
        <w:rPr>
          <w:i/>
          <w:iCs/>
        </w:rPr>
        <w:t xml:space="preserve">In re: Complaint and Petition of </w:t>
      </w:r>
      <w:proofErr w:type="spellStart"/>
      <w:r w:rsidR="0042424F" w:rsidRPr="007B7103">
        <w:rPr>
          <w:i/>
          <w:iCs/>
        </w:rPr>
        <w:t>Cynwyd</w:t>
      </w:r>
      <w:proofErr w:type="spellEnd"/>
      <w:r w:rsidR="0042424F" w:rsidRPr="007B7103">
        <w:rPr>
          <w:i/>
          <w:iCs/>
        </w:rPr>
        <w:t xml:space="preserve"> Investments </w:t>
      </w:r>
      <w:proofErr w:type="gramStart"/>
      <w:r w:rsidR="0042424F" w:rsidRPr="007B7103">
        <w:rPr>
          <w:i/>
          <w:iCs/>
        </w:rPr>
        <w:t>Against</w:t>
      </w:r>
      <w:proofErr w:type="gramEnd"/>
      <w:r w:rsidR="0042424F" w:rsidRPr="007B7103">
        <w:rPr>
          <w:i/>
          <w:iCs/>
        </w:rPr>
        <w:t xml:space="preserve"> </w:t>
      </w:r>
      <w:proofErr w:type="spellStart"/>
      <w:r w:rsidR="0042424F" w:rsidRPr="007B7103">
        <w:rPr>
          <w:i/>
          <w:iCs/>
        </w:rPr>
        <w:t>Tamiami</w:t>
      </w:r>
      <w:proofErr w:type="spellEnd"/>
      <w:r w:rsidR="0042424F" w:rsidRPr="007B7103">
        <w:rPr>
          <w:i/>
          <w:iCs/>
        </w:rPr>
        <w:t xml:space="preserve"> Village Utility, Inc.</w:t>
      </w:r>
      <w:r w:rsidR="0042424F" w:rsidRPr="007B7103">
        <w:t xml:space="preserve">, Docket Nos. 920649-WS and 930642-WS, Order No. PSC-94-0210 </w:t>
      </w:r>
      <w:r w:rsidR="0042424F">
        <w:t xml:space="preserve">at p. 9 </w:t>
      </w:r>
      <w:r w:rsidR="0042424F" w:rsidRPr="007B7103">
        <w:t>(February 21, 1994)</w:t>
      </w:r>
      <w:r w:rsidR="0042424F">
        <w:t xml:space="preserve"> (</w:t>
      </w:r>
      <w:r w:rsidR="0042424F" w:rsidRPr="007B7103">
        <w:t>“We agree that this Commission does not have subject matter jurisdiction to issue injunctions . . . .”</w:t>
      </w:r>
      <w:r w:rsidR="0042424F">
        <w:t>)</w:t>
      </w:r>
      <w:r w:rsidR="0042424F" w:rsidRPr="007B7103">
        <w:t>; see</w:t>
      </w:r>
      <w:r w:rsidR="0042424F" w:rsidRPr="007B7103">
        <w:rPr>
          <w:i/>
          <w:iCs/>
        </w:rPr>
        <w:t xml:space="preserve"> also</w:t>
      </w:r>
      <w:r w:rsidR="0042424F" w:rsidRPr="007B7103">
        <w:t xml:space="preserve"> </w:t>
      </w:r>
      <w:r w:rsidR="0042424F" w:rsidRPr="0042424F">
        <w:rPr>
          <w:i/>
        </w:rPr>
        <w:t>Florida Power &amp; Light Company v.</w:t>
      </w:r>
      <w:r w:rsidR="0042424F" w:rsidRPr="007B7103">
        <w:t xml:space="preserve"> </w:t>
      </w:r>
      <w:r w:rsidR="0042424F" w:rsidRPr="007B7103">
        <w:rPr>
          <w:i/>
          <w:iCs/>
        </w:rPr>
        <w:t xml:space="preserve">Albert Litter Studios, Inc., </w:t>
      </w:r>
      <w:r w:rsidR="0042424F" w:rsidRPr="007B7103">
        <w:rPr>
          <w:iCs/>
        </w:rPr>
        <w:t>896 So.2d 891, 892 n.3 (Fla. 3d DCA 2005)</w:t>
      </w:r>
      <w:r w:rsidR="0042424F" w:rsidRPr="007B7103">
        <w:rPr>
          <w:i/>
          <w:iCs/>
        </w:rPr>
        <w:t xml:space="preserve"> </w:t>
      </w:r>
      <w:r w:rsidR="0042424F" w:rsidRPr="007B7103">
        <w:t xml:space="preserve">(The Commission “concedes that it lacks the authority to issue injunctive relief.”); </w:t>
      </w:r>
      <w:r w:rsidR="0042424F" w:rsidRPr="007B7103">
        <w:rPr>
          <w:i/>
        </w:rPr>
        <w:t xml:space="preserve">In re: Petition to investigate, claim for damages, complaint and other statements against respondents </w:t>
      </w:r>
      <w:proofErr w:type="spellStart"/>
      <w:r w:rsidR="0042424F" w:rsidRPr="007B7103">
        <w:rPr>
          <w:i/>
        </w:rPr>
        <w:t>Evercom</w:t>
      </w:r>
      <w:proofErr w:type="spellEnd"/>
      <w:r w:rsidR="0042424F" w:rsidRPr="007B7103">
        <w:rPr>
          <w:i/>
        </w:rPr>
        <w:t xml:space="preserve"> Systems, Inc. d/b/a Correctional Billing Services and BellSouth Corporation by Bessie Russ</w:t>
      </w:r>
      <w:r w:rsidR="0042424F" w:rsidRPr="007B7103">
        <w:t xml:space="preserve">, Docket No. 060640-TP, Order No. PSC-07-0332-PAA-TP (Issued April 16, 2007) (“We find it appropriate to grant BellSouth’s Partial Motion to Dismiss.  The Petition/Complaint shall be dismissed in part because we do not have judicial power required to… (b) issue injunctions”) and </w:t>
      </w:r>
      <w:r w:rsidR="0042424F" w:rsidRPr="007B7103">
        <w:rPr>
          <w:i/>
        </w:rPr>
        <w:t xml:space="preserve">In re: </w:t>
      </w:r>
      <w:bookmarkStart w:id="0" w:name="SSInRe"/>
      <w:bookmarkEnd w:id="0"/>
      <w:r w:rsidR="0042424F" w:rsidRPr="007B7103">
        <w:rPr>
          <w:i/>
        </w:rPr>
        <w:t xml:space="preserve">Petition for Commission to intervene, investigate and mediate dispute between </w:t>
      </w:r>
      <w:smartTag w:uri="urn:schemas-microsoft-com:office:smarttags" w:element="stockticker">
        <w:r w:rsidR="0042424F" w:rsidRPr="007B7103">
          <w:rPr>
            <w:i/>
          </w:rPr>
          <w:t>DSL</w:t>
        </w:r>
      </w:smartTag>
      <w:r w:rsidR="0042424F" w:rsidRPr="007B7103">
        <w:rPr>
          <w:i/>
        </w:rPr>
        <w:t xml:space="preserve"> Internet Corporation d/b/a </w:t>
      </w:r>
      <w:proofErr w:type="spellStart"/>
      <w:r w:rsidR="0042424F" w:rsidRPr="007B7103">
        <w:rPr>
          <w:i/>
        </w:rPr>
        <w:t>DSLi</w:t>
      </w:r>
      <w:proofErr w:type="spellEnd"/>
      <w:r w:rsidR="0042424F" w:rsidRPr="007B7103">
        <w:rPr>
          <w:i/>
        </w:rPr>
        <w:t xml:space="preserve"> and BellSouth Telecommunications, Inc.</w:t>
      </w:r>
      <w:r w:rsidR="0042424F" w:rsidRPr="007B7103">
        <w:t xml:space="preserve">, Docket No. 080631-TP, Order No. PSC- 09-0515-PCO-TP (Issued July 21, 2009) (“we find that this Commission does not have the authority to provide injunctive </w:t>
      </w:r>
      <w:r w:rsidR="0042424F" w:rsidRPr="007B7103">
        <w:lastRenderedPageBreak/>
        <w:t>relief to [Petitioner].  Thus, assuming all of [Petitioner]’s allegations as true, we find that [Petitioner] has failed to state a cause of action for which injunctive relief can be granted.  As such, we shall grant the AT&amp;T Partial Motion to Dismiss and thereby dismiss the portion of the Petition in which [Petitioner] requests injunctive relief.”)</w:t>
      </w:r>
      <w:r w:rsidR="00F95F25">
        <w:t>.</w:t>
      </w:r>
      <w:r w:rsidR="0042424F" w:rsidRPr="007B7103">
        <w:t xml:space="preserve">  </w:t>
      </w:r>
    </w:p>
    <w:p w:rsidR="0042424F" w:rsidRPr="007B7103" w:rsidRDefault="0042424F" w:rsidP="0042424F">
      <w:pPr>
        <w:autoSpaceDE w:val="0"/>
        <w:autoSpaceDN w:val="0"/>
        <w:adjustRightInd w:val="0"/>
        <w:spacing w:line="480" w:lineRule="auto"/>
        <w:rPr>
          <w:rFonts w:eastAsia="Calibri"/>
        </w:rPr>
      </w:pPr>
      <w:r w:rsidRPr="007B7103">
        <w:rPr>
          <w:rFonts w:eastAsia="Calibri"/>
        </w:rPr>
        <w:tab/>
        <w:t xml:space="preserve">Because </w:t>
      </w:r>
      <w:proofErr w:type="spellStart"/>
      <w:r>
        <w:rPr>
          <w:rFonts w:eastAsia="Calibri"/>
        </w:rPr>
        <w:t>LifeConnex</w:t>
      </w:r>
      <w:proofErr w:type="spellEnd"/>
      <w:r w:rsidRPr="007B7103">
        <w:rPr>
          <w:rFonts w:eastAsia="Calibri"/>
        </w:rPr>
        <w:t xml:space="preserve"> seeks a remedy that the Commission has no authority to provide, </w:t>
      </w:r>
      <w:proofErr w:type="spellStart"/>
      <w:r>
        <w:rPr>
          <w:rFonts w:eastAsia="Calibri"/>
        </w:rPr>
        <w:t>LifeConnex’s</w:t>
      </w:r>
      <w:proofErr w:type="spellEnd"/>
      <w:r>
        <w:rPr>
          <w:rFonts w:eastAsia="Calibri"/>
        </w:rPr>
        <w:t xml:space="preserve"> requested relief should be denied</w:t>
      </w:r>
      <w:r w:rsidRPr="007B7103">
        <w:rPr>
          <w:rFonts w:eastAsia="Calibri"/>
        </w:rPr>
        <w:t>.</w:t>
      </w:r>
      <w:r w:rsidR="006A0B41">
        <w:rPr>
          <w:rStyle w:val="FootnoteReference"/>
          <w:rFonts w:eastAsia="Calibri"/>
        </w:rPr>
        <w:footnoteReference w:id="21"/>
      </w:r>
    </w:p>
    <w:p w:rsidR="00E95739" w:rsidRDefault="0042424F" w:rsidP="00467BA5">
      <w:pPr>
        <w:ind w:left="1440" w:hanging="720"/>
        <w:rPr>
          <w:b/>
          <w:bCs/>
          <w:iCs/>
          <w:color w:val="000000"/>
        </w:rPr>
      </w:pPr>
      <w:r>
        <w:rPr>
          <w:b/>
          <w:bCs/>
          <w:iCs/>
          <w:color w:val="000000"/>
        </w:rPr>
        <w:t>E.</w:t>
      </w:r>
      <w:r>
        <w:rPr>
          <w:b/>
          <w:bCs/>
          <w:iCs/>
          <w:color w:val="000000"/>
        </w:rPr>
        <w:tab/>
        <w:t xml:space="preserve">Even if the Commission had authority to issue injunctions (which it does not) </w:t>
      </w:r>
      <w:proofErr w:type="spellStart"/>
      <w:r w:rsidR="00E95739">
        <w:rPr>
          <w:b/>
          <w:bCs/>
          <w:iCs/>
          <w:color w:val="000000"/>
        </w:rPr>
        <w:t>LifeConnex</w:t>
      </w:r>
      <w:proofErr w:type="spellEnd"/>
      <w:r w:rsidR="00E95739">
        <w:rPr>
          <w:b/>
          <w:bCs/>
          <w:iCs/>
          <w:color w:val="000000"/>
        </w:rPr>
        <w:t xml:space="preserve"> has not demonstrated, and cannot demonstrate</w:t>
      </w:r>
      <w:r w:rsidR="00F95F25">
        <w:rPr>
          <w:b/>
          <w:bCs/>
          <w:iCs/>
          <w:color w:val="000000"/>
        </w:rPr>
        <w:t>,</w:t>
      </w:r>
      <w:r w:rsidR="00E95739">
        <w:rPr>
          <w:b/>
          <w:bCs/>
          <w:iCs/>
          <w:color w:val="000000"/>
        </w:rPr>
        <w:t xml:space="preserve"> that it is entitled to </w:t>
      </w:r>
      <w:r w:rsidR="00E95739" w:rsidRPr="003923C7">
        <w:rPr>
          <w:b/>
          <w:bCs/>
          <w:iCs/>
          <w:color w:val="000000"/>
        </w:rPr>
        <w:t xml:space="preserve">the </w:t>
      </w:r>
      <w:r w:rsidR="00E95739" w:rsidRPr="003923C7">
        <w:rPr>
          <w:b/>
        </w:rPr>
        <w:t>extraordinary</w:t>
      </w:r>
      <w:r w:rsidR="00E95739" w:rsidRPr="003923C7">
        <w:rPr>
          <w:b/>
          <w:bCs/>
          <w:iCs/>
          <w:color w:val="000000"/>
        </w:rPr>
        <w:t xml:space="preserve"> injunctive</w:t>
      </w:r>
      <w:r w:rsidR="00E95739">
        <w:rPr>
          <w:b/>
          <w:bCs/>
          <w:iCs/>
          <w:color w:val="000000"/>
        </w:rPr>
        <w:t xml:space="preserve"> relief it seeks.</w:t>
      </w:r>
    </w:p>
    <w:p w:rsidR="00E95739" w:rsidRPr="00F83DCE" w:rsidRDefault="00E95739" w:rsidP="00E95739">
      <w:pPr>
        <w:ind w:left="1440" w:hanging="720"/>
        <w:rPr>
          <w:b/>
          <w:bCs/>
          <w:iCs/>
          <w:color w:val="000000"/>
        </w:rPr>
      </w:pPr>
    </w:p>
    <w:p w:rsidR="00E95739" w:rsidRDefault="00AC0AF5" w:rsidP="00E95739">
      <w:pPr>
        <w:spacing w:line="480" w:lineRule="auto"/>
        <w:ind w:firstLine="720"/>
      </w:pPr>
      <w:r>
        <w:rPr>
          <w:bCs/>
          <w:iCs/>
          <w:color w:val="000000"/>
        </w:rPr>
        <w:t xml:space="preserve">The “emergency relief” </w:t>
      </w:r>
      <w:proofErr w:type="spellStart"/>
      <w:r>
        <w:rPr>
          <w:bCs/>
          <w:iCs/>
          <w:color w:val="000000"/>
        </w:rPr>
        <w:t>LifeConnex</w:t>
      </w:r>
      <w:proofErr w:type="spellEnd"/>
      <w:r>
        <w:rPr>
          <w:bCs/>
          <w:iCs/>
          <w:color w:val="000000"/>
        </w:rPr>
        <w:t xml:space="preserve"> seeks is for the Commission to order AT&amp;T Florida “to take no actions to suspend or otherwise interfere with </w:t>
      </w:r>
      <w:proofErr w:type="spellStart"/>
      <w:r>
        <w:rPr>
          <w:bCs/>
          <w:iCs/>
          <w:color w:val="000000"/>
        </w:rPr>
        <w:t>LifeConnex’s</w:t>
      </w:r>
      <w:proofErr w:type="spellEnd"/>
      <w:r>
        <w:rPr>
          <w:bCs/>
          <w:iCs/>
          <w:color w:val="000000"/>
        </w:rPr>
        <w:t xml:space="preserve"> service to its customers….”  </w:t>
      </w:r>
      <w:r>
        <w:rPr>
          <w:bCs/>
          <w:i/>
          <w:iCs/>
          <w:color w:val="000000"/>
        </w:rPr>
        <w:t>See</w:t>
      </w:r>
      <w:r>
        <w:rPr>
          <w:bCs/>
          <w:iCs/>
          <w:color w:val="000000"/>
        </w:rPr>
        <w:t xml:space="preserve"> Request at p.10, ¶ 25.</w:t>
      </w:r>
      <w:r>
        <w:t xml:space="preserve">  This is a request for injunctive relief, which is an extraordinary form of relief.  </w:t>
      </w:r>
      <w:r w:rsidR="00E95739">
        <w:t xml:space="preserve">Accordingly, a party seeking an injunction must produce evidence that satisfies a demanding test.    </w:t>
      </w:r>
    </w:p>
    <w:p w:rsidR="00E95739" w:rsidRDefault="00E95739" w:rsidP="00BB67E8">
      <w:pPr>
        <w:spacing w:line="480" w:lineRule="auto"/>
        <w:ind w:firstLine="720"/>
      </w:pPr>
      <w:r>
        <w:t xml:space="preserve">The test, which </w:t>
      </w:r>
      <w:proofErr w:type="spellStart"/>
      <w:r>
        <w:t>LifeConnex</w:t>
      </w:r>
      <w:proofErr w:type="spellEnd"/>
      <w:r>
        <w:t xml:space="preserve"> cannot meet, consists of</w:t>
      </w:r>
      <w:r w:rsidR="00285898">
        <w:t xml:space="preserve"> a showing of the following criteria</w:t>
      </w:r>
      <w:r>
        <w:t>:</w:t>
      </w:r>
      <w:r w:rsidR="00AC0AF5">
        <w:t xml:space="preserve"> (1) the likelihood of irreparable harm; (2) the unavailability of an adequate remedy at law; </w:t>
      </w:r>
      <w:r w:rsidR="00285898">
        <w:t xml:space="preserve">(3) </w:t>
      </w:r>
      <w:r w:rsidR="00AC0AF5">
        <w:t>s</w:t>
      </w:r>
      <w:r w:rsidR="00285898">
        <w:t xml:space="preserve">ubstantial likelihood of success on the merits; and (4) considerations of public interest.  </w:t>
      </w:r>
      <w:r w:rsidR="00285898">
        <w:rPr>
          <w:i/>
        </w:rPr>
        <w:t>See Tom v. Russ</w:t>
      </w:r>
      <w:r w:rsidR="00285898">
        <w:t>, 752 So.2d 1250 (Fla. 1</w:t>
      </w:r>
      <w:r w:rsidR="00285898" w:rsidRPr="00285898">
        <w:rPr>
          <w:vertAlign w:val="superscript"/>
        </w:rPr>
        <w:t>st</w:t>
      </w:r>
      <w:r w:rsidR="00285898">
        <w:t xml:space="preserve"> DCA 2000) citing </w:t>
      </w:r>
      <w:proofErr w:type="spellStart"/>
      <w:r w:rsidR="00285898">
        <w:rPr>
          <w:i/>
        </w:rPr>
        <w:t>Spradley</w:t>
      </w:r>
      <w:proofErr w:type="spellEnd"/>
      <w:r w:rsidR="00285898">
        <w:rPr>
          <w:i/>
        </w:rPr>
        <w:t xml:space="preserve"> v. Old Harmony Baptist Church</w:t>
      </w:r>
      <w:r w:rsidR="00285898">
        <w:t>, 721 So.2d 735, 737 (Fla. 1</w:t>
      </w:r>
      <w:r w:rsidR="00285898" w:rsidRPr="00285898">
        <w:rPr>
          <w:vertAlign w:val="superscript"/>
        </w:rPr>
        <w:t>st</w:t>
      </w:r>
      <w:r w:rsidR="00285898">
        <w:t xml:space="preserve"> DCA 1998).  In order for an injunction to be entered a court must specify the reasons for entry and “clear, definite, and unequivocally sufficient factual findings must support each of the four conclusions necessary to justify entry of a preliminary injunction.”  </w:t>
      </w:r>
      <w:r w:rsidR="00285898">
        <w:rPr>
          <w:i/>
        </w:rPr>
        <w:t>Id</w:t>
      </w:r>
      <w:r w:rsidR="00BB67E8">
        <w:rPr>
          <w:i/>
        </w:rPr>
        <w:t>.</w:t>
      </w:r>
      <w:r>
        <w:t xml:space="preserve"> </w:t>
      </w:r>
    </w:p>
    <w:p w:rsidR="00E95739" w:rsidRDefault="00D23E64" w:rsidP="00D23E64">
      <w:pPr>
        <w:spacing w:line="480" w:lineRule="auto"/>
        <w:ind w:firstLine="720"/>
      </w:pPr>
      <w:r>
        <w:rPr>
          <w:color w:val="000000"/>
        </w:rPr>
        <w:lastRenderedPageBreak/>
        <w:t>I</w:t>
      </w:r>
      <w:r w:rsidR="00E95739">
        <w:rPr>
          <w:color w:val="000000"/>
        </w:rPr>
        <w:t xml:space="preserve">n light of the plain language of the ICA discussed above, </w:t>
      </w:r>
      <w:proofErr w:type="spellStart"/>
      <w:r w:rsidR="00E95739">
        <w:rPr>
          <w:color w:val="000000"/>
        </w:rPr>
        <w:t>LifeConnex</w:t>
      </w:r>
      <w:proofErr w:type="spellEnd"/>
      <w:r w:rsidR="00E95739">
        <w:rPr>
          <w:color w:val="000000"/>
        </w:rPr>
        <w:t xml:space="preserve"> cannot prove that it has a r</w:t>
      </w:r>
      <w:r w:rsidR="00E95739">
        <w:t xml:space="preserve">ight to refuse to pay its bills or that it has a substantial likelihood of success on the merits of that position – to the contrary, </w:t>
      </w:r>
      <w:r w:rsidR="00D53840">
        <w:t xml:space="preserve">it </w:t>
      </w:r>
      <w:r w:rsidR="00E95739">
        <w:t xml:space="preserve">acknowledges that </w:t>
      </w:r>
      <w:r w:rsidR="00D53840">
        <w:t xml:space="preserve">it </w:t>
      </w:r>
      <w:r w:rsidR="00E95739" w:rsidRPr="0013193B">
        <w:t>“does not have the right to withhold disputed amounts.”</w:t>
      </w:r>
      <w:r w:rsidR="00E95739" w:rsidRPr="0013193B">
        <w:rPr>
          <w:rStyle w:val="FootnoteReference"/>
        </w:rPr>
        <w:footnoteReference w:id="22"/>
      </w:r>
      <w:r w:rsidR="00E95739" w:rsidRPr="0013193B">
        <w:t xml:space="preserve">  </w:t>
      </w:r>
      <w:r w:rsidR="00E95739">
        <w:t xml:space="preserve">Further, if </w:t>
      </w:r>
      <w:proofErr w:type="spellStart"/>
      <w:r w:rsidR="00E95739">
        <w:t>LifeConnex</w:t>
      </w:r>
      <w:proofErr w:type="spellEnd"/>
      <w:r w:rsidR="00E95739">
        <w:t xml:space="preserve"> has the money to pay its bills as it committed to do in the ICA, it will suffer no harm whatsoever – if its disputes are invalid, it merely will have paid amounts it was obligated to pay (and there is no “harm” in that), and if its disputes are valid, there is nothing to suggest that AT&amp;T </w:t>
      </w:r>
      <w:r w:rsidR="00467BA5">
        <w:t>Florida</w:t>
      </w:r>
      <w:r w:rsidR="00E95739">
        <w:t xml:space="preserve"> cannot provide it bill credits or payments in accordance with the Commission’s rulings in the Consolidated Phase </w:t>
      </w:r>
      <w:r w:rsidR="00E95739" w:rsidRPr="00760314">
        <w:t xml:space="preserve">of </w:t>
      </w:r>
      <w:r w:rsidR="00467BA5">
        <w:t xml:space="preserve">this </w:t>
      </w:r>
      <w:r w:rsidR="00E95739" w:rsidRPr="00760314">
        <w:rPr>
          <w:bCs/>
          <w:iCs/>
          <w:color w:val="000000"/>
        </w:rPr>
        <w:t>Docket</w:t>
      </w:r>
      <w:r w:rsidR="00E95739" w:rsidRPr="00760314">
        <w:t>.</w:t>
      </w:r>
      <w:r w:rsidR="00E95739">
        <w:t xml:space="preserve">  In contrast, if </w:t>
      </w:r>
      <w:proofErr w:type="spellStart"/>
      <w:r w:rsidR="00E95739">
        <w:t>LifeConnex</w:t>
      </w:r>
      <w:proofErr w:type="spellEnd"/>
      <w:r w:rsidR="00E95739">
        <w:t xml:space="preserve"> does not have the money to pay its bills (which apparently is the case), then the harm of requiring AT&amp;T </w:t>
      </w:r>
      <w:r w:rsidR="00467BA5">
        <w:t>Florida</w:t>
      </w:r>
      <w:r w:rsidR="00E95739">
        <w:t xml:space="preserve"> to provide even more service for which it will not be paid clearly outweighs any purported “harm” to </w:t>
      </w:r>
      <w:proofErr w:type="spellStart"/>
      <w:r w:rsidR="00E95739">
        <w:t>LifeConnex</w:t>
      </w:r>
      <w:proofErr w:type="spellEnd"/>
      <w:r w:rsidR="00E95739">
        <w:t xml:space="preserve">.  And while </w:t>
      </w:r>
      <w:proofErr w:type="spellStart"/>
      <w:r w:rsidR="00E95739">
        <w:t>LifeConnex</w:t>
      </w:r>
      <w:proofErr w:type="spellEnd"/>
      <w:r w:rsidR="00E95739">
        <w:t xml:space="preserve"> claims that its end users would no longer receive service if AT&amp;T </w:t>
      </w:r>
      <w:r w:rsidR="00467BA5">
        <w:t xml:space="preserve">Florida </w:t>
      </w:r>
      <w:r w:rsidR="00E95739">
        <w:t xml:space="preserve">disconnects or terminates </w:t>
      </w:r>
      <w:proofErr w:type="spellStart"/>
      <w:r w:rsidR="00E95739">
        <w:t>LifeConnex</w:t>
      </w:r>
      <w:proofErr w:type="spellEnd"/>
      <w:r w:rsidR="00E95739">
        <w:t xml:space="preserve"> for nonpayment, that claim goes too far.  While they may no longer receive service from </w:t>
      </w:r>
      <w:proofErr w:type="spellStart"/>
      <w:r w:rsidR="00E95739">
        <w:t>LifeConnex</w:t>
      </w:r>
      <w:proofErr w:type="spellEnd"/>
      <w:r w:rsidR="00E95739">
        <w:t xml:space="preserve">, there are a number of other carriers in </w:t>
      </w:r>
      <w:r w:rsidR="00467BA5">
        <w:t>Florida</w:t>
      </w:r>
      <w:r w:rsidR="00E95739">
        <w:t xml:space="preserve">, including other prepay resellers, from whom </w:t>
      </w:r>
      <w:proofErr w:type="spellStart"/>
      <w:r w:rsidR="00E95739">
        <w:t>LifeConnex’s</w:t>
      </w:r>
      <w:proofErr w:type="spellEnd"/>
      <w:r w:rsidR="00E95739">
        <w:t xml:space="preserve"> current end users can receive service.</w:t>
      </w:r>
      <w:r>
        <w:t xml:space="preserve">  </w:t>
      </w:r>
      <w:r w:rsidR="00E95739">
        <w:t xml:space="preserve">        </w:t>
      </w:r>
    </w:p>
    <w:p w:rsidR="00A12E95" w:rsidRPr="00A12E95" w:rsidRDefault="00A12E95" w:rsidP="00A12E95">
      <w:pPr>
        <w:spacing w:line="480" w:lineRule="auto"/>
        <w:jc w:val="center"/>
        <w:rPr>
          <w:b/>
        </w:rPr>
      </w:pPr>
      <w:r w:rsidRPr="00A12E95">
        <w:rPr>
          <w:b/>
        </w:rPr>
        <w:t xml:space="preserve">III. </w:t>
      </w:r>
      <w:r w:rsidRPr="00A12E95">
        <w:rPr>
          <w:b/>
        </w:rPr>
        <w:tab/>
        <w:t>CONCLUSION</w:t>
      </w:r>
    </w:p>
    <w:p w:rsidR="00A12E95" w:rsidRDefault="00A12E95" w:rsidP="00A12E95">
      <w:pPr>
        <w:spacing w:line="480" w:lineRule="auto"/>
        <w:ind w:firstLine="720"/>
        <w:rPr>
          <w:bCs/>
          <w:iCs/>
          <w:color w:val="000000"/>
        </w:rPr>
      </w:pPr>
      <w:r>
        <w:rPr>
          <w:bCs/>
          <w:iCs/>
          <w:color w:val="000000"/>
        </w:rPr>
        <w:t xml:space="preserve">In conclusion, based upon the reasons set forth above, AT&amp;T Florida respectfully requests that the Commission deny </w:t>
      </w:r>
      <w:proofErr w:type="spellStart"/>
      <w:r>
        <w:rPr>
          <w:bCs/>
          <w:iCs/>
          <w:color w:val="000000"/>
        </w:rPr>
        <w:t>LifeConnex’s</w:t>
      </w:r>
      <w:proofErr w:type="spellEnd"/>
      <w:r>
        <w:rPr>
          <w:bCs/>
          <w:iCs/>
          <w:color w:val="000000"/>
        </w:rPr>
        <w:t xml:space="preserve"> Request.</w:t>
      </w:r>
    </w:p>
    <w:p w:rsidR="00E91EBF" w:rsidRDefault="004A5E1F" w:rsidP="004A5E1F">
      <w:pPr>
        <w:spacing w:line="480" w:lineRule="auto"/>
        <w:ind w:firstLine="720"/>
      </w:pPr>
      <w:r>
        <w:rPr>
          <w:bCs/>
          <w:iCs/>
          <w:color w:val="000000"/>
        </w:rPr>
        <w:t xml:space="preserve">WHEREFORE, </w:t>
      </w:r>
      <w:r>
        <w:t xml:space="preserve">for the foregoing reasons, AT&amp;T Florida requests that the Commission deny the </w:t>
      </w:r>
      <w:proofErr w:type="spellStart"/>
      <w:r>
        <w:t>LifeConnex’s</w:t>
      </w:r>
      <w:proofErr w:type="spellEnd"/>
      <w:r>
        <w:t xml:space="preserve"> Request for Emergency Relief.</w:t>
      </w:r>
    </w:p>
    <w:p w:rsidR="004A5E1F" w:rsidRDefault="004A5E1F" w:rsidP="004A5E1F">
      <w:pPr>
        <w:spacing w:line="480" w:lineRule="auto"/>
        <w:ind w:firstLine="720"/>
      </w:pPr>
      <w:r>
        <w:t xml:space="preserve">  </w:t>
      </w:r>
    </w:p>
    <w:p w:rsidR="0013193B" w:rsidRDefault="0013193B" w:rsidP="004A5E1F">
      <w:pPr>
        <w:spacing w:line="480" w:lineRule="auto"/>
        <w:ind w:firstLine="720"/>
      </w:pPr>
    </w:p>
    <w:p w:rsidR="0013193B" w:rsidRDefault="0013193B" w:rsidP="004A5E1F">
      <w:pPr>
        <w:spacing w:line="480" w:lineRule="auto"/>
        <w:ind w:firstLine="720"/>
      </w:pPr>
    </w:p>
    <w:p w:rsidR="00E95739" w:rsidRDefault="00E95739" w:rsidP="00E95739">
      <w:pPr>
        <w:spacing w:line="480" w:lineRule="auto"/>
        <w:rPr>
          <w:bCs/>
          <w:iCs/>
          <w:color w:val="000000"/>
        </w:rPr>
      </w:pPr>
      <w:r>
        <w:rPr>
          <w:bCs/>
          <w:iCs/>
          <w:color w:val="000000"/>
        </w:rPr>
        <w:lastRenderedPageBreak/>
        <w:tab/>
      </w:r>
      <w:proofErr w:type="gramStart"/>
      <w:r>
        <w:rPr>
          <w:bCs/>
          <w:iCs/>
          <w:color w:val="000000"/>
        </w:rPr>
        <w:t>Respectfully submitted this 6th day of July, 201</w:t>
      </w:r>
      <w:r w:rsidR="00DE5BED">
        <w:rPr>
          <w:bCs/>
          <w:iCs/>
          <w:color w:val="000000"/>
        </w:rPr>
        <w:t>0</w:t>
      </w:r>
      <w:r>
        <w:rPr>
          <w:bCs/>
          <w:iCs/>
          <w:color w:val="000000"/>
        </w:rPr>
        <w:t>.</w:t>
      </w:r>
      <w:proofErr w:type="gramEnd"/>
    </w:p>
    <w:p w:rsidR="00E95739" w:rsidRDefault="00E95739" w:rsidP="00E95739">
      <w:pPr>
        <w:spacing w:line="480" w:lineRule="auto"/>
        <w:rPr>
          <w:bCs/>
          <w:iCs/>
          <w:color w:val="000000"/>
        </w:rPr>
      </w:pPr>
    </w:p>
    <w:p w:rsidR="00E95739" w:rsidRDefault="00E95739" w:rsidP="00E95739">
      <w:pPr>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_______________________________</w:t>
      </w:r>
    </w:p>
    <w:p w:rsidR="00E95739" w:rsidRDefault="00E95739" w:rsidP="00E95739">
      <w:pPr>
        <w:pStyle w:val="BodyText"/>
        <w:spacing w:after="0"/>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t xml:space="preserve">E. Earl </w:t>
      </w:r>
      <w:proofErr w:type="spellStart"/>
      <w:r>
        <w:t>Edenfield</w:t>
      </w:r>
      <w:proofErr w:type="spellEnd"/>
      <w:r>
        <w:t>, Jr.</w:t>
      </w:r>
    </w:p>
    <w:p w:rsidR="00E95739" w:rsidRDefault="00E95739" w:rsidP="00E95739">
      <w:pPr>
        <w:pStyle w:val="BodyText"/>
        <w:spacing w:after="0"/>
      </w:pPr>
      <w:r>
        <w:tab/>
      </w:r>
      <w:r>
        <w:tab/>
      </w:r>
      <w:r>
        <w:tab/>
      </w:r>
      <w:r>
        <w:tab/>
      </w:r>
      <w:r>
        <w:tab/>
      </w:r>
      <w:r>
        <w:tab/>
      </w:r>
      <w:r>
        <w:tab/>
        <w:t>Tracy W. Hatch</w:t>
      </w:r>
    </w:p>
    <w:p w:rsidR="00E95739" w:rsidRDefault="00E95739" w:rsidP="00E95739">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t>Manuel A. Gurdian</w:t>
      </w:r>
    </w:p>
    <w:p w:rsidR="00E95739" w:rsidRDefault="00E95739" w:rsidP="00E95739">
      <w:pPr>
        <w:pStyle w:val="BodyText"/>
        <w:spacing w:after="0"/>
      </w:pPr>
      <w:r>
        <w:tab/>
      </w:r>
      <w:r>
        <w:tab/>
      </w:r>
      <w:r>
        <w:tab/>
      </w:r>
      <w:r>
        <w:tab/>
      </w:r>
      <w:r>
        <w:tab/>
      </w:r>
      <w:r>
        <w:tab/>
      </w:r>
      <w:r>
        <w:tab/>
        <w:t>AT&amp;T Florida</w:t>
      </w:r>
    </w:p>
    <w:p w:rsidR="00E95739" w:rsidRDefault="00E95739" w:rsidP="00E95739">
      <w:pPr>
        <w:pStyle w:val="BodyText"/>
        <w:spacing w:after="0"/>
      </w:pPr>
      <w:r>
        <w:tab/>
      </w:r>
      <w:r>
        <w:tab/>
      </w:r>
      <w:r>
        <w:tab/>
      </w:r>
      <w:r>
        <w:tab/>
      </w:r>
      <w:r>
        <w:tab/>
      </w:r>
      <w:r>
        <w:tab/>
      </w:r>
      <w:r>
        <w:tab/>
      </w:r>
      <w:proofErr w:type="gramStart"/>
      <w:r>
        <w:t>c/o</w:t>
      </w:r>
      <w:proofErr w:type="gramEnd"/>
      <w:r>
        <w:t xml:space="preserve"> Gregory R. Follensbee</w:t>
      </w:r>
    </w:p>
    <w:p w:rsidR="00E95739" w:rsidRDefault="00E95739" w:rsidP="00E95739">
      <w:pPr>
        <w:pStyle w:val="BodyText"/>
        <w:spacing w:after="0"/>
      </w:pPr>
      <w:r>
        <w:tab/>
      </w:r>
      <w:r>
        <w:tab/>
      </w:r>
      <w:r>
        <w:tab/>
      </w:r>
      <w:r>
        <w:tab/>
      </w:r>
      <w:r>
        <w:tab/>
      </w:r>
      <w:r>
        <w:tab/>
      </w:r>
      <w:r>
        <w:tab/>
        <w:t>150 South Monroe Street</w:t>
      </w:r>
    </w:p>
    <w:p w:rsidR="00E95739" w:rsidRDefault="00E95739" w:rsidP="00E95739">
      <w:pPr>
        <w:pStyle w:val="BodyText"/>
        <w:spacing w:after="0"/>
      </w:pPr>
      <w:r>
        <w:tab/>
      </w:r>
      <w:r>
        <w:tab/>
      </w:r>
      <w:r>
        <w:tab/>
      </w:r>
      <w:r>
        <w:tab/>
      </w:r>
      <w:r>
        <w:tab/>
      </w:r>
      <w:r>
        <w:tab/>
      </w:r>
      <w:r>
        <w:tab/>
        <w:t>Suite 400</w:t>
      </w:r>
    </w:p>
    <w:p w:rsidR="00E95739" w:rsidRDefault="00E95739" w:rsidP="00E95739">
      <w:pPr>
        <w:pStyle w:val="BodyText"/>
        <w:spacing w:after="0"/>
      </w:pPr>
      <w:r>
        <w:tab/>
      </w:r>
      <w:r>
        <w:tab/>
      </w:r>
      <w:r>
        <w:tab/>
      </w:r>
      <w:r>
        <w:tab/>
      </w:r>
      <w:r>
        <w:tab/>
      </w:r>
      <w:r>
        <w:tab/>
      </w:r>
      <w:r>
        <w:tab/>
        <w:t>Tallahassee, FL  32301</w:t>
      </w:r>
    </w:p>
    <w:p w:rsidR="00E95739" w:rsidRDefault="00E95739" w:rsidP="00E95739">
      <w:pPr>
        <w:pStyle w:val="BodyText"/>
        <w:spacing w:after="0"/>
      </w:pPr>
      <w:r>
        <w:tab/>
      </w:r>
      <w:r>
        <w:tab/>
      </w:r>
      <w:r>
        <w:tab/>
      </w:r>
      <w:r>
        <w:tab/>
      </w:r>
      <w:r>
        <w:tab/>
      </w:r>
      <w:r>
        <w:tab/>
      </w:r>
      <w:r>
        <w:tab/>
      </w:r>
      <w:proofErr w:type="gramStart"/>
      <w:r>
        <w:t>Tel. No.</w:t>
      </w:r>
      <w:proofErr w:type="gramEnd"/>
      <w:r>
        <w:t xml:space="preserve"> (305) 347-5558</w:t>
      </w:r>
    </w:p>
    <w:p w:rsidR="00E95739" w:rsidRDefault="00E95739" w:rsidP="00E95739">
      <w:pPr>
        <w:pStyle w:val="BodyText"/>
        <w:spacing w:after="0"/>
      </w:pPr>
      <w:r>
        <w:tab/>
      </w:r>
      <w:r>
        <w:tab/>
      </w:r>
      <w:r>
        <w:tab/>
      </w:r>
      <w:r>
        <w:tab/>
      </w:r>
      <w:r>
        <w:tab/>
      </w:r>
      <w:r>
        <w:tab/>
      </w:r>
      <w:r>
        <w:tab/>
      </w:r>
      <w:proofErr w:type="gramStart"/>
      <w:r>
        <w:t>Fax.</w:t>
      </w:r>
      <w:proofErr w:type="gramEnd"/>
      <w:r>
        <w:t xml:space="preserve"> No. (305) 577-4491</w:t>
      </w:r>
    </w:p>
    <w:p w:rsidR="00E95739" w:rsidRDefault="00E95739" w:rsidP="00E95739">
      <w:pPr>
        <w:pStyle w:val="BodyText"/>
        <w:spacing w:after="0"/>
      </w:pPr>
      <w:r>
        <w:tab/>
      </w:r>
      <w:r>
        <w:tab/>
      </w:r>
      <w:r>
        <w:tab/>
      </w:r>
      <w:r>
        <w:tab/>
      </w:r>
      <w:r>
        <w:tab/>
      </w:r>
      <w:r>
        <w:tab/>
      </w:r>
      <w:r>
        <w:tab/>
      </w:r>
      <w:hyperlink r:id="rId8" w:history="1">
        <w:r w:rsidRPr="006F458A">
          <w:rPr>
            <w:rStyle w:val="Hyperlink"/>
          </w:rPr>
          <w:t>ke2722@att.com</w:t>
        </w:r>
      </w:hyperlink>
    </w:p>
    <w:p w:rsidR="00E95739" w:rsidRDefault="00E95739" w:rsidP="00E95739">
      <w:pPr>
        <w:pStyle w:val="BodyText"/>
        <w:spacing w:after="0"/>
      </w:pPr>
      <w:r>
        <w:tab/>
      </w:r>
      <w:r>
        <w:tab/>
      </w:r>
      <w:r>
        <w:tab/>
      </w:r>
      <w:r>
        <w:tab/>
      </w:r>
      <w:r>
        <w:tab/>
      </w:r>
      <w:r>
        <w:tab/>
      </w:r>
      <w:r>
        <w:tab/>
      </w:r>
      <w:hyperlink r:id="rId9" w:history="1">
        <w:r w:rsidRPr="006F458A">
          <w:rPr>
            <w:rStyle w:val="Hyperlink"/>
          </w:rPr>
          <w:t>th9467@att.com</w:t>
        </w:r>
      </w:hyperlink>
    </w:p>
    <w:p w:rsidR="00E95739" w:rsidRDefault="00E95739" w:rsidP="00E95739">
      <w:pPr>
        <w:pStyle w:val="BodyText"/>
        <w:spacing w:after="0"/>
      </w:pPr>
      <w:r>
        <w:tab/>
      </w:r>
      <w:r>
        <w:tab/>
      </w:r>
      <w:r>
        <w:tab/>
      </w:r>
      <w:r>
        <w:tab/>
      </w:r>
      <w:r>
        <w:tab/>
      </w:r>
      <w:r>
        <w:tab/>
      </w:r>
      <w:r>
        <w:tab/>
      </w:r>
      <w:hyperlink r:id="rId10" w:history="1">
        <w:r w:rsidRPr="006F458A">
          <w:rPr>
            <w:rStyle w:val="Hyperlink"/>
          </w:rPr>
          <w:t>mg2708@att.com</w:t>
        </w:r>
      </w:hyperlink>
    </w:p>
    <w:p w:rsidR="00E95739" w:rsidRDefault="00E95739" w:rsidP="00E95739">
      <w:pPr>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p>
    <w:p w:rsidR="00E95739" w:rsidRDefault="00E95739" w:rsidP="00E95739">
      <w:pPr>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ATTORNEYS FOR BELLSOUTH</w:t>
      </w:r>
    </w:p>
    <w:p w:rsidR="00E95739" w:rsidRDefault="00E95739" w:rsidP="00E95739">
      <w:pPr>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TELECOMMUNICATIONS, INC., d/b/a</w:t>
      </w:r>
    </w:p>
    <w:p w:rsidR="00E95739" w:rsidRDefault="00E95739" w:rsidP="00E95739">
      <w:pPr>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AT&amp;T FLORIDA</w:t>
      </w:r>
    </w:p>
    <w:p w:rsidR="008F637D" w:rsidRDefault="008F637D" w:rsidP="00E95739">
      <w:pPr>
        <w:rPr>
          <w:bCs/>
          <w:iCs/>
          <w:color w:val="000000"/>
        </w:rPr>
      </w:pPr>
    </w:p>
    <w:p w:rsidR="008F637D" w:rsidRPr="008F637D" w:rsidRDefault="008F637D" w:rsidP="00E95739">
      <w:pPr>
        <w:rPr>
          <w:bCs/>
          <w:iCs/>
          <w:color w:val="000000"/>
          <w:sz w:val="16"/>
          <w:szCs w:val="16"/>
        </w:rPr>
      </w:pPr>
      <w:r>
        <w:rPr>
          <w:bCs/>
          <w:iCs/>
          <w:color w:val="000000"/>
          <w:sz w:val="16"/>
          <w:szCs w:val="16"/>
        </w:rPr>
        <w:t>827393</w:t>
      </w:r>
    </w:p>
    <w:p w:rsidR="00E95739" w:rsidRDefault="00E95739" w:rsidP="00E95739">
      <w:pPr>
        <w:jc w:val="center"/>
        <w:rPr>
          <w:bCs/>
          <w:iCs/>
          <w:color w:val="000000"/>
        </w:rPr>
      </w:pPr>
    </w:p>
    <w:p w:rsidR="00E95739" w:rsidRDefault="00E95739" w:rsidP="00E95739">
      <w:pPr>
        <w:jc w:val="center"/>
        <w:rPr>
          <w:bCs/>
          <w:iCs/>
          <w:color w:val="000000"/>
        </w:rPr>
      </w:pPr>
    </w:p>
    <w:p w:rsidR="00E95739" w:rsidRDefault="00E95739" w:rsidP="00E95739">
      <w:pPr>
        <w:jc w:val="center"/>
        <w:rPr>
          <w:bCs/>
          <w:iCs/>
          <w:color w:val="000000"/>
        </w:rPr>
      </w:pPr>
    </w:p>
    <w:p w:rsidR="00E95739" w:rsidRDefault="00E95739" w:rsidP="00E95739">
      <w:pPr>
        <w:jc w:val="center"/>
        <w:rPr>
          <w:bCs/>
          <w:iCs/>
          <w:color w:val="000000"/>
        </w:rPr>
      </w:pPr>
    </w:p>
    <w:p w:rsidR="00E95739" w:rsidRDefault="00E95739" w:rsidP="00E95739">
      <w:pPr>
        <w:jc w:val="center"/>
        <w:rPr>
          <w:bCs/>
          <w:iCs/>
          <w:color w:val="000000"/>
        </w:rPr>
      </w:pPr>
    </w:p>
    <w:p w:rsidR="00E95739" w:rsidRDefault="00E95739" w:rsidP="00E95739">
      <w:pPr>
        <w:jc w:val="center"/>
        <w:rPr>
          <w:bCs/>
          <w:iCs/>
          <w:color w:val="000000"/>
          <w:sz w:val="16"/>
          <w:szCs w:val="16"/>
        </w:rPr>
      </w:pPr>
    </w:p>
    <w:p w:rsidR="00E95739" w:rsidRDefault="00E95739" w:rsidP="00E95739">
      <w:pPr>
        <w:jc w:val="center"/>
        <w:rPr>
          <w:bCs/>
          <w:iCs/>
          <w:color w:val="000000"/>
          <w:sz w:val="16"/>
          <w:szCs w:val="16"/>
        </w:rPr>
      </w:pPr>
    </w:p>
    <w:p w:rsidR="00E95739" w:rsidRDefault="00E95739" w:rsidP="00E95739">
      <w:pPr>
        <w:jc w:val="center"/>
        <w:rPr>
          <w:bCs/>
          <w:iCs/>
          <w:color w:val="000000"/>
          <w:sz w:val="16"/>
          <w:szCs w:val="16"/>
        </w:rPr>
      </w:pPr>
    </w:p>
    <w:p w:rsidR="00E95739" w:rsidRDefault="00E95739" w:rsidP="00E95739">
      <w:pPr>
        <w:jc w:val="center"/>
        <w:rPr>
          <w:bCs/>
          <w:iCs/>
          <w:color w:val="000000"/>
          <w:sz w:val="16"/>
          <w:szCs w:val="16"/>
        </w:rPr>
      </w:pPr>
    </w:p>
    <w:p w:rsidR="00E95739" w:rsidRDefault="00E95739" w:rsidP="00E95739">
      <w:pPr>
        <w:rPr>
          <w:bCs/>
          <w:iCs/>
          <w:color w:val="000000"/>
          <w:sz w:val="16"/>
          <w:szCs w:val="16"/>
        </w:rPr>
      </w:pPr>
    </w:p>
    <w:p w:rsidR="00E95739" w:rsidRDefault="00E95739" w:rsidP="00E95739">
      <w:pPr>
        <w:rPr>
          <w:bCs/>
          <w:iCs/>
          <w:color w:val="000000"/>
          <w:sz w:val="16"/>
          <w:szCs w:val="16"/>
        </w:rPr>
      </w:pPr>
    </w:p>
    <w:p w:rsidR="00E95739" w:rsidRDefault="00E95739" w:rsidP="00E95739">
      <w:pPr>
        <w:rPr>
          <w:bCs/>
          <w:iCs/>
          <w:color w:val="000000"/>
          <w:sz w:val="16"/>
          <w:szCs w:val="16"/>
        </w:rPr>
      </w:pPr>
    </w:p>
    <w:p w:rsidR="00E95739" w:rsidRDefault="00E95739" w:rsidP="00E95739">
      <w:pPr>
        <w:rPr>
          <w:bCs/>
          <w:iCs/>
          <w:color w:val="000000"/>
          <w:sz w:val="16"/>
          <w:szCs w:val="16"/>
        </w:rPr>
      </w:pPr>
    </w:p>
    <w:p w:rsidR="00E95739" w:rsidRDefault="00E95739" w:rsidP="00E95739">
      <w:pPr>
        <w:rPr>
          <w:bCs/>
          <w:iCs/>
          <w:color w:val="000000"/>
          <w:sz w:val="16"/>
          <w:szCs w:val="16"/>
        </w:rPr>
      </w:pPr>
    </w:p>
    <w:p w:rsidR="00F31D6A" w:rsidRDefault="00F31D6A"/>
    <w:sectPr w:rsidR="00F31D6A" w:rsidSect="00F65556">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C6" w:rsidRDefault="00B819C6" w:rsidP="00E95739">
      <w:r>
        <w:separator/>
      </w:r>
    </w:p>
  </w:endnote>
  <w:endnote w:type="continuationSeparator" w:id="0">
    <w:p w:rsidR="00B819C6" w:rsidRDefault="00B819C6" w:rsidP="00E95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55" w:rsidRDefault="002A13B9">
    <w:pPr>
      <w:pStyle w:val="Footer"/>
      <w:jc w:val="center"/>
    </w:pPr>
    <w:r>
      <w:fldChar w:fldCharType="begin"/>
    </w:r>
    <w:r w:rsidR="00A12E95">
      <w:instrText xml:space="preserve"> PAGE   \* MERGEFORMAT </w:instrText>
    </w:r>
    <w:r>
      <w:fldChar w:fldCharType="separate"/>
    </w:r>
    <w:r w:rsidR="004125B9">
      <w:rPr>
        <w:noProof/>
      </w:rPr>
      <w:t>13</w:t>
    </w:r>
    <w:r>
      <w:fldChar w:fldCharType="end"/>
    </w:r>
  </w:p>
  <w:p w:rsidR="00DE4555" w:rsidRDefault="0041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C6" w:rsidRDefault="00B819C6" w:rsidP="00E95739">
      <w:r>
        <w:separator/>
      </w:r>
    </w:p>
  </w:footnote>
  <w:footnote w:type="continuationSeparator" w:id="0">
    <w:p w:rsidR="00B819C6" w:rsidRDefault="00B819C6" w:rsidP="00E95739">
      <w:r>
        <w:continuationSeparator/>
      </w:r>
    </w:p>
  </w:footnote>
  <w:footnote w:id="1">
    <w:p w:rsidR="00B55B92" w:rsidRDefault="00B55B92">
      <w:pPr>
        <w:pStyle w:val="FootnoteText"/>
      </w:pPr>
      <w:r>
        <w:rPr>
          <w:rStyle w:val="FootnoteReference"/>
        </w:rPr>
        <w:footnoteRef/>
      </w:r>
      <w:r>
        <w:t xml:space="preserve"> </w:t>
      </w:r>
      <w:r>
        <w:tab/>
      </w:r>
      <w:r w:rsidR="00E217F3">
        <w:t xml:space="preserve">Under the Commission’s Rules, there is no such procedural vehicle as a “Request” for Emergency Relief.  </w:t>
      </w:r>
      <w:r w:rsidR="0008577A">
        <w:t xml:space="preserve">AT&amp;T Florida believes that </w:t>
      </w:r>
      <w:proofErr w:type="spellStart"/>
      <w:r w:rsidR="0008577A">
        <w:t>LifeConnex</w:t>
      </w:r>
      <w:proofErr w:type="spellEnd"/>
      <w:r w:rsidR="0008577A">
        <w:t xml:space="preserve"> styled its pleading as a “Request” rather than as a Petition or Motion because </w:t>
      </w:r>
      <w:proofErr w:type="spellStart"/>
      <w:r w:rsidR="0008577A">
        <w:t>LifeConnex</w:t>
      </w:r>
      <w:proofErr w:type="spellEnd"/>
      <w:r w:rsidR="0008577A">
        <w:t xml:space="preserve"> understands that the Commission has no jurisdiction to enter the requested injunctive relief.</w:t>
      </w:r>
      <w:r w:rsidR="0035245D">
        <w:t xml:space="preserve"> </w:t>
      </w:r>
    </w:p>
  </w:footnote>
  <w:footnote w:id="2">
    <w:p w:rsidR="00FC7316" w:rsidRPr="00FC7316" w:rsidRDefault="00FC7316">
      <w:pPr>
        <w:pStyle w:val="FootnoteText"/>
      </w:pPr>
      <w:r>
        <w:rPr>
          <w:rStyle w:val="FootnoteReference"/>
        </w:rPr>
        <w:footnoteRef/>
      </w:r>
      <w:r>
        <w:t xml:space="preserve"> </w:t>
      </w:r>
      <w:r>
        <w:tab/>
        <w:t xml:space="preserve">On June 29, 2010, </w:t>
      </w:r>
      <w:proofErr w:type="spellStart"/>
      <w:r>
        <w:t>LifeConnex</w:t>
      </w:r>
      <w:proofErr w:type="spellEnd"/>
      <w:r>
        <w:t xml:space="preserve"> filed a similar Request in a docket pending before the Alabama Public Service Commission.  </w:t>
      </w:r>
      <w:r>
        <w:rPr>
          <w:i/>
        </w:rPr>
        <w:t xml:space="preserve">See In re: Petition of </w:t>
      </w:r>
      <w:proofErr w:type="spellStart"/>
      <w:r>
        <w:rPr>
          <w:i/>
        </w:rPr>
        <w:t>LifeConnex</w:t>
      </w:r>
      <w:proofErr w:type="spellEnd"/>
      <w:r>
        <w:rPr>
          <w:i/>
        </w:rPr>
        <w:t xml:space="preserve"> Telecom, Inc. (f/k/a </w:t>
      </w:r>
      <w:proofErr w:type="spellStart"/>
      <w:r>
        <w:rPr>
          <w:i/>
        </w:rPr>
        <w:t>Swiftel</w:t>
      </w:r>
      <w:proofErr w:type="spellEnd"/>
      <w:r>
        <w:rPr>
          <w:i/>
        </w:rPr>
        <w:t>) for Temporary Emergency Relief to Prevent Suspension of Servic</w:t>
      </w:r>
      <w:r w:rsidRPr="00A85A1B">
        <w:rPr>
          <w:i/>
        </w:rPr>
        <w:t>e</w:t>
      </w:r>
      <w:r w:rsidRPr="00A85A1B">
        <w:t>.</w:t>
      </w:r>
      <w:r>
        <w:t xml:space="preserve"> </w:t>
      </w:r>
      <w:r w:rsidR="009E619F">
        <w:t xml:space="preserve">  </w:t>
      </w:r>
      <w:proofErr w:type="spellStart"/>
      <w:r w:rsidR="009E619F">
        <w:t>LifeConnex</w:t>
      </w:r>
      <w:proofErr w:type="spellEnd"/>
      <w:r w:rsidR="009E619F">
        <w:t xml:space="preserve"> owes AT&amp;T Alabama more than $12 million in past due charges</w:t>
      </w:r>
      <w:r w:rsidR="00725FFA">
        <w:t xml:space="preserve"> for services provided in Alabama</w:t>
      </w:r>
      <w:r w:rsidR="009E619F">
        <w:t>.</w:t>
      </w:r>
    </w:p>
  </w:footnote>
  <w:footnote w:id="3">
    <w:p w:rsidR="00784227" w:rsidRPr="00FC7316" w:rsidRDefault="00E95739">
      <w:pPr>
        <w:pStyle w:val="FootnoteText"/>
        <w:rPr>
          <w:i/>
        </w:rPr>
      </w:pPr>
      <w:r w:rsidRPr="00FC7316">
        <w:rPr>
          <w:rStyle w:val="FootnoteReference"/>
        </w:rPr>
        <w:footnoteRef/>
      </w:r>
      <w:r w:rsidRPr="00FC7316">
        <w:t xml:space="preserve"> </w:t>
      </w:r>
      <w:r w:rsidRPr="00FC7316">
        <w:tab/>
      </w:r>
      <w:r w:rsidRPr="00FC7316">
        <w:rPr>
          <w:i/>
        </w:rPr>
        <w:t xml:space="preserve">See </w:t>
      </w:r>
      <w:r w:rsidRPr="00FC7316">
        <w:t>Docket No. 070632</w:t>
      </w:r>
      <w:r w:rsidR="00784227" w:rsidRPr="00FC7316">
        <w:t xml:space="preserve">, </w:t>
      </w:r>
      <w:r w:rsidR="00784227" w:rsidRPr="00FC7316">
        <w:rPr>
          <w:i/>
        </w:rPr>
        <w:t xml:space="preserve">In re: Request for approval of interconnection, unbundling, resale and collocation agreement, and one amendment, between BellSouth Telecommunications, Inc. d/b/a AT&amp;T Florida d/b/a AT&amp;T Southeast and </w:t>
      </w:r>
      <w:proofErr w:type="spellStart"/>
      <w:r w:rsidR="00784227" w:rsidRPr="00FC7316">
        <w:rPr>
          <w:i/>
        </w:rPr>
        <w:t>Swiftel</w:t>
      </w:r>
      <w:proofErr w:type="spellEnd"/>
      <w:r w:rsidR="00784227" w:rsidRPr="00FC7316">
        <w:rPr>
          <w:i/>
        </w:rPr>
        <w:t>, LLC.</w:t>
      </w:r>
    </w:p>
  </w:footnote>
  <w:footnote w:id="4">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r w:rsidRPr="00FC7316">
        <w:rPr>
          <w:bCs/>
          <w:i/>
          <w:iCs/>
          <w:color w:val="000000"/>
          <w:szCs w:val="18"/>
        </w:rPr>
        <w:t xml:space="preserve">See </w:t>
      </w:r>
      <w:r w:rsidRPr="00FC7316">
        <w:rPr>
          <w:bCs/>
          <w:iCs/>
          <w:color w:val="000000"/>
          <w:szCs w:val="18"/>
        </w:rPr>
        <w:t xml:space="preserve">Commission Staff Memorandum dated December 28, 2007 filed in Docket No. 070632. </w:t>
      </w:r>
    </w:p>
  </w:footnote>
  <w:footnote w:id="5">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t>See ICA, Attachment 7, p</w:t>
      </w:r>
      <w:r w:rsidR="003D42B5">
        <w:rPr>
          <w:szCs w:val="18"/>
        </w:rPr>
        <w:t>.</w:t>
      </w:r>
      <w:r w:rsidRPr="00FC7316">
        <w:rPr>
          <w:szCs w:val="18"/>
        </w:rPr>
        <w:t xml:space="preserve"> 6, §§1.4 and 1.4.1 (emphasis added).  Exhibit 1 to this Response is a copy of Attachment 7 to the parties’ ICA.   </w:t>
      </w:r>
    </w:p>
  </w:footnote>
  <w:footnote w:id="6">
    <w:p w:rsidR="00725FFA" w:rsidRDefault="00725FFA">
      <w:pPr>
        <w:pStyle w:val="FootnoteText"/>
      </w:pPr>
      <w:r>
        <w:rPr>
          <w:rStyle w:val="FootnoteReference"/>
        </w:rPr>
        <w:footnoteRef/>
      </w:r>
      <w:r>
        <w:t xml:space="preserve"> </w:t>
      </w:r>
      <w:r>
        <w:tab/>
        <w:t>On Friday, July 2, 2010, AT&amp;T Florida offered to extend this deadline to July 13, 2010.</w:t>
      </w:r>
    </w:p>
  </w:footnote>
  <w:footnote w:id="7">
    <w:p w:rsidR="00FC7316" w:rsidRDefault="00FC7316">
      <w:pPr>
        <w:pStyle w:val="FootnoteText"/>
      </w:pPr>
      <w:r>
        <w:rPr>
          <w:rStyle w:val="FootnoteReference"/>
        </w:rPr>
        <w:footnoteRef/>
      </w:r>
      <w:r>
        <w:t xml:space="preserve"> </w:t>
      </w:r>
      <w:r>
        <w:tab/>
        <w:t xml:space="preserve">The June 18, 2010 letter </w:t>
      </w:r>
      <w:r w:rsidR="00725FFA">
        <w:t xml:space="preserve">and attachments are </w:t>
      </w:r>
      <w:r>
        <w:t xml:space="preserve">also attached as Exhibit A to </w:t>
      </w:r>
      <w:proofErr w:type="spellStart"/>
      <w:r>
        <w:t>LifeConnex’s</w:t>
      </w:r>
      <w:proofErr w:type="spellEnd"/>
      <w:r>
        <w:t xml:space="preserve"> Request.</w:t>
      </w:r>
    </w:p>
  </w:footnote>
  <w:footnote w:id="8">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proofErr w:type="gramStart"/>
      <w:r w:rsidR="00B22182" w:rsidRPr="00B22182">
        <w:rPr>
          <w:szCs w:val="18"/>
        </w:rPr>
        <w:t>Request</w:t>
      </w:r>
      <w:r w:rsidRPr="00B22182">
        <w:rPr>
          <w:szCs w:val="18"/>
        </w:rPr>
        <w:t xml:space="preserve"> at p</w:t>
      </w:r>
      <w:r w:rsidR="000521AC">
        <w:rPr>
          <w:szCs w:val="18"/>
        </w:rPr>
        <w:t>p</w:t>
      </w:r>
      <w:r w:rsidRPr="00B22182">
        <w:rPr>
          <w:szCs w:val="18"/>
        </w:rPr>
        <w:t>. 4</w:t>
      </w:r>
      <w:r w:rsidR="00382BDF" w:rsidRPr="00B22182">
        <w:rPr>
          <w:szCs w:val="18"/>
        </w:rPr>
        <w:t>-5</w:t>
      </w:r>
      <w:r w:rsidRPr="00B22182">
        <w:rPr>
          <w:szCs w:val="18"/>
        </w:rPr>
        <w:t>, ¶</w:t>
      </w:r>
      <w:r w:rsidR="00382BDF" w:rsidRPr="00B22182">
        <w:rPr>
          <w:szCs w:val="18"/>
        </w:rPr>
        <w:t>9.</w:t>
      </w:r>
      <w:proofErr w:type="gramEnd"/>
      <w:r w:rsidR="00382BDF" w:rsidRPr="00B22182">
        <w:rPr>
          <w:szCs w:val="18"/>
        </w:rPr>
        <w:t xml:space="preserve">  </w:t>
      </w:r>
      <w:r w:rsidR="00382BDF" w:rsidRPr="00B22182">
        <w:rPr>
          <w:i/>
          <w:szCs w:val="18"/>
        </w:rPr>
        <w:t xml:space="preserve">See also, </w:t>
      </w:r>
      <w:r w:rsidR="00382BDF" w:rsidRPr="00B22182">
        <w:rPr>
          <w:szCs w:val="18"/>
        </w:rPr>
        <w:t xml:space="preserve">page 4, </w:t>
      </w:r>
      <w:r w:rsidRPr="00B22182">
        <w:rPr>
          <w:szCs w:val="18"/>
        </w:rPr>
        <w:t>n.</w:t>
      </w:r>
      <w:r w:rsidR="00382BDF" w:rsidRPr="00B22182">
        <w:rPr>
          <w:szCs w:val="18"/>
        </w:rPr>
        <w:t xml:space="preserve">2 of </w:t>
      </w:r>
      <w:proofErr w:type="spellStart"/>
      <w:r w:rsidR="00382BDF" w:rsidRPr="00B22182">
        <w:rPr>
          <w:szCs w:val="18"/>
        </w:rPr>
        <w:t>LifeConnex’s</w:t>
      </w:r>
      <w:proofErr w:type="spellEnd"/>
      <w:r w:rsidR="00382BDF" w:rsidRPr="00B22182">
        <w:rPr>
          <w:szCs w:val="18"/>
        </w:rPr>
        <w:t xml:space="preserve"> Alabama filing entitled Petition of </w:t>
      </w:r>
      <w:proofErr w:type="spellStart"/>
      <w:r w:rsidR="00382BDF" w:rsidRPr="00B22182">
        <w:rPr>
          <w:szCs w:val="18"/>
        </w:rPr>
        <w:t>LifeConnex</w:t>
      </w:r>
      <w:proofErr w:type="spellEnd"/>
      <w:r w:rsidR="00382BDF" w:rsidRPr="00B22182">
        <w:rPr>
          <w:szCs w:val="18"/>
        </w:rPr>
        <w:t xml:space="preserve"> Telecom, Inc. (f/k/a </w:t>
      </w:r>
      <w:proofErr w:type="spellStart"/>
      <w:r w:rsidR="00382BDF" w:rsidRPr="00B22182">
        <w:rPr>
          <w:szCs w:val="18"/>
        </w:rPr>
        <w:t>Swiftel</w:t>
      </w:r>
      <w:proofErr w:type="spellEnd"/>
      <w:r w:rsidR="00382BDF" w:rsidRPr="00B22182">
        <w:rPr>
          <w:szCs w:val="18"/>
        </w:rPr>
        <w:t xml:space="preserve">) Concerning Implementation of Its Interconnection Agreement with AT&amp;T and Motion for Temporary, Emergency Relief to Prevent Suspension of Service where it admits that </w:t>
      </w:r>
      <w:r w:rsidRPr="00B22182">
        <w:rPr>
          <w:szCs w:val="18"/>
        </w:rPr>
        <w:t>“</w:t>
      </w:r>
      <w:proofErr w:type="spellStart"/>
      <w:r w:rsidRPr="00D53840">
        <w:rPr>
          <w:b/>
          <w:szCs w:val="18"/>
        </w:rPr>
        <w:t>LifeConnex</w:t>
      </w:r>
      <w:proofErr w:type="spellEnd"/>
      <w:r w:rsidRPr="00D53840">
        <w:rPr>
          <w:b/>
          <w:szCs w:val="18"/>
        </w:rPr>
        <w:t xml:space="preserve"> does not have the right to withhold disputed amounts</w:t>
      </w:r>
      <w:r w:rsidRPr="00B22182">
        <w:rPr>
          <w:szCs w:val="18"/>
        </w:rPr>
        <w:t>”</w:t>
      </w:r>
      <w:r w:rsidR="00D53840">
        <w:rPr>
          <w:szCs w:val="18"/>
        </w:rPr>
        <w:t xml:space="preserve"> (emphasis added)</w:t>
      </w:r>
      <w:r w:rsidRPr="00B22182">
        <w:rPr>
          <w:szCs w:val="18"/>
        </w:rPr>
        <w:t>.</w:t>
      </w:r>
      <w:r w:rsidR="00382BDF" w:rsidRPr="00B22182">
        <w:rPr>
          <w:szCs w:val="18"/>
        </w:rPr>
        <w:t xml:space="preserve">  Exhibit 3 to this Response is </w:t>
      </w:r>
      <w:r w:rsidR="00B22182" w:rsidRPr="00B22182">
        <w:rPr>
          <w:szCs w:val="18"/>
        </w:rPr>
        <w:t>a copy of the referenced page.</w:t>
      </w:r>
      <w:r w:rsidRPr="00B22182">
        <w:rPr>
          <w:szCs w:val="18"/>
        </w:rPr>
        <w:t xml:space="preserve">  </w:t>
      </w:r>
      <w:r w:rsidR="00B22182" w:rsidRPr="00B22182">
        <w:rPr>
          <w:szCs w:val="18"/>
        </w:rPr>
        <w:t xml:space="preserve">Moreover, </w:t>
      </w:r>
      <w:proofErr w:type="spellStart"/>
      <w:r w:rsidR="00B22182" w:rsidRPr="00B22182">
        <w:rPr>
          <w:szCs w:val="18"/>
        </w:rPr>
        <w:t>LifeConnex</w:t>
      </w:r>
      <w:proofErr w:type="spellEnd"/>
      <w:r w:rsidR="00B22182" w:rsidRPr="00B22182">
        <w:rPr>
          <w:szCs w:val="18"/>
        </w:rPr>
        <w:t xml:space="preserve"> admits at page 5 of </w:t>
      </w:r>
      <w:r w:rsidR="00B22182">
        <w:rPr>
          <w:szCs w:val="18"/>
        </w:rPr>
        <w:t>its</w:t>
      </w:r>
      <w:r w:rsidR="00B22182" w:rsidRPr="00B22182">
        <w:rPr>
          <w:szCs w:val="18"/>
        </w:rPr>
        <w:t xml:space="preserve"> </w:t>
      </w:r>
      <w:r w:rsidR="00B22182">
        <w:rPr>
          <w:szCs w:val="18"/>
        </w:rPr>
        <w:t xml:space="preserve">Florida </w:t>
      </w:r>
      <w:r w:rsidR="00B22182" w:rsidRPr="00B22182">
        <w:rPr>
          <w:szCs w:val="18"/>
        </w:rPr>
        <w:t>Request,</w:t>
      </w:r>
      <w:r w:rsidR="00B22182">
        <w:rPr>
          <w:szCs w:val="18"/>
        </w:rPr>
        <w:t xml:space="preserve"> n. 4, that “[m]any CLECs, if not most CLECs, in the former BellSouth region, have ICAs which allow the CLEC to withhold payments of disputed amounts until the disputes are resolved.  </w:t>
      </w:r>
      <w:proofErr w:type="spellStart"/>
      <w:r w:rsidR="00B22182" w:rsidRPr="00B22182">
        <w:rPr>
          <w:b/>
          <w:szCs w:val="18"/>
        </w:rPr>
        <w:t>LifeConnex</w:t>
      </w:r>
      <w:proofErr w:type="spellEnd"/>
      <w:r w:rsidR="00B22182" w:rsidRPr="00B22182">
        <w:rPr>
          <w:b/>
          <w:szCs w:val="18"/>
        </w:rPr>
        <w:t xml:space="preserve"> does not currently have such language in its own ICA</w:t>
      </w:r>
      <w:r w:rsidR="00B22182">
        <w:rPr>
          <w:szCs w:val="18"/>
        </w:rPr>
        <w:t>.” (</w:t>
      </w:r>
      <w:proofErr w:type="gramStart"/>
      <w:r w:rsidR="00B22182">
        <w:rPr>
          <w:szCs w:val="18"/>
        </w:rPr>
        <w:t>emphasis</w:t>
      </w:r>
      <w:proofErr w:type="gramEnd"/>
      <w:r w:rsidR="00B22182">
        <w:rPr>
          <w:szCs w:val="18"/>
        </w:rPr>
        <w:t xml:space="preserve"> added).</w:t>
      </w:r>
    </w:p>
  </w:footnote>
  <w:footnote w:id="9">
    <w:p w:rsidR="00E95739" w:rsidRPr="00FC7316" w:rsidRDefault="00E95739" w:rsidP="00E95739">
      <w:pPr>
        <w:pStyle w:val="FootnoteText"/>
        <w:jc w:val="both"/>
        <w:rPr>
          <w:szCs w:val="18"/>
          <w:highlight w:val="yellow"/>
        </w:rPr>
      </w:pPr>
      <w:r w:rsidRPr="00FC7316">
        <w:rPr>
          <w:rStyle w:val="FootnoteReference"/>
          <w:szCs w:val="18"/>
        </w:rPr>
        <w:footnoteRef/>
      </w:r>
      <w:r w:rsidRPr="00FC7316">
        <w:rPr>
          <w:szCs w:val="18"/>
        </w:rPr>
        <w:t xml:space="preserve"> </w:t>
      </w:r>
      <w:r w:rsidRPr="00FC7316">
        <w:rPr>
          <w:szCs w:val="18"/>
        </w:rPr>
        <w:tab/>
      </w:r>
      <w:proofErr w:type="gramStart"/>
      <w:r w:rsidR="00B22182" w:rsidRPr="00B22182">
        <w:rPr>
          <w:szCs w:val="18"/>
        </w:rPr>
        <w:t xml:space="preserve">Request at </w:t>
      </w:r>
      <w:r w:rsidRPr="00B22182">
        <w:rPr>
          <w:szCs w:val="18"/>
        </w:rPr>
        <w:t>p</w:t>
      </w:r>
      <w:r w:rsidR="000521AC">
        <w:rPr>
          <w:szCs w:val="18"/>
        </w:rPr>
        <w:t>p</w:t>
      </w:r>
      <w:r w:rsidRPr="00B22182">
        <w:rPr>
          <w:szCs w:val="18"/>
        </w:rPr>
        <w:t xml:space="preserve">. </w:t>
      </w:r>
      <w:r w:rsidR="000521AC">
        <w:rPr>
          <w:szCs w:val="18"/>
        </w:rPr>
        <w:t>7-8</w:t>
      </w:r>
      <w:r w:rsidRPr="00B22182">
        <w:rPr>
          <w:szCs w:val="18"/>
        </w:rPr>
        <w:t>, ¶</w:t>
      </w:r>
      <w:r w:rsidR="00A93D11">
        <w:rPr>
          <w:szCs w:val="18"/>
        </w:rPr>
        <w:t>1</w:t>
      </w:r>
      <w:r w:rsidR="000521AC">
        <w:rPr>
          <w:szCs w:val="18"/>
        </w:rPr>
        <w:t>8</w:t>
      </w:r>
      <w:r w:rsidRPr="00B22182">
        <w:rPr>
          <w:szCs w:val="18"/>
        </w:rPr>
        <w:t>.</w:t>
      </w:r>
      <w:proofErr w:type="gramEnd"/>
      <w:r w:rsidRPr="00B22182">
        <w:rPr>
          <w:szCs w:val="18"/>
        </w:rPr>
        <w:t xml:space="preserve">  </w:t>
      </w:r>
    </w:p>
    <w:p w:rsidR="00E95739" w:rsidRPr="00FC7316" w:rsidRDefault="00E95739" w:rsidP="00E95739">
      <w:pPr>
        <w:pStyle w:val="FootnoteText"/>
        <w:jc w:val="both"/>
        <w:rPr>
          <w:szCs w:val="18"/>
          <w:highlight w:val="yellow"/>
        </w:rPr>
      </w:pPr>
    </w:p>
  </w:footnote>
  <w:footnote w:id="10">
    <w:p w:rsidR="00B55B92" w:rsidRDefault="00B55B92">
      <w:pPr>
        <w:pStyle w:val="FootnoteText"/>
      </w:pPr>
      <w:r>
        <w:rPr>
          <w:rStyle w:val="FootnoteReference"/>
        </w:rPr>
        <w:footnoteRef/>
      </w:r>
      <w:r>
        <w:t xml:space="preserve"> </w:t>
      </w:r>
      <w:r>
        <w:tab/>
      </w:r>
      <w:r w:rsidR="0008577A">
        <w:t xml:space="preserve">In its Request, </w:t>
      </w:r>
      <w:proofErr w:type="spellStart"/>
      <w:r>
        <w:rPr>
          <w:bCs/>
          <w:iCs/>
          <w:color w:val="000000"/>
        </w:rPr>
        <w:t>Lifeconnex</w:t>
      </w:r>
      <w:proofErr w:type="spellEnd"/>
      <w:r>
        <w:rPr>
          <w:bCs/>
          <w:iCs/>
          <w:color w:val="000000"/>
        </w:rPr>
        <w:t xml:space="preserve"> makes no offer to pay </w:t>
      </w:r>
      <w:r w:rsidRPr="00A06598">
        <w:rPr>
          <w:bCs/>
          <w:iCs/>
          <w:color w:val="000000"/>
          <w:u w:val="single"/>
        </w:rPr>
        <w:t>any</w:t>
      </w:r>
      <w:r>
        <w:rPr>
          <w:bCs/>
          <w:iCs/>
          <w:color w:val="000000"/>
        </w:rPr>
        <w:t xml:space="preserve"> portion of the balance now.  Instead, it asks the Commission to allow it to continue ordering services from AT&amp;T Florida and continue violating its ICA by paying AT&amp;T Florida nothing for those services indefinitely.  To require AT&amp;T Florida to waive indefinitely for </w:t>
      </w:r>
      <w:proofErr w:type="spellStart"/>
      <w:r>
        <w:rPr>
          <w:bCs/>
          <w:iCs/>
          <w:color w:val="000000"/>
        </w:rPr>
        <w:t>LifeConnex</w:t>
      </w:r>
      <w:proofErr w:type="spellEnd"/>
      <w:r>
        <w:rPr>
          <w:bCs/>
          <w:iCs/>
          <w:color w:val="000000"/>
        </w:rPr>
        <w:t xml:space="preserve"> to pay its bills would require AT&amp;T Florida’s stockholders</w:t>
      </w:r>
      <w:r w:rsidR="0008577A">
        <w:rPr>
          <w:bCs/>
          <w:iCs/>
          <w:color w:val="000000"/>
        </w:rPr>
        <w:t>, in essence,</w:t>
      </w:r>
      <w:r>
        <w:rPr>
          <w:bCs/>
          <w:iCs/>
          <w:color w:val="000000"/>
        </w:rPr>
        <w:t xml:space="preserve"> to continue subsidizing non-paying wholesale customers like </w:t>
      </w:r>
      <w:proofErr w:type="spellStart"/>
      <w:r>
        <w:rPr>
          <w:bCs/>
          <w:iCs/>
          <w:color w:val="000000"/>
        </w:rPr>
        <w:t>LifeConnex</w:t>
      </w:r>
      <w:proofErr w:type="spellEnd"/>
      <w:r>
        <w:rPr>
          <w:bCs/>
          <w:iCs/>
          <w:color w:val="000000"/>
        </w:rPr>
        <w:t xml:space="preserve">.  In these trying economic times, that is simply too much to ask.  </w:t>
      </w:r>
    </w:p>
  </w:footnote>
  <w:footnote w:id="11">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t>ICA, Attachment 7, p. 6, §1.4 (emphasis added).</w:t>
      </w:r>
    </w:p>
  </w:footnote>
  <w:footnote w:id="12">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r w:rsidRPr="00FC7316">
        <w:rPr>
          <w:i/>
          <w:szCs w:val="18"/>
        </w:rPr>
        <w:t>Id</w:t>
      </w:r>
      <w:r w:rsidR="003D42B5">
        <w:rPr>
          <w:i/>
          <w:szCs w:val="18"/>
        </w:rPr>
        <w:t>.</w:t>
      </w:r>
      <w:r w:rsidRPr="00FC7316">
        <w:rPr>
          <w:i/>
          <w:szCs w:val="18"/>
        </w:rPr>
        <w:t>,</w:t>
      </w:r>
      <w:r w:rsidRPr="00FC7316">
        <w:rPr>
          <w:szCs w:val="18"/>
        </w:rPr>
        <w:t xml:space="preserve"> (emphasis added).</w:t>
      </w:r>
    </w:p>
  </w:footnote>
  <w:footnote w:id="13">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r w:rsidRPr="00FC7316">
        <w:rPr>
          <w:i/>
          <w:szCs w:val="18"/>
        </w:rPr>
        <w:t>Id.</w:t>
      </w:r>
      <w:r w:rsidRPr="00FC7316">
        <w:rPr>
          <w:szCs w:val="18"/>
        </w:rPr>
        <w:t>, §1.4.1 (emphasis added).</w:t>
      </w:r>
    </w:p>
  </w:footnote>
  <w:footnote w:id="14">
    <w:p w:rsidR="00E95739" w:rsidRPr="00FC7316" w:rsidRDefault="00E95739" w:rsidP="00E95739">
      <w:pPr>
        <w:pStyle w:val="FootnoteText"/>
        <w:jc w:val="both"/>
        <w:rPr>
          <w:szCs w:val="18"/>
          <w:highlight w:val="yellow"/>
        </w:rPr>
      </w:pPr>
      <w:r w:rsidRPr="00FC7316">
        <w:rPr>
          <w:rStyle w:val="FootnoteReference"/>
          <w:szCs w:val="18"/>
        </w:rPr>
        <w:footnoteRef/>
      </w:r>
      <w:r w:rsidRPr="00FC7316">
        <w:rPr>
          <w:szCs w:val="18"/>
        </w:rPr>
        <w:t xml:space="preserve"> </w:t>
      </w:r>
      <w:r w:rsidRPr="00FC7316">
        <w:rPr>
          <w:szCs w:val="18"/>
        </w:rPr>
        <w:tab/>
      </w:r>
      <w:r w:rsidRPr="00A06219">
        <w:rPr>
          <w:i/>
          <w:szCs w:val="18"/>
        </w:rPr>
        <w:t xml:space="preserve">See </w:t>
      </w:r>
      <w:r w:rsidR="00A06219" w:rsidRPr="00A06219">
        <w:rPr>
          <w:szCs w:val="18"/>
        </w:rPr>
        <w:t>Request</w:t>
      </w:r>
      <w:r w:rsidRPr="00A06219">
        <w:rPr>
          <w:szCs w:val="18"/>
        </w:rPr>
        <w:t xml:space="preserve"> at p. 3, ¶5; p. 4, ¶</w:t>
      </w:r>
      <w:r w:rsidR="00A06219" w:rsidRPr="00A06219">
        <w:rPr>
          <w:szCs w:val="18"/>
        </w:rPr>
        <w:t>8</w:t>
      </w:r>
      <w:r w:rsidRPr="00A06219">
        <w:rPr>
          <w:szCs w:val="18"/>
        </w:rPr>
        <w:t xml:space="preserve">; </w:t>
      </w:r>
      <w:r w:rsidR="006775F2">
        <w:rPr>
          <w:szCs w:val="18"/>
        </w:rPr>
        <w:t xml:space="preserve">May 13, 2010 </w:t>
      </w:r>
      <w:r w:rsidRPr="00A06219">
        <w:rPr>
          <w:szCs w:val="18"/>
        </w:rPr>
        <w:t xml:space="preserve">Joint Motion at pp. 2-3. </w:t>
      </w:r>
    </w:p>
  </w:footnote>
  <w:footnote w:id="15">
    <w:p w:rsidR="006775F2" w:rsidRPr="006775F2" w:rsidRDefault="006775F2">
      <w:pPr>
        <w:pStyle w:val="FootnoteText"/>
      </w:pPr>
      <w:r>
        <w:rPr>
          <w:rStyle w:val="FootnoteReference"/>
        </w:rPr>
        <w:footnoteRef/>
      </w:r>
      <w:r>
        <w:t xml:space="preserve"> </w:t>
      </w:r>
      <w:r>
        <w:tab/>
      </w:r>
      <w:r>
        <w:rPr>
          <w:i/>
        </w:rPr>
        <w:t>See</w:t>
      </w:r>
      <w:r>
        <w:t xml:space="preserve"> Request at p. 3, ¶6.</w:t>
      </w:r>
    </w:p>
  </w:footnote>
  <w:footnote w:id="16">
    <w:p w:rsidR="006775F2" w:rsidRPr="006775F2" w:rsidRDefault="006775F2">
      <w:pPr>
        <w:pStyle w:val="FootnoteText"/>
      </w:pPr>
      <w:r>
        <w:rPr>
          <w:rStyle w:val="FootnoteReference"/>
        </w:rPr>
        <w:footnoteRef/>
      </w:r>
      <w:r>
        <w:t xml:space="preserve"> </w:t>
      </w:r>
      <w:r>
        <w:tab/>
      </w:r>
      <w:r>
        <w:rPr>
          <w:i/>
        </w:rPr>
        <w:t>Id.</w:t>
      </w:r>
    </w:p>
  </w:footnote>
  <w:footnote w:id="17">
    <w:p w:rsidR="00E95739" w:rsidRPr="00FC7316" w:rsidRDefault="00E95739" w:rsidP="00E95739">
      <w:pPr>
        <w:pStyle w:val="FootnoteText"/>
        <w:jc w:val="both"/>
        <w:rPr>
          <w:szCs w:val="18"/>
        </w:rPr>
      </w:pPr>
      <w:r w:rsidRPr="00A93D11">
        <w:rPr>
          <w:rStyle w:val="FootnoteReference"/>
          <w:szCs w:val="18"/>
        </w:rPr>
        <w:footnoteRef/>
      </w:r>
      <w:r w:rsidRPr="00A93D11">
        <w:rPr>
          <w:szCs w:val="18"/>
        </w:rPr>
        <w:t xml:space="preserve"> </w:t>
      </w:r>
      <w:r w:rsidRPr="00A93D11">
        <w:rPr>
          <w:szCs w:val="18"/>
        </w:rPr>
        <w:tab/>
      </w:r>
      <w:r w:rsidRPr="00A93D11">
        <w:rPr>
          <w:i/>
          <w:szCs w:val="18"/>
        </w:rPr>
        <w:t xml:space="preserve">See </w:t>
      </w:r>
      <w:r w:rsidR="00A93D11" w:rsidRPr="00A93D11">
        <w:rPr>
          <w:szCs w:val="18"/>
        </w:rPr>
        <w:t xml:space="preserve">Request </w:t>
      </w:r>
      <w:r w:rsidRPr="00A93D11">
        <w:rPr>
          <w:szCs w:val="18"/>
        </w:rPr>
        <w:t xml:space="preserve">at p. </w:t>
      </w:r>
      <w:r w:rsidR="00A93D11" w:rsidRPr="00A93D11">
        <w:rPr>
          <w:szCs w:val="18"/>
        </w:rPr>
        <w:t>5</w:t>
      </w:r>
      <w:r w:rsidRPr="00A93D11">
        <w:rPr>
          <w:szCs w:val="18"/>
        </w:rPr>
        <w:t>, ¶</w:t>
      </w:r>
      <w:r w:rsidR="00A93D11" w:rsidRPr="00A93D11">
        <w:rPr>
          <w:szCs w:val="18"/>
        </w:rPr>
        <w:t>9</w:t>
      </w:r>
      <w:r w:rsidRPr="00A93D11">
        <w:rPr>
          <w:szCs w:val="18"/>
        </w:rPr>
        <w:t>.</w:t>
      </w:r>
    </w:p>
  </w:footnote>
  <w:footnote w:id="18">
    <w:p w:rsidR="00E95739" w:rsidRPr="00FC7316" w:rsidRDefault="00E95739" w:rsidP="00E95739">
      <w:pPr>
        <w:pStyle w:val="FootnoteText"/>
        <w:rPr>
          <w:szCs w:val="18"/>
        </w:rPr>
      </w:pPr>
      <w:r w:rsidRPr="00FC7316">
        <w:rPr>
          <w:rStyle w:val="FootnoteReference"/>
          <w:szCs w:val="18"/>
        </w:rPr>
        <w:footnoteRef/>
      </w:r>
      <w:r w:rsidRPr="00FC7316">
        <w:rPr>
          <w:szCs w:val="18"/>
        </w:rPr>
        <w:t xml:space="preserve"> </w:t>
      </w:r>
      <w:r w:rsidRPr="00FC7316">
        <w:rPr>
          <w:szCs w:val="18"/>
        </w:rPr>
        <w:tab/>
      </w:r>
      <w:r w:rsidRPr="00E86820">
        <w:rPr>
          <w:i/>
          <w:szCs w:val="18"/>
        </w:rPr>
        <w:t xml:space="preserve">See </w:t>
      </w:r>
      <w:r w:rsidR="00E86820" w:rsidRPr="00E86820">
        <w:rPr>
          <w:szCs w:val="18"/>
        </w:rPr>
        <w:t xml:space="preserve">Request </w:t>
      </w:r>
      <w:r w:rsidRPr="00E86820">
        <w:rPr>
          <w:szCs w:val="18"/>
        </w:rPr>
        <w:t xml:space="preserve">at p. </w:t>
      </w:r>
      <w:r w:rsidR="00E838B7">
        <w:rPr>
          <w:szCs w:val="18"/>
        </w:rPr>
        <w:t>5</w:t>
      </w:r>
      <w:r w:rsidRPr="00E86820">
        <w:rPr>
          <w:szCs w:val="18"/>
        </w:rPr>
        <w:t>, ¶</w:t>
      </w:r>
      <w:r w:rsidR="00E838B7">
        <w:rPr>
          <w:szCs w:val="18"/>
        </w:rPr>
        <w:t>9</w:t>
      </w:r>
      <w:r w:rsidRPr="00E86820">
        <w:rPr>
          <w:szCs w:val="18"/>
        </w:rPr>
        <w:t xml:space="preserve">.  </w:t>
      </w:r>
      <w:r w:rsidR="00E86820">
        <w:rPr>
          <w:szCs w:val="18"/>
        </w:rPr>
        <w:t>Moreover, i</w:t>
      </w:r>
      <w:r w:rsidRPr="00E86820">
        <w:rPr>
          <w:szCs w:val="18"/>
        </w:rPr>
        <w:t xml:space="preserve">n a footnote </w:t>
      </w:r>
      <w:r w:rsidR="00E86820" w:rsidRPr="00E86820">
        <w:rPr>
          <w:szCs w:val="18"/>
        </w:rPr>
        <w:t xml:space="preserve">4 </w:t>
      </w:r>
      <w:r w:rsidRPr="00E86820">
        <w:rPr>
          <w:szCs w:val="18"/>
        </w:rPr>
        <w:t>on p</w:t>
      </w:r>
      <w:r w:rsidR="00E86820" w:rsidRPr="00E86820">
        <w:rPr>
          <w:szCs w:val="18"/>
        </w:rPr>
        <w:t>. 5 of the Request</w:t>
      </w:r>
      <w:r w:rsidRPr="00E86820">
        <w:rPr>
          <w:szCs w:val="18"/>
        </w:rPr>
        <w:t xml:space="preserve">, </w:t>
      </w:r>
      <w:proofErr w:type="spellStart"/>
      <w:r w:rsidRPr="00E86820">
        <w:rPr>
          <w:szCs w:val="18"/>
        </w:rPr>
        <w:t>LifeConnex</w:t>
      </w:r>
      <w:proofErr w:type="spellEnd"/>
      <w:r w:rsidRPr="00E86820">
        <w:rPr>
          <w:szCs w:val="18"/>
        </w:rPr>
        <w:t xml:space="preserve"> alleges that </w:t>
      </w:r>
      <w:r w:rsidR="00E86820" w:rsidRPr="00E86820">
        <w:rPr>
          <w:szCs w:val="18"/>
        </w:rPr>
        <w:t xml:space="preserve">in a docket pending in Alabama, </w:t>
      </w:r>
      <w:r w:rsidRPr="00E86820">
        <w:rPr>
          <w:szCs w:val="18"/>
        </w:rPr>
        <w:t xml:space="preserve">AT&amp;T has agreed to accept a security deposit of two months “net bills” pending resolution of a separate Complaint </w:t>
      </w:r>
      <w:proofErr w:type="spellStart"/>
      <w:r w:rsidRPr="00E86820">
        <w:rPr>
          <w:szCs w:val="18"/>
        </w:rPr>
        <w:t>LifeConnex</w:t>
      </w:r>
      <w:proofErr w:type="spellEnd"/>
      <w:r w:rsidRPr="00E86820">
        <w:rPr>
          <w:szCs w:val="18"/>
        </w:rPr>
        <w:t xml:space="preserve"> filed over the “proper deposit amount</w:t>
      </w:r>
      <w:r w:rsidR="00E86820" w:rsidRPr="00E86820">
        <w:rPr>
          <w:szCs w:val="18"/>
        </w:rPr>
        <w:t>.</w:t>
      </w:r>
      <w:r w:rsidRPr="00E86820">
        <w:rPr>
          <w:szCs w:val="18"/>
        </w:rPr>
        <w:t xml:space="preserve">”  While AT&amp;T disagrees with </w:t>
      </w:r>
      <w:proofErr w:type="spellStart"/>
      <w:r w:rsidRPr="00E86820">
        <w:rPr>
          <w:szCs w:val="18"/>
        </w:rPr>
        <w:t>Lifeconnex’s</w:t>
      </w:r>
      <w:proofErr w:type="spellEnd"/>
      <w:r w:rsidRPr="00E86820">
        <w:rPr>
          <w:szCs w:val="18"/>
        </w:rPr>
        <w:t xml:space="preserve"> characterization of the alleged agreement, the fact remains that the deposit issue to which </w:t>
      </w:r>
      <w:proofErr w:type="spellStart"/>
      <w:r w:rsidRPr="00E86820">
        <w:rPr>
          <w:szCs w:val="18"/>
        </w:rPr>
        <w:t>LifeConnex</w:t>
      </w:r>
      <w:proofErr w:type="spellEnd"/>
      <w:r w:rsidRPr="00E86820">
        <w:rPr>
          <w:szCs w:val="18"/>
        </w:rPr>
        <w:t xml:space="preserve"> refers has no bearing on </w:t>
      </w:r>
      <w:proofErr w:type="spellStart"/>
      <w:r w:rsidRPr="00E86820">
        <w:rPr>
          <w:szCs w:val="18"/>
        </w:rPr>
        <w:t>LifeConnex’s</w:t>
      </w:r>
      <w:proofErr w:type="spellEnd"/>
      <w:r w:rsidRPr="00E86820">
        <w:rPr>
          <w:szCs w:val="18"/>
        </w:rPr>
        <w:t xml:space="preserve"> </w:t>
      </w:r>
      <w:r w:rsidR="00E86820" w:rsidRPr="00E86820">
        <w:rPr>
          <w:szCs w:val="18"/>
        </w:rPr>
        <w:t>Request</w:t>
      </w:r>
      <w:r w:rsidRPr="00E86820">
        <w:rPr>
          <w:szCs w:val="18"/>
        </w:rPr>
        <w:t xml:space="preserve"> in this docket.  A deposit provides AT&amp;T some level of protection against </w:t>
      </w:r>
      <w:proofErr w:type="spellStart"/>
      <w:r w:rsidRPr="00E86820">
        <w:rPr>
          <w:szCs w:val="18"/>
        </w:rPr>
        <w:t>LifeConnex’s</w:t>
      </w:r>
      <w:proofErr w:type="spellEnd"/>
      <w:r w:rsidRPr="00E86820">
        <w:rPr>
          <w:szCs w:val="18"/>
        </w:rPr>
        <w:t xml:space="preserve"> inability to pay its bills for services it purchases from AT&amp;T </w:t>
      </w:r>
      <w:r w:rsidRPr="00E86820">
        <w:rPr>
          <w:i/>
          <w:szCs w:val="18"/>
        </w:rPr>
        <w:t>in the future.</w:t>
      </w:r>
      <w:r w:rsidRPr="00E86820">
        <w:rPr>
          <w:szCs w:val="18"/>
        </w:rPr>
        <w:t xml:space="preserve">  A deposit is not intended to – and does not – provide AT&amp;T any protection against </w:t>
      </w:r>
      <w:proofErr w:type="spellStart"/>
      <w:r w:rsidRPr="00E86820">
        <w:rPr>
          <w:szCs w:val="18"/>
        </w:rPr>
        <w:t>LifeConnex’s</w:t>
      </w:r>
      <w:proofErr w:type="spellEnd"/>
      <w:r w:rsidRPr="00E86820">
        <w:rPr>
          <w:szCs w:val="18"/>
        </w:rPr>
        <w:t xml:space="preserve"> inability to pay more than $1</w:t>
      </w:r>
      <w:r w:rsidR="00E86820" w:rsidRPr="00E86820">
        <w:rPr>
          <w:szCs w:val="18"/>
        </w:rPr>
        <w:t>.4</w:t>
      </w:r>
      <w:r w:rsidRPr="00E86820">
        <w:rPr>
          <w:szCs w:val="18"/>
        </w:rPr>
        <w:t xml:space="preserve"> million for services it has purchased in the past and for which it refused to pay</w:t>
      </w:r>
      <w:r w:rsidR="00E86820" w:rsidRPr="00E86820">
        <w:rPr>
          <w:szCs w:val="18"/>
        </w:rPr>
        <w:t xml:space="preserve"> in Florida</w:t>
      </w:r>
      <w:r w:rsidRPr="00E86820">
        <w:rPr>
          <w:szCs w:val="18"/>
        </w:rPr>
        <w:t xml:space="preserve">.  Similarly, AT&amp;T’s agreement not to disconnect </w:t>
      </w:r>
      <w:proofErr w:type="spellStart"/>
      <w:r w:rsidRPr="00E86820">
        <w:rPr>
          <w:szCs w:val="18"/>
        </w:rPr>
        <w:t>Lifeconnex</w:t>
      </w:r>
      <w:proofErr w:type="spellEnd"/>
      <w:r w:rsidRPr="00E86820">
        <w:rPr>
          <w:szCs w:val="18"/>
        </w:rPr>
        <w:t xml:space="preserve"> </w:t>
      </w:r>
      <w:r w:rsidR="00E86820" w:rsidRPr="00E86820">
        <w:rPr>
          <w:szCs w:val="18"/>
        </w:rPr>
        <w:t xml:space="preserve">in Alabama </w:t>
      </w:r>
      <w:r w:rsidRPr="00E86820">
        <w:rPr>
          <w:szCs w:val="18"/>
        </w:rPr>
        <w:t xml:space="preserve">for nonpayment of a deposit is in no way an agreement not to </w:t>
      </w:r>
      <w:r w:rsidR="00F95F25">
        <w:rPr>
          <w:szCs w:val="18"/>
        </w:rPr>
        <w:t xml:space="preserve">suspend or </w:t>
      </w:r>
      <w:r w:rsidRPr="00E86820">
        <w:rPr>
          <w:szCs w:val="18"/>
        </w:rPr>
        <w:t xml:space="preserve">disconnect </w:t>
      </w:r>
      <w:proofErr w:type="spellStart"/>
      <w:r w:rsidRPr="00E86820">
        <w:rPr>
          <w:szCs w:val="18"/>
        </w:rPr>
        <w:t>LifeConnex</w:t>
      </w:r>
      <w:proofErr w:type="spellEnd"/>
      <w:r w:rsidRPr="00E86820">
        <w:rPr>
          <w:szCs w:val="18"/>
        </w:rPr>
        <w:t xml:space="preserve"> for nonpayment of past-due bills.</w:t>
      </w:r>
      <w:r w:rsidRPr="00FC7316">
        <w:rPr>
          <w:szCs w:val="18"/>
        </w:rPr>
        <w:t xml:space="preserve"> </w:t>
      </w:r>
    </w:p>
  </w:footnote>
  <w:footnote w:id="19">
    <w:p w:rsidR="00E95739" w:rsidRPr="00FC7316" w:rsidRDefault="00E95739" w:rsidP="00E95739">
      <w:pPr>
        <w:pStyle w:val="FootnoteText"/>
        <w:rPr>
          <w:szCs w:val="18"/>
        </w:rPr>
      </w:pPr>
      <w:r w:rsidRPr="00FC7316">
        <w:rPr>
          <w:rStyle w:val="FootnoteReference"/>
          <w:szCs w:val="18"/>
        </w:rPr>
        <w:footnoteRef/>
      </w:r>
      <w:r w:rsidRPr="00FC7316">
        <w:rPr>
          <w:szCs w:val="18"/>
        </w:rPr>
        <w:t xml:space="preserve"> </w:t>
      </w:r>
      <w:r w:rsidRPr="00FC7316">
        <w:rPr>
          <w:szCs w:val="18"/>
        </w:rPr>
        <w:tab/>
        <w:t xml:space="preserve">ICA, General Terms and Conditions, Page 15, §17.  Exhibit </w:t>
      </w:r>
      <w:r w:rsidR="00B10AB9">
        <w:rPr>
          <w:szCs w:val="18"/>
        </w:rPr>
        <w:t>4</w:t>
      </w:r>
      <w:r w:rsidRPr="00FC7316">
        <w:rPr>
          <w:szCs w:val="18"/>
        </w:rPr>
        <w:t xml:space="preserve"> to this Response is a copy of the General Terms and Conditions of the ICA.</w:t>
      </w:r>
    </w:p>
  </w:footnote>
  <w:footnote w:id="20">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r w:rsidRPr="00FC7316">
        <w:rPr>
          <w:i/>
          <w:szCs w:val="18"/>
        </w:rPr>
        <w:t xml:space="preserve">See </w:t>
      </w:r>
      <w:r w:rsidRPr="00FC7316">
        <w:rPr>
          <w:szCs w:val="18"/>
        </w:rPr>
        <w:t>ICA, Attachment 7, pp. 7-</w:t>
      </w:r>
      <w:r w:rsidR="003D42B5">
        <w:rPr>
          <w:szCs w:val="18"/>
        </w:rPr>
        <w:t>9</w:t>
      </w:r>
      <w:r w:rsidRPr="00FC7316">
        <w:rPr>
          <w:szCs w:val="18"/>
        </w:rPr>
        <w:t>, §§1.5 to 1.</w:t>
      </w:r>
      <w:r w:rsidR="003D42B5">
        <w:rPr>
          <w:szCs w:val="18"/>
        </w:rPr>
        <w:t>5.5</w:t>
      </w:r>
      <w:r w:rsidRPr="00FC7316">
        <w:rPr>
          <w:szCs w:val="18"/>
        </w:rPr>
        <w:t>.</w:t>
      </w:r>
    </w:p>
  </w:footnote>
  <w:footnote w:id="21">
    <w:p w:rsidR="006A0B41" w:rsidRDefault="006A0B41" w:rsidP="006A0B41">
      <w:pPr>
        <w:pStyle w:val="FootnoteText"/>
      </w:pPr>
      <w:r>
        <w:rPr>
          <w:rStyle w:val="FootnoteReference"/>
        </w:rPr>
        <w:footnoteRef/>
      </w:r>
      <w:r>
        <w:t xml:space="preserve"> </w:t>
      </w:r>
      <w:r>
        <w:tab/>
        <w:t xml:space="preserve">At paragraph 25 of its Request, </w:t>
      </w:r>
      <w:proofErr w:type="spellStart"/>
      <w:r>
        <w:t>LifeConnex</w:t>
      </w:r>
      <w:proofErr w:type="spellEnd"/>
      <w:r>
        <w:t xml:space="preserve"> also cites to Section 364.01, Florida Statutes to support its argument that the Commission is empowered to provide the relief requested.  Section 364.01 is an expression of legislative intent and provides guidance to the Commission in how to view and interpret the exercise of substantive jurisdiction.  This section is not a legislative grant of authority and does not convey to the Commission any independent authority to act.  In particular, it provides no authority to act in this instance. </w:t>
      </w:r>
    </w:p>
  </w:footnote>
  <w:footnote w:id="22">
    <w:p w:rsidR="00E95739" w:rsidRPr="00FC7316" w:rsidRDefault="00E95739" w:rsidP="00E95739">
      <w:pPr>
        <w:pStyle w:val="FootnoteText"/>
        <w:jc w:val="both"/>
        <w:rPr>
          <w:szCs w:val="18"/>
        </w:rPr>
      </w:pPr>
      <w:r w:rsidRPr="00FC7316">
        <w:rPr>
          <w:rStyle w:val="FootnoteReference"/>
          <w:szCs w:val="18"/>
        </w:rPr>
        <w:footnoteRef/>
      </w:r>
      <w:r w:rsidRPr="00FC7316">
        <w:rPr>
          <w:szCs w:val="18"/>
        </w:rPr>
        <w:t xml:space="preserve"> </w:t>
      </w:r>
      <w:r w:rsidRPr="00FC7316">
        <w:rPr>
          <w:szCs w:val="18"/>
        </w:rPr>
        <w:tab/>
      </w:r>
      <w:r w:rsidRPr="00FC7316">
        <w:rPr>
          <w:i/>
          <w:szCs w:val="18"/>
        </w:rPr>
        <w:t xml:space="preserve">See </w:t>
      </w:r>
      <w:r w:rsidR="00D53840">
        <w:rPr>
          <w:szCs w:val="18"/>
        </w:rPr>
        <w:t>Exhibit 3 to this Response</w:t>
      </w:r>
      <w:r w:rsidRPr="00FC7316">
        <w:rPr>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B1F"/>
    <w:multiLevelType w:val="hybridMultilevel"/>
    <w:tmpl w:val="B9A6C726"/>
    <w:lvl w:ilvl="0" w:tplc="3522E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F0AF0"/>
    <w:multiLevelType w:val="hybridMultilevel"/>
    <w:tmpl w:val="6F56B912"/>
    <w:lvl w:ilvl="0" w:tplc="BF906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36DB3"/>
    <w:multiLevelType w:val="hybridMultilevel"/>
    <w:tmpl w:val="323A2ED4"/>
    <w:lvl w:ilvl="0" w:tplc="5904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E95739"/>
    <w:rsid w:val="000237E7"/>
    <w:rsid w:val="000521AC"/>
    <w:rsid w:val="0008577A"/>
    <w:rsid w:val="000E3506"/>
    <w:rsid w:val="0013193B"/>
    <w:rsid w:val="001740B6"/>
    <w:rsid w:val="0018054E"/>
    <w:rsid w:val="001941E7"/>
    <w:rsid w:val="0021715C"/>
    <w:rsid w:val="00222DF7"/>
    <w:rsid w:val="00247BFD"/>
    <w:rsid w:val="002564BA"/>
    <w:rsid w:val="00285898"/>
    <w:rsid w:val="002A13B9"/>
    <w:rsid w:val="002F1056"/>
    <w:rsid w:val="002F4AD6"/>
    <w:rsid w:val="00302941"/>
    <w:rsid w:val="003328DE"/>
    <w:rsid w:val="0035245D"/>
    <w:rsid w:val="003719A0"/>
    <w:rsid w:val="0038213D"/>
    <w:rsid w:val="00382BDF"/>
    <w:rsid w:val="003D42B5"/>
    <w:rsid w:val="003D770D"/>
    <w:rsid w:val="004125B9"/>
    <w:rsid w:val="0042424F"/>
    <w:rsid w:val="004640D2"/>
    <w:rsid w:val="00467BA5"/>
    <w:rsid w:val="004A5E1F"/>
    <w:rsid w:val="00595C83"/>
    <w:rsid w:val="005A1720"/>
    <w:rsid w:val="005D3E14"/>
    <w:rsid w:val="005F6750"/>
    <w:rsid w:val="006117A3"/>
    <w:rsid w:val="00651CC5"/>
    <w:rsid w:val="006775F2"/>
    <w:rsid w:val="006953E4"/>
    <w:rsid w:val="006A0B41"/>
    <w:rsid w:val="006F5F99"/>
    <w:rsid w:val="00707F8B"/>
    <w:rsid w:val="00715860"/>
    <w:rsid w:val="00725FFA"/>
    <w:rsid w:val="00745413"/>
    <w:rsid w:val="00755353"/>
    <w:rsid w:val="00784227"/>
    <w:rsid w:val="00801E6F"/>
    <w:rsid w:val="008662DB"/>
    <w:rsid w:val="008C609D"/>
    <w:rsid w:val="008C7637"/>
    <w:rsid w:val="008F637D"/>
    <w:rsid w:val="008F6849"/>
    <w:rsid w:val="009E619F"/>
    <w:rsid w:val="00A06219"/>
    <w:rsid w:val="00A06598"/>
    <w:rsid w:val="00A12E95"/>
    <w:rsid w:val="00A219E3"/>
    <w:rsid w:val="00A85A1B"/>
    <w:rsid w:val="00A93D11"/>
    <w:rsid w:val="00AB69F2"/>
    <w:rsid w:val="00AC0AF5"/>
    <w:rsid w:val="00AF0029"/>
    <w:rsid w:val="00B10AB9"/>
    <w:rsid w:val="00B22182"/>
    <w:rsid w:val="00B47422"/>
    <w:rsid w:val="00B51BDC"/>
    <w:rsid w:val="00B55B92"/>
    <w:rsid w:val="00B819C6"/>
    <w:rsid w:val="00BB67E8"/>
    <w:rsid w:val="00BF40DB"/>
    <w:rsid w:val="00C205C9"/>
    <w:rsid w:val="00C704D0"/>
    <w:rsid w:val="00CB34EB"/>
    <w:rsid w:val="00CF2894"/>
    <w:rsid w:val="00D23E64"/>
    <w:rsid w:val="00D53840"/>
    <w:rsid w:val="00D858F4"/>
    <w:rsid w:val="00DE5BED"/>
    <w:rsid w:val="00E217F3"/>
    <w:rsid w:val="00E406C2"/>
    <w:rsid w:val="00E838B7"/>
    <w:rsid w:val="00E8442F"/>
    <w:rsid w:val="00E86820"/>
    <w:rsid w:val="00E91EBF"/>
    <w:rsid w:val="00E95739"/>
    <w:rsid w:val="00EE5FA0"/>
    <w:rsid w:val="00F0092E"/>
    <w:rsid w:val="00F241E3"/>
    <w:rsid w:val="00F2732D"/>
    <w:rsid w:val="00F31D6A"/>
    <w:rsid w:val="00F52833"/>
    <w:rsid w:val="00F5691F"/>
    <w:rsid w:val="00F64B99"/>
    <w:rsid w:val="00F8422F"/>
    <w:rsid w:val="00F95F25"/>
    <w:rsid w:val="00FC7316"/>
    <w:rsid w:val="00FE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739"/>
    <w:rPr>
      <w:rFonts w:ascii="Times New Roman" w:hAnsi="Times New Roman" w:cs="Times New Roman" w:hint="default"/>
      <w:color w:val="0000FF"/>
      <w:u w:val="single"/>
    </w:rPr>
  </w:style>
  <w:style w:type="paragraph" w:styleId="FootnoteText">
    <w:name w:val="footnote text"/>
    <w:aliases w:val="fn,ALTS FOOTNOTE,Footnote Text 2,Footnote text,FOOTNOTE,Footnote Text Char1,Footnote Text Char Char5,Footnote Text Char2 Char1 Char1,Footnote Text Char4 Char Char Char1,Footnote Text Char2 Char1 Char1 Char Char,Footnote Text Char2,ft"/>
    <w:basedOn w:val="Normal"/>
    <w:link w:val="FootnoteTextChar"/>
    <w:semiHidden/>
    <w:unhideWhenUsed/>
    <w:rsid w:val="00E95739"/>
    <w:rPr>
      <w:sz w:val="20"/>
      <w:szCs w:val="20"/>
    </w:rPr>
  </w:style>
  <w:style w:type="character" w:customStyle="1" w:styleId="FootnoteTextChar">
    <w:name w:val="Footnote Text Char"/>
    <w:aliases w:val="fn Char,ALTS FOOTNOTE Char,Footnote Text 2 Char,Footnote text Char,FOOTNOTE Char,Footnote Text Char1 Char,Footnote Text Char Char5 Char,Footnote Text Char2 Char1 Char1 Char,Footnote Text Char4 Char Char Char1 Char,ft Char"/>
    <w:basedOn w:val="DefaultParagraphFont"/>
    <w:link w:val="FootnoteText"/>
    <w:uiPriority w:val="99"/>
    <w:semiHidden/>
    <w:rsid w:val="00E95739"/>
    <w:rPr>
      <w:rFonts w:ascii="Times New Roman" w:eastAsia="Times New Roman" w:hAnsi="Times New Roman" w:cs="Times New Roman"/>
      <w:sz w:val="20"/>
      <w:szCs w:val="20"/>
    </w:rPr>
  </w:style>
  <w:style w:type="character" w:styleId="FootnoteReference">
    <w:name w:val="footnote reference"/>
    <w:aliases w:val="fr"/>
    <w:basedOn w:val="DefaultParagraphFont"/>
    <w:semiHidden/>
    <w:unhideWhenUsed/>
    <w:rsid w:val="00E95739"/>
    <w:rPr>
      <w:vertAlign w:val="superscript"/>
    </w:rPr>
  </w:style>
  <w:style w:type="paragraph" w:styleId="BodyTextIndent">
    <w:name w:val="Body Text Indent"/>
    <w:basedOn w:val="Normal"/>
    <w:link w:val="BodyTextIndentChar"/>
    <w:rsid w:val="00E95739"/>
    <w:pPr>
      <w:ind w:left="1440"/>
    </w:pPr>
    <w:rPr>
      <w:szCs w:val="20"/>
    </w:rPr>
  </w:style>
  <w:style w:type="character" w:customStyle="1" w:styleId="BodyTextIndentChar">
    <w:name w:val="Body Text Indent Char"/>
    <w:basedOn w:val="DefaultParagraphFont"/>
    <w:link w:val="BodyTextIndent"/>
    <w:rsid w:val="00E957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5739"/>
    <w:pPr>
      <w:tabs>
        <w:tab w:val="center" w:pos="4680"/>
        <w:tab w:val="right" w:pos="9360"/>
      </w:tabs>
    </w:pPr>
  </w:style>
  <w:style w:type="character" w:customStyle="1" w:styleId="FooterChar">
    <w:name w:val="Footer Char"/>
    <w:basedOn w:val="DefaultParagraphFont"/>
    <w:link w:val="Footer"/>
    <w:uiPriority w:val="99"/>
    <w:rsid w:val="00E9573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95739"/>
    <w:pPr>
      <w:spacing w:after="120"/>
    </w:pPr>
    <w:rPr>
      <w:rFonts w:eastAsia="Calibri"/>
      <w:szCs w:val="22"/>
    </w:rPr>
  </w:style>
  <w:style w:type="character" w:customStyle="1" w:styleId="BodyTextChar">
    <w:name w:val="Body Text Char"/>
    <w:basedOn w:val="DefaultParagraphFont"/>
    <w:link w:val="BodyText"/>
    <w:uiPriority w:val="99"/>
    <w:rsid w:val="00E95739"/>
    <w:rPr>
      <w:rFonts w:ascii="Times New Roman" w:eastAsia="Calibri" w:hAnsi="Times New Roman" w:cs="Times New Roman"/>
      <w:sz w:val="24"/>
    </w:rPr>
  </w:style>
  <w:style w:type="paragraph" w:styleId="Signature">
    <w:name w:val="Signature"/>
    <w:basedOn w:val="Normal"/>
    <w:next w:val="BodyText"/>
    <w:link w:val="SignatureChar"/>
    <w:rsid w:val="00E95739"/>
    <w:pPr>
      <w:keepLines/>
      <w:spacing w:after="240"/>
      <w:ind w:left="4320"/>
    </w:pPr>
  </w:style>
  <w:style w:type="character" w:customStyle="1" w:styleId="SignatureChar">
    <w:name w:val="Signature Char"/>
    <w:basedOn w:val="DefaultParagraphFont"/>
    <w:link w:val="Signature"/>
    <w:rsid w:val="00E95739"/>
    <w:rPr>
      <w:rFonts w:ascii="Times New Roman" w:eastAsia="Times New Roman" w:hAnsi="Times New Roman" w:cs="Times New Roman"/>
      <w:sz w:val="24"/>
      <w:szCs w:val="24"/>
    </w:rPr>
  </w:style>
  <w:style w:type="character" w:customStyle="1" w:styleId="term1">
    <w:name w:val="term1"/>
    <w:basedOn w:val="DefaultParagraphFont"/>
    <w:rsid w:val="008C609D"/>
    <w:rPr>
      <w:b/>
      <w:bCs/>
    </w:rPr>
  </w:style>
  <w:style w:type="paragraph" w:styleId="ListParagraph">
    <w:name w:val="List Paragraph"/>
    <w:basedOn w:val="Normal"/>
    <w:uiPriority w:val="34"/>
    <w:qFormat/>
    <w:rsid w:val="00A12E95"/>
    <w:pPr>
      <w:ind w:left="720"/>
      <w:contextualSpacing/>
    </w:pPr>
  </w:style>
  <w:style w:type="paragraph" w:styleId="BalloonText">
    <w:name w:val="Balloon Text"/>
    <w:basedOn w:val="Normal"/>
    <w:link w:val="BalloonTextChar"/>
    <w:uiPriority w:val="99"/>
    <w:semiHidden/>
    <w:unhideWhenUsed/>
    <w:rsid w:val="00725FFA"/>
    <w:rPr>
      <w:rFonts w:ascii="Tahoma" w:hAnsi="Tahoma" w:cs="Tahoma"/>
      <w:sz w:val="16"/>
      <w:szCs w:val="16"/>
    </w:rPr>
  </w:style>
  <w:style w:type="character" w:customStyle="1" w:styleId="BalloonTextChar">
    <w:name w:val="Balloon Text Char"/>
    <w:basedOn w:val="DefaultParagraphFont"/>
    <w:link w:val="BalloonText"/>
    <w:uiPriority w:val="99"/>
    <w:semiHidden/>
    <w:rsid w:val="00725F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2722@a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g2708@att.com" TargetMode="External"/><Relationship Id="rId4" Type="http://schemas.openxmlformats.org/officeDocument/2006/relationships/settings" Target="settings.xml"/><Relationship Id="rId9" Type="http://schemas.openxmlformats.org/officeDocument/2006/relationships/hyperlink" Target="mailto:th9467@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CFD5-DE61-44C5-A3CF-12946CFD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3355</Words>
  <Characters>19127</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17</cp:revision>
  <cp:lastPrinted>2010-07-06T17:01:00Z</cp:lastPrinted>
  <dcterms:created xsi:type="dcterms:W3CDTF">2010-07-06T17:25:00Z</dcterms:created>
  <dcterms:modified xsi:type="dcterms:W3CDTF">2010-07-06T20:04:00Z</dcterms:modified>
</cp:coreProperties>
</file>