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pPr>
              <w:pStyle w:val="MastHeadState"/>
            </w:pPr>
            <w:bookmarkStart w:id="0" w:name="_GoBack"/>
            <w:bookmarkEnd w:id="0"/>
            <w:r>
              <w:t>State of Florida</w:t>
            </w:r>
          </w:p>
          <w:p w:rsidR="007C0528" w:rsidRDefault="00083480">
            <w:pPr>
              <w:jc w:val="center"/>
            </w:pPr>
            <w:r>
              <w:rPr>
                <w:noProof/>
              </w:rPr>
              <w:drawing>
                <wp:inline distT="0" distB="0" distL="0" distR="0" wp14:anchorId="4305AF2C" wp14:editId="4C1E159B">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pPr>
              <w:pStyle w:val="MemoHeading"/>
              <w:rPr>
                <w:b/>
              </w:rPr>
            </w:pPr>
            <w:r>
              <w:rPr>
                <w:b/>
              </w:rP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83480">
            <w:pPr>
              <w:pStyle w:val="MemoHeading"/>
            </w:pPr>
            <w:bookmarkStart w:id="1" w:name="FilingDate"/>
            <w:r>
              <w:t>April 23,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pPr>
              <w:pStyle w:val="MemoHeading"/>
              <w:rPr>
                <w:b/>
              </w:rPr>
            </w:pPr>
            <w:r>
              <w:rPr>
                <w:b/>
              </w:rP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pPr>
              <w:pStyle w:val="MemoHeading"/>
              <w:rPr>
                <w:b/>
              </w:rPr>
            </w:pPr>
            <w:r>
              <w:rPr>
                <w:b/>
              </w:rPr>
              <w:t>FROM:</w:t>
            </w:r>
          </w:p>
        </w:tc>
        <w:tc>
          <w:tcPr>
            <w:tcW w:w="8221" w:type="dxa"/>
            <w:gridSpan w:val="3"/>
            <w:tcBorders>
              <w:top w:val="nil"/>
              <w:left w:val="nil"/>
              <w:bottom w:val="nil"/>
              <w:right w:val="nil"/>
            </w:tcBorders>
            <w:shd w:val="clear" w:color="auto" w:fill="auto"/>
            <w:tcMar>
              <w:top w:w="288" w:type="dxa"/>
              <w:bottom w:w="0" w:type="dxa"/>
            </w:tcMar>
          </w:tcPr>
          <w:p w:rsidR="00083480" w:rsidRDefault="00083480" w:rsidP="00083480">
            <w:pPr>
              <w:pStyle w:val="MemoHeading"/>
            </w:pPr>
            <w:bookmarkStart w:id="2" w:name="From"/>
            <w:bookmarkEnd w:id="2"/>
            <w:r>
              <w:t>Office of Telecommunications (Williams</w:t>
            </w:r>
            <w:r w:rsidR="00A848E7">
              <w:t>,</w:t>
            </w:r>
            <w:r w:rsidR="00AF6B6F">
              <w:t xml:space="preserve"> </w:t>
            </w:r>
            <w:r w:rsidR="00A848E7">
              <w:t>Casey</w:t>
            </w:r>
            <w:r>
              <w:t>)</w:t>
            </w:r>
          </w:p>
          <w:p w:rsidR="007C0528" w:rsidRDefault="00083480" w:rsidP="00083480">
            <w:pPr>
              <w:pStyle w:val="MemoHeading"/>
            </w:pPr>
            <w:r>
              <w:t>Office of General Counsel (Page)</w:t>
            </w:r>
          </w:p>
        </w:tc>
      </w:tr>
      <w:tr w:rsidR="00083480">
        <w:tc>
          <w:tcPr>
            <w:tcW w:w="1254" w:type="dxa"/>
            <w:tcBorders>
              <w:top w:val="nil"/>
              <w:left w:val="nil"/>
              <w:bottom w:val="nil"/>
              <w:right w:val="nil"/>
            </w:tcBorders>
            <w:shd w:val="clear" w:color="auto" w:fill="auto"/>
            <w:tcMar>
              <w:top w:w="288" w:type="dxa"/>
              <w:right w:w="0" w:type="dxa"/>
            </w:tcMar>
          </w:tcPr>
          <w:p w:rsidR="00083480" w:rsidRDefault="00083480">
            <w:pPr>
              <w:pStyle w:val="MemoHeading"/>
              <w:rPr>
                <w:b/>
              </w:rPr>
            </w:pPr>
            <w:r>
              <w:rPr>
                <w:b/>
              </w:rPr>
              <w:t>RE:</w:t>
            </w:r>
          </w:p>
        </w:tc>
        <w:tc>
          <w:tcPr>
            <w:tcW w:w="8221" w:type="dxa"/>
            <w:gridSpan w:val="3"/>
            <w:tcBorders>
              <w:top w:val="nil"/>
              <w:left w:val="nil"/>
              <w:bottom w:val="nil"/>
              <w:right w:val="nil"/>
            </w:tcBorders>
            <w:shd w:val="clear" w:color="auto" w:fill="auto"/>
            <w:tcMar>
              <w:top w:w="288" w:type="dxa"/>
            </w:tcMar>
          </w:tcPr>
          <w:p w:rsidR="00AD2C1A" w:rsidRDefault="007138A2" w:rsidP="007138A2">
            <w:pPr>
              <w:pStyle w:val="MemoHeadingRe"/>
            </w:pPr>
            <w:bookmarkStart w:id="3" w:name="Re"/>
            <w:bookmarkEnd w:id="3"/>
            <w:r>
              <w:t>Docket No. 140029-TP – Request for submission of proposals for relay service, beginning in June 2015, for the deaf, hard of hearing, deaf/blind, or speech impaired, and other implementation matters in compliance with the Florida Telecommunications Access System Act of 1991.</w:t>
            </w:r>
          </w:p>
        </w:tc>
      </w:tr>
      <w:tr w:rsidR="00083480">
        <w:tc>
          <w:tcPr>
            <w:tcW w:w="1254" w:type="dxa"/>
            <w:tcBorders>
              <w:top w:val="nil"/>
              <w:left w:val="nil"/>
              <w:bottom w:val="nil"/>
              <w:right w:val="nil"/>
            </w:tcBorders>
            <w:shd w:val="clear" w:color="auto" w:fill="auto"/>
            <w:tcMar>
              <w:top w:w="288" w:type="dxa"/>
              <w:bottom w:w="0" w:type="dxa"/>
              <w:right w:w="0" w:type="dxa"/>
            </w:tcMar>
          </w:tcPr>
          <w:p w:rsidR="00083480" w:rsidRDefault="00083480">
            <w:pPr>
              <w:pStyle w:val="MemoHeading"/>
              <w:rPr>
                <w:b/>
              </w:rPr>
            </w:pPr>
            <w:r>
              <w:rPr>
                <w:b/>
              </w:rPr>
              <w:t>AGENDA:</w:t>
            </w:r>
          </w:p>
        </w:tc>
        <w:tc>
          <w:tcPr>
            <w:tcW w:w="8221" w:type="dxa"/>
            <w:gridSpan w:val="3"/>
            <w:tcBorders>
              <w:top w:val="nil"/>
              <w:left w:val="nil"/>
              <w:bottom w:val="nil"/>
              <w:right w:val="nil"/>
            </w:tcBorders>
            <w:shd w:val="clear" w:color="auto" w:fill="auto"/>
            <w:tcMar>
              <w:top w:w="288" w:type="dxa"/>
            </w:tcMar>
          </w:tcPr>
          <w:p w:rsidR="00083480" w:rsidRDefault="00083480" w:rsidP="00083480">
            <w:pPr>
              <w:pStyle w:val="MemoHeading"/>
            </w:pPr>
            <w:bookmarkStart w:id="4" w:name="AgendaDate"/>
            <w:r>
              <w:t>05/05/15</w:t>
            </w:r>
            <w:bookmarkEnd w:id="4"/>
            <w:r>
              <w:t xml:space="preserve"> – </w:t>
            </w:r>
            <w:bookmarkStart w:id="5" w:name="PermittedStatus"/>
            <w:r>
              <w:t>Regular Agenda – Proposed Agency Action – Interested Persons May Participate</w:t>
            </w:r>
            <w:bookmarkEnd w:id="5"/>
          </w:p>
        </w:tc>
      </w:tr>
      <w:tr w:rsidR="00083480">
        <w:tc>
          <w:tcPr>
            <w:tcW w:w="3690" w:type="dxa"/>
            <w:gridSpan w:val="3"/>
            <w:tcBorders>
              <w:top w:val="nil"/>
              <w:left w:val="nil"/>
              <w:bottom w:val="nil"/>
              <w:right w:val="nil"/>
            </w:tcBorders>
            <w:shd w:val="clear" w:color="auto" w:fill="auto"/>
            <w:tcMar>
              <w:top w:w="288" w:type="dxa"/>
              <w:bottom w:w="0" w:type="dxa"/>
              <w:right w:w="0" w:type="dxa"/>
            </w:tcMar>
          </w:tcPr>
          <w:p w:rsidR="00083480" w:rsidRDefault="00083480">
            <w:pPr>
              <w:pStyle w:val="MemoHeading"/>
              <w:rPr>
                <w:b/>
              </w:rPr>
            </w:pPr>
            <w:r>
              <w:rPr>
                <w:b/>
              </w:rPr>
              <w:t>COMMISSIONERS ASSIGNED:</w:t>
            </w:r>
          </w:p>
        </w:tc>
        <w:tc>
          <w:tcPr>
            <w:tcW w:w="5785" w:type="dxa"/>
            <w:tcBorders>
              <w:top w:val="nil"/>
              <w:left w:val="nil"/>
              <w:bottom w:val="nil"/>
              <w:right w:val="nil"/>
            </w:tcBorders>
            <w:shd w:val="clear" w:color="auto" w:fill="auto"/>
          </w:tcPr>
          <w:p w:rsidR="00083480" w:rsidRDefault="00083480">
            <w:pPr>
              <w:pStyle w:val="MemoHeading"/>
            </w:pPr>
            <w:bookmarkStart w:id="6" w:name="CommissionersAssigned"/>
            <w:r>
              <w:t>All Commissioners</w:t>
            </w:r>
            <w:bookmarkEnd w:id="6"/>
          </w:p>
        </w:tc>
      </w:tr>
      <w:tr w:rsidR="00083480">
        <w:tc>
          <w:tcPr>
            <w:tcW w:w="3690" w:type="dxa"/>
            <w:gridSpan w:val="3"/>
            <w:tcBorders>
              <w:top w:val="nil"/>
              <w:left w:val="nil"/>
              <w:bottom w:val="nil"/>
              <w:right w:val="nil"/>
            </w:tcBorders>
            <w:shd w:val="clear" w:color="auto" w:fill="auto"/>
            <w:tcMar>
              <w:top w:w="288" w:type="dxa"/>
              <w:bottom w:w="0" w:type="dxa"/>
              <w:right w:w="0" w:type="dxa"/>
            </w:tcMar>
          </w:tcPr>
          <w:p w:rsidR="00083480" w:rsidRDefault="00083480">
            <w:pPr>
              <w:pStyle w:val="MemoHeading"/>
              <w:rPr>
                <w:b/>
              </w:rPr>
            </w:pPr>
            <w:r>
              <w:rPr>
                <w:b/>
              </w:rPr>
              <w:t>PREHEARING OFFICER:</w:t>
            </w:r>
          </w:p>
        </w:tc>
        <w:tc>
          <w:tcPr>
            <w:tcW w:w="5785" w:type="dxa"/>
            <w:tcBorders>
              <w:top w:val="nil"/>
              <w:left w:val="nil"/>
              <w:bottom w:val="nil"/>
              <w:right w:val="nil"/>
            </w:tcBorders>
            <w:shd w:val="clear" w:color="auto" w:fill="auto"/>
          </w:tcPr>
          <w:p w:rsidR="00083480" w:rsidRDefault="00083480">
            <w:pPr>
              <w:pStyle w:val="MemoHeading"/>
            </w:pPr>
            <w:bookmarkStart w:id="7" w:name="PrehearingOfficer"/>
            <w:r>
              <w:t>Brisé</w:t>
            </w:r>
            <w:bookmarkEnd w:id="7"/>
          </w:p>
        </w:tc>
      </w:tr>
      <w:tr w:rsidR="00083480" w:rsidTr="0093658B">
        <w:tc>
          <w:tcPr>
            <w:tcW w:w="3690" w:type="dxa"/>
            <w:gridSpan w:val="3"/>
            <w:tcBorders>
              <w:top w:val="nil"/>
              <w:left w:val="nil"/>
              <w:bottom w:val="nil"/>
              <w:right w:val="nil"/>
            </w:tcBorders>
            <w:shd w:val="clear" w:color="auto" w:fill="auto"/>
            <w:tcMar>
              <w:top w:w="288" w:type="dxa"/>
              <w:bottom w:w="0" w:type="dxa"/>
              <w:right w:w="0" w:type="dxa"/>
            </w:tcMar>
          </w:tcPr>
          <w:p w:rsidR="00083480" w:rsidRDefault="00083480">
            <w:pPr>
              <w:pStyle w:val="MemoHeading"/>
              <w:rPr>
                <w:b/>
              </w:rPr>
            </w:pPr>
            <w:bookmarkStart w:id="8" w:name="CriticalDatesLabel"/>
            <w:r>
              <w:rPr>
                <w:b/>
              </w:rPr>
              <w:t>CRITICAL DATES:</w:t>
            </w:r>
            <w:bookmarkEnd w:id="8"/>
          </w:p>
        </w:tc>
        <w:tc>
          <w:tcPr>
            <w:tcW w:w="5785" w:type="dxa"/>
            <w:tcBorders>
              <w:top w:val="nil"/>
              <w:left w:val="nil"/>
              <w:bottom w:val="nil"/>
              <w:right w:val="nil"/>
            </w:tcBorders>
            <w:shd w:val="clear" w:color="auto" w:fill="auto"/>
          </w:tcPr>
          <w:p w:rsidR="00083480" w:rsidRDefault="00083480" w:rsidP="00083480">
            <w:pPr>
              <w:pStyle w:val="MemoHeading"/>
            </w:pPr>
            <w:r>
              <w:t>July 1, 2015 – Effective date of Florida Telecommunications Relay, Inc. budget.  Notification of any change in the Telecommunications Access System Act surcharge must be made to carriers prior to July 1, 2015.</w:t>
            </w:r>
          </w:p>
        </w:tc>
      </w:tr>
      <w:tr w:rsidR="00083480"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083480" w:rsidRDefault="00083480">
            <w:pPr>
              <w:pStyle w:val="MemoHeading"/>
              <w:rPr>
                <w:b/>
              </w:rPr>
            </w:pPr>
            <w:r>
              <w:rPr>
                <w:b/>
              </w:rPr>
              <w:t>SPECIAL INSTRUCTIONS:</w:t>
            </w:r>
          </w:p>
        </w:tc>
        <w:tc>
          <w:tcPr>
            <w:tcW w:w="5785" w:type="dxa"/>
            <w:tcBorders>
              <w:top w:val="nil"/>
              <w:left w:val="nil"/>
              <w:bottom w:val="single" w:sz="24" w:space="0" w:color="auto"/>
              <w:right w:val="nil"/>
            </w:tcBorders>
            <w:shd w:val="clear" w:color="auto" w:fill="auto"/>
            <w:tcMar>
              <w:bottom w:w="216" w:type="dxa"/>
            </w:tcMar>
          </w:tcPr>
          <w:p w:rsidR="00083480" w:rsidRDefault="00083480">
            <w:pPr>
              <w:pStyle w:val="MemoHeading"/>
            </w:pPr>
            <w:bookmarkStart w:id="9" w:name="SpecialInstructions"/>
            <w:r>
              <w:t>Anticipate the need for sign language interpreters and assisted listening devices.  Please place near the beginning of the agenda to reduce interpreter costs.</w:t>
            </w:r>
            <w:bookmarkEnd w:id="9"/>
          </w:p>
        </w:tc>
      </w:tr>
    </w:tbl>
    <w:p w:rsidR="00F36577" w:rsidRDefault="00F36577">
      <w:pPr>
        <w:pStyle w:val="RecommendationMajorSectionHeading"/>
        <w:rPr>
          <w:u w:val="none"/>
        </w:rPr>
      </w:pPr>
      <w:bookmarkStart w:id="10" w:name="RecToC"/>
      <w:bookmarkEnd w:id="10"/>
    </w:p>
    <w:p w:rsidR="007C0528" w:rsidRDefault="007C0528">
      <w:pPr>
        <w:pStyle w:val="RecommendationMajorSectionHeading"/>
      </w:pPr>
      <w:r>
        <w:rPr>
          <w:u w:val="none"/>
        </w:rP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B94CD5" w:rsidRDefault="00B94CD5" w:rsidP="00B94CD5">
      <w:pPr>
        <w:pStyle w:val="BodyText"/>
      </w:pPr>
      <w:r>
        <w:t xml:space="preserve">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w:t>
      </w:r>
      <w:r>
        <w:lastRenderedPageBreak/>
        <w:t xml:space="preserve">person using a Telecommunications Device for the Deaf where the person using the Telecommunications Device for the Deaf types a message to the Communications Assistant who in turn voices the message to the other party, or a Captioned Telephone which displays real-time captions of the conversation.  </w:t>
      </w:r>
    </w:p>
    <w:p w:rsidR="00B94CD5" w:rsidRDefault="00B94CD5" w:rsidP="00B94CD5">
      <w:pPr>
        <w:pStyle w:val="BodyText"/>
      </w:pPr>
      <w:r>
        <w:t>The Telecommunications Access System Act of 1991</w:t>
      </w:r>
      <w:r w:rsidR="003C755D">
        <w:t xml:space="preserve"> (TASA) </w:t>
      </w:r>
      <w:r>
        <w:t xml:space="preserve">established a statewide telecommunications relay system which </w:t>
      </w:r>
      <w:r w:rsidR="00A848E7">
        <w:t>became effective May 24, 1991.</w:t>
      </w:r>
      <w:r w:rsidR="00D73809">
        <w:t xml:space="preserve">  </w:t>
      </w:r>
      <w:r>
        <w:t>The Telecommunications Access System Act i</w:t>
      </w:r>
      <w:r w:rsidR="002E5C38">
        <w:t xml:space="preserve">s authorized pursuant to </w:t>
      </w:r>
      <w:r w:rsidR="007F3AF5">
        <w:t xml:space="preserve">Chapter 427, </w:t>
      </w:r>
      <w:r w:rsidR="00F651DD">
        <w:t>F</w:t>
      </w:r>
      <w:r w:rsidR="007F3AF5">
        <w:t>lorida Statutes</w:t>
      </w:r>
      <w:r w:rsidR="00F651DD">
        <w:t xml:space="preserve"> (F.S.)</w:t>
      </w:r>
      <w:r w:rsidR="007F3AF5">
        <w:t>.</w:t>
      </w:r>
      <w:r w:rsidR="00D27C4C">
        <w:t xml:space="preserve">  </w:t>
      </w:r>
      <w:r>
        <w:t>Section 427.701(1),</w:t>
      </w:r>
      <w:r w:rsidR="007F3AF5">
        <w:t xml:space="preserve"> </w:t>
      </w:r>
      <w:r w:rsidR="00F651DD">
        <w:t>F.S.</w:t>
      </w:r>
      <w:r w:rsidR="007F3AF5">
        <w:t xml:space="preserve">, </w:t>
      </w:r>
      <w:r>
        <w:t>provides that the Florida Public Service Commission</w:t>
      </w:r>
      <w:r w:rsidR="00AE0B6B">
        <w:t xml:space="preserve"> (Commission) </w:t>
      </w:r>
      <w:r>
        <w:t>shall establish, implement, promote, and oversee the administration of the statewide telecommunications access system to provide access to telecommunications relay services by persons who are deaf, hard of hearing or speech impaired, or others who communicate w</w:t>
      </w:r>
      <w:r w:rsidR="00651212">
        <w:t xml:space="preserve">ith them.  It is estimated that three million of the estimated 19 </w:t>
      </w:r>
      <w:r>
        <w:t>million persons living in Florid</w:t>
      </w:r>
      <w:r w:rsidR="00D73809">
        <w:t xml:space="preserve">a have been diagnosed as having a </w:t>
      </w:r>
      <w:r>
        <w:t xml:space="preserve">hearing loss.  This system provides telecommunications service for deaf or hard of hearing persons functionally equivalent to the service provided to hearing persons.  </w:t>
      </w:r>
    </w:p>
    <w:p w:rsidR="00B94CD5" w:rsidRDefault="003C755D" w:rsidP="003C755D">
      <w:pPr>
        <w:pStyle w:val="BodyText"/>
        <w:rPr>
          <w:color w:val="000000"/>
        </w:rPr>
      </w:pPr>
      <w:r>
        <w:t xml:space="preserve">TASA </w:t>
      </w:r>
      <w:r w:rsidR="00B94CD5">
        <w:t xml:space="preserve">provides funding for the distribution of specialized telecommunications devices and provision of intrastate relay service through the imposition of a surcharge of up to $0.25 per landline access line per month.  Accounts with over 25 access lines are billed for only 25 lines.  Pursuant to Section 427.704(4)(a)1, </w:t>
      </w:r>
      <w:r w:rsidR="00F651DD">
        <w:t>F.S.</w:t>
      </w:r>
      <w:r w:rsidR="00B94CD5">
        <w:t>, a surcharge is collected only from landline access lines.</w:t>
      </w:r>
      <w:r w:rsidR="00B94CD5">
        <w:rPr>
          <w:rStyle w:val="FootnoteReference"/>
        </w:rPr>
        <w:footnoteReference w:id="1"/>
      </w:r>
      <w:r w:rsidR="00B94CD5">
        <w:t xml:space="preserve">  </w:t>
      </w:r>
    </w:p>
    <w:p w:rsidR="00B94CD5" w:rsidRDefault="004D516D" w:rsidP="00B94CD5">
      <w:pPr>
        <w:pStyle w:val="BodyText"/>
      </w:pPr>
      <w:r>
        <w:t>Florida Telecommunications Relay, Inc. (</w:t>
      </w:r>
      <w:r w:rsidR="00AE0B6B">
        <w:t>FTRI</w:t>
      </w:r>
      <w:r>
        <w:t>)</w:t>
      </w:r>
      <w:r w:rsidR="00B94CD5">
        <w:t>, a non-profit corporation formed by the local exchange telephone</w:t>
      </w:r>
      <w:r w:rsidR="00AE0B6B">
        <w:t xml:space="preserve"> companies, was selected by the </w:t>
      </w:r>
      <w:r w:rsidR="00B94CD5">
        <w:t>Commission to serve as the</w:t>
      </w:r>
      <w:r w:rsidR="00B94CD5" w:rsidRPr="001D6532">
        <w:t xml:space="preserve"> </w:t>
      </w:r>
      <w:r w:rsidR="00B94CD5">
        <w:t>Telecommunications Access System Act Administrator.  On July 1, 1991, the local exchange telecommunications companies began collecting an initial $.05 per access line surcharge pursuant to Order No. 24581.  Since that time, the surcharge has changed to reflect budgetary needs, but has been maintained at $0.11 per month since June 2007.</w:t>
      </w:r>
    </w:p>
    <w:p w:rsidR="00893EC3" w:rsidRDefault="00893EC3" w:rsidP="00693AC1">
      <w:pPr>
        <w:autoSpaceDE w:val="0"/>
        <w:autoSpaceDN w:val="0"/>
        <w:adjustRightInd w:val="0"/>
        <w:ind w:firstLine="720"/>
        <w:jc w:val="both"/>
      </w:pPr>
      <w:r>
        <w:t xml:space="preserve">In regards to the $0.11 surcharge, it is important to point out that Chapter 427, </w:t>
      </w:r>
      <w:r w:rsidR="00F651DD">
        <w:t>F.S.</w:t>
      </w:r>
      <w:r>
        <w:t xml:space="preserve">, requires that the relay system be compliant with regulations adopted by the Federal Communications Commission (FCC) to implement Title IV of the Americans with Disabilities Act.  The FCC mandates the minimum requirements for services a state must provide, certifies each state program, and periodically proposes changes in the stipulated services. </w:t>
      </w:r>
    </w:p>
    <w:p w:rsidR="00693AC1" w:rsidRDefault="00693AC1" w:rsidP="00693AC1">
      <w:pPr>
        <w:autoSpaceDE w:val="0"/>
        <w:autoSpaceDN w:val="0"/>
        <w:adjustRightInd w:val="0"/>
        <w:ind w:firstLine="720"/>
        <w:jc w:val="both"/>
      </w:pPr>
    </w:p>
    <w:p w:rsidR="00B94CD5" w:rsidRPr="006F551E" w:rsidRDefault="00893EC3" w:rsidP="00893EC3">
      <w:pPr>
        <w:autoSpaceDE w:val="0"/>
        <w:autoSpaceDN w:val="0"/>
        <w:adjustRightInd w:val="0"/>
        <w:ind w:firstLine="720"/>
        <w:jc w:val="both"/>
      </w:pPr>
      <w:r>
        <w:rPr>
          <w:color w:val="000000"/>
        </w:rPr>
        <w:t>Staff sent a data request to FTRI on a number of issues included in its proposed budget.  FTRI</w:t>
      </w:r>
      <w:r w:rsidR="00161F64">
        <w:rPr>
          <w:color w:val="000000"/>
        </w:rPr>
        <w:t xml:space="preserve">’s responses to staff’s data request </w:t>
      </w:r>
      <w:r>
        <w:rPr>
          <w:color w:val="000000"/>
        </w:rPr>
        <w:t>are included in the docket file.</w:t>
      </w:r>
      <w:r w:rsidR="00161F64">
        <w:rPr>
          <w:color w:val="000000"/>
        </w:rPr>
        <w:t xml:space="preserve">  </w:t>
      </w:r>
      <w:r w:rsidR="00B94CD5">
        <w:t>The purpose of this recomme</w:t>
      </w:r>
      <w:r w:rsidR="00AE0B6B">
        <w:t xml:space="preserve">ndation is to address </w:t>
      </w:r>
      <w:r w:rsidR="002E5C38">
        <w:t xml:space="preserve">the </w:t>
      </w:r>
      <w:r w:rsidR="00AE0B6B">
        <w:t>FTRI</w:t>
      </w:r>
      <w:r w:rsidR="002E5C38">
        <w:t xml:space="preserve"> </w:t>
      </w:r>
      <w:r w:rsidR="002B3E27">
        <w:t xml:space="preserve">proposed </w:t>
      </w:r>
      <w:r w:rsidR="00B94CD5">
        <w:t xml:space="preserve">2015/2016 fiscal year budget.  The Commission is vested with jurisdiction pursuant to Chapter 427, </w:t>
      </w:r>
      <w:r w:rsidR="00F651DD">
        <w:t>F.S.</w:t>
      </w:r>
    </w:p>
    <w:p w:rsidR="00B94CD5" w:rsidRDefault="00B94CD5" w:rsidP="00B94CD5">
      <w:pPr>
        <w:pStyle w:val="BodyText"/>
      </w:pPr>
    </w:p>
    <w:p w:rsidR="0068481F" w:rsidRDefault="0068481F">
      <w:pPr>
        <w:pStyle w:val="BodyText"/>
      </w:pPr>
    </w:p>
    <w:bookmarkEnd w:id="11"/>
    <w:p w:rsidR="00EA2273" w:rsidRDefault="00EA2273" w:rsidP="00033F28">
      <w:pPr>
        <w:pStyle w:val="RecommendationMajorSectionHeading"/>
        <w:jc w:val="left"/>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B505A" w:rsidRDefault="004B505A" w:rsidP="004B505A">
      <w:pPr>
        <w:pStyle w:val="IssueHeading"/>
        <w:rPr>
          <w:vanish/>
          <w:specVanish/>
        </w:rPr>
      </w:pPr>
      <w:r>
        <w:rPr>
          <w:b/>
          <w:u w:val="single"/>
        </w:rPr>
        <w:t xml:space="preserve">Issue </w:t>
      </w:r>
      <w:r>
        <w:rPr>
          <w:b/>
          <w:u w:val="single"/>
        </w:rPr>
        <w:fldChar w:fldCharType="begin"/>
      </w:r>
      <w:r>
        <w:rPr>
          <w:b/>
          <w:u w:val="single"/>
        </w:rPr>
        <w:instrText xml:space="preserve"> SEQ Issue \* MERGEFORMAT </w:instrText>
      </w:r>
      <w:r>
        <w:rPr>
          <w:b/>
          <w:u w:val="single"/>
        </w:rPr>
        <w:fldChar w:fldCharType="separate"/>
      </w:r>
      <w:r w:rsidR="00D27C4C">
        <w:rPr>
          <w:b/>
          <w:noProof/>
          <w:u w:val="single"/>
        </w:rPr>
        <w:t>1</w:t>
      </w:r>
      <w:r>
        <w:rPr>
          <w:b/>
          <w:u w:val="single"/>
        </w:rPr>
        <w:fldChar w:fldCharType="end"/>
      </w:r>
      <w:r>
        <w:t>:</w:t>
      </w:r>
      <w:r>
        <w:fldChar w:fldCharType="begin"/>
      </w:r>
      <w:r>
        <w:instrText xml:space="preserve"> TC "</w:instrText>
      </w:r>
      <w:r>
        <w:fldChar w:fldCharType="begin"/>
      </w:r>
      <w:r>
        <w:instrText xml:space="preserve"> SEQ issue \c </w:instrText>
      </w:r>
      <w:r>
        <w:fldChar w:fldCharType="separate"/>
      </w:r>
      <w:r w:rsidR="00D27C4C">
        <w:rPr>
          <w:noProof/>
        </w:rPr>
        <w:instrText>1</w:instrText>
      </w:r>
      <w:r>
        <w:fldChar w:fldCharType="end"/>
      </w:r>
      <w:r>
        <w:tab/>
        <w:instrText xml:space="preserve"> (Casey, Kennedy)" \l 1 </w:instrText>
      </w:r>
      <w:r>
        <w:fldChar w:fldCharType="end"/>
      </w:r>
      <w:r>
        <w:t> </w:t>
      </w:r>
    </w:p>
    <w:p w:rsidR="004B505A" w:rsidRDefault="004B505A" w:rsidP="004B505A">
      <w:pPr>
        <w:pStyle w:val="BodyText"/>
      </w:pPr>
      <w:r>
        <w:t xml:space="preserve"> Should the Commission approve </w:t>
      </w:r>
      <w:r w:rsidR="00AE0B6B">
        <w:t>FTRI</w:t>
      </w:r>
      <w:r>
        <w:t>’s proposed budget as outlined in Attachment A for fiscal year 2015/2016, effective July 1, 2015, and should the Commission maintain the current Telecommunications Relay Service</w:t>
      </w:r>
      <w:r w:rsidR="00D01B94">
        <w:t xml:space="preserve"> (TRS)</w:t>
      </w:r>
      <w:r>
        <w:rPr>
          <w:color w:val="FF0000"/>
        </w:rPr>
        <w:t xml:space="preserve"> </w:t>
      </w:r>
      <w:r>
        <w:t>surcharge of $0.11 per month?</w:t>
      </w:r>
    </w:p>
    <w:p w:rsidR="00411D70" w:rsidRDefault="00A84BA8" w:rsidP="0035703A">
      <w:pPr>
        <w:pStyle w:val="IssueSubsectionHeading"/>
      </w:pPr>
      <w:r>
        <w:rPr>
          <w:b/>
          <w:u w:val="single"/>
        </w:rPr>
        <w:t>Recommendation</w:t>
      </w:r>
      <w:r>
        <w:t>:</w:t>
      </w:r>
      <w:r w:rsidR="0035703A">
        <w:t xml:space="preserve">  Staff recommends</w:t>
      </w:r>
      <w:r w:rsidR="00FC7BE7">
        <w:t xml:space="preserve"> the Commission approve</w:t>
      </w:r>
      <w:r w:rsidR="0035703A">
        <w:t xml:space="preserve"> Option 4 </w:t>
      </w:r>
      <w:r w:rsidR="00BD54FA">
        <w:t xml:space="preserve">in staff’s analysis </w:t>
      </w:r>
      <w:r w:rsidR="0035703A">
        <w:t xml:space="preserve">which reduces FTRI’s proposed budget by </w:t>
      </w:r>
      <w:r w:rsidR="0035703A" w:rsidRPr="0035703A">
        <w:rPr>
          <w:color w:val="000000"/>
        </w:rPr>
        <w:t>$851,774</w:t>
      </w:r>
      <w:r w:rsidR="00796102">
        <w:rPr>
          <w:color w:val="000000"/>
        </w:rPr>
        <w:t xml:space="preserve">.  </w:t>
      </w:r>
      <w:r w:rsidR="0035703A">
        <w:t xml:space="preserve">FTRI </w:t>
      </w:r>
      <w:r w:rsidR="00796102">
        <w:t xml:space="preserve">should </w:t>
      </w:r>
      <w:r w:rsidR="0035703A">
        <w:t xml:space="preserve">determine which individual accounts of Category </w:t>
      </w:r>
      <w:r w:rsidR="00FC1A5B">
        <w:t>II</w:t>
      </w:r>
      <w:r w:rsidR="0035703A">
        <w:t>, Category I</w:t>
      </w:r>
      <w:r w:rsidR="00FC1A5B">
        <w:t>I</w:t>
      </w:r>
      <w:r w:rsidR="0035703A">
        <w:t>I, Category I</w:t>
      </w:r>
      <w:r w:rsidR="00FC1A5B">
        <w:t xml:space="preserve">V, and Category </w:t>
      </w:r>
      <w:r w:rsidR="0035703A">
        <w:t xml:space="preserve">V expenses should be adjusted to equal the Commission-approved decrease.  Staff recommends that FTRI re-submit its budget within 30 days of </w:t>
      </w:r>
      <w:r w:rsidR="003C755D">
        <w:t xml:space="preserve">the </w:t>
      </w:r>
      <w:r w:rsidR="0035703A">
        <w:t>Commission vote</w:t>
      </w:r>
      <w:r w:rsidR="00796102">
        <w:t>.  The revised budget should</w:t>
      </w:r>
      <w:r w:rsidR="0035703A">
        <w:t xml:space="preserve"> show adjustments to the individual accounts reflecting </w:t>
      </w:r>
      <w:r w:rsidR="00796102">
        <w:t>the</w:t>
      </w:r>
      <w:r w:rsidR="0035703A">
        <w:t xml:space="preserve"> $851,774</w:t>
      </w:r>
      <w:r w:rsidR="00796102">
        <w:t xml:space="preserve"> decrease</w:t>
      </w:r>
      <w:r w:rsidR="0035703A">
        <w:t>.  Staff recommends that staff be granted administrative authority to approve the resubmitted budget as long as it adheres</w:t>
      </w:r>
      <w:r w:rsidR="009467CE">
        <w:t xml:space="preserve"> to the Commission’s decision.  </w:t>
      </w:r>
      <w:r w:rsidR="003C755D">
        <w:t>However, if the revised budget indicates an allocation of funds inconsistent with the purpose</w:t>
      </w:r>
      <w:r w:rsidR="00E72F4B">
        <w:t xml:space="preserve"> </w:t>
      </w:r>
      <w:r w:rsidR="003C755D">
        <w:t>and</w:t>
      </w:r>
      <w:r w:rsidR="00E72F4B">
        <w:t xml:space="preserve"> </w:t>
      </w:r>
      <w:r w:rsidR="003C755D">
        <w:t xml:space="preserve">intent of TASA, staff will bring the revised budget back to the Commission for further consideration.  </w:t>
      </w:r>
      <w:r w:rsidR="0035703A">
        <w:t xml:space="preserve">Staff also </w:t>
      </w:r>
      <w:r w:rsidR="0035703A">
        <w:rPr>
          <w:color w:val="000000"/>
        </w:rPr>
        <w:t>recommends that</w:t>
      </w:r>
      <w:r w:rsidR="00D01B94">
        <w:rPr>
          <w:color w:val="000000"/>
        </w:rPr>
        <w:t xml:space="preserve"> </w:t>
      </w:r>
      <w:r w:rsidR="0035703A">
        <w:rPr>
          <w:color w:val="000000"/>
        </w:rPr>
        <w:t>the</w:t>
      </w:r>
      <w:r w:rsidR="00D01B94">
        <w:rPr>
          <w:color w:val="000000"/>
        </w:rPr>
        <w:t xml:space="preserve"> </w:t>
      </w:r>
      <w:r w:rsidR="0035703A">
        <w:rPr>
          <w:color w:val="000000"/>
        </w:rPr>
        <w:t>TRS</w:t>
      </w:r>
      <w:r w:rsidR="00D01B94">
        <w:rPr>
          <w:color w:val="000000"/>
        </w:rPr>
        <w:t xml:space="preserve"> </w:t>
      </w:r>
      <w:r w:rsidR="0035703A">
        <w:rPr>
          <w:color w:val="000000"/>
        </w:rPr>
        <w:t>surcharge be maintained at $0.11 per month for fiscal year 2015/2016, effective July 1, 2015.  The Commission should order</w:t>
      </w:r>
      <w:r w:rsidR="0035703A" w:rsidRPr="00ED71CE">
        <w:rPr>
          <w:color w:val="000000"/>
        </w:rPr>
        <w:t xml:space="preserve"> the incumbent local exchange companies, competitive local exchange companies, and shared tenant providers to </w:t>
      </w:r>
      <w:r w:rsidR="0035703A">
        <w:rPr>
          <w:color w:val="000000"/>
        </w:rPr>
        <w:t xml:space="preserve">continue to </w:t>
      </w:r>
      <w:r w:rsidR="0035703A" w:rsidRPr="00ED71CE">
        <w:rPr>
          <w:color w:val="000000"/>
        </w:rPr>
        <w:t xml:space="preserve">bill the </w:t>
      </w:r>
      <w:r w:rsidR="0035703A">
        <w:rPr>
          <w:color w:val="000000"/>
        </w:rPr>
        <w:t xml:space="preserve">$0.11 </w:t>
      </w:r>
      <w:r w:rsidR="0035703A" w:rsidRPr="00ED71CE">
        <w:rPr>
          <w:color w:val="000000"/>
        </w:rPr>
        <w:t xml:space="preserve">surcharge </w:t>
      </w:r>
      <w:r w:rsidR="0035703A">
        <w:t>for fiscal year 2015/2016, effective July 1, 2015</w:t>
      </w:r>
      <w:r w:rsidR="0035703A" w:rsidRPr="00ED71CE">
        <w:rPr>
          <w:color w:val="000000"/>
        </w:rPr>
        <w:t>.</w:t>
      </w:r>
      <w:r w:rsidR="0035703A">
        <w:rPr>
          <w:color w:val="000000"/>
        </w:rPr>
        <w:t xml:space="preserve">  </w:t>
      </w:r>
      <w:r w:rsidR="005F26F5">
        <w:rPr>
          <w:color w:val="000000"/>
        </w:rPr>
        <w:t xml:space="preserve">(Williams, </w:t>
      </w:r>
      <w:r w:rsidR="00BD54FA">
        <w:rPr>
          <w:color w:val="000000"/>
        </w:rPr>
        <w:t xml:space="preserve">Casey, </w:t>
      </w:r>
      <w:r w:rsidR="005F26F5">
        <w:rPr>
          <w:color w:val="000000"/>
        </w:rPr>
        <w:t>Page)</w:t>
      </w:r>
    </w:p>
    <w:p w:rsidR="00B002B1" w:rsidRDefault="00B002B1" w:rsidP="00B002B1">
      <w:pPr>
        <w:pStyle w:val="IssueSubsectionHeading"/>
        <w:rPr>
          <w:vanish/>
          <w:specVanish/>
        </w:rPr>
      </w:pPr>
      <w:r>
        <w:rPr>
          <w:b/>
          <w:u w:val="single"/>
        </w:rPr>
        <w:t>Staff Analysis</w:t>
      </w:r>
      <w:r>
        <w:t>: </w:t>
      </w:r>
    </w:p>
    <w:p w:rsidR="00B002B1" w:rsidRDefault="00B002B1" w:rsidP="00B002B1">
      <w:pPr>
        <w:pStyle w:val="BodyText"/>
      </w:pPr>
      <w:r>
        <w:t xml:space="preserve"> Minutes of use for traditional </w:t>
      </w:r>
      <w:r w:rsidR="00D01B94">
        <w:t xml:space="preserve">TRS </w:t>
      </w:r>
      <w:r>
        <w:t>continue to decline.  Traditional relay users are transitioning to the more efficient technologies of Internet Protocol Relay</w:t>
      </w:r>
      <w:r>
        <w:rPr>
          <w:color w:val="000000"/>
        </w:rPr>
        <w:t>,</w:t>
      </w:r>
      <w:r w:rsidRPr="00ED71CE">
        <w:rPr>
          <w:rStyle w:val="FootnoteReference"/>
          <w:color w:val="000000"/>
        </w:rPr>
        <w:footnoteReference w:id="2"/>
      </w:r>
      <w:r>
        <w:rPr>
          <w:color w:val="000000"/>
        </w:rPr>
        <w:t xml:space="preserve"> </w:t>
      </w:r>
      <w:r w:rsidRPr="00ED71CE">
        <w:rPr>
          <w:color w:val="000000"/>
        </w:rPr>
        <w:t>Video Relay Service</w:t>
      </w:r>
      <w:r>
        <w:rPr>
          <w:color w:val="000000"/>
        </w:rPr>
        <w:t>,</w:t>
      </w:r>
      <w:r w:rsidRPr="00ED71CE">
        <w:rPr>
          <w:rStyle w:val="FootnoteReference"/>
          <w:color w:val="000000"/>
        </w:rPr>
        <w:footnoteReference w:id="3"/>
      </w:r>
      <w:r>
        <w:t xml:space="preserve"> Captioned Telephone Service,</w:t>
      </w:r>
      <w:r>
        <w:rPr>
          <w:rStyle w:val="FootnoteReference"/>
        </w:rPr>
        <w:footnoteReference w:id="4"/>
      </w:r>
      <w:r>
        <w:t xml:space="preserve"> Internet Protocol Captioned Telephone Service,</w:t>
      </w:r>
      <w:r>
        <w:rPr>
          <w:rStyle w:val="FootnoteReference"/>
        </w:rPr>
        <w:footnoteReference w:id="5"/>
      </w:r>
      <w:r>
        <w:t xml:space="preserve"> Internet Protocol Speech to Speech service,</w:t>
      </w:r>
      <w:r>
        <w:rPr>
          <w:rStyle w:val="FootnoteReference"/>
        </w:rPr>
        <w:footnoteReference w:id="6"/>
      </w:r>
      <w:r>
        <w:t xml:space="preserve"> and </w:t>
      </w:r>
      <w:r w:rsidR="00FC1A5B">
        <w:t>wireless service</w:t>
      </w:r>
      <w:r>
        <w:t>.</w:t>
      </w:r>
      <w:r w:rsidR="00E96A64">
        <w:t xml:space="preserve">  </w:t>
      </w:r>
      <w:r w:rsidR="00BC24CF">
        <w:t>Minutes of use for CapTel service</w:t>
      </w:r>
      <w:r w:rsidR="00AE0B6B">
        <w:t xml:space="preserve"> have also </w:t>
      </w:r>
      <w:r w:rsidR="00BC24CF">
        <w:t>declined.</w:t>
      </w:r>
    </w:p>
    <w:p w:rsidR="00DC63B4" w:rsidRDefault="00DC63B4" w:rsidP="00B002B1">
      <w:pPr>
        <w:pStyle w:val="BodyText"/>
      </w:pPr>
      <w:r>
        <w:lastRenderedPageBreak/>
        <w:t xml:space="preserve">Access lines </w:t>
      </w:r>
      <w:r w:rsidR="003A5708">
        <w:t xml:space="preserve">in Florida to which the relay surcharge applies </w:t>
      </w:r>
      <w:r>
        <w:t xml:space="preserve">continue to decline.  </w:t>
      </w:r>
      <w:r w:rsidR="003A5708">
        <w:t xml:space="preserve">FTRI points out in its filing that since fiscal year 2008, access lines have decreased from an average of 9,194,091 for that period to 6,284,851 for fiscal year 2014, a loss of 2,909,240 access lines.  </w:t>
      </w:r>
      <w:r>
        <w:t xml:space="preserve">FTRI </w:t>
      </w:r>
      <w:r w:rsidR="003A5708">
        <w:t xml:space="preserve">maintains </w:t>
      </w:r>
      <w:r>
        <w:t xml:space="preserve">that declining access lines is one of the primary reasons for its projected shortfall.  </w:t>
      </w:r>
      <w:r w:rsidR="00BD07C1">
        <w:t xml:space="preserve">As presented in its cover letter accompanying its budget, </w:t>
      </w:r>
      <w:r>
        <w:t xml:space="preserve">FTRI’s </w:t>
      </w:r>
      <w:r w:rsidR="005A75CD">
        <w:t xml:space="preserve">revenue forecast </w:t>
      </w:r>
      <w:r>
        <w:t>is based on a 4 percent decline in access lines.</w:t>
      </w:r>
    </w:p>
    <w:p w:rsidR="00DC63B4" w:rsidRDefault="00DC63B4" w:rsidP="00B002B1">
      <w:pPr>
        <w:pStyle w:val="BodyText"/>
        <w:rPr>
          <w:color w:val="000000"/>
        </w:rPr>
      </w:pPr>
      <w:r>
        <w:t xml:space="preserve">FTRI’s </w:t>
      </w:r>
      <w:r w:rsidR="001327CB">
        <w:t xml:space="preserve">proposed </w:t>
      </w:r>
      <w:r>
        <w:t xml:space="preserve">budget </w:t>
      </w:r>
      <w:r w:rsidR="001327CB">
        <w:t>is</w:t>
      </w:r>
      <w:r>
        <w:t xml:space="preserve"> </w:t>
      </w:r>
      <w:r w:rsidR="001327CB">
        <w:t xml:space="preserve">also </w:t>
      </w:r>
      <w:r>
        <w:t xml:space="preserve">impacted by an increase in the cost of </w:t>
      </w:r>
      <w:r w:rsidR="008E14AA">
        <w:t>r</w:t>
      </w:r>
      <w:r>
        <w:t xml:space="preserve">elay service.  FTRI will incur </w:t>
      </w:r>
      <w:r w:rsidR="00470487">
        <w:t>higher</w:t>
      </w:r>
      <w:r>
        <w:t xml:space="preserve"> </w:t>
      </w:r>
      <w:r w:rsidR="0095657E">
        <w:t>r</w:t>
      </w:r>
      <w:r>
        <w:t xml:space="preserve">elay provider cost based on the </w:t>
      </w:r>
      <w:r w:rsidR="00796102">
        <w:t xml:space="preserve">new contract for relay service with Sprint which </w:t>
      </w:r>
      <w:r w:rsidR="00B04154">
        <w:t xml:space="preserve">went into effect </w:t>
      </w:r>
      <w:r w:rsidR="00796102">
        <w:t xml:space="preserve">on </w:t>
      </w:r>
      <w:r w:rsidR="00C13A9E">
        <w:t>March 1, 2015</w:t>
      </w:r>
      <w:r>
        <w:t>.</w:t>
      </w:r>
      <w:r w:rsidR="00150AED">
        <w:t xml:space="preserve">  </w:t>
      </w:r>
      <w:r w:rsidR="00085A4E">
        <w:rPr>
          <w:color w:val="000000"/>
        </w:rPr>
        <w:t xml:space="preserve">The </w:t>
      </w:r>
      <w:r w:rsidR="00150AED">
        <w:rPr>
          <w:color w:val="000000"/>
        </w:rPr>
        <w:t xml:space="preserve">TRS cost for the AT&amp;T contract </w:t>
      </w:r>
      <w:r w:rsidR="00D317F5">
        <w:rPr>
          <w:color w:val="000000"/>
        </w:rPr>
        <w:t>was</w:t>
      </w:r>
      <w:r w:rsidR="00085A4E">
        <w:rPr>
          <w:color w:val="000000"/>
        </w:rPr>
        <w:t xml:space="preserve"> </w:t>
      </w:r>
      <w:r w:rsidR="00150AED">
        <w:rPr>
          <w:color w:val="000000"/>
        </w:rPr>
        <w:t xml:space="preserve">$0.76 per </w:t>
      </w:r>
      <w:r w:rsidR="00D317F5">
        <w:rPr>
          <w:color w:val="000000"/>
        </w:rPr>
        <w:t xml:space="preserve">session </w:t>
      </w:r>
      <w:r w:rsidR="00150AED">
        <w:rPr>
          <w:color w:val="000000"/>
        </w:rPr>
        <w:t>minute</w:t>
      </w:r>
      <w:r w:rsidR="004E22EF">
        <w:rPr>
          <w:color w:val="000000"/>
        </w:rPr>
        <w:t xml:space="preserve">, and the </w:t>
      </w:r>
      <w:r w:rsidR="00150AED">
        <w:rPr>
          <w:color w:val="000000"/>
        </w:rPr>
        <w:t xml:space="preserve">CapTel </w:t>
      </w:r>
      <w:r w:rsidR="00470487">
        <w:rPr>
          <w:color w:val="000000"/>
        </w:rPr>
        <w:t>cost was</w:t>
      </w:r>
      <w:r w:rsidR="00E10967">
        <w:rPr>
          <w:color w:val="000000"/>
        </w:rPr>
        <w:t xml:space="preserve"> </w:t>
      </w:r>
      <w:r w:rsidR="00150AED">
        <w:rPr>
          <w:color w:val="000000"/>
        </w:rPr>
        <w:t xml:space="preserve">$1.47 per </w:t>
      </w:r>
      <w:r w:rsidR="00D317F5">
        <w:rPr>
          <w:color w:val="000000"/>
        </w:rPr>
        <w:t xml:space="preserve">session </w:t>
      </w:r>
      <w:r w:rsidR="00150AED">
        <w:rPr>
          <w:color w:val="000000"/>
        </w:rPr>
        <w:t>minute</w:t>
      </w:r>
      <w:r w:rsidR="00E10967">
        <w:rPr>
          <w:color w:val="000000"/>
        </w:rPr>
        <w:t xml:space="preserve">.  </w:t>
      </w:r>
      <w:r w:rsidR="00085A4E">
        <w:rPr>
          <w:color w:val="000000"/>
        </w:rPr>
        <w:t xml:space="preserve">The </w:t>
      </w:r>
      <w:r w:rsidR="00E10967">
        <w:rPr>
          <w:color w:val="000000"/>
        </w:rPr>
        <w:t xml:space="preserve">TRS rate offered by Sprint under the current contract is $1.09 </w:t>
      </w:r>
      <w:r w:rsidR="00D317F5">
        <w:rPr>
          <w:color w:val="000000"/>
        </w:rPr>
        <w:t xml:space="preserve">per session minute </w:t>
      </w:r>
      <w:r w:rsidR="00E10967">
        <w:rPr>
          <w:color w:val="000000"/>
        </w:rPr>
        <w:t xml:space="preserve">and </w:t>
      </w:r>
      <w:r w:rsidR="004E22EF">
        <w:rPr>
          <w:color w:val="000000"/>
        </w:rPr>
        <w:t>$1.63 per session minute for CapTel</w:t>
      </w:r>
      <w:r w:rsidR="00E10967">
        <w:rPr>
          <w:color w:val="000000"/>
        </w:rPr>
        <w:t xml:space="preserve">.    </w:t>
      </w:r>
    </w:p>
    <w:p w:rsidR="00B74A09" w:rsidRPr="00EF2291" w:rsidRDefault="00796102" w:rsidP="00B74A09">
      <w:pPr>
        <w:pStyle w:val="BodyText"/>
        <w:ind w:firstLine="0"/>
        <w:rPr>
          <w:color w:val="000000"/>
          <w:u w:val="single"/>
        </w:rPr>
      </w:pPr>
      <w:r>
        <w:rPr>
          <w:color w:val="000000"/>
          <w:u w:val="single"/>
        </w:rPr>
        <w:t xml:space="preserve">FTRI Proposed </w:t>
      </w:r>
      <w:r w:rsidR="00B74A09" w:rsidRPr="00EF2291">
        <w:rPr>
          <w:color w:val="000000"/>
          <w:u w:val="single"/>
        </w:rPr>
        <w:t xml:space="preserve">Budget </w:t>
      </w:r>
    </w:p>
    <w:p w:rsidR="001327CB" w:rsidRDefault="00B74A09" w:rsidP="004D516D">
      <w:pPr>
        <w:pStyle w:val="BodyText"/>
        <w:ind w:firstLine="0"/>
        <w:rPr>
          <w:color w:val="000000"/>
        </w:rPr>
      </w:pPr>
      <w:r>
        <w:rPr>
          <w:color w:val="000000"/>
        </w:rPr>
        <w:tab/>
        <w:t xml:space="preserve">Attachment A reflects </w:t>
      </w:r>
      <w:r w:rsidR="00FE0B65">
        <w:rPr>
          <w:color w:val="000000"/>
        </w:rPr>
        <w:t xml:space="preserve">FTRI’s </w:t>
      </w:r>
      <w:r w:rsidR="007F7548">
        <w:rPr>
          <w:color w:val="000000"/>
        </w:rPr>
        <w:t xml:space="preserve">proposed </w:t>
      </w:r>
      <w:r>
        <w:rPr>
          <w:color w:val="000000"/>
        </w:rPr>
        <w:t xml:space="preserve">2015/2016 fiscal year budget, which was reviewed and adopted by the </w:t>
      </w:r>
      <w:r w:rsidR="00FE0B65">
        <w:rPr>
          <w:color w:val="000000"/>
        </w:rPr>
        <w:t xml:space="preserve">FTRI </w:t>
      </w:r>
      <w:r>
        <w:rPr>
          <w:color w:val="000000"/>
        </w:rPr>
        <w:t xml:space="preserve">Board of Directors on March 6, 2015, prior to filing with the </w:t>
      </w:r>
      <w:r w:rsidR="00C44E25" w:rsidRPr="00C61514">
        <w:rPr>
          <w:color w:val="000000"/>
        </w:rPr>
        <w:t>Commission</w:t>
      </w:r>
      <w:r w:rsidR="00C44E25">
        <w:rPr>
          <w:color w:val="000000"/>
        </w:rPr>
        <w:t xml:space="preserve">. </w:t>
      </w:r>
      <w:r w:rsidR="003A5708">
        <w:rPr>
          <w:color w:val="000000"/>
        </w:rPr>
        <w:t xml:space="preserve"> </w:t>
      </w:r>
      <w:r w:rsidR="00C44E25">
        <w:rPr>
          <w:color w:val="000000"/>
        </w:rPr>
        <w:t>After</w:t>
      </w:r>
      <w:r w:rsidR="00EF2291">
        <w:rPr>
          <w:color w:val="000000"/>
        </w:rPr>
        <w:t xml:space="preserve"> a staff review of the proposed budget, staff believes there are </w:t>
      </w:r>
      <w:r w:rsidR="00B46A6B">
        <w:rPr>
          <w:color w:val="000000"/>
        </w:rPr>
        <w:t>four</w:t>
      </w:r>
      <w:r w:rsidR="00EF2291">
        <w:rPr>
          <w:color w:val="000000"/>
        </w:rPr>
        <w:t xml:space="preserve"> options </w:t>
      </w:r>
      <w:r w:rsidR="004E22EF">
        <w:rPr>
          <w:color w:val="000000"/>
        </w:rPr>
        <w:t xml:space="preserve">for the Commission </w:t>
      </w:r>
      <w:r w:rsidR="00EF2291">
        <w:rPr>
          <w:color w:val="000000"/>
        </w:rPr>
        <w:t>to consider.</w:t>
      </w:r>
    </w:p>
    <w:p w:rsidR="00EF2291" w:rsidRPr="00EF2291" w:rsidRDefault="00EF2291" w:rsidP="004D516D">
      <w:pPr>
        <w:pStyle w:val="BodyText"/>
        <w:ind w:firstLine="0"/>
        <w:rPr>
          <w:color w:val="000000"/>
          <w:u w:val="single"/>
        </w:rPr>
      </w:pPr>
      <w:r w:rsidRPr="00EF2291">
        <w:rPr>
          <w:color w:val="000000"/>
          <w:u w:val="single"/>
        </w:rPr>
        <w:t xml:space="preserve">Option 1 – Approve FTRI </w:t>
      </w:r>
      <w:r w:rsidR="00094B02">
        <w:rPr>
          <w:color w:val="000000"/>
          <w:u w:val="single"/>
        </w:rPr>
        <w:t>b</w:t>
      </w:r>
      <w:r w:rsidRPr="00EF2291">
        <w:rPr>
          <w:color w:val="000000"/>
          <w:u w:val="single"/>
        </w:rPr>
        <w:t xml:space="preserve">udget as </w:t>
      </w:r>
      <w:r w:rsidR="00094B02">
        <w:rPr>
          <w:color w:val="000000"/>
          <w:u w:val="single"/>
        </w:rPr>
        <w:t>f</w:t>
      </w:r>
      <w:r w:rsidRPr="00EF2291">
        <w:rPr>
          <w:color w:val="000000"/>
          <w:u w:val="single"/>
        </w:rPr>
        <w:t>iled</w:t>
      </w:r>
      <w:r w:rsidR="004454C8">
        <w:rPr>
          <w:color w:val="000000"/>
          <w:u w:val="single"/>
        </w:rPr>
        <w:t xml:space="preserve"> </w:t>
      </w:r>
      <w:r w:rsidR="00094B02">
        <w:rPr>
          <w:color w:val="000000"/>
          <w:u w:val="single"/>
        </w:rPr>
        <w:t>u</w:t>
      </w:r>
      <w:r w:rsidR="004454C8">
        <w:rPr>
          <w:color w:val="000000"/>
          <w:u w:val="single"/>
        </w:rPr>
        <w:t xml:space="preserve">sing the </w:t>
      </w:r>
      <w:r w:rsidR="00094B02">
        <w:rPr>
          <w:color w:val="000000"/>
          <w:u w:val="single"/>
        </w:rPr>
        <w:t>r</w:t>
      </w:r>
      <w:r w:rsidR="004454C8">
        <w:rPr>
          <w:color w:val="000000"/>
          <w:u w:val="single"/>
        </w:rPr>
        <w:t xml:space="preserve">elay </w:t>
      </w:r>
      <w:r w:rsidR="00094B02">
        <w:rPr>
          <w:color w:val="000000"/>
          <w:u w:val="single"/>
        </w:rPr>
        <w:t>s</w:t>
      </w:r>
      <w:r w:rsidR="004454C8">
        <w:rPr>
          <w:color w:val="000000"/>
          <w:u w:val="single"/>
        </w:rPr>
        <w:t xml:space="preserve">urplus </w:t>
      </w:r>
      <w:r w:rsidR="00094B02">
        <w:rPr>
          <w:color w:val="000000"/>
          <w:u w:val="single"/>
        </w:rPr>
        <w:t>a</w:t>
      </w:r>
      <w:r w:rsidR="004454C8">
        <w:rPr>
          <w:color w:val="000000"/>
          <w:u w:val="single"/>
        </w:rPr>
        <w:t xml:space="preserve">ccount to </w:t>
      </w:r>
      <w:r w:rsidR="0091334C">
        <w:rPr>
          <w:color w:val="000000"/>
          <w:u w:val="single"/>
        </w:rPr>
        <w:t>offset</w:t>
      </w:r>
      <w:r w:rsidR="004454C8">
        <w:rPr>
          <w:color w:val="000000"/>
          <w:u w:val="single"/>
        </w:rPr>
        <w:t xml:space="preserve"> the $851,774 deficit.</w:t>
      </w:r>
      <w:r w:rsidR="004D516D" w:rsidRPr="00EF2291">
        <w:rPr>
          <w:color w:val="000000"/>
          <w:u w:val="single"/>
        </w:rPr>
        <w:t xml:space="preserve">  </w:t>
      </w:r>
    </w:p>
    <w:p w:rsidR="00EF2291" w:rsidRDefault="004D516D" w:rsidP="00EF2291">
      <w:pPr>
        <w:pStyle w:val="BodyText"/>
      </w:pPr>
      <w:r>
        <w:t>FTRI’s 2015</w:t>
      </w:r>
      <w:r w:rsidR="00D73809">
        <w:t>/</w:t>
      </w:r>
      <w:r>
        <w:t>2016 proposed budget filing includes a deficit of $851,774 which it believes can be eliminated by transferring funds from the surplus account.</w:t>
      </w:r>
      <w:r w:rsidR="004454C8">
        <w:t xml:space="preserve">  Option 1 recommends that the $851,774 proposed FTRI budget deficit be eliminated by transferring funds from the </w:t>
      </w:r>
      <w:r w:rsidR="0095657E">
        <w:t>r</w:t>
      </w:r>
      <w:r w:rsidR="004454C8">
        <w:t>elay surplus account to FTRI.</w:t>
      </w:r>
    </w:p>
    <w:p w:rsidR="00EF2291" w:rsidRDefault="001930D9" w:rsidP="00EF2291">
      <w:pPr>
        <w:autoSpaceDE w:val="0"/>
        <w:autoSpaceDN w:val="0"/>
        <w:adjustRightInd w:val="0"/>
        <w:ind w:firstLine="720"/>
        <w:jc w:val="both"/>
      </w:pPr>
      <w:r>
        <w:t xml:space="preserve">The relay surplus account was created to offset intrastate Internet Relay costs which the FCC continues to </w:t>
      </w:r>
      <w:r w:rsidR="00BD54FA">
        <w:t xml:space="preserve">maintain </w:t>
      </w:r>
      <w:r>
        <w:t xml:space="preserve">in its orders should be absorbed by the states.  Presently, the </w:t>
      </w:r>
      <w:r w:rsidR="00C44E25">
        <w:t>interstate</w:t>
      </w:r>
      <w:r>
        <w:t xml:space="preserve"> TRS Fund is paying for both intrastate and interstate Internet Relay such as Video Relay Service, Internet Protocol Relay Service, and Internet Protocol Captioned Telephone Service.  </w:t>
      </w:r>
      <w:r w:rsidR="00EF2291">
        <w:t>Traditional relay users are transitioning to these Internet Protocol technologies which are more efficient, and presently being paid</w:t>
      </w:r>
      <w:r w:rsidR="00EF2291" w:rsidRPr="00ED71CE">
        <w:t xml:space="preserve"> through the interstate TRS </w:t>
      </w:r>
      <w:r w:rsidR="00EF2291">
        <w:t>fund.  However, the FCC</w:t>
      </w:r>
      <w:r w:rsidR="004454C8">
        <w:t xml:space="preserve"> as recently as August 2013, </w:t>
      </w:r>
      <w:r w:rsidR="00EF2291" w:rsidRPr="00ED71CE">
        <w:t>stated that this arrangement is only temporary.</w:t>
      </w:r>
      <w:r w:rsidR="00EF2291" w:rsidRPr="00682ADC">
        <w:t xml:space="preserve">  </w:t>
      </w:r>
      <w:r w:rsidR="00EF2291" w:rsidRPr="00ED71CE">
        <w:t xml:space="preserve">The </w:t>
      </w:r>
      <w:r w:rsidR="00EF2291">
        <w:t>FCC</w:t>
      </w:r>
      <w:r w:rsidR="00EF2291" w:rsidRPr="00ED71CE">
        <w:t xml:space="preserve"> believes Title IV and its legislative history make plain that Congress intended that the states be responsible for the cost recovery for intrastate relay services provided under their jurisdiction</w:t>
      </w:r>
      <w:r w:rsidR="00EF2291">
        <w:t>.</w:t>
      </w:r>
      <w:r w:rsidR="00EF2291" w:rsidRPr="00ED71CE">
        <w:rPr>
          <w:rStyle w:val="FootnoteReference"/>
          <w:color w:val="000000"/>
        </w:rPr>
        <w:footnoteReference w:id="7"/>
      </w:r>
    </w:p>
    <w:p w:rsidR="0095657E" w:rsidRDefault="0095657E" w:rsidP="00EF2291">
      <w:pPr>
        <w:autoSpaceDE w:val="0"/>
        <w:autoSpaceDN w:val="0"/>
        <w:adjustRightInd w:val="0"/>
        <w:ind w:firstLine="720"/>
        <w:jc w:val="both"/>
      </w:pPr>
    </w:p>
    <w:p w:rsidR="004454C8" w:rsidRPr="00A43B18" w:rsidRDefault="004454C8" w:rsidP="00A43B18">
      <w:pPr>
        <w:autoSpaceDE w:val="0"/>
        <w:autoSpaceDN w:val="0"/>
        <w:adjustRightInd w:val="0"/>
        <w:ind w:firstLine="720"/>
        <w:jc w:val="both"/>
      </w:pPr>
      <w:r w:rsidRPr="00A43B18">
        <w:t>In a February 25, 2015 FCC meeting with the National Association for State Relay Administration (NASRA), and the Telecommunications Equipment Distribution Program Association (TEDPA),</w:t>
      </w:r>
      <w:r w:rsidR="00A43B18">
        <w:rPr>
          <w:rStyle w:val="FootnoteReference"/>
        </w:rPr>
        <w:footnoteReference w:id="8"/>
      </w:r>
      <w:r w:rsidRPr="00A43B18">
        <w:t xml:space="preserve"> the FCC </w:t>
      </w:r>
      <w:r w:rsidR="00A43B18">
        <w:t xml:space="preserve">verbally </w:t>
      </w:r>
      <w:r w:rsidRPr="00A43B18">
        <w:t>stated that it is</w:t>
      </w:r>
      <w:r w:rsidR="00A43B18" w:rsidRPr="00A43B18">
        <w:t xml:space="preserve"> </w:t>
      </w:r>
      <w:r w:rsidR="00794FDA">
        <w:t>“</w:t>
      </w:r>
      <w:r w:rsidRPr="00A43B18">
        <w:t>exploring</w:t>
      </w:r>
      <w:r w:rsidR="00A43B18" w:rsidRPr="00A43B18">
        <w:t xml:space="preserve"> </w:t>
      </w:r>
      <w:r w:rsidRPr="00A43B18">
        <w:t>the</w:t>
      </w:r>
      <w:r w:rsidR="00A43B18" w:rsidRPr="00A43B18">
        <w:t xml:space="preserve"> </w:t>
      </w:r>
      <w:r w:rsidRPr="00A43B18">
        <w:t>option</w:t>
      </w:r>
      <w:r w:rsidR="00A43B18" w:rsidRPr="00A43B18">
        <w:t xml:space="preserve"> </w:t>
      </w:r>
      <w:r w:rsidRPr="00A43B18">
        <w:t>of</w:t>
      </w:r>
      <w:r w:rsidR="00A43B18" w:rsidRPr="00A43B18">
        <w:t xml:space="preserve"> </w:t>
      </w:r>
      <w:r w:rsidRPr="00A43B18">
        <w:t>the</w:t>
      </w:r>
      <w:r w:rsidR="00794FDA">
        <w:t xml:space="preserve"> IP CTS </w:t>
      </w:r>
      <w:r w:rsidRPr="00A43B18">
        <w:t>funding</w:t>
      </w:r>
      <w:r w:rsidR="00A43B18" w:rsidRPr="00A43B18">
        <w:t xml:space="preserve"> </w:t>
      </w:r>
      <w:r w:rsidRPr="00A43B18">
        <w:t>to</w:t>
      </w:r>
      <w:r w:rsidR="00A43B18" w:rsidRPr="00A43B18">
        <w:t xml:space="preserve"> </w:t>
      </w:r>
      <w:r w:rsidRPr="00A43B18">
        <w:t>stay</w:t>
      </w:r>
      <w:r w:rsidR="00A43B18" w:rsidRPr="00A43B18">
        <w:t xml:space="preserve"> </w:t>
      </w:r>
      <w:r w:rsidRPr="00A43B18">
        <w:t>with</w:t>
      </w:r>
      <w:r w:rsidR="00A43B18" w:rsidRPr="00A43B18">
        <w:t xml:space="preserve"> </w:t>
      </w:r>
      <w:r w:rsidRPr="00A43B18">
        <w:t>the</w:t>
      </w:r>
      <w:r w:rsidR="00A43B18" w:rsidRPr="00A43B18">
        <w:t xml:space="preserve"> </w:t>
      </w:r>
      <w:r w:rsidRPr="00A43B18">
        <w:t>Interstate</w:t>
      </w:r>
      <w:r w:rsidR="00A43B18" w:rsidRPr="00A43B18">
        <w:t xml:space="preserve"> </w:t>
      </w:r>
      <w:r w:rsidRPr="00A43B18">
        <w:t>TRS</w:t>
      </w:r>
      <w:r w:rsidR="00A43B18" w:rsidRPr="00A43B18">
        <w:t xml:space="preserve"> </w:t>
      </w:r>
      <w:r w:rsidRPr="00A43B18">
        <w:t>fund</w:t>
      </w:r>
      <w:r w:rsidR="00A43B18" w:rsidRPr="00A43B18">
        <w:t xml:space="preserve"> </w:t>
      </w:r>
      <w:r w:rsidRPr="00A43B18">
        <w:t>and</w:t>
      </w:r>
      <w:r w:rsidR="00A43B18" w:rsidRPr="00A43B18">
        <w:t xml:space="preserve"> </w:t>
      </w:r>
      <w:r w:rsidRPr="00A43B18">
        <w:t>the</w:t>
      </w:r>
      <w:r w:rsidR="00A43B18" w:rsidRPr="00A43B18">
        <w:t xml:space="preserve"> </w:t>
      </w:r>
      <w:r w:rsidRPr="00A43B18">
        <w:t>obligation</w:t>
      </w:r>
      <w:r w:rsidR="00A43B18" w:rsidRPr="00A43B18">
        <w:t xml:space="preserve"> </w:t>
      </w:r>
      <w:r w:rsidRPr="00A43B18">
        <w:t>for</w:t>
      </w:r>
      <w:r w:rsidR="00A43B18" w:rsidRPr="00A43B18">
        <w:t xml:space="preserve"> </w:t>
      </w:r>
      <w:r w:rsidRPr="00A43B18">
        <w:t>managing</w:t>
      </w:r>
      <w:r w:rsidR="00A43B18" w:rsidRPr="00A43B18">
        <w:t xml:space="preserve"> </w:t>
      </w:r>
      <w:r w:rsidRPr="00A43B18">
        <w:t>the</w:t>
      </w:r>
      <w:r w:rsidR="00A43B18" w:rsidRPr="00A43B18">
        <w:t xml:space="preserve"> </w:t>
      </w:r>
      <w:r w:rsidRPr="00A43B18">
        <w:t>program</w:t>
      </w:r>
      <w:r w:rsidR="00794FDA">
        <w:t xml:space="preserve"> </w:t>
      </w:r>
      <w:r w:rsidRPr="00A43B18">
        <w:t>shift</w:t>
      </w:r>
      <w:r w:rsidR="00A43B18" w:rsidRPr="00A43B18">
        <w:t xml:space="preserve"> </w:t>
      </w:r>
      <w:r w:rsidRPr="00A43B18">
        <w:t>to</w:t>
      </w:r>
      <w:r w:rsidR="00794FDA">
        <w:t xml:space="preserve"> </w:t>
      </w:r>
      <w:r w:rsidR="00794FDA">
        <w:lastRenderedPageBreak/>
        <w:t xml:space="preserve">the </w:t>
      </w:r>
      <w:r w:rsidRPr="00A43B18">
        <w:t>Equipment</w:t>
      </w:r>
      <w:r w:rsidR="00A43B18" w:rsidRPr="00A43B18">
        <w:t xml:space="preserve"> </w:t>
      </w:r>
      <w:r w:rsidRPr="00A43B18">
        <w:t>Distribution</w:t>
      </w:r>
      <w:r w:rsidR="00A43B18" w:rsidRPr="00A43B18">
        <w:t xml:space="preserve"> </w:t>
      </w:r>
      <w:r w:rsidRPr="00A43B18">
        <w:t>Programs</w:t>
      </w:r>
      <w:r w:rsidR="00A43B18" w:rsidRPr="00A43B18">
        <w:t xml:space="preserve"> </w:t>
      </w:r>
      <w:r w:rsidRPr="00A43B18">
        <w:t>(EDP).</w:t>
      </w:r>
      <w:r w:rsidR="00794FDA">
        <w:t>”</w:t>
      </w:r>
      <w:r w:rsidR="000C59BD">
        <w:rPr>
          <w:rStyle w:val="FootnoteReference"/>
        </w:rPr>
        <w:footnoteReference w:id="9"/>
      </w:r>
      <w:r w:rsidR="00794FDA">
        <w:t xml:space="preserve">  </w:t>
      </w:r>
      <w:r w:rsidR="000C59BD">
        <w:t xml:space="preserve">However, </w:t>
      </w:r>
      <w:r w:rsidR="00193A3A">
        <w:t xml:space="preserve">the Telecom Act, and </w:t>
      </w:r>
      <w:r w:rsidR="000C59BD">
        <w:t xml:space="preserve">all FCC Orders to date have indicated that states </w:t>
      </w:r>
      <w:r w:rsidR="00193A3A">
        <w:t xml:space="preserve">will </w:t>
      </w:r>
      <w:r w:rsidR="00193A3A" w:rsidRPr="00ED71CE">
        <w:t>be responsible for the cost recovery for intrastate relay services provided under their jurisdiction</w:t>
      </w:r>
      <w:r w:rsidR="00193A3A">
        <w:t>.</w:t>
      </w:r>
    </w:p>
    <w:p w:rsidR="00EF2291" w:rsidRDefault="00EF2291" w:rsidP="004454C8">
      <w:pPr>
        <w:autoSpaceDE w:val="0"/>
        <w:autoSpaceDN w:val="0"/>
        <w:adjustRightInd w:val="0"/>
        <w:ind w:firstLine="720"/>
        <w:jc w:val="both"/>
      </w:pPr>
    </w:p>
    <w:p w:rsidR="00110303" w:rsidRDefault="00EF2291" w:rsidP="00EF2291">
      <w:pPr>
        <w:pStyle w:val="BodyText"/>
      </w:pPr>
      <w:r>
        <w:t xml:space="preserve">If the FCC were to mandate state funding of Video Relay Service, Internet Protocol Relay Service, and Internet Protocol Captioned Telephone Service, it is estimated that </w:t>
      </w:r>
      <w:r w:rsidR="00BD54FA">
        <w:t>at least</w:t>
      </w:r>
      <w:r>
        <w:t xml:space="preserve"> $32 million would be needed to adequately fund the state program.  </w:t>
      </w:r>
      <w:r w:rsidR="00110303">
        <w:t>Staff beli</w:t>
      </w:r>
      <w:r w:rsidR="00161F64">
        <w:t xml:space="preserve">eves that if Florida had </w:t>
      </w:r>
      <w:r w:rsidR="00110303">
        <w:t>to absorb the intrastate costs of these Internet Protocol technologies, the maximum $0.25 per access line relay surcharge mandated by state law would be exceeded and a change in state law would be required.</w:t>
      </w:r>
      <w:r w:rsidR="00110303">
        <w:rPr>
          <w:rStyle w:val="FootnoteReference"/>
        </w:rPr>
        <w:footnoteReference w:id="10"/>
      </w:r>
      <w:r w:rsidR="00110303">
        <w:t xml:space="preserve">  </w:t>
      </w:r>
    </w:p>
    <w:p w:rsidR="00EF2291" w:rsidRDefault="00EF2291" w:rsidP="00EF2291">
      <w:pPr>
        <w:pStyle w:val="BodyText"/>
      </w:pPr>
      <w:r>
        <w:rPr>
          <w:color w:val="000000"/>
        </w:rPr>
        <w:t>The Commission, b</w:t>
      </w:r>
      <w:r w:rsidRPr="00EA0A6A">
        <w:t xml:space="preserve">y Order PSC-06-0469-PAA-TP, issued June 1, 2006, in </w:t>
      </w:r>
      <w:r>
        <w:t>D</w:t>
      </w:r>
      <w:r w:rsidRPr="00EA0A6A">
        <w:t>ocket No. 040763-TP</w:t>
      </w:r>
      <w:r w:rsidR="00D73809">
        <w:t xml:space="preserve">, </w:t>
      </w:r>
      <w:r w:rsidRPr="00EA0A6A">
        <w:t>maintained the F</w:t>
      </w:r>
      <w:r>
        <w:t xml:space="preserve">TRI </w:t>
      </w:r>
      <w:r w:rsidRPr="00EA0A6A">
        <w:t xml:space="preserve">surcharge at $0.15/month </w:t>
      </w:r>
      <w:r>
        <w:t xml:space="preserve">for one year </w:t>
      </w:r>
      <w:r w:rsidRPr="00EA0A6A">
        <w:t xml:space="preserve">in lieu of a surcharge reduction, to prepare the state Telecommunications Relay Service </w:t>
      </w:r>
      <w:r>
        <w:t>F</w:t>
      </w:r>
      <w:r w:rsidRPr="00EA0A6A">
        <w:t xml:space="preserve">und for assuming </w:t>
      </w:r>
      <w:r w:rsidR="002B3E27">
        <w:t xml:space="preserve">the </w:t>
      </w:r>
      <w:r w:rsidRPr="00EA0A6A">
        <w:t>intrastate costs of Video Relay Service and Internet Protocol Relay</w:t>
      </w:r>
      <w:r>
        <w:t>, and to allow time to determine how the costs should be recovered</w:t>
      </w:r>
      <w:r w:rsidRPr="00EA0A6A">
        <w:t>.</w:t>
      </w:r>
      <w:r>
        <w:t xml:space="preserve">  The FCC has acknowledged that should it decide to mandate state funding, such transition would come with a reasonable phase in period of up to several years to provide states with sufficient notice.</w:t>
      </w:r>
    </w:p>
    <w:p w:rsidR="0095657E" w:rsidRDefault="00884397" w:rsidP="0095657E">
      <w:pPr>
        <w:autoSpaceDE w:val="0"/>
        <w:autoSpaceDN w:val="0"/>
        <w:adjustRightInd w:val="0"/>
        <w:ind w:firstLine="720"/>
        <w:jc w:val="both"/>
      </w:pPr>
      <w:r>
        <w:t xml:space="preserve">FTRI believes that the $851,774 deficit could be eliminated by using the surplus account money to offset the deficit.  </w:t>
      </w:r>
      <w:r w:rsidR="00D01716">
        <w:t xml:space="preserve">If the Commission approves Option 1, staff recommends </w:t>
      </w:r>
      <w:r w:rsidR="00D01716">
        <w:rPr>
          <w:color w:val="000000"/>
        </w:rPr>
        <w:t xml:space="preserve">that the </w:t>
      </w:r>
      <w:r w:rsidR="0095657E">
        <w:t xml:space="preserve">$851,774 proposed FTRI budget deficit be eliminated by transferring funds from the relay surplus account to FTRI.  Staff also </w:t>
      </w:r>
      <w:r w:rsidR="0095657E">
        <w:rPr>
          <w:color w:val="000000"/>
        </w:rPr>
        <w:t>recommends that the TRS surcharge be maintained at $0.11 per month for fiscal year 2015/2016, effective July 1, 2015.  The Commission should order</w:t>
      </w:r>
      <w:r w:rsidR="0095657E" w:rsidRPr="00ED71CE">
        <w:rPr>
          <w:color w:val="000000"/>
        </w:rPr>
        <w:t xml:space="preserve"> the incumbent local exchange companies, competitive local exchange companies, and shared tenant providers to </w:t>
      </w:r>
      <w:r w:rsidR="0095657E">
        <w:rPr>
          <w:color w:val="000000"/>
        </w:rPr>
        <w:t xml:space="preserve">continue to </w:t>
      </w:r>
      <w:r w:rsidR="0095657E" w:rsidRPr="00ED71CE">
        <w:rPr>
          <w:color w:val="000000"/>
        </w:rPr>
        <w:t xml:space="preserve">bill the </w:t>
      </w:r>
      <w:r w:rsidR="0095657E">
        <w:rPr>
          <w:color w:val="000000"/>
        </w:rPr>
        <w:t xml:space="preserve">$0.11 </w:t>
      </w:r>
      <w:r w:rsidR="0095657E" w:rsidRPr="00ED71CE">
        <w:rPr>
          <w:color w:val="000000"/>
        </w:rPr>
        <w:t xml:space="preserve">surcharge </w:t>
      </w:r>
      <w:r w:rsidR="0095657E">
        <w:t>for fiscal year 2015/2016, effective July 1, 2015</w:t>
      </w:r>
      <w:r w:rsidR="0095657E" w:rsidRPr="00ED71CE">
        <w:rPr>
          <w:color w:val="000000"/>
        </w:rPr>
        <w:t>.</w:t>
      </w:r>
    </w:p>
    <w:p w:rsidR="0095657E" w:rsidRDefault="0095657E" w:rsidP="0095657E">
      <w:pPr>
        <w:autoSpaceDE w:val="0"/>
        <w:autoSpaceDN w:val="0"/>
        <w:adjustRightInd w:val="0"/>
        <w:ind w:firstLine="720"/>
        <w:jc w:val="both"/>
        <w:rPr>
          <w:color w:val="000000"/>
        </w:rPr>
      </w:pPr>
    </w:p>
    <w:p w:rsidR="004454C8" w:rsidRPr="00EF2291" w:rsidRDefault="004454C8" w:rsidP="004454C8">
      <w:pPr>
        <w:pStyle w:val="BodyText"/>
        <w:ind w:firstLine="0"/>
        <w:rPr>
          <w:color w:val="000000"/>
          <w:u w:val="single"/>
        </w:rPr>
      </w:pPr>
      <w:r w:rsidRPr="00EF2291">
        <w:rPr>
          <w:color w:val="000000"/>
          <w:u w:val="single"/>
        </w:rPr>
        <w:t xml:space="preserve">Option </w:t>
      </w:r>
      <w:r w:rsidR="00E82A1D">
        <w:rPr>
          <w:color w:val="000000"/>
          <w:u w:val="single"/>
        </w:rPr>
        <w:t>2</w:t>
      </w:r>
      <w:r w:rsidRPr="00EF2291">
        <w:rPr>
          <w:color w:val="000000"/>
          <w:u w:val="single"/>
        </w:rPr>
        <w:t xml:space="preserve"> – Approve FTRI </w:t>
      </w:r>
      <w:r w:rsidR="0095657E">
        <w:rPr>
          <w:color w:val="000000"/>
          <w:u w:val="single"/>
        </w:rPr>
        <w:t>b</w:t>
      </w:r>
      <w:r w:rsidRPr="00EF2291">
        <w:rPr>
          <w:color w:val="000000"/>
          <w:u w:val="single"/>
        </w:rPr>
        <w:t xml:space="preserve">udget as </w:t>
      </w:r>
      <w:r w:rsidR="0095657E">
        <w:rPr>
          <w:color w:val="000000"/>
          <w:u w:val="single"/>
        </w:rPr>
        <w:t>f</w:t>
      </w:r>
      <w:r w:rsidRPr="00EF2291">
        <w:rPr>
          <w:color w:val="000000"/>
          <w:u w:val="single"/>
        </w:rPr>
        <w:t>iled</w:t>
      </w:r>
      <w:r>
        <w:rPr>
          <w:color w:val="000000"/>
          <w:u w:val="single"/>
        </w:rPr>
        <w:t xml:space="preserve"> </w:t>
      </w:r>
      <w:r w:rsidR="00E82A1D">
        <w:rPr>
          <w:color w:val="000000"/>
          <w:u w:val="single"/>
        </w:rPr>
        <w:t xml:space="preserve">by </w:t>
      </w:r>
      <w:r w:rsidR="0095657E">
        <w:rPr>
          <w:color w:val="000000"/>
          <w:u w:val="single"/>
        </w:rPr>
        <w:t>i</w:t>
      </w:r>
      <w:r w:rsidR="00E82A1D">
        <w:rPr>
          <w:color w:val="000000"/>
          <w:u w:val="single"/>
        </w:rPr>
        <w:t xml:space="preserve">ncreasing the </w:t>
      </w:r>
      <w:r w:rsidR="0095657E">
        <w:rPr>
          <w:color w:val="000000"/>
          <w:u w:val="single"/>
        </w:rPr>
        <w:t>m</w:t>
      </w:r>
      <w:r w:rsidR="00E82A1D">
        <w:rPr>
          <w:color w:val="000000"/>
          <w:u w:val="single"/>
        </w:rPr>
        <w:t xml:space="preserve">onthly </w:t>
      </w:r>
      <w:r w:rsidR="0095657E">
        <w:rPr>
          <w:color w:val="000000"/>
          <w:u w:val="single"/>
        </w:rPr>
        <w:t>r</w:t>
      </w:r>
      <w:r w:rsidR="00E82A1D">
        <w:rPr>
          <w:color w:val="000000"/>
          <w:u w:val="single"/>
        </w:rPr>
        <w:t xml:space="preserve">elay </w:t>
      </w:r>
      <w:r w:rsidR="0095657E">
        <w:rPr>
          <w:color w:val="000000"/>
          <w:u w:val="single"/>
        </w:rPr>
        <w:t>s</w:t>
      </w:r>
      <w:r w:rsidR="00E82A1D">
        <w:rPr>
          <w:color w:val="000000"/>
          <w:u w:val="single"/>
        </w:rPr>
        <w:t>urcharge from $0.11 to $0.13</w:t>
      </w:r>
      <w:r>
        <w:rPr>
          <w:color w:val="000000"/>
          <w:u w:val="single"/>
        </w:rPr>
        <w:t xml:space="preserve"> to offset the $851,774 deficit.</w:t>
      </w:r>
      <w:r w:rsidRPr="00EF2291">
        <w:rPr>
          <w:color w:val="000000"/>
          <w:u w:val="single"/>
        </w:rPr>
        <w:t xml:space="preserve">  </w:t>
      </w:r>
    </w:p>
    <w:p w:rsidR="004454C8" w:rsidRDefault="00E82A1D" w:rsidP="00411D70">
      <w:pPr>
        <w:pStyle w:val="BodyText"/>
      </w:pPr>
      <w:r>
        <w:t xml:space="preserve">FTRI </w:t>
      </w:r>
      <w:r w:rsidR="0095657E">
        <w:t xml:space="preserve">also </w:t>
      </w:r>
      <w:r>
        <w:t xml:space="preserve">believes that the $851,774 deficit could be eliminated by increasing the monthly relay surcharge.  </w:t>
      </w:r>
      <w:r w:rsidR="004454C8">
        <w:t xml:space="preserve">Option </w:t>
      </w:r>
      <w:r>
        <w:t>2</w:t>
      </w:r>
      <w:r w:rsidR="004454C8">
        <w:t xml:space="preserve"> recommends that the $851,774 proposed FTRI budget deficit be eliminated by </w:t>
      </w:r>
      <w:r>
        <w:t xml:space="preserve">increasing the monthly relay surcharge from $0.11 to $0.13.  </w:t>
      </w:r>
      <w:r w:rsidR="004454C8">
        <w:t>The relay surcharge has been maintained at $0.11 per month since June 2007, and is collected only from local exchange company landline access lines.  Staff has calculated that a $0.02 increase in the surcharge from $0.11 to $0.13 per month would be necessary to cover the $851,774 deficit in the FTRI proposed 2015</w:t>
      </w:r>
      <w:r w:rsidR="005C12E2">
        <w:t>/</w:t>
      </w:r>
      <w:r w:rsidR="004454C8">
        <w:t>2016 budget.</w:t>
      </w:r>
      <w:r w:rsidR="004454C8" w:rsidRPr="00CB6A82">
        <w:rPr>
          <w:rFonts w:ascii="TimesNewRoman,Bold" w:hAnsi="TimesNewRoman,Bold" w:cs="TimesNewRoman,Bold"/>
          <w:b/>
          <w:bCs/>
          <w:color w:val="010101"/>
          <w:sz w:val="22"/>
          <w:szCs w:val="22"/>
        </w:rPr>
        <w:t xml:space="preserve"> </w:t>
      </w:r>
    </w:p>
    <w:p w:rsidR="004454C8" w:rsidRDefault="004454C8" w:rsidP="004454C8">
      <w:pPr>
        <w:pStyle w:val="BodyText"/>
        <w:rPr>
          <w:color w:val="000000"/>
        </w:rPr>
      </w:pPr>
      <w:r>
        <w:t xml:space="preserve">If the Commission approves Option </w:t>
      </w:r>
      <w:r w:rsidR="00E82A1D">
        <w:t>2</w:t>
      </w:r>
      <w:r>
        <w:t xml:space="preserve">, staff recommends </w:t>
      </w:r>
      <w:r>
        <w:rPr>
          <w:color w:val="000000"/>
        </w:rPr>
        <w:t>that the TRS surcharge be increased to $0.13 per month for fiscal year 2015/2016, effective July 1, 2015, and</w:t>
      </w:r>
      <w:r w:rsidR="002B3E27">
        <w:rPr>
          <w:color w:val="000000"/>
        </w:rPr>
        <w:t xml:space="preserve"> recommends that the Commission </w:t>
      </w:r>
      <w:r>
        <w:rPr>
          <w:color w:val="000000"/>
        </w:rPr>
        <w:t>order</w:t>
      </w:r>
      <w:r w:rsidRPr="00ED71CE">
        <w:rPr>
          <w:color w:val="000000"/>
        </w:rPr>
        <w:t xml:space="preserve"> the incumbent local exchange companies, competitive local exchange companies, and shared tenant providers to bill the </w:t>
      </w:r>
      <w:r>
        <w:rPr>
          <w:color w:val="000000"/>
        </w:rPr>
        <w:t xml:space="preserve">$0.13 </w:t>
      </w:r>
      <w:r w:rsidRPr="00ED71CE">
        <w:rPr>
          <w:color w:val="000000"/>
        </w:rPr>
        <w:t xml:space="preserve">surcharge </w:t>
      </w:r>
      <w:r>
        <w:t>for fiscal year 2015/2016, effective July 1, 2015</w:t>
      </w:r>
      <w:r w:rsidRPr="00ED71CE">
        <w:rPr>
          <w:color w:val="000000"/>
        </w:rPr>
        <w:t>.</w:t>
      </w:r>
    </w:p>
    <w:p w:rsidR="00884397" w:rsidRPr="00884397" w:rsidRDefault="00884397" w:rsidP="00884397">
      <w:pPr>
        <w:pStyle w:val="BodyText"/>
        <w:ind w:firstLine="0"/>
        <w:rPr>
          <w:u w:val="single"/>
        </w:rPr>
      </w:pPr>
      <w:r w:rsidRPr="00884397">
        <w:rPr>
          <w:u w:val="single"/>
        </w:rPr>
        <w:lastRenderedPageBreak/>
        <w:t xml:space="preserve">Option </w:t>
      </w:r>
      <w:r w:rsidR="00E82A1D">
        <w:rPr>
          <w:u w:val="single"/>
        </w:rPr>
        <w:t>3</w:t>
      </w:r>
      <w:r w:rsidRPr="00884397">
        <w:rPr>
          <w:u w:val="single"/>
        </w:rPr>
        <w:t xml:space="preserve"> – Reduce FTRI budget by $369,814, and use $</w:t>
      </w:r>
      <w:r w:rsidRPr="00884397">
        <w:rPr>
          <w:color w:val="000000"/>
          <w:u w:val="single"/>
        </w:rPr>
        <w:t xml:space="preserve">481,960 of surplus funds to offset the </w:t>
      </w:r>
      <w:r w:rsidR="0095657E">
        <w:rPr>
          <w:color w:val="000000"/>
          <w:u w:val="single"/>
        </w:rPr>
        <w:t xml:space="preserve">remaining </w:t>
      </w:r>
      <w:r w:rsidRPr="00884397">
        <w:rPr>
          <w:color w:val="000000"/>
          <w:u w:val="single"/>
        </w:rPr>
        <w:t>proposed deficit.</w:t>
      </w:r>
    </w:p>
    <w:p w:rsidR="0023092E" w:rsidRDefault="00B74A09" w:rsidP="00B74A09">
      <w:pPr>
        <w:pStyle w:val="BodyText"/>
        <w:rPr>
          <w:color w:val="000000"/>
        </w:rPr>
      </w:pPr>
      <w:r w:rsidRPr="0054296D">
        <w:rPr>
          <w:color w:val="000000"/>
        </w:rPr>
        <w:t xml:space="preserve">The </w:t>
      </w:r>
      <w:r>
        <w:rPr>
          <w:color w:val="000000"/>
        </w:rPr>
        <w:t>201</w:t>
      </w:r>
      <w:r w:rsidR="003A29B7">
        <w:rPr>
          <w:color w:val="000000"/>
        </w:rPr>
        <w:t>5</w:t>
      </w:r>
      <w:r>
        <w:rPr>
          <w:color w:val="000000"/>
        </w:rPr>
        <w:t>/201</w:t>
      </w:r>
      <w:r w:rsidR="003A29B7">
        <w:rPr>
          <w:color w:val="000000"/>
        </w:rPr>
        <w:t>6</w:t>
      </w:r>
      <w:r>
        <w:rPr>
          <w:color w:val="000000"/>
        </w:rPr>
        <w:t xml:space="preserve"> </w:t>
      </w:r>
      <w:r w:rsidR="00245233">
        <w:rPr>
          <w:color w:val="000000"/>
        </w:rPr>
        <w:t xml:space="preserve">proposed </w:t>
      </w:r>
      <w:r w:rsidRPr="0054296D">
        <w:rPr>
          <w:color w:val="000000"/>
        </w:rPr>
        <w:t>budget</w:t>
      </w:r>
      <w:r>
        <w:rPr>
          <w:color w:val="000000"/>
        </w:rPr>
        <w:t xml:space="preserve"> </w:t>
      </w:r>
      <w:r w:rsidRPr="0054296D">
        <w:rPr>
          <w:color w:val="000000"/>
        </w:rPr>
        <w:t xml:space="preserve">projects total </w:t>
      </w:r>
      <w:r>
        <w:rPr>
          <w:color w:val="000000"/>
        </w:rPr>
        <w:t xml:space="preserve">operating </w:t>
      </w:r>
      <w:r w:rsidRPr="0054296D">
        <w:rPr>
          <w:color w:val="000000"/>
        </w:rPr>
        <w:t>revenues to be $</w:t>
      </w:r>
      <w:r>
        <w:rPr>
          <w:color w:val="000000"/>
        </w:rPr>
        <w:t>8,</w:t>
      </w:r>
      <w:r w:rsidR="003A29B7">
        <w:rPr>
          <w:color w:val="000000"/>
        </w:rPr>
        <w:t>064,442</w:t>
      </w:r>
      <w:r w:rsidRPr="0054296D">
        <w:rPr>
          <w:color w:val="000000"/>
        </w:rPr>
        <w:t xml:space="preserve"> and total expenses to be $</w:t>
      </w:r>
      <w:r>
        <w:rPr>
          <w:color w:val="000000"/>
        </w:rPr>
        <w:t>8,</w:t>
      </w:r>
      <w:r w:rsidR="003A29B7">
        <w:rPr>
          <w:color w:val="000000"/>
        </w:rPr>
        <w:t>916,216</w:t>
      </w:r>
      <w:r>
        <w:rPr>
          <w:color w:val="000000"/>
        </w:rPr>
        <w:t xml:space="preserve">.  </w:t>
      </w:r>
      <w:r w:rsidR="00022E48">
        <w:rPr>
          <w:color w:val="000000"/>
        </w:rPr>
        <w:t>S</w:t>
      </w:r>
      <w:r w:rsidRPr="0054296D">
        <w:rPr>
          <w:color w:val="000000"/>
        </w:rPr>
        <w:t xml:space="preserve">taff believes </w:t>
      </w:r>
      <w:r w:rsidR="003A29B7">
        <w:rPr>
          <w:color w:val="000000"/>
        </w:rPr>
        <w:t xml:space="preserve">that </w:t>
      </w:r>
      <w:r w:rsidR="00FE0B65">
        <w:rPr>
          <w:color w:val="000000"/>
        </w:rPr>
        <w:t xml:space="preserve">FTRI </w:t>
      </w:r>
      <w:r w:rsidR="0023092E">
        <w:rPr>
          <w:color w:val="000000"/>
        </w:rPr>
        <w:t xml:space="preserve">should have </w:t>
      </w:r>
      <w:r w:rsidR="003A29B7">
        <w:rPr>
          <w:color w:val="000000"/>
        </w:rPr>
        <w:t>estimated the continue</w:t>
      </w:r>
      <w:r w:rsidR="00E10967">
        <w:rPr>
          <w:color w:val="000000"/>
        </w:rPr>
        <w:t>d</w:t>
      </w:r>
      <w:r w:rsidR="003A29B7">
        <w:rPr>
          <w:color w:val="000000"/>
        </w:rPr>
        <w:t xml:space="preserve"> decline in access lines </w:t>
      </w:r>
      <w:r w:rsidR="00245233">
        <w:rPr>
          <w:color w:val="000000"/>
        </w:rPr>
        <w:t xml:space="preserve">more </w:t>
      </w:r>
      <w:r w:rsidR="004362C4">
        <w:rPr>
          <w:color w:val="000000"/>
        </w:rPr>
        <w:t>accurately</w:t>
      </w:r>
      <w:r w:rsidR="00245233">
        <w:rPr>
          <w:color w:val="000000"/>
        </w:rPr>
        <w:t xml:space="preserve"> </w:t>
      </w:r>
      <w:r w:rsidR="003A29B7">
        <w:rPr>
          <w:color w:val="000000"/>
        </w:rPr>
        <w:t>based o</w:t>
      </w:r>
      <w:r w:rsidR="0023092E">
        <w:rPr>
          <w:color w:val="000000"/>
        </w:rPr>
        <w:t xml:space="preserve">n historical and projected data and </w:t>
      </w:r>
      <w:r w:rsidR="00245233">
        <w:rPr>
          <w:color w:val="000000"/>
        </w:rPr>
        <w:t xml:space="preserve">implemented appropriate expense reductions to </w:t>
      </w:r>
      <w:r w:rsidR="0023092E">
        <w:rPr>
          <w:color w:val="000000"/>
        </w:rPr>
        <w:t>address the decline.</w:t>
      </w:r>
      <w:r w:rsidR="00245233">
        <w:rPr>
          <w:color w:val="000000"/>
        </w:rPr>
        <w:t xml:space="preserve">  </w:t>
      </w:r>
      <w:r w:rsidR="00022E48">
        <w:rPr>
          <w:color w:val="000000"/>
        </w:rPr>
        <w:t xml:space="preserve">It has been thoroughly discussed before the Commission during previous FTRI budget proceedings that the </w:t>
      </w:r>
      <w:r w:rsidR="0023092E">
        <w:rPr>
          <w:color w:val="000000"/>
        </w:rPr>
        <w:t xml:space="preserve">anticipated future </w:t>
      </w:r>
      <w:r w:rsidR="00470487">
        <w:rPr>
          <w:color w:val="000000"/>
        </w:rPr>
        <w:t>decline</w:t>
      </w:r>
      <w:r w:rsidR="00022E48">
        <w:rPr>
          <w:color w:val="000000"/>
        </w:rPr>
        <w:t xml:space="preserve"> in access line</w:t>
      </w:r>
      <w:r w:rsidR="0023092E">
        <w:rPr>
          <w:color w:val="000000"/>
        </w:rPr>
        <w:t xml:space="preserve">s will have a continued negative impact on FTRI’s budget, and that appropriate </w:t>
      </w:r>
      <w:r w:rsidR="002B3E27">
        <w:rPr>
          <w:color w:val="000000"/>
        </w:rPr>
        <w:t xml:space="preserve">cost reductions </w:t>
      </w:r>
      <w:r w:rsidR="0023092E">
        <w:rPr>
          <w:color w:val="000000"/>
        </w:rPr>
        <w:t xml:space="preserve">by FTRI to mitigate the impact is necessary.  </w:t>
      </w:r>
    </w:p>
    <w:p w:rsidR="006D0A52" w:rsidRDefault="006D0A52" w:rsidP="00B74A09">
      <w:pPr>
        <w:pStyle w:val="BodyText"/>
        <w:rPr>
          <w:color w:val="000000"/>
        </w:rPr>
      </w:pPr>
      <w:r>
        <w:rPr>
          <w:color w:val="000000"/>
        </w:rPr>
        <w:t xml:space="preserve">Of the $851,774 projected deficit included in FTRI’s proposed budget, $481,960 is due to higher per minute session rates by Sprint Relay, Florida’s new </w:t>
      </w:r>
      <w:r w:rsidR="0095657E">
        <w:rPr>
          <w:color w:val="000000"/>
        </w:rPr>
        <w:t>r</w:t>
      </w:r>
      <w:r>
        <w:rPr>
          <w:color w:val="000000"/>
        </w:rPr>
        <w:t>elay service provider.  The remaining $369,814 deficit is attributable t</w:t>
      </w:r>
      <w:r w:rsidR="0095657E">
        <w:rPr>
          <w:color w:val="000000"/>
        </w:rPr>
        <w:t>o FTRI expenses other than the r</w:t>
      </w:r>
      <w:r>
        <w:rPr>
          <w:color w:val="000000"/>
        </w:rPr>
        <w:t>elay service provider.</w:t>
      </w:r>
    </w:p>
    <w:p w:rsidR="002B3E27" w:rsidRDefault="002B3E27" w:rsidP="002B3E27">
      <w:pPr>
        <w:pStyle w:val="BodyText"/>
        <w:rPr>
          <w:color w:val="000000"/>
        </w:rPr>
      </w:pPr>
      <w:r>
        <w:rPr>
          <w:color w:val="000000"/>
        </w:rPr>
        <w:t>Staff understands FTRI’s desire to transfer funds from the surplus account to cover relay provider cost</w:t>
      </w:r>
      <w:r w:rsidR="009467CE">
        <w:rPr>
          <w:color w:val="000000"/>
        </w:rPr>
        <w:t>s</w:t>
      </w:r>
      <w:r>
        <w:rPr>
          <w:color w:val="000000"/>
        </w:rPr>
        <w:t xml:space="preserve"> for the 2015/2016 fiscal year.  </w:t>
      </w:r>
      <w:r>
        <w:t>FTRI will incur higher relay provider cost</w:t>
      </w:r>
      <w:r w:rsidR="009467CE">
        <w:t>s</w:t>
      </w:r>
      <w:r>
        <w:t xml:space="preserve"> based on the change in service provider in 2015 from AT&amp;T to Sprint.  Option 3 mitigates some of the concerns about using the surplus account to supplement FTRI’s budget by only using the surplus account for a portion of FTRI’s projected deficit.</w:t>
      </w:r>
    </w:p>
    <w:p w:rsidR="006D0A52" w:rsidRDefault="006D0A52" w:rsidP="00B74A09">
      <w:pPr>
        <w:pStyle w:val="BodyText"/>
      </w:pPr>
      <w:r>
        <w:rPr>
          <w:color w:val="000000"/>
        </w:rPr>
        <w:t xml:space="preserve">Staff had a </w:t>
      </w:r>
      <w:r w:rsidR="008A2A0E">
        <w:rPr>
          <w:color w:val="000000"/>
        </w:rPr>
        <w:t xml:space="preserve">communication </w:t>
      </w:r>
      <w:r>
        <w:rPr>
          <w:color w:val="000000"/>
        </w:rPr>
        <w:t xml:space="preserve">with FTRI concerning the possibility of reducing its proposed budget on April 2, 2015.  Staff </w:t>
      </w:r>
      <w:r w:rsidR="00C85D87">
        <w:rPr>
          <w:color w:val="000000"/>
        </w:rPr>
        <w:t xml:space="preserve">suggested </w:t>
      </w:r>
      <w:r>
        <w:rPr>
          <w:color w:val="000000"/>
        </w:rPr>
        <w:t xml:space="preserve">to FTRI that if it believed its budget could be reduced in some manner, that it submit a revised budget.  </w:t>
      </w:r>
      <w:r w:rsidR="00C85D87">
        <w:rPr>
          <w:color w:val="000000"/>
        </w:rPr>
        <w:t xml:space="preserve">Staff did not receive a response from FTRI.  </w:t>
      </w:r>
      <w:r w:rsidR="00884397">
        <w:rPr>
          <w:color w:val="000000"/>
        </w:rPr>
        <w:t xml:space="preserve">Under Option </w:t>
      </w:r>
      <w:r w:rsidR="00E82A1D">
        <w:rPr>
          <w:color w:val="000000"/>
        </w:rPr>
        <w:t>3</w:t>
      </w:r>
      <w:r w:rsidR="00884397">
        <w:rPr>
          <w:color w:val="000000"/>
        </w:rPr>
        <w:t>, s</w:t>
      </w:r>
      <w:r w:rsidR="00C85D87">
        <w:rPr>
          <w:color w:val="000000"/>
        </w:rPr>
        <w:t xml:space="preserve">taff </w:t>
      </w:r>
      <w:r w:rsidR="00E82A1D">
        <w:rPr>
          <w:color w:val="000000"/>
        </w:rPr>
        <w:t>recommends that</w:t>
      </w:r>
      <w:r w:rsidR="00C85D87">
        <w:rPr>
          <w:color w:val="000000"/>
        </w:rPr>
        <w:t xml:space="preserve"> FTRI should reduce its budget by $369,814</w:t>
      </w:r>
      <w:r w:rsidR="00884397">
        <w:rPr>
          <w:color w:val="000000"/>
        </w:rPr>
        <w:t xml:space="preserve">, and the </w:t>
      </w:r>
      <w:r w:rsidR="008A2A0E">
        <w:rPr>
          <w:color w:val="000000"/>
        </w:rPr>
        <w:t xml:space="preserve">$481,960 increase due to a change to a new </w:t>
      </w:r>
      <w:r w:rsidR="0095657E">
        <w:rPr>
          <w:color w:val="000000"/>
        </w:rPr>
        <w:t>r</w:t>
      </w:r>
      <w:r w:rsidR="008A2A0E">
        <w:rPr>
          <w:color w:val="000000"/>
        </w:rPr>
        <w:t xml:space="preserve">elay service provider </w:t>
      </w:r>
      <w:r w:rsidR="00E82A1D">
        <w:rPr>
          <w:color w:val="000000"/>
        </w:rPr>
        <w:t xml:space="preserve">be </w:t>
      </w:r>
      <w:r w:rsidR="0024177F">
        <w:rPr>
          <w:color w:val="000000"/>
        </w:rPr>
        <w:t>transferred</w:t>
      </w:r>
      <w:r w:rsidR="008A2A0E">
        <w:rPr>
          <w:color w:val="000000"/>
        </w:rPr>
        <w:t xml:space="preserve"> from the reserve account</w:t>
      </w:r>
      <w:r w:rsidR="0024177F">
        <w:rPr>
          <w:color w:val="000000"/>
        </w:rPr>
        <w:t xml:space="preserve"> to FTRI</w:t>
      </w:r>
      <w:r w:rsidR="008A2A0E">
        <w:rPr>
          <w:color w:val="000000"/>
        </w:rPr>
        <w:t>.</w:t>
      </w:r>
      <w:r w:rsidR="008A2A0E" w:rsidRPr="008A2A0E">
        <w:t xml:space="preserve"> </w:t>
      </w:r>
    </w:p>
    <w:p w:rsidR="00D01716" w:rsidRDefault="00D01716" w:rsidP="00B74A09">
      <w:pPr>
        <w:pStyle w:val="BodyText"/>
      </w:pPr>
      <w:r>
        <w:t xml:space="preserve">If the Commission approves Option </w:t>
      </w:r>
      <w:r w:rsidR="00E82A1D">
        <w:t>3</w:t>
      </w:r>
      <w:r w:rsidR="0024177F">
        <w:t>,</w:t>
      </w:r>
      <w:r>
        <w:t xml:space="preserve"> staff recommends FTRI determine which individual accounts </w:t>
      </w:r>
      <w:r w:rsidR="0024177F">
        <w:t xml:space="preserve">of Category </w:t>
      </w:r>
      <w:r w:rsidR="00B04154">
        <w:t>I</w:t>
      </w:r>
      <w:r w:rsidR="0024177F">
        <w:t>I, Category I</w:t>
      </w:r>
      <w:r w:rsidR="00B04154">
        <w:t>I</w:t>
      </w:r>
      <w:r w:rsidR="0024177F">
        <w:t>I, Category I</w:t>
      </w:r>
      <w:r w:rsidR="00B04154">
        <w:t>V</w:t>
      </w:r>
      <w:r w:rsidR="0024177F">
        <w:t xml:space="preserve">, and Category V expenses </w:t>
      </w:r>
      <w:r>
        <w:t xml:space="preserve">should be adjusted to equal the Commission-approved </w:t>
      </w:r>
      <w:r w:rsidR="003A5708">
        <w:t xml:space="preserve">budget </w:t>
      </w:r>
      <w:r>
        <w:t>decrease</w:t>
      </w:r>
      <w:r w:rsidR="003A5708">
        <w:t xml:space="preserve"> of $369,814</w:t>
      </w:r>
      <w:r w:rsidR="00896143">
        <w:t>.</w:t>
      </w:r>
      <w:r>
        <w:t xml:space="preserve">  </w:t>
      </w:r>
      <w:r w:rsidR="0024177F">
        <w:t xml:space="preserve">Staff recommends that the </w:t>
      </w:r>
      <w:r w:rsidR="0024177F">
        <w:rPr>
          <w:color w:val="000000"/>
        </w:rPr>
        <w:t xml:space="preserve">$481,960 increase due to a change to a new </w:t>
      </w:r>
      <w:r w:rsidR="0095657E">
        <w:rPr>
          <w:color w:val="000000"/>
        </w:rPr>
        <w:t>r</w:t>
      </w:r>
      <w:r w:rsidR="0024177F">
        <w:rPr>
          <w:color w:val="000000"/>
        </w:rPr>
        <w:t xml:space="preserve">elay service provider be transferred from the reserve account to FTRI. </w:t>
      </w:r>
      <w:r w:rsidR="0024177F">
        <w:t xml:space="preserve"> </w:t>
      </w:r>
      <w:r>
        <w:t xml:space="preserve">Staff recommends that FTRI re-submit its budget within 30 days of </w:t>
      </w:r>
      <w:r w:rsidR="00094B02">
        <w:t xml:space="preserve">the </w:t>
      </w:r>
      <w:r>
        <w:t>Commission vote</w:t>
      </w:r>
      <w:r w:rsidR="00595A2D">
        <w:t>.  The revised budget should</w:t>
      </w:r>
      <w:r>
        <w:t xml:space="preserve"> show adjustments to the individual accounts and staff</w:t>
      </w:r>
      <w:r w:rsidR="00595A2D">
        <w:t xml:space="preserve"> should</w:t>
      </w:r>
      <w:r>
        <w:t xml:space="preserve"> be granted administrative authority to approve the resubmitted budget as long as it adheres to the Commission’s decision.</w:t>
      </w:r>
      <w:r w:rsidR="009467CE">
        <w:t xml:space="preserve">  However, if the revised budget indicates an allocation of funds inconsistent with the purpose and  intent of TASA, staff will bring the revised budget back to the Commission for further consideration.  </w:t>
      </w:r>
      <w:r>
        <w:t xml:space="preserve">Staff also </w:t>
      </w:r>
      <w:r>
        <w:rPr>
          <w:color w:val="000000"/>
        </w:rPr>
        <w:t>recommends that the TRS surcharge be maintained at $0.11 per month for fiscal year 2015/2016, effective July 1, 2015.  The Commission should order</w:t>
      </w:r>
      <w:r w:rsidRPr="00ED71CE">
        <w:rPr>
          <w:color w:val="000000"/>
        </w:rPr>
        <w:t xml:space="preserve"> the incumbent local exchange companies, competitive local exchange companies, and shared tenant providers to </w:t>
      </w:r>
      <w:r>
        <w:rPr>
          <w:color w:val="000000"/>
        </w:rPr>
        <w:t xml:space="preserve">continue to </w:t>
      </w:r>
      <w:r w:rsidRPr="00ED71CE">
        <w:rPr>
          <w:color w:val="000000"/>
        </w:rPr>
        <w:t xml:space="preserve">bill the </w:t>
      </w:r>
      <w:r>
        <w:rPr>
          <w:color w:val="000000"/>
        </w:rPr>
        <w:t xml:space="preserve">$0.11 </w:t>
      </w:r>
      <w:r w:rsidRPr="00ED71CE">
        <w:rPr>
          <w:color w:val="000000"/>
        </w:rPr>
        <w:t xml:space="preserve">surcharge </w:t>
      </w:r>
      <w:r w:rsidR="00896143">
        <w:t>for fiscal</w:t>
      </w:r>
      <w:r>
        <w:t xml:space="preserve"> year 2015/2016, effective July 1, 2015</w:t>
      </w:r>
      <w:r w:rsidRPr="00ED71CE">
        <w:rPr>
          <w:color w:val="000000"/>
        </w:rPr>
        <w:t>.</w:t>
      </w:r>
    </w:p>
    <w:p w:rsidR="00E61435" w:rsidRDefault="00884397" w:rsidP="00884397">
      <w:pPr>
        <w:pStyle w:val="BodyText"/>
        <w:ind w:firstLine="0"/>
        <w:rPr>
          <w:color w:val="000000"/>
          <w:u w:val="single"/>
        </w:rPr>
      </w:pPr>
      <w:r w:rsidRPr="00884397">
        <w:rPr>
          <w:color w:val="000000"/>
          <w:u w:val="single"/>
        </w:rPr>
        <w:t xml:space="preserve">Option </w:t>
      </w:r>
      <w:r w:rsidR="005768B4">
        <w:rPr>
          <w:color w:val="000000"/>
          <w:u w:val="single"/>
        </w:rPr>
        <w:t>4</w:t>
      </w:r>
      <w:r w:rsidRPr="00884397">
        <w:rPr>
          <w:color w:val="000000"/>
          <w:u w:val="single"/>
        </w:rPr>
        <w:t xml:space="preserve"> – Reduce FTRI budget by $851,774</w:t>
      </w:r>
      <w:r w:rsidR="005768B4" w:rsidRPr="005768B4">
        <w:rPr>
          <w:u w:val="single"/>
        </w:rPr>
        <w:t xml:space="preserve"> </w:t>
      </w:r>
      <w:r w:rsidR="005768B4" w:rsidRPr="00884397">
        <w:rPr>
          <w:color w:val="000000"/>
          <w:u w:val="single"/>
        </w:rPr>
        <w:t xml:space="preserve">to offset the </w:t>
      </w:r>
      <w:r w:rsidR="005768B4">
        <w:rPr>
          <w:color w:val="000000"/>
          <w:u w:val="single"/>
        </w:rPr>
        <w:t xml:space="preserve">total </w:t>
      </w:r>
      <w:r w:rsidR="005768B4" w:rsidRPr="00884397">
        <w:rPr>
          <w:color w:val="000000"/>
          <w:u w:val="single"/>
        </w:rPr>
        <w:t>proposed deficit.</w:t>
      </w:r>
    </w:p>
    <w:p w:rsidR="00C632E0" w:rsidRDefault="00884397" w:rsidP="00EB1F43">
      <w:pPr>
        <w:ind w:firstLine="720"/>
        <w:jc w:val="both"/>
        <w:rPr>
          <w:color w:val="000000"/>
        </w:rPr>
      </w:pPr>
      <w:r>
        <w:t xml:space="preserve">Option </w:t>
      </w:r>
      <w:r w:rsidR="005768B4">
        <w:t>4</w:t>
      </w:r>
      <w:r>
        <w:t xml:space="preserve"> </w:t>
      </w:r>
      <w:r w:rsidR="005768B4">
        <w:t>recommends that</w:t>
      </w:r>
      <w:r>
        <w:t xml:space="preserve"> FTRI reduce its budget to eliminate the entire $851,774 deficit.  </w:t>
      </w:r>
      <w:r w:rsidR="00D01716">
        <w:t xml:space="preserve">If the Commission approves Option </w:t>
      </w:r>
      <w:r w:rsidR="005768B4">
        <w:t>4</w:t>
      </w:r>
      <w:r w:rsidR="00DA299B">
        <w:t>,</w:t>
      </w:r>
      <w:r w:rsidR="00D01716">
        <w:t xml:space="preserve"> staff recommends FTRI </w:t>
      </w:r>
      <w:r w:rsidR="0035703A">
        <w:t xml:space="preserve">reduce its proposed </w:t>
      </w:r>
      <w:r w:rsidR="0035703A">
        <w:lastRenderedPageBreak/>
        <w:t xml:space="preserve">budget by </w:t>
      </w:r>
      <w:r w:rsidR="0035703A" w:rsidRPr="0035703A">
        <w:rPr>
          <w:color w:val="000000"/>
        </w:rPr>
        <w:t>$851,774</w:t>
      </w:r>
      <w:r w:rsidR="0035703A" w:rsidRPr="0035703A">
        <w:t xml:space="preserve"> </w:t>
      </w:r>
      <w:r w:rsidR="0035703A">
        <w:t xml:space="preserve">by </w:t>
      </w:r>
      <w:r w:rsidR="00D01716">
        <w:t>determin</w:t>
      </w:r>
      <w:r w:rsidR="0035703A">
        <w:t>ing</w:t>
      </w:r>
      <w:r w:rsidR="00D01716">
        <w:t xml:space="preserve"> which individual accounts </w:t>
      </w:r>
      <w:r w:rsidR="0024177F">
        <w:t xml:space="preserve">of Category </w:t>
      </w:r>
      <w:r w:rsidR="004B0C4F">
        <w:t>I</w:t>
      </w:r>
      <w:r w:rsidR="0024177F">
        <w:t>I, Category I</w:t>
      </w:r>
      <w:r w:rsidR="004B0C4F">
        <w:t>I</w:t>
      </w:r>
      <w:r w:rsidR="0024177F">
        <w:t>I, Category I</w:t>
      </w:r>
      <w:r w:rsidR="004B0C4F">
        <w:t>V</w:t>
      </w:r>
      <w:r w:rsidR="0024177F">
        <w:t xml:space="preserve">, and Category V expenses </w:t>
      </w:r>
      <w:r w:rsidR="00D01716">
        <w:t xml:space="preserve">should be adjusted to equal the Commission-approved decrease.  Staff recommends that FTRI re-submit its budget within 30 days of </w:t>
      </w:r>
      <w:r w:rsidR="009467CE">
        <w:t xml:space="preserve">the </w:t>
      </w:r>
      <w:r w:rsidR="00D01716">
        <w:t>Commission vote</w:t>
      </w:r>
      <w:r w:rsidR="00595A2D">
        <w:t>.  The revised budget should</w:t>
      </w:r>
      <w:r w:rsidR="00D01716">
        <w:t xml:space="preserve"> show adjustments to the individual accounts</w:t>
      </w:r>
      <w:r w:rsidR="00E74133">
        <w:t xml:space="preserve"> reflecting </w:t>
      </w:r>
      <w:r w:rsidR="00D266A2">
        <w:t>an</w:t>
      </w:r>
      <w:r w:rsidR="00E74133">
        <w:t xml:space="preserve"> $851,774 decrease in its proposed 2015-2016 budget</w:t>
      </w:r>
      <w:r w:rsidR="00DA299B">
        <w:t xml:space="preserve">.  Staff recommends </w:t>
      </w:r>
      <w:r w:rsidR="00D01716">
        <w:t xml:space="preserve">that staff be granted administrative authority to approve the resubmitted budget as long as it adheres to the Commission’s decision.  </w:t>
      </w:r>
      <w:r w:rsidR="009467CE">
        <w:t xml:space="preserve">However, if the revised budget indicates an allocation of funds inconsistent with the purpose and  intent of TASA, staff will bring the revised budget back to the Commission for further consideration.  </w:t>
      </w:r>
      <w:r w:rsidR="00D01716">
        <w:t xml:space="preserve">Staff also </w:t>
      </w:r>
      <w:r w:rsidR="00D01716">
        <w:rPr>
          <w:color w:val="000000"/>
        </w:rPr>
        <w:t>recommends that the TRS surcharge be maintained at $0.11 per month for fiscal year 2015/2016, effective July 1, 2015.  The Commission should order</w:t>
      </w:r>
      <w:r w:rsidR="00D01716" w:rsidRPr="00ED71CE">
        <w:rPr>
          <w:color w:val="000000"/>
        </w:rPr>
        <w:t xml:space="preserve"> the incumbent local exchange companies, competitive local exchange companies, and shared tenant providers to </w:t>
      </w:r>
      <w:r w:rsidR="00D01716">
        <w:rPr>
          <w:color w:val="000000"/>
        </w:rPr>
        <w:t xml:space="preserve">continue to </w:t>
      </w:r>
      <w:r w:rsidR="00D01716" w:rsidRPr="00ED71CE">
        <w:rPr>
          <w:color w:val="000000"/>
        </w:rPr>
        <w:t xml:space="preserve">bill the </w:t>
      </w:r>
      <w:r w:rsidR="00D01716">
        <w:rPr>
          <w:color w:val="000000"/>
        </w:rPr>
        <w:t xml:space="preserve">$0.11 </w:t>
      </w:r>
      <w:r w:rsidR="00D01716" w:rsidRPr="00ED71CE">
        <w:rPr>
          <w:color w:val="000000"/>
        </w:rPr>
        <w:t xml:space="preserve">surcharge </w:t>
      </w:r>
      <w:r w:rsidR="00896143">
        <w:t>for fiscal</w:t>
      </w:r>
      <w:r w:rsidR="00D01716">
        <w:t xml:space="preserve"> year 2015/2016, effective July 1, 2015</w:t>
      </w:r>
      <w:r w:rsidR="00D01716" w:rsidRPr="00ED71CE">
        <w:rPr>
          <w:color w:val="000000"/>
        </w:rPr>
        <w:t>.</w:t>
      </w:r>
    </w:p>
    <w:p w:rsidR="00EB1F43" w:rsidRDefault="00EB1F43" w:rsidP="00EB1F43">
      <w:pPr>
        <w:ind w:firstLine="720"/>
        <w:jc w:val="both"/>
        <w:rPr>
          <w:color w:val="000000"/>
          <w:u w:val="single"/>
        </w:rPr>
      </w:pPr>
    </w:p>
    <w:p w:rsidR="00884397" w:rsidRDefault="00DA299B" w:rsidP="00884397">
      <w:pPr>
        <w:pStyle w:val="BodyText"/>
        <w:ind w:firstLine="0"/>
        <w:rPr>
          <w:color w:val="000000"/>
          <w:u w:val="single"/>
        </w:rPr>
      </w:pPr>
      <w:r>
        <w:rPr>
          <w:color w:val="000000"/>
          <w:u w:val="single"/>
        </w:rPr>
        <w:t>S</w:t>
      </w:r>
      <w:r w:rsidR="00C4397D">
        <w:rPr>
          <w:color w:val="000000"/>
          <w:u w:val="single"/>
        </w:rPr>
        <w:t>ummary</w:t>
      </w:r>
    </w:p>
    <w:p w:rsidR="005F26F5" w:rsidRDefault="00112F1E" w:rsidP="00C4397D">
      <w:pPr>
        <w:pStyle w:val="BodyText"/>
        <w:ind w:firstLine="0"/>
        <w:rPr>
          <w:color w:val="000000"/>
        </w:rPr>
      </w:pPr>
      <w:r w:rsidRPr="001A1785">
        <w:rPr>
          <w:color w:val="000000"/>
        </w:rPr>
        <w:tab/>
      </w:r>
      <w:r w:rsidR="00B74A09" w:rsidRPr="0054296D">
        <w:rPr>
          <w:color w:val="000000"/>
        </w:rPr>
        <w:t>A comparison of</w:t>
      </w:r>
      <w:r w:rsidR="00E61435">
        <w:rPr>
          <w:color w:val="000000"/>
        </w:rPr>
        <w:t xml:space="preserve"> FTRI</w:t>
      </w:r>
      <w:r w:rsidR="00B74A09">
        <w:rPr>
          <w:color w:val="000000"/>
        </w:rPr>
        <w:t>’s 201</w:t>
      </w:r>
      <w:r w:rsidR="00397C82">
        <w:rPr>
          <w:color w:val="000000"/>
        </w:rPr>
        <w:t>4</w:t>
      </w:r>
      <w:r w:rsidR="00B74A09">
        <w:rPr>
          <w:color w:val="000000"/>
        </w:rPr>
        <w:t>/201</w:t>
      </w:r>
      <w:r w:rsidR="00397C82">
        <w:rPr>
          <w:color w:val="000000"/>
        </w:rPr>
        <w:t>5</w:t>
      </w:r>
      <w:r w:rsidR="00B74A09">
        <w:rPr>
          <w:color w:val="000000"/>
        </w:rPr>
        <w:t xml:space="preserve"> </w:t>
      </w:r>
      <w:r w:rsidR="00094B02">
        <w:rPr>
          <w:color w:val="000000"/>
        </w:rPr>
        <w:t>Estimated Revenue &amp; Expenses</w:t>
      </w:r>
      <w:r w:rsidR="00B74A09">
        <w:rPr>
          <w:color w:val="000000"/>
        </w:rPr>
        <w:t xml:space="preserve">, </w:t>
      </w:r>
      <w:r w:rsidR="008E485D">
        <w:rPr>
          <w:color w:val="000000"/>
        </w:rPr>
        <w:t>along with each of the Options presented above</w:t>
      </w:r>
      <w:r w:rsidR="00B74A09">
        <w:rPr>
          <w:color w:val="000000"/>
        </w:rPr>
        <w:t xml:space="preserve"> </w:t>
      </w:r>
      <w:r w:rsidR="00B74A09" w:rsidRPr="0054296D">
        <w:rPr>
          <w:color w:val="000000"/>
        </w:rPr>
        <w:t xml:space="preserve">is shown below.  </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350"/>
        <w:gridCol w:w="1326"/>
        <w:gridCol w:w="1350"/>
        <w:gridCol w:w="1440"/>
        <w:gridCol w:w="1369"/>
      </w:tblGrid>
      <w:tr w:rsidR="00260E5A" w:rsidRPr="002E79EF" w:rsidTr="002A7E1F">
        <w:trPr>
          <w:trHeight w:val="1265"/>
          <w:jc w:val="center"/>
        </w:trPr>
        <w:tc>
          <w:tcPr>
            <w:tcW w:w="3550" w:type="dxa"/>
            <w:shd w:val="clear" w:color="auto" w:fill="auto"/>
          </w:tcPr>
          <w:p w:rsidR="00260E5A" w:rsidRPr="002E79EF" w:rsidRDefault="00260E5A" w:rsidP="00671856">
            <w:pPr>
              <w:jc w:val="center"/>
              <w:rPr>
                <w:color w:val="000000"/>
                <w:sz w:val="20"/>
                <w:szCs w:val="20"/>
              </w:rPr>
            </w:pPr>
            <w:r w:rsidRPr="002E79EF">
              <w:rPr>
                <w:sz w:val="20"/>
                <w:szCs w:val="20"/>
              </w:rPr>
              <w:br w:type="page"/>
            </w:r>
          </w:p>
        </w:tc>
        <w:tc>
          <w:tcPr>
            <w:tcW w:w="1350" w:type="dxa"/>
            <w:vAlign w:val="bottom"/>
          </w:tcPr>
          <w:p w:rsidR="00260E5A" w:rsidRPr="002E79EF" w:rsidRDefault="00693AC1" w:rsidP="00EE70C9">
            <w:pPr>
              <w:jc w:val="center"/>
              <w:rPr>
                <w:color w:val="000000"/>
                <w:sz w:val="20"/>
                <w:szCs w:val="20"/>
              </w:rPr>
            </w:pPr>
            <w:r w:rsidRPr="002E79EF">
              <w:rPr>
                <w:color w:val="000000"/>
                <w:sz w:val="20"/>
                <w:szCs w:val="20"/>
              </w:rPr>
              <w:t>Estimated Revenue &amp;</w:t>
            </w:r>
          </w:p>
          <w:p w:rsidR="00693AC1" w:rsidRPr="002E79EF" w:rsidRDefault="00693AC1" w:rsidP="00EE70C9">
            <w:pPr>
              <w:jc w:val="center"/>
              <w:rPr>
                <w:color w:val="000000"/>
                <w:sz w:val="20"/>
                <w:szCs w:val="20"/>
              </w:rPr>
            </w:pPr>
            <w:r w:rsidRPr="002E79EF">
              <w:rPr>
                <w:color w:val="000000"/>
                <w:sz w:val="20"/>
                <w:szCs w:val="20"/>
              </w:rPr>
              <w:t>Expenses</w:t>
            </w:r>
          </w:p>
          <w:p w:rsidR="00260E5A" w:rsidRPr="002E79EF" w:rsidRDefault="00260E5A" w:rsidP="00033F28">
            <w:pPr>
              <w:jc w:val="center"/>
              <w:rPr>
                <w:color w:val="000000"/>
                <w:sz w:val="20"/>
                <w:szCs w:val="20"/>
              </w:rPr>
            </w:pPr>
            <w:r w:rsidRPr="002E79EF">
              <w:rPr>
                <w:sz w:val="20"/>
                <w:szCs w:val="20"/>
                <w:u w:val="single"/>
              </w:rPr>
              <w:t>2014-2015</w:t>
            </w:r>
          </w:p>
        </w:tc>
        <w:tc>
          <w:tcPr>
            <w:tcW w:w="1326" w:type="dxa"/>
            <w:shd w:val="clear" w:color="auto" w:fill="auto"/>
            <w:vAlign w:val="bottom"/>
          </w:tcPr>
          <w:p w:rsidR="00260E5A" w:rsidRPr="002E79EF" w:rsidRDefault="00260E5A" w:rsidP="00EE70C9">
            <w:pPr>
              <w:jc w:val="center"/>
              <w:rPr>
                <w:sz w:val="20"/>
                <w:szCs w:val="20"/>
              </w:rPr>
            </w:pPr>
            <w:r w:rsidRPr="002E79EF">
              <w:rPr>
                <w:color w:val="000000"/>
                <w:sz w:val="20"/>
                <w:szCs w:val="20"/>
              </w:rPr>
              <w:t>Option 1 100% from surplus account</w:t>
            </w:r>
          </w:p>
          <w:p w:rsidR="00260E5A" w:rsidRPr="002E79EF" w:rsidRDefault="00260E5A" w:rsidP="00033F28">
            <w:pPr>
              <w:jc w:val="center"/>
              <w:rPr>
                <w:sz w:val="20"/>
                <w:szCs w:val="20"/>
              </w:rPr>
            </w:pPr>
            <w:r w:rsidRPr="002E79EF">
              <w:rPr>
                <w:color w:val="000000"/>
                <w:sz w:val="20"/>
                <w:szCs w:val="20"/>
                <w:u w:val="single"/>
              </w:rPr>
              <w:t>2015-2016</w:t>
            </w:r>
          </w:p>
        </w:tc>
        <w:tc>
          <w:tcPr>
            <w:tcW w:w="1350" w:type="dxa"/>
          </w:tcPr>
          <w:p w:rsidR="005768B4" w:rsidRPr="002E79EF" w:rsidRDefault="005768B4" w:rsidP="00EC5111">
            <w:pPr>
              <w:jc w:val="center"/>
              <w:rPr>
                <w:color w:val="000000"/>
                <w:sz w:val="20"/>
                <w:szCs w:val="20"/>
              </w:rPr>
            </w:pPr>
          </w:p>
          <w:p w:rsidR="00260E5A" w:rsidRPr="002E79EF" w:rsidRDefault="00260E5A" w:rsidP="00EC5111">
            <w:pPr>
              <w:jc w:val="center"/>
              <w:rPr>
                <w:color w:val="000000"/>
                <w:sz w:val="20"/>
                <w:szCs w:val="20"/>
              </w:rPr>
            </w:pPr>
            <w:r w:rsidRPr="002E79EF">
              <w:rPr>
                <w:color w:val="000000"/>
                <w:sz w:val="20"/>
                <w:szCs w:val="20"/>
              </w:rPr>
              <w:t xml:space="preserve">Option </w:t>
            </w:r>
            <w:r w:rsidR="005768B4" w:rsidRPr="002E79EF">
              <w:rPr>
                <w:color w:val="000000"/>
                <w:sz w:val="20"/>
                <w:szCs w:val="20"/>
              </w:rPr>
              <w:t>2</w:t>
            </w:r>
            <w:r w:rsidRPr="002E79EF">
              <w:rPr>
                <w:color w:val="000000"/>
                <w:sz w:val="20"/>
                <w:szCs w:val="20"/>
              </w:rPr>
              <w:t xml:space="preserve"> </w:t>
            </w:r>
            <w:r w:rsidR="005768B4" w:rsidRPr="002E79EF">
              <w:rPr>
                <w:color w:val="000000"/>
                <w:sz w:val="20"/>
                <w:szCs w:val="20"/>
              </w:rPr>
              <w:t>I</w:t>
            </w:r>
            <w:r w:rsidRPr="002E79EF">
              <w:rPr>
                <w:color w:val="000000"/>
                <w:sz w:val="20"/>
                <w:szCs w:val="20"/>
              </w:rPr>
              <w:t>ncrease surcharge $0.02</w:t>
            </w:r>
          </w:p>
          <w:p w:rsidR="00260E5A" w:rsidRPr="002E79EF" w:rsidRDefault="00260E5A" w:rsidP="0086239D">
            <w:pPr>
              <w:jc w:val="center"/>
              <w:rPr>
                <w:color w:val="000000"/>
                <w:sz w:val="20"/>
                <w:szCs w:val="20"/>
              </w:rPr>
            </w:pPr>
            <w:r w:rsidRPr="002E79EF">
              <w:rPr>
                <w:color w:val="000000"/>
                <w:sz w:val="20"/>
                <w:szCs w:val="20"/>
                <w:u w:val="single"/>
              </w:rPr>
              <w:t>2015-2016</w:t>
            </w:r>
          </w:p>
        </w:tc>
        <w:tc>
          <w:tcPr>
            <w:tcW w:w="1440" w:type="dxa"/>
            <w:shd w:val="clear" w:color="auto" w:fill="auto"/>
            <w:vAlign w:val="bottom"/>
          </w:tcPr>
          <w:p w:rsidR="00260E5A" w:rsidRPr="002E79EF" w:rsidRDefault="00260E5A" w:rsidP="00EE70C9">
            <w:pPr>
              <w:jc w:val="center"/>
              <w:rPr>
                <w:sz w:val="20"/>
                <w:szCs w:val="20"/>
              </w:rPr>
            </w:pPr>
            <w:r w:rsidRPr="002E79EF">
              <w:rPr>
                <w:color w:val="000000"/>
                <w:sz w:val="20"/>
                <w:szCs w:val="20"/>
              </w:rPr>
              <w:t xml:space="preserve">Option </w:t>
            </w:r>
            <w:r w:rsidR="005768B4" w:rsidRPr="002E79EF">
              <w:rPr>
                <w:color w:val="000000"/>
                <w:sz w:val="20"/>
                <w:szCs w:val="20"/>
              </w:rPr>
              <w:t>3 Reduce budget &amp; use surplus account</w:t>
            </w:r>
          </w:p>
          <w:p w:rsidR="00260E5A" w:rsidRPr="002E79EF" w:rsidRDefault="00260E5A" w:rsidP="0086239D">
            <w:pPr>
              <w:jc w:val="center"/>
              <w:rPr>
                <w:sz w:val="20"/>
                <w:szCs w:val="20"/>
              </w:rPr>
            </w:pPr>
            <w:r w:rsidRPr="002E79EF">
              <w:rPr>
                <w:color w:val="000000"/>
                <w:sz w:val="20"/>
                <w:szCs w:val="20"/>
                <w:u w:val="single"/>
              </w:rPr>
              <w:t>2015-2016</w:t>
            </w:r>
          </w:p>
        </w:tc>
        <w:tc>
          <w:tcPr>
            <w:tcW w:w="1369" w:type="dxa"/>
            <w:vAlign w:val="bottom"/>
          </w:tcPr>
          <w:p w:rsidR="00260E5A" w:rsidRPr="002E79EF" w:rsidRDefault="00260E5A" w:rsidP="00EE70C9">
            <w:pPr>
              <w:jc w:val="center"/>
              <w:rPr>
                <w:color w:val="000000"/>
                <w:sz w:val="20"/>
                <w:szCs w:val="20"/>
              </w:rPr>
            </w:pPr>
            <w:r w:rsidRPr="002E79EF">
              <w:rPr>
                <w:color w:val="000000"/>
                <w:sz w:val="20"/>
                <w:szCs w:val="20"/>
              </w:rPr>
              <w:t xml:space="preserve">Option </w:t>
            </w:r>
            <w:r w:rsidR="005768B4" w:rsidRPr="002E79EF">
              <w:rPr>
                <w:color w:val="000000"/>
                <w:sz w:val="20"/>
                <w:szCs w:val="20"/>
              </w:rPr>
              <w:t>4 Reduce budget by deficit total</w:t>
            </w:r>
          </w:p>
          <w:p w:rsidR="00260E5A" w:rsidRPr="002E79EF" w:rsidRDefault="00260E5A" w:rsidP="0086239D">
            <w:pPr>
              <w:jc w:val="center"/>
              <w:rPr>
                <w:color w:val="000000"/>
                <w:sz w:val="20"/>
                <w:szCs w:val="20"/>
              </w:rPr>
            </w:pPr>
            <w:r w:rsidRPr="002E79EF">
              <w:rPr>
                <w:color w:val="000000"/>
                <w:sz w:val="20"/>
                <w:szCs w:val="20"/>
                <w:u w:val="single"/>
              </w:rPr>
              <w:t>2015-2016</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color w:val="000000"/>
                <w:sz w:val="20"/>
                <w:szCs w:val="20"/>
              </w:rPr>
            </w:pPr>
            <w:r w:rsidRPr="002E79EF">
              <w:rPr>
                <w:color w:val="000000"/>
                <w:sz w:val="20"/>
                <w:szCs w:val="20"/>
              </w:rPr>
              <w:t>Operating Revenue:</w:t>
            </w:r>
          </w:p>
        </w:tc>
        <w:tc>
          <w:tcPr>
            <w:tcW w:w="1350" w:type="dxa"/>
          </w:tcPr>
          <w:p w:rsidR="00EC5111" w:rsidRPr="002E79EF" w:rsidRDefault="00EC5111" w:rsidP="002A7E1F">
            <w:pPr>
              <w:jc w:val="center"/>
              <w:rPr>
                <w:color w:val="000000"/>
                <w:sz w:val="20"/>
                <w:szCs w:val="20"/>
              </w:rPr>
            </w:pPr>
          </w:p>
        </w:tc>
        <w:tc>
          <w:tcPr>
            <w:tcW w:w="1326" w:type="dxa"/>
            <w:shd w:val="clear" w:color="auto" w:fill="auto"/>
          </w:tcPr>
          <w:p w:rsidR="00EC5111" w:rsidRPr="002E79EF" w:rsidRDefault="00EC5111" w:rsidP="002A7E1F">
            <w:pPr>
              <w:jc w:val="center"/>
              <w:rPr>
                <w:sz w:val="20"/>
                <w:szCs w:val="20"/>
              </w:rPr>
            </w:pPr>
          </w:p>
        </w:tc>
        <w:tc>
          <w:tcPr>
            <w:tcW w:w="1350" w:type="dxa"/>
          </w:tcPr>
          <w:p w:rsidR="00EC5111" w:rsidRPr="002E79EF" w:rsidRDefault="00EC5111" w:rsidP="002A7E1F">
            <w:pPr>
              <w:jc w:val="center"/>
              <w:rPr>
                <w:sz w:val="20"/>
                <w:szCs w:val="20"/>
              </w:rPr>
            </w:pPr>
          </w:p>
        </w:tc>
        <w:tc>
          <w:tcPr>
            <w:tcW w:w="1440" w:type="dxa"/>
            <w:shd w:val="clear" w:color="auto" w:fill="auto"/>
          </w:tcPr>
          <w:p w:rsidR="00EC5111" w:rsidRPr="002E79EF" w:rsidRDefault="00EC5111" w:rsidP="002A7E1F">
            <w:pPr>
              <w:jc w:val="center"/>
              <w:rPr>
                <w:sz w:val="20"/>
                <w:szCs w:val="20"/>
              </w:rPr>
            </w:pPr>
          </w:p>
        </w:tc>
        <w:tc>
          <w:tcPr>
            <w:tcW w:w="1369" w:type="dxa"/>
          </w:tcPr>
          <w:p w:rsidR="00EC5111" w:rsidRPr="002E79EF" w:rsidRDefault="00EC5111" w:rsidP="002A7E1F">
            <w:pPr>
              <w:jc w:val="center"/>
              <w:rPr>
                <w:sz w:val="20"/>
                <w:szCs w:val="20"/>
              </w:rPr>
            </w:pP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Surcharges</w:t>
            </w:r>
          </w:p>
        </w:tc>
        <w:tc>
          <w:tcPr>
            <w:tcW w:w="1350" w:type="dxa"/>
            <w:vAlign w:val="center"/>
          </w:tcPr>
          <w:p w:rsidR="00EC5111" w:rsidRPr="002E79EF" w:rsidRDefault="00EC5111" w:rsidP="00E13C2A">
            <w:pPr>
              <w:jc w:val="right"/>
              <w:rPr>
                <w:sz w:val="20"/>
                <w:szCs w:val="20"/>
              </w:rPr>
            </w:pPr>
            <w:r w:rsidRPr="002E79EF">
              <w:rPr>
                <w:sz w:val="20"/>
                <w:szCs w:val="20"/>
              </w:rPr>
              <w:t xml:space="preserve"> $ </w:t>
            </w:r>
            <w:r w:rsidR="00693AC1" w:rsidRPr="002E79EF">
              <w:rPr>
                <w:sz w:val="20"/>
                <w:szCs w:val="20"/>
              </w:rPr>
              <w:t>7,877,499</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$7,562,400</w:t>
            </w:r>
          </w:p>
        </w:tc>
        <w:tc>
          <w:tcPr>
            <w:tcW w:w="1350" w:type="dxa"/>
            <w:vAlign w:val="center"/>
          </w:tcPr>
          <w:p w:rsidR="00EC5111" w:rsidRPr="002E79EF" w:rsidRDefault="00EC5111" w:rsidP="00E13C2A">
            <w:pPr>
              <w:jc w:val="right"/>
              <w:rPr>
                <w:sz w:val="20"/>
                <w:szCs w:val="20"/>
              </w:rPr>
            </w:pPr>
            <w:r w:rsidRPr="002E79EF">
              <w:rPr>
                <w:sz w:val="20"/>
                <w:szCs w:val="20"/>
              </w:rPr>
              <w:t>$8,937,381</w:t>
            </w:r>
          </w:p>
        </w:tc>
        <w:tc>
          <w:tcPr>
            <w:tcW w:w="1440" w:type="dxa"/>
            <w:shd w:val="clear" w:color="auto" w:fill="auto"/>
            <w:vAlign w:val="center"/>
          </w:tcPr>
          <w:p w:rsidR="00EC5111" w:rsidRPr="002E79EF" w:rsidRDefault="00EC5111" w:rsidP="00E13C2A">
            <w:pPr>
              <w:jc w:val="right"/>
              <w:rPr>
                <w:sz w:val="20"/>
                <w:szCs w:val="20"/>
              </w:rPr>
            </w:pPr>
            <w:r w:rsidRPr="002E79EF">
              <w:rPr>
                <w:sz w:val="20"/>
                <w:szCs w:val="20"/>
              </w:rPr>
              <w:t xml:space="preserve"> $ 7,562,400</w:t>
            </w:r>
          </w:p>
        </w:tc>
        <w:tc>
          <w:tcPr>
            <w:tcW w:w="1369" w:type="dxa"/>
            <w:vAlign w:val="center"/>
          </w:tcPr>
          <w:p w:rsidR="00EC5111" w:rsidRPr="002E79EF" w:rsidRDefault="00EC5111" w:rsidP="00E13C2A">
            <w:pPr>
              <w:jc w:val="right"/>
              <w:rPr>
                <w:sz w:val="20"/>
                <w:szCs w:val="20"/>
              </w:rPr>
            </w:pPr>
            <w:r w:rsidRPr="002E79EF">
              <w:rPr>
                <w:sz w:val="20"/>
                <w:szCs w:val="20"/>
              </w:rPr>
              <w:t xml:space="preserve"> $ 7,562,400</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Interest Income</w:t>
            </w:r>
          </w:p>
        </w:tc>
        <w:tc>
          <w:tcPr>
            <w:tcW w:w="1350" w:type="dxa"/>
            <w:vAlign w:val="center"/>
          </w:tcPr>
          <w:p w:rsidR="00EC5111" w:rsidRPr="002E79EF" w:rsidRDefault="00EC5111" w:rsidP="00E13C2A">
            <w:pPr>
              <w:jc w:val="right"/>
              <w:rPr>
                <w:sz w:val="20"/>
                <w:szCs w:val="20"/>
              </w:rPr>
            </w:pPr>
            <w:r w:rsidRPr="002E79EF">
              <w:rPr>
                <w:color w:val="000000"/>
                <w:sz w:val="20"/>
                <w:szCs w:val="20"/>
              </w:rPr>
              <w:t xml:space="preserve">         </w:t>
            </w:r>
            <w:r w:rsidR="00693AC1" w:rsidRPr="002E79EF">
              <w:rPr>
                <w:color w:val="000000"/>
                <w:sz w:val="20"/>
                <w:szCs w:val="20"/>
              </w:rPr>
              <w:t>43,654</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33,293</w:t>
            </w:r>
          </w:p>
        </w:tc>
        <w:tc>
          <w:tcPr>
            <w:tcW w:w="1350" w:type="dxa"/>
            <w:vAlign w:val="center"/>
          </w:tcPr>
          <w:p w:rsidR="00EC5111" w:rsidRPr="002E79EF" w:rsidRDefault="00EC5111" w:rsidP="00E13C2A">
            <w:pPr>
              <w:jc w:val="right"/>
              <w:rPr>
                <w:color w:val="000000"/>
                <w:sz w:val="20"/>
                <w:szCs w:val="20"/>
              </w:rPr>
            </w:pPr>
            <w:r w:rsidRPr="002E79EF">
              <w:rPr>
                <w:sz w:val="20"/>
                <w:szCs w:val="20"/>
              </w:rPr>
              <w:t>33,293</w:t>
            </w:r>
          </w:p>
        </w:tc>
        <w:tc>
          <w:tcPr>
            <w:tcW w:w="1440" w:type="dxa"/>
            <w:shd w:val="clear" w:color="auto" w:fill="auto"/>
            <w:vAlign w:val="center"/>
          </w:tcPr>
          <w:p w:rsidR="00EC5111" w:rsidRPr="002E79EF" w:rsidRDefault="00EC5111" w:rsidP="00E13C2A">
            <w:pPr>
              <w:jc w:val="right"/>
              <w:rPr>
                <w:sz w:val="20"/>
                <w:szCs w:val="20"/>
              </w:rPr>
            </w:pPr>
            <w:r w:rsidRPr="002E79EF">
              <w:rPr>
                <w:color w:val="000000"/>
                <w:sz w:val="20"/>
                <w:szCs w:val="20"/>
              </w:rPr>
              <w:t xml:space="preserve">         33,293</w:t>
            </w:r>
          </w:p>
        </w:tc>
        <w:tc>
          <w:tcPr>
            <w:tcW w:w="1369" w:type="dxa"/>
            <w:vAlign w:val="center"/>
          </w:tcPr>
          <w:p w:rsidR="00EC5111" w:rsidRPr="002E79EF" w:rsidRDefault="00EC5111" w:rsidP="00E13C2A">
            <w:pPr>
              <w:jc w:val="right"/>
              <w:rPr>
                <w:sz w:val="20"/>
                <w:szCs w:val="20"/>
              </w:rPr>
            </w:pPr>
            <w:r w:rsidRPr="002E79EF">
              <w:rPr>
                <w:color w:val="000000"/>
                <w:sz w:val="20"/>
                <w:szCs w:val="20"/>
              </w:rPr>
              <w:t xml:space="preserve">         33,293</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color w:val="000000"/>
                <w:sz w:val="20"/>
                <w:szCs w:val="20"/>
              </w:rPr>
            </w:pPr>
            <w:r w:rsidRPr="002E79EF">
              <w:rPr>
                <w:color w:val="000000"/>
                <w:sz w:val="20"/>
                <w:szCs w:val="20"/>
              </w:rPr>
              <w:t>NDBEDP</w:t>
            </w:r>
            <w:r w:rsidRPr="002E79EF">
              <w:rPr>
                <w:rStyle w:val="FootnoteReference"/>
                <w:color w:val="000000"/>
                <w:sz w:val="20"/>
                <w:szCs w:val="20"/>
              </w:rPr>
              <w:footnoteReference w:id="11"/>
            </w:r>
          </w:p>
        </w:tc>
        <w:tc>
          <w:tcPr>
            <w:tcW w:w="1350" w:type="dxa"/>
            <w:vAlign w:val="center"/>
          </w:tcPr>
          <w:p w:rsidR="00EC5111" w:rsidRPr="002E79EF" w:rsidRDefault="00EC5111" w:rsidP="00E13C2A">
            <w:pPr>
              <w:jc w:val="right"/>
              <w:rPr>
                <w:color w:val="000000"/>
                <w:sz w:val="20"/>
                <w:szCs w:val="20"/>
                <w:u w:val="single"/>
              </w:rPr>
            </w:pPr>
            <w:r w:rsidRPr="002E79EF">
              <w:rPr>
                <w:color w:val="000000"/>
                <w:sz w:val="20"/>
                <w:szCs w:val="20"/>
                <w:u w:val="single"/>
              </w:rPr>
              <w:t xml:space="preserve">      </w:t>
            </w:r>
            <w:r w:rsidR="00693AC1" w:rsidRPr="002E79EF">
              <w:rPr>
                <w:color w:val="000000"/>
                <w:sz w:val="20"/>
                <w:szCs w:val="20"/>
                <w:u w:val="single"/>
              </w:rPr>
              <w:t>217,398</w:t>
            </w:r>
          </w:p>
        </w:tc>
        <w:tc>
          <w:tcPr>
            <w:tcW w:w="1326" w:type="dxa"/>
            <w:shd w:val="clear" w:color="auto" w:fill="auto"/>
            <w:vAlign w:val="center"/>
          </w:tcPr>
          <w:p w:rsidR="00EC5111" w:rsidRPr="002E79EF" w:rsidRDefault="00EC5111" w:rsidP="00E13C2A">
            <w:pPr>
              <w:jc w:val="right"/>
              <w:rPr>
                <w:color w:val="000000"/>
                <w:sz w:val="20"/>
                <w:szCs w:val="20"/>
                <w:u w:val="single"/>
              </w:rPr>
            </w:pPr>
            <w:r w:rsidRPr="002E79EF">
              <w:rPr>
                <w:color w:val="000000"/>
                <w:sz w:val="20"/>
                <w:szCs w:val="20"/>
                <w:u w:val="single"/>
              </w:rPr>
              <w:t>468,749</w:t>
            </w:r>
          </w:p>
        </w:tc>
        <w:tc>
          <w:tcPr>
            <w:tcW w:w="1350" w:type="dxa"/>
            <w:vAlign w:val="center"/>
          </w:tcPr>
          <w:p w:rsidR="00EC5111" w:rsidRPr="002E79EF" w:rsidRDefault="00EC5111" w:rsidP="00E13C2A">
            <w:pPr>
              <w:jc w:val="right"/>
              <w:rPr>
                <w:color w:val="000000"/>
                <w:sz w:val="20"/>
                <w:szCs w:val="20"/>
                <w:u w:val="single"/>
              </w:rPr>
            </w:pPr>
            <w:r w:rsidRPr="002E79EF">
              <w:rPr>
                <w:color w:val="000000"/>
                <w:sz w:val="20"/>
                <w:szCs w:val="20"/>
                <w:u w:val="single"/>
              </w:rPr>
              <w:t>468,749</w:t>
            </w:r>
          </w:p>
        </w:tc>
        <w:tc>
          <w:tcPr>
            <w:tcW w:w="1440" w:type="dxa"/>
            <w:shd w:val="clear" w:color="auto" w:fill="auto"/>
            <w:vAlign w:val="center"/>
          </w:tcPr>
          <w:p w:rsidR="00EC5111" w:rsidRPr="002E79EF" w:rsidRDefault="00EC5111" w:rsidP="00E13C2A">
            <w:pPr>
              <w:jc w:val="right"/>
              <w:rPr>
                <w:color w:val="000000"/>
                <w:sz w:val="20"/>
                <w:szCs w:val="20"/>
                <w:u w:val="single"/>
              </w:rPr>
            </w:pPr>
            <w:r w:rsidRPr="002E79EF">
              <w:rPr>
                <w:color w:val="000000"/>
                <w:sz w:val="20"/>
                <w:szCs w:val="20"/>
                <w:u w:val="single"/>
              </w:rPr>
              <w:t xml:space="preserve">      468,749</w:t>
            </w:r>
          </w:p>
        </w:tc>
        <w:tc>
          <w:tcPr>
            <w:tcW w:w="1369" w:type="dxa"/>
            <w:vAlign w:val="center"/>
          </w:tcPr>
          <w:p w:rsidR="00EC5111" w:rsidRPr="002E79EF" w:rsidRDefault="00EC5111" w:rsidP="00E13C2A">
            <w:pPr>
              <w:jc w:val="right"/>
              <w:rPr>
                <w:color w:val="000000"/>
                <w:sz w:val="20"/>
                <w:szCs w:val="20"/>
                <w:u w:val="single"/>
              </w:rPr>
            </w:pPr>
            <w:r w:rsidRPr="002E79EF">
              <w:rPr>
                <w:color w:val="000000"/>
                <w:sz w:val="20"/>
                <w:szCs w:val="20"/>
                <w:u w:val="single"/>
              </w:rPr>
              <w:t xml:space="preserve">      468,749</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Total Operating Revenue</w:t>
            </w:r>
          </w:p>
        </w:tc>
        <w:tc>
          <w:tcPr>
            <w:tcW w:w="1350" w:type="dxa"/>
            <w:vAlign w:val="center"/>
          </w:tcPr>
          <w:p w:rsidR="00EC5111" w:rsidRPr="002E79EF" w:rsidRDefault="00EC5111" w:rsidP="00E13C2A">
            <w:pPr>
              <w:jc w:val="right"/>
              <w:rPr>
                <w:sz w:val="20"/>
                <w:szCs w:val="20"/>
              </w:rPr>
            </w:pPr>
            <w:r w:rsidRPr="002E79EF">
              <w:rPr>
                <w:color w:val="000000"/>
                <w:sz w:val="20"/>
                <w:szCs w:val="20"/>
              </w:rPr>
              <w:t xml:space="preserve"> $ </w:t>
            </w:r>
            <w:r w:rsidR="00693AC1" w:rsidRPr="002E79EF">
              <w:rPr>
                <w:color w:val="000000"/>
                <w:sz w:val="20"/>
                <w:szCs w:val="20"/>
              </w:rPr>
              <w:t>8,138,551</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8,064,442</w:t>
            </w:r>
          </w:p>
        </w:tc>
        <w:tc>
          <w:tcPr>
            <w:tcW w:w="1350" w:type="dxa"/>
            <w:vAlign w:val="center"/>
          </w:tcPr>
          <w:p w:rsidR="00EC5111" w:rsidRPr="002E79EF" w:rsidRDefault="00EC5111" w:rsidP="00E13C2A">
            <w:pPr>
              <w:jc w:val="right"/>
              <w:rPr>
                <w:color w:val="000000"/>
                <w:sz w:val="20"/>
                <w:szCs w:val="20"/>
              </w:rPr>
            </w:pPr>
            <w:r w:rsidRPr="002E79EF">
              <w:rPr>
                <w:color w:val="000000"/>
                <w:sz w:val="20"/>
                <w:szCs w:val="20"/>
              </w:rPr>
              <w:t>9,439</w:t>
            </w:r>
            <w:r w:rsidR="00BD54FA" w:rsidRPr="002E79EF">
              <w:rPr>
                <w:color w:val="000000"/>
                <w:sz w:val="20"/>
                <w:szCs w:val="20"/>
              </w:rPr>
              <w:t>,</w:t>
            </w:r>
            <w:r w:rsidRPr="002E79EF">
              <w:rPr>
                <w:color w:val="000000"/>
                <w:sz w:val="20"/>
                <w:szCs w:val="20"/>
              </w:rPr>
              <w:t>423</w:t>
            </w:r>
          </w:p>
        </w:tc>
        <w:tc>
          <w:tcPr>
            <w:tcW w:w="1440" w:type="dxa"/>
            <w:shd w:val="clear" w:color="auto" w:fill="auto"/>
            <w:vAlign w:val="center"/>
          </w:tcPr>
          <w:p w:rsidR="00EC5111" w:rsidRPr="002E79EF" w:rsidRDefault="00EC5111" w:rsidP="00E13C2A">
            <w:pPr>
              <w:jc w:val="right"/>
              <w:rPr>
                <w:sz w:val="20"/>
                <w:szCs w:val="20"/>
              </w:rPr>
            </w:pPr>
            <w:r w:rsidRPr="002E79EF">
              <w:rPr>
                <w:color w:val="000000"/>
                <w:sz w:val="20"/>
                <w:szCs w:val="20"/>
              </w:rPr>
              <w:t xml:space="preserve"> $ 8,064,442</w:t>
            </w:r>
          </w:p>
        </w:tc>
        <w:tc>
          <w:tcPr>
            <w:tcW w:w="1369" w:type="dxa"/>
            <w:vAlign w:val="center"/>
          </w:tcPr>
          <w:p w:rsidR="00EC5111" w:rsidRPr="002E79EF" w:rsidRDefault="00EC5111" w:rsidP="00E13C2A">
            <w:pPr>
              <w:jc w:val="right"/>
              <w:rPr>
                <w:sz w:val="20"/>
                <w:szCs w:val="20"/>
              </w:rPr>
            </w:pPr>
            <w:r w:rsidRPr="002E79EF">
              <w:rPr>
                <w:color w:val="000000"/>
                <w:sz w:val="20"/>
                <w:szCs w:val="20"/>
              </w:rPr>
              <w:t xml:space="preserve"> $ 8,064,442</w:t>
            </w:r>
          </w:p>
        </w:tc>
      </w:tr>
      <w:tr w:rsidR="00EC5111" w:rsidRPr="002E79EF" w:rsidTr="00FF32FD">
        <w:trPr>
          <w:trHeight w:val="288"/>
          <w:jc w:val="center"/>
        </w:trPr>
        <w:tc>
          <w:tcPr>
            <w:tcW w:w="3550" w:type="dxa"/>
            <w:shd w:val="clear" w:color="auto" w:fill="auto"/>
          </w:tcPr>
          <w:p w:rsidR="00EC5111" w:rsidRPr="002E79EF" w:rsidRDefault="00EC5111" w:rsidP="002A7E1F">
            <w:pPr>
              <w:rPr>
                <w:sz w:val="20"/>
                <w:szCs w:val="20"/>
              </w:rPr>
            </w:pPr>
          </w:p>
        </w:tc>
        <w:tc>
          <w:tcPr>
            <w:tcW w:w="1350" w:type="dxa"/>
          </w:tcPr>
          <w:p w:rsidR="00EC5111" w:rsidRPr="002E79EF" w:rsidRDefault="00EC5111" w:rsidP="00B64EF6">
            <w:pPr>
              <w:jc w:val="right"/>
              <w:rPr>
                <w:sz w:val="20"/>
                <w:szCs w:val="20"/>
              </w:rPr>
            </w:pPr>
          </w:p>
        </w:tc>
        <w:tc>
          <w:tcPr>
            <w:tcW w:w="1326" w:type="dxa"/>
            <w:shd w:val="clear" w:color="auto" w:fill="auto"/>
          </w:tcPr>
          <w:p w:rsidR="00EC5111" w:rsidRPr="002E79EF" w:rsidRDefault="00EC5111" w:rsidP="00B64EF6">
            <w:pPr>
              <w:jc w:val="right"/>
              <w:rPr>
                <w:sz w:val="20"/>
                <w:szCs w:val="20"/>
              </w:rPr>
            </w:pPr>
          </w:p>
        </w:tc>
        <w:tc>
          <w:tcPr>
            <w:tcW w:w="1350" w:type="dxa"/>
          </w:tcPr>
          <w:p w:rsidR="00EC5111" w:rsidRPr="002E79EF" w:rsidRDefault="00EC5111" w:rsidP="00B64EF6">
            <w:pPr>
              <w:jc w:val="right"/>
              <w:rPr>
                <w:sz w:val="20"/>
                <w:szCs w:val="20"/>
              </w:rPr>
            </w:pPr>
          </w:p>
        </w:tc>
        <w:tc>
          <w:tcPr>
            <w:tcW w:w="1440" w:type="dxa"/>
            <w:shd w:val="clear" w:color="auto" w:fill="auto"/>
          </w:tcPr>
          <w:p w:rsidR="00EC5111" w:rsidRPr="002E79EF" w:rsidRDefault="00EC5111" w:rsidP="00B64EF6">
            <w:pPr>
              <w:jc w:val="right"/>
              <w:rPr>
                <w:sz w:val="20"/>
                <w:szCs w:val="20"/>
              </w:rPr>
            </w:pPr>
          </w:p>
        </w:tc>
        <w:tc>
          <w:tcPr>
            <w:tcW w:w="1369" w:type="dxa"/>
          </w:tcPr>
          <w:p w:rsidR="00EC5111" w:rsidRPr="002E79EF" w:rsidRDefault="00EC5111" w:rsidP="00B64EF6">
            <w:pPr>
              <w:jc w:val="right"/>
              <w:rPr>
                <w:sz w:val="20"/>
                <w:szCs w:val="20"/>
              </w:rPr>
            </w:pP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Operating Expenses:</w:t>
            </w:r>
          </w:p>
        </w:tc>
        <w:tc>
          <w:tcPr>
            <w:tcW w:w="1350" w:type="dxa"/>
          </w:tcPr>
          <w:p w:rsidR="00EC5111" w:rsidRPr="002E79EF" w:rsidRDefault="00EC5111" w:rsidP="00B64EF6">
            <w:pPr>
              <w:jc w:val="right"/>
              <w:rPr>
                <w:sz w:val="20"/>
                <w:szCs w:val="20"/>
              </w:rPr>
            </w:pPr>
          </w:p>
        </w:tc>
        <w:tc>
          <w:tcPr>
            <w:tcW w:w="1326" w:type="dxa"/>
            <w:shd w:val="clear" w:color="auto" w:fill="auto"/>
          </w:tcPr>
          <w:p w:rsidR="00EC5111" w:rsidRPr="002E79EF" w:rsidRDefault="00EC5111" w:rsidP="00B64EF6">
            <w:pPr>
              <w:jc w:val="right"/>
              <w:rPr>
                <w:sz w:val="20"/>
                <w:szCs w:val="20"/>
              </w:rPr>
            </w:pPr>
          </w:p>
        </w:tc>
        <w:tc>
          <w:tcPr>
            <w:tcW w:w="1350" w:type="dxa"/>
          </w:tcPr>
          <w:p w:rsidR="00EC5111" w:rsidRPr="002E79EF" w:rsidRDefault="00EC5111" w:rsidP="00B64EF6">
            <w:pPr>
              <w:jc w:val="right"/>
              <w:rPr>
                <w:sz w:val="20"/>
                <w:szCs w:val="20"/>
              </w:rPr>
            </w:pPr>
          </w:p>
        </w:tc>
        <w:tc>
          <w:tcPr>
            <w:tcW w:w="1440" w:type="dxa"/>
            <w:shd w:val="clear" w:color="auto" w:fill="auto"/>
          </w:tcPr>
          <w:p w:rsidR="00EC5111" w:rsidRPr="002E79EF" w:rsidRDefault="00EC5111" w:rsidP="00B64EF6">
            <w:pPr>
              <w:jc w:val="right"/>
              <w:rPr>
                <w:sz w:val="20"/>
                <w:szCs w:val="20"/>
              </w:rPr>
            </w:pPr>
          </w:p>
        </w:tc>
        <w:tc>
          <w:tcPr>
            <w:tcW w:w="1369" w:type="dxa"/>
          </w:tcPr>
          <w:p w:rsidR="00EC5111" w:rsidRPr="002E79EF" w:rsidRDefault="00EC5111" w:rsidP="00B64EF6">
            <w:pPr>
              <w:jc w:val="right"/>
              <w:rPr>
                <w:sz w:val="20"/>
                <w:szCs w:val="20"/>
              </w:rPr>
            </w:pPr>
          </w:p>
        </w:tc>
      </w:tr>
      <w:tr w:rsidR="00EC5111" w:rsidRPr="002E79EF" w:rsidTr="00E13C2A">
        <w:trPr>
          <w:trHeight w:val="288"/>
          <w:jc w:val="center"/>
        </w:trPr>
        <w:tc>
          <w:tcPr>
            <w:tcW w:w="3550" w:type="dxa"/>
            <w:shd w:val="clear" w:color="auto" w:fill="auto"/>
            <w:vAlign w:val="center"/>
          </w:tcPr>
          <w:p w:rsidR="00EC5111" w:rsidRPr="002E79EF" w:rsidRDefault="00E13C2A" w:rsidP="00E13C2A">
            <w:pPr>
              <w:rPr>
                <w:sz w:val="20"/>
                <w:szCs w:val="20"/>
              </w:rPr>
            </w:pPr>
            <w:r w:rsidRPr="002E79EF">
              <w:rPr>
                <w:color w:val="000000"/>
                <w:sz w:val="20"/>
                <w:szCs w:val="20"/>
              </w:rPr>
              <w:t xml:space="preserve">CATEGORY I - </w:t>
            </w:r>
            <w:r w:rsidR="00EC5111" w:rsidRPr="002E79EF">
              <w:rPr>
                <w:color w:val="000000"/>
                <w:sz w:val="20"/>
                <w:szCs w:val="20"/>
              </w:rPr>
              <w:t>Relay Provider Services</w:t>
            </w:r>
          </w:p>
        </w:tc>
        <w:tc>
          <w:tcPr>
            <w:tcW w:w="1350" w:type="dxa"/>
            <w:vAlign w:val="center"/>
          </w:tcPr>
          <w:p w:rsidR="00EC5111" w:rsidRPr="002E79EF" w:rsidRDefault="00EC5111" w:rsidP="00E13C2A">
            <w:pPr>
              <w:jc w:val="right"/>
              <w:rPr>
                <w:sz w:val="20"/>
                <w:szCs w:val="20"/>
              </w:rPr>
            </w:pPr>
            <w:r w:rsidRPr="002E79EF">
              <w:rPr>
                <w:color w:val="000000"/>
                <w:sz w:val="20"/>
                <w:szCs w:val="20"/>
              </w:rPr>
              <w:t xml:space="preserve"> $ 3,4</w:t>
            </w:r>
            <w:r w:rsidR="00693AC1" w:rsidRPr="002E79EF">
              <w:rPr>
                <w:color w:val="000000"/>
                <w:sz w:val="20"/>
                <w:szCs w:val="20"/>
              </w:rPr>
              <w:t>89,539</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$3,971,499</w:t>
            </w:r>
          </w:p>
        </w:tc>
        <w:tc>
          <w:tcPr>
            <w:tcW w:w="1350" w:type="dxa"/>
            <w:vAlign w:val="center"/>
          </w:tcPr>
          <w:p w:rsidR="00EC5111" w:rsidRPr="002E79EF" w:rsidRDefault="00EC5111" w:rsidP="00E13C2A">
            <w:pPr>
              <w:jc w:val="right"/>
              <w:rPr>
                <w:sz w:val="20"/>
                <w:szCs w:val="20"/>
              </w:rPr>
            </w:pPr>
            <w:r w:rsidRPr="002E79EF">
              <w:rPr>
                <w:sz w:val="20"/>
                <w:szCs w:val="20"/>
              </w:rPr>
              <w:t>$3,971,499</w:t>
            </w:r>
          </w:p>
        </w:tc>
        <w:tc>
          <w:tcPr>
            <w:tcW w:w="1440" w:type="dxa"/>
            <w:shd w:val="clear" w:color="auto" w:fill="auto"/>
            <w:vAlign w:val="center"/>
          </w:tcPr>
          <w:p w:rsidR="00EC5111" w:rsidRPr="002E79EF" w:rsidRDefault="00EC5111" w:rsidP="00E13C2A">
            <w:pPr>
              <w:jc w:val="right"/>
              <w:rPr>
                <w:sz w:val="20"/>
                <w:szCs w:val="20"/>
              </w:rPr>
            </w:pPr>
            <w:r w:rsidRPr="002E79EF">
              <w:rPr>
                <w:color w:val="000000"/>
                <w:sz w:val="20"/>
                <w:szCs w:val="20"/>
              </w:rPr>
              <w:t xml:space="preserve"> $ 3,971,499</w:t>
            </w:r>
          </w:p>
        </w:tc>
        <w:tc>
          <w:tcPr>
            <w:tcW w:w="1369" w:type="dxa"/>
            <w:vAlign w:val="center"/>
          </w:tcPr>
          <w:p w:rsidR="00EC5111" w:rsidRPr="002E79EF" w:rsidRDefault="00EC5111" w:rsidP="00E13C2A">
            <w:pPr>
              <w:jc w:val="right"/>
              <w:rPr>
                <w:sz w:val="20"/>
                <w:szCs w:val="20"/>
              </w:rPr>
            </w:pPr>
            <w:r w:rsidRPr="002E79EF">
              <w:rPr>
                <w:color w:val="000000"/>
                <w:sz w:val="20"/>
                <w:szCs w:val="20"/>
              </w:rPr>
              <w:t xml:space="preserve"> $ 3,971,499</w:t>
            </w:r>
          </w:p>
        </w:tc>
      </w:tr>
      <w:tr w:rsidR="00EC5111" w:rsidRPr="002E79EF" w:rsidTr="00E13C2A">
        <w:trPr>
          <w:trHeight w:val="288"/>
          <w:jc w:val="center"/>
        </w:trPr>
        <w:tc>
          <w:tcPr>
            <w:tcW w:w="3550" w:type="dxa"/>
            <w:shd w:val="clear" w:color="auto" w:fill="auto"/>
            <w:vAlign w:val="center"/>
          </w:tcPr>
          <w:p w:rsidR="00EC5111" w:rsidRPr="002E79EF" w:rsidRDefault="00E13C2A" w:rsidP="00E13C2A">
            <w:pPr>
              <w:rPr>
                <w:sz w:val="20"/>
                <w:szCs w:val="20"/>
              </w:rPr>
            </w:pPr>
            <w:r w:rsidRPr="002E79EF">
              <w:rPr>
                <w:color w:val="000000"/>
                <w:sz w:val="20"/>
                <w:szCs w:val="20"/>
              </w:rPr>
              <w:t xml:space="preserve">CATEGORY II - </w:t>
            </w:r>
            <w:r w:rsidR="00EC5111" w:rsidRPr="002E79EF">
              <w:rPr>
                <w:color w:val="000000"/>
                <w:sz w:val="20"/>
                <w:szCs w:val="20"/>
              </w:rPr>
              <w:t>Equipment and Repairs</w:t>
            </w:r>
          </w:p>
        </w:tc>
        <w:tc>
          <w:tcPr>
            <w:tcW w:w="1350" w:type="dxa"/>
            <w:vAlign w:val="center"/>
          </w:tcPr>
          <w:p w:rsidR="00EC5111" w:rsidRPr="002E79EF" w:rsidRDefault="00EC5111" w:rsidP="00693AC1">
            <w:pPr>
              <w:jc w:val="right"/>
              <w:rPr>
                <w:sz w:val="20"/>
                <w:szCs w:val="20"/>
              </w:rPr>
            </w:pPr>
            <w:r w:rsidRPr="002E79EF">
              <w:rPr>
                <w:sz w:val="20"/>
                <w:szCs w:val="20"/>
              </w:rPr>
              <w:t xml:space="preserve">    1,5</w:t>
            </w:r>
            <w:r w:rsidR="00693AC1" w:rsidRPr="002E79EF">
              <w:rPr>
                <w:sz w:val="20"/>
                <w:szCs w:val="20"/>
              </w:rPr>
              <w:t>57,734</w:t>
            </w:r>
          </w:p>
        </w:tc>
        <w:tc>
          <w:tcPr>
            <w:tcW w:w="1326" w:type="dxa"/>
            <w:shd w:val="clear" w:color="auto" w:fill="auto"/>
            <w:vAlign w:val="center"/>
          </w:tcPr>
          <w:p w:rsidR="00EC5111" w:rsidRPr="002E79EF" w:rsidRDefault="00EC5111" w:rsidP="00EE70C9">
            <w:pPr>
              <w:jc w:val="right"/>
              <w:rPr>
                <w:sz w:val="20"/>
                <w:szCs w:val="20"/>
              </w:rPr>
            </w:pPr>
            <w:r w:rsidRPr="002E79EF">
              <w:rPr>
                <w:sz w:val="20"/>
                <w:szCs w:val="20"/>
              </w:rPr>
              <w:t>1,708,889</w:t>
            </w:r>
          </w:p>
        </w:tc>
        <w:tc>
          <w:tcPr>
            <w:tcW w:w="1350" w:type="dxa"/>
            <w:vAlign w:val="center"/>
          </w:tcPr>
          <w:p w:rsidR="00EC5111" w:rsidRPr="002E79EF" w:rsidRDefault="00EC5111" w:rsidP="002A7E1F">
            <w:pPr>
              <w:jc w:val="right"/>
              <w:rPr>
                <w:sz w:val="20"/>
                <w:szCs w:val="20"/>
              </w:rPr>
            </w:pPr>
            <w:r w:rsidRPr="002E79EF">
              <w:rPr>
                <w:sz w:val="20"/>
                <w:szCs w:val="20"/>
              </w:rPr>
              <w:t>1,708,889</w:t>
            </w:r>
          </w:p>
        </w:tc>
        <w:tc>
          <w:tcPr>
            <w:tcW w:w="1440" w:type="dxa"/>
            <w:shd w:val="clear" w:color="auto" w:fill="auto"/>
            <w:vAlign w:val="center"/>
          </w:tcPr>
          <w:p w:rsidR="00EC5111" w:rsidRPr="002E79EF" w:rsidRDefault="00EC5111" w:rsidP="00EE70C9">
            <w:pPr>
              <w:jc w:val="right"/>
              <w:rPr>
                <w:sz w:val="20"/>
                <w:szCs w:val="20"/>
              </w:rPr>
            </w:pPr>
            <w:r w:rsidRPr="002E79EF">
              <w:rPr>
                <w:sz w:val="20"/>
                <w:szCs w:val="20"/>
              </w:rPr>
              <w:t>TBD</w:t>
            </w:r>
          </w:p>
        </w:tc>
        <w:tc>
          <w:tcPr>
            <w:tcW w:w="1369" w:type="dxa"/>
            <w:vAlign w:val="center"/>
          </w:tcPr>
          <w:p w:rsidR="00EC5111" w:rsidRPr="002E79EF" w:rsidRDefault="00EC5111" w:rsidP="00EE70C9">
            <w:pPr>
              <w:jc w:val="right"/>
              <w:rPr>
                <w:sz w:val="20"/>
                <w:szCs w:val="20"/>
              </w:rPr>
            </w:pPr>
            <w:r w:rsidRPr="002E79EF">
              <w:rPr>
                <w:sz w:val="20"/>
                <w:szCs w:val="20"/>
              </w:rPr>
              <w:t>TBD</w:t>
            </w:r>
          </w:p>
        </w:tc>
      </w:tr>
      <w:tr w:rsidR="00EC5111" w:rsidRPr="002E79EF" w:rsidTr="00E13C2A">
        <w:trPr>
          <w:trHeight w:val="288"/>
          <w:jc w:val="center"/>
        </w:trPr>
        <w:tc>
          <w:tcPr>
            <w:tcW w:w="3550" w:type="dxa"/>
            <w:shd w:val="clear" w:color="auto" w:fill="auto"/>
            <w:vAlign w:val="center"/>
          </w:tcPr>
          <w:p w:rsidR="00EC5111" w:rsidRPr="002E79EF" w:rsidRDefault="00E13C2A" w:rsidP="00E13C2A">
            <w:pPr>
              <w:rPr>
                <w:sz w:val="20"/>
                <w:szCs w:val="20"/>
              </w:rPr>
            </w:pPr>
            <w:r w:rsidRPr="002E79EF">
              <w:rPr>
                <w:color w:val="000000"/>
                <w:sz w:val="20"/>
                <w:szCs w:val="20"/>
              </w:rPr>
              <w:t xml:space="preserve">CATEGORY III - </w:t>
            </w:r>
            <w:r w:rsidR="00EC5111" w:rsidRPr="002E79EF">
              <w:rPr>
                <w:color w:val="000000"/>
                <w:sz w:val="20"/>
                <w:szCs w:val="20"/>
              </w:rPr>
              <w:t>Equipment Distribution And Training</w:t>
            </w:r>
          </w:p>
        </w:tc>
        <w:tc>
          <w:tcPr>
            <w:tcW w:w="1350" w:type="dxa"/>
            <w:vAlign w:val="center"/>
          </w:tcPr>
          <w:p w:rsidR="00EC5111" w:rsidRPr="002E79EF" w:rsidRDefault="00EC5111" w:rsidP="00693AC1">
            <w:pPr>
              <w:jc w:val="right"/>
              <w:rPr>
                <w:sz w:val="20"/>
                <w:szCs w:val="20"/>
              </w:rPr>
            </w:pPr>
            <w:r w:rsidRPr="002E79EF">
              <w:rPr>
                <w:sz w:val="20"/>
                <w:szCs w:val="20"/>
              </w:rPr>
              <w:t xml:space="preserve">    1,0</w:t>
            </w:r>
            <w:r w:rsidR="00693AC1" w:rsidRPr="002E79EF">
              <w:rPr>
                <w:sz w:val="20"/>
                <w:szCs w:val="20"/>
              </w:rPr>
              <w:t>08,133</w:t>
            </w:r>
          </w:p>
        </w:tc>
        <w:tc>
          <w:tcPr>
            <w:tcW w:w="1326" w:type="dxa"/>
            <w:shd w:val="clear" w:color="auto" w:fill="auto"/>
            <w:vAlign w:val="center"/>
          </w:tcPr>
          <w:p w:rsidR="00EC5111" w:rsidRPr="002E79EF" w:rsidRDefault="00EC5111" w:rsidP="00EE70C9">
            <w:pPr>
              <w:jc w:val="right"/>
              <w:rPr>
                <w:sz w:val="20"/>
                <w:szCs w:val="20"/>
              </w:rPr>
            </w:pPr>
            <w:r w:rsidRPr="002E79EF">
              <w:rPr>
                <w:sz w:val="20"/>
                <w:szCs w:val="20"/>
              </w:rPr>
              <w:t>1,128,665</w:t>
            </w:r>
          </w:p>
        </w:tc>
        <w:tc>
          <w:tcPr>
            <w:tcW w:w="1350" w:type="dxa"/>
            <w:vAlign w:val="center"/>
          </w:tcPr>
          <w:p w:rsidR="00EC5111" w:rsidRPr="002E79EF" w:rsidRDefault="00EC5111" w:rsidP="002A7E1F">
            <w:pPr>
              <w:jc w:val="right"/>
              <w:rPr>
                <w:sz w:val="20"/>
                <w:szCs w:val="20"/>
              </w:rPr>
            </w:pPr>
            <w:r w:rsidRPr="002E79EF">
              <w:rPr>
                <w:sz w:val="20"/>
                <w:szCs w:val="20"/>
              </w:rPr>
              <w:t>1,128,665</w:t>
            </w:r>
          </w:p>
        </w:tc>
        <w:tc>
          <w:tcPr>
            <w:tcW w:w="1440" w:type="dxa"/>
            <w:shd w:val="clear" w:color="auto" w:fill="auto"/>
            <w:vAlign w:val="center"/>
          </w:tcPr>
          <w:p w:rsidR="00EC5111" w:rsidRPr="002E79EF" w:rsidRDefault="00EC5111" w:rsidP="00EE70C9">
            <w:pPr>
              <w:jc w:val="right"/>
              <w:rPr>
                <w:sz w:val="20"/>
                <w:szCs w:val="20"/>
              </w:rPr>
            </w:pPr>
            <w:r w:rsidRPr="002E79EF">
              <w:rPr>
                <w:sz w:val="20"/>
                <w:szCs w:val="20"/>
              </w:rPr>
              <w:t>TBD</w:t>
            </w:r>
          </w:p>
        </w:tc>
        <w:tc>
          <w:tcPr>
            <w:tcW w:w="1369" w:type="dxa"/>
            <w:vAlign w:val="center"/>
          </w:tcPr>
          <w:p w:rsidR="00EC5111" w:rsidRPr="002E79EF" w:rsidRDefault="00EC5111" w:rsidP="00EE70C9">
            <w:pPr>
              <w:jc w:val="right"/>
              <w:rPr>
                <w:sz w:val="20"/>
                <w:szCs w:val="20"/>
              </w:rPr>
            </w:pPr>
            <w:r w:rsidRPr="002E79EF">
              <w:rPr>
                <w:sz w:val="20"/>
                <w:szCs w:val="20"/>
              </w:rPr>
              <w:t>TBD</w:t>
            </w:r>
          </w:p>
        </w:tc>
      </w:tr>
      <w:tr w:rsidR="00EC5111" w:rsidRPr="002E79EF" w:rsidTr="00E13C2A">
        <w:trPr>
          <w:trHeight w:val="288"/>
          <w:jc w:val="center"/>
        </w:trPr>
        <w:tc>
          <w:tcPr>
            <w:tcW w:w="3550" w:type="dxa"/>
            <w:shd w:val="clear" w:color="auto" w:fill="auto"/>
            <w:vAlign w:val="center"/>
          </w:tcPr>
          <w:p w:rsidR="00EC5111" w:rsidRPr="002E79EF" w:rsidRDefault="00E13C2A" w:rsidP="00E13C2A">
            <w:pPr>
              <w:rPr>
                <w:sz w:val="20"/>
                <w:szCs w:val="20"/>
              </w:rPr>
            </w:pPr>
            <w:r w:rsidRPr="002E79EF">
              <w:rPr>
                <w:color w:val="000000"/>
                <w:sz w:val="20"/>
                <w:szCs w:val="20"/>
              </w:rPr>
              <w:t xml:space="preserve">CATEGORY IV - </w:t>
            </w:r>
            <w:r w:rsidR="00EC5111" w:rsidRPr="002E79EF">
              <w:rPr>
                <w:color w:val="000000"/>
                <w:sz w:val="20"/>
                <w:szCs w:val="20"/>
              </w:rPr>
              <w:t>Outreach</w:t>
            </w:r>
          </w:p>
        </w:tc>
        <w:tc>
          <w:tcPr>
            <w:tcW w:w="1350" w:type="dxa"/>
            <w:vAlign w:val="center"/>
          </w:tcPr>
          <w:p w:rsidR="00EC5111" w:rsidRPr="002E79EF" w:rsidRDefault="00EC5111" w:rsidP="00693AC1">
            <w:pPr>
              <w:jc w:val="right"/>
              <w:rPr>
                <w:sz w:val="20"/>
                <w:szCs w:val="20"/>
              </w:rPr>
            </w:pPr>
            <w:r w:rsidRPr="002E79EF">
              <w:rPr>
                <w:sz w:val="20"/>
                <w:szCs w:val="20"/>
              </w:rPr>
              <w:t xml:space="preserve">       607,</w:t>
            </w:r>
            <w:r w:rsidR="00693AC1" w:rsidRPr="002E79EF">
              <w:rPr>
                <w:sz w:val="20"/>
                <w:szCs w:val="20"/>
              </w:rPr>
              <w:t>142</w:t>
            </w:r>
          </w:p>
        </w:tc>
        <w:tc>
          <w:tcPr>
            <w:tcW w:w="1326" w:type="dxa"/>
            <w:shd w:val="clear" w:color="auto" w:fill="auto"/>
            <w:vAlign w:val="center"/>
          </w:tcPr>
          <w:p w:rsidR="00EC5111" w:rsidRPr="002E79EF" w:rsidRDefault="00EC5111" w:rsidP="00EE70C9">
            <w:pPr>
              <w:jc w:val="right"/>
              <w:rPr>
                <w:sz w:val="20"/>
                <w:szCs w:val="20"/>
              </w:rPr>
            </w:pPr>
            <w:r w:rsidRPr="002E79EF">
              <w:rPr>
                <w:sz w:val="20"/>
                <w:szCs w:val="20"/>
              </w:rPr>
              <w:t>599,800</w:t>
            </w:r>
          </w:p>
        </w:tc>
        <w:tc>
          <w:tcPr>
            <w:tcW w:w="1350" w:type="dxa"/>
            <w:vAlign w:val="center"/>
          </w:tcPr>
          <w:p w:rsidR="00EC5111" w:rsidRPr="002E79EF" w:rsidRDefault="00EC5111" w:rsidP="002A7E1F">
            <w:pPr>
              <w:jc w:val="right"/>
              <w:rPr>
                <w:sz w:val="20"/>
                <w:szCs w:val="20"/>
              </w:rPr>
            </w:pPr>
            <w:r w:rsidRPr="002E79EF">
              <w:rPr>
                <w:sz w:val="20"/>
                <w:szCs w:val="20"/>
              </w:rPr>
              <w:t>599,800</w:t>
            </w:r>
          </w:p>
        </w:tc>
        <w:tc>
          <w:tcPr>
            <w:tcW w:w="1440" w:type="dxa"/>
            <w:shd w:val="clear" w:color="auto" w:fill="auto"/>
            <w:vAlign w:val="center"/>
          </w:tcPr>
          <w:p w:rsidR="00EC5111" w:rsidRPr="002E79EF" w:rsidRDefault="00EC5111" w:rsidP="00EE70C9">
            <w:pPr>
              <w:jc w:val="right"/>
              <w:rPr>
                <w:sz w:val="20"/>
                <w:szCs w:val="20"/>
              </w:rPr>
            </w:pPr>
            <w:r w:rsidRPr="002E79EF">
              <w:rPr>
                <w:sz w:val="20"/>
                <w:szCs w:val="20"/>
              </w:rPr>
              <w:t>TBD</w:t>
            </w:r>
          </w:p>
        </w:tc>
        <w:tc>
          <w:tcPr>
            <w:tcW w:w="1369" w:type="dxa"/>
            <w:vAlign w:val="center"/>
          </w:tcPr>
          <w:p w:rsidR="00EC5111" w:rsidRPr="002E79EF" w:rsidRDefault="00EC5111" w:rsidP="00EE70C9">
            <w:pPr>
              <w:jc w:val="right"/>
              <w:rPr>
                <w:sz w:val="20"/>
                <w:szCs w:val="20"/>
              </w:rPr>
            </w:pPr>
            <w:r w:rsidRPr="002E79EF">
              <w:rPr>
                <w:sz w:val="20"/>
                <w:szCs w:val="20"/>
              </w:rPr>
              <w:t>TBD</w:t>
            </w:r>
          </w:p>
        </w:tc>
      </w:tr>
      <w:tr w:rsidR="00EC5111" w:rsidRPr="002E79EF" w:rsidTr="00E13C2A">
        <w:trPr>
          <w:trHeight w:val="288"/>
          <w:jc w:val="center"/>
        </w:trPr>
        <w:tc>
          <w:tcPr>
            <w:tcW w:w="3550" w:type="dxa"/>
            <w:shd w:val="clear" w:color="auto" w:fill="auto"/>
            <w:vAlign w:val="center"/>
          </w:tcPr>
          <w:p w:rsidR="00EC5111" w:rsidRPr="002E79EF" w:rsidRDefault="00E13C2A" w:rsidP="00E13C2A">
            <w:pPr>
              <w:rPr>
                <w:sz w:val="20"/>
                <w:szCs w:val="20"/>
              </w:rPr>
            </w:pPr>
            <w:r w:rsidRPr="002E79EF">
              <w:rPr>
                <w:color w:val="000000"/>
                <w:sz w:val="20"/>
                <w:szCs w:val="20"/>
              </w:rPr>
              <w:t xml:space="preserve">CATEGORY V - </w:t>
            </w:r>
            <w:r w:rsidR="00EC5111" w:rsidRPr="002E79EF">
              <w:rPr>
                <w:color w:val="000000"/>
                <w:sz w:val="20"/>
                <w:szCs w:val="20"/>
              </w:rPr>
              <w:t>General &amp; Administrative</w:t>
            </w:r>
          </w:p>
        </w:tc>
        <w:tc>
          <w:tcPr>
            <w:tcW w:w="1350" w:type="dxa"/>
            <w:vAlign w:val="center"/>
          </w:tcPr>
          <w:p w:rsidR="00EC5111" w:rsidRPr="002E79EF" w:rsidRDefault="00EC5111" w:rsidP="00693AC1">
            <w:pPr>
              <w:jc w:val="right"/>
              <w:rPr>
                <w:sz w:val="20"/>
                <w:szCs w:val="20"/>
              </w:rPr>
            </w:pPr>
            <w:r w:rsidRPr="002E79EF">
              <w:rPr>
                <w:sz w:val="20"/>
                <w:szCs w:val="20"/>
              </w:rPr>
              <w:t xml:space="preserve">    </w:t>
            </w:r>
            <w:r w:rsidR="00693AC1" w:rsidRPr="002E79EF">
              <w:rPr>
                <w:sz w:val="20"/>
                <w:szCs w:val="20"/>
              </w:rPr>
              <w:t>1,006,961</w:t>
            </w:r>
          </w:p>
        </w:tc>
        <w:tc>
          <w:tcPr>
            <w:tcW w:w="1326" w:type="dxa"/>
            <w:shd w:val="clear" w:color="auto" w:fill="auto"/>
            <w:vAlign w:val="center"/>
          </w:tcPr>
          <w:p w:rsidR="00EC5111" w:rsidRPr="002E79EF" w:rsidRDefault="00EC5111" w:rsidP="00EE70C9">
            <w:pPr>
              <w:jc w:val="right"/>
              <w:rPr>
                <w:sz w:val="20"/>
                <w:szCs w:val="20"/>
              </w:rPr>
            </w:pPr>
            <w:r w:rsidRPr="002E79EF">
              <w:rPr>
                <w:sz w:val="20"/>
                <w:szCs w:val="20"/>
              </w:rPr>
              <w:t>1,038,614</w:t>
            </w:r>
          </w:p>
        </w:tc>
        <w:tc>
          <w:tcPr>
            <w:tcW w:w="1350" w:type="dxa"/>
            <w:vAlign w:val="center"/>
          </w:tcPr>
          <w:p w:rsidR="00EC5111" w:rsidRPr="002E79EF" w:rsidRDefault="00EC5111" w:rsidP="002A7E1F">
            <w:pPr>
              <w:jc w:val="right"/>
              <w:rPr>
                <w:sz w:val="20"/>
                <w:szCs w:val="20"/>
              </w:rPr>
            </w:pPr>
            <w:r w:rsidRPr="002E79EF">
              <w:rPr>
                <w:sz w:val="20"/>
                <w:szCs w:val="20"/>
              </w:rPr>
              <w:t>1,038,614</w:t>
            </w:r>
          </w:p>
        </w:tc>
        <w:tc>
          <w:tcPr>
            <w:tcW w:w="1440" w:type="dxa"/>
            <w:shd w:val="clear" w:color="auto" w:fill="auto"/>
            <w:vAlign w:val="center"/>
          </w:tcPr>
          <w:p w:rsidR="00EC5111" w:rsidRPr="002E79EF" w:rsidRDefault="00EC5111" w:rsidP="00EE70C9">
            <w:pPr>
              <w:jc w:val="right"/>
              <w:rPr>
                <w:sz w:val="20"/>
                <w:szCs w:val="20"/>
              </w:rPr>
            </w:pPr>
            <w:r w:rsidRPr="002E79EF">
              <w:rPr>
                <w:sz w:val="20"/>
                <w:szCs w:val="20"/>
              </w:rPr>
              <w:t>TBD</w:t>
            </w:r>
          </w:p>
        </w:tc>
        <w:tc>
          <w:tcPr>
            <w:tcW w:w="1369" w:type="dxa"/>
            <w:vAlign w:val="center"/>
          </w:tcPr>
          <w:p w:rsidR="00EC5111" w:rsidRPr="002E79EF" w:rsidRDefault="00EC5111" w:rsidP="00EE70C9">
            <w:pPr>
              <w:jc w:val="right"/>
              <w:rPr>
                <w:sz w:val="20"/>
                <w:szCs w:val="20"/>
              </w:rPr>
            </w:pPr>
            <w:r w:rsidRPr="002E79EF">
              <w:rPr>
                <w:sz w:val="20"/>
                <w:szCs w:val="20"/>
              </w:rPr>
              <w:t>TBD</w:t>
            </w:r>
          </w:p>
        </w:tc>
      </w:tr>
      <w:tr w:rsidR="00EC5111" w:rsidRPr="002E79EF" w:rsidTr="00E13C2A">
        <w:trPr>
          <w:trHeight w:val="288"/>
          <w:jc w:val="center"/>
        </w:trPr>
        <w:tc>
          <w:tcPr>
            <w:tcW w:w="3550" w:type="dxa"/>
            <w:shd w:val="clear" w:color="auto" w:fill="auto"/>
            <w:vAlign w:val="center"/>
          </w:tcPr>
          <w:p w:rsidR="00EC5111" w:rsidRPr="002E79EF" w:rsidRDefault="00E13C2A" w:rsidP="00E13C2A">
            <w:pPr>
              <w:rPr>
                <w:color w:val="000000"/>
                <w:sz w:val="20"/>
                <w:szCs w:val="20"/>
              </w:rPr>
            </w:pPr>
            <w:r w:rsidRPr="002E79EF">
              <w:rPr>
                <w:color w:val="000000"/>
                <w:sz w:val="20"/>
                <w:szCs w:val="20"/>
              </w:rPr>
              <w:t xml:space="preserve">CATEGORY VI - </w:t>
            </w:r>
            <w:r w:rsidR="00EC5111" w:rsidRPr="002E79EF">
              <w:rPr>
                <w:color w:val="000000"/>
                <w:sz w:val="20"/>
                <w:szCs w:val="20"/>
              </w:rPr>
              <w:t>NDBEDP</w:t>
            </w:r>
          </w:p>
        </w:tc>
        <w:tc>
          <w:tcPr>
            <w:tcW w:w="1350" w:type="dxa"/>
            <w:vAlign w:val="center"/>
          </w:tcPr>
          <w:p w:rsidR="00EC5111" w:rsidRPr="002E79EF" w:rsidRDefault="00EC5111" w:rsidP="00E13C2A">
            <w:pPr>
              <w:jc w:val="right"/>
              <w:rPr>
                <w:color w:val="000000"/>
                <w:sz w:val="20"/>
                <w:szCs w:val="20"/>
                <w:u w:val="single"/>
              </w:rPr>
            </w:pPr>
            <w:r w:rsidRPr="002E79EF">
              <w:rPr>
                <w:color w:val="000000"/>
                <w:sz w:val="20"/>
                <w:szCs w:val="20"/>
                <w:u w:val="single"/>
              </w:rPr>
              <w:t xml:space="preserve">      </w:t>
            </w:r>
            <w:r w:rsidR="00693AC1" w:rsidRPr="002E79EF">
              <w:rPr>
                <w:color w:val="000000"/>
                <w:sz w:val="20"/>
                <w:szCs w:val="20"/>
                <w:u w:val="single"/>
              </w:rPr>
              <w:t>217,398</w:t>
            </w:r>
          </w:p>
        </w:tc>
        <w:tc>
          <w:tcPr>
            <w:tcW w:w="1326" w:type="dxa"/>
            <w:shd w:val="clear" w:color="auto" w:fill="auto"/>
            <w:vAlign w:val="center"/>
          </w:tcPr>
          <w:p w:rsidR="00EC5111" w:rsidRPr="002E79EF" w:rsidRDefault="00EC5111" w:rsidP="00E13C2A">
            <w:pPr>
              <w:jc w:val="right"/>
              <w:rPr>
                <w:color w:val="000000"/>
                <w:sz w:val="20"/>
                <w:szCs w:val="20"/>
                <w:u w:val="single"/>
              </w:rPr>
            </w:pPr>
            <w:r w:rsidRPr="002E79EF">
              <w:rPr>
                <w:color w:val="000000"/>
                <w:sz w:val="20"/>
                <w:szCs w:val="20"/>
                <w:u w:val="single"/>
              </w:rPr>
              <w:t>468,749</w:t>
            </w:r>
          </w:p>
        </w:tc>
        <w:tc>
          <w:tcPr>
            <w:tcW w:w="1350" w:type="dxa"/>
            <w:vAlign w:val="center"/>
          </w:tcPr>
          <w:p w:rsidR="00EC5111" w:rsidRPr="002E79EF" w:rsidRDefault="00EC5111" w:rsidP="00E13C2A">
            <w:pPr>
              <w:jc w:val="right"/>
              <w:rPr>
                <w:color w:val="000000"/>
                <w:sz w:val="20"/>
                <w:szCs w:val="20"/>
                <w:u w:val="single"/>
              </w:rPr>
            </w:pPr>
            <w:r w:rsidRPr="002E79EF">
              <w:rPr>
                <w:color w:val="000000"/>
                <w:sz w:val="20"/>
                <w:szCs w:val="20"/>
                <w:u w:val="single"/>
              </w:rPr>
              <w:t>468,749</w:t>
            </w:r>
          </w:p>
        </w:tc>
        <w:tc>
          <w:tcPr>
            <w:tcW w:w="1440" w:type="dxa"/>
            <w:shd w:val="clear" w:color="auto" w:fill="auto"/>
            <w:vAlign w:val="center"/>
          </w:tcPr>
          <w:p w:rsidR="00EC5111" w:rsidRPr="002E79EF" w:rsidRDefault="00EC5111" w:rsidP="00E13C2A">
            <w:pPr>
              <w:jc w:val="right"/>
              <w:rPr>
                <w:color w:val="000000"/>
                <w:sz w:val="20"/>
                <w:szCs w:val="20"/>
                <w:u w:val="single"/>
              </w:rPr>
            </w:pPr>
            <w:r w:rsidRPr="002E79EF">
              <w:rPr>
                <w:color w:val="000000"/>
                <w:sz w:val="20"/>
                <w:szCs w:val="20"/>
                <w:u w:val="single"/>
              </w:rPr>
              <w:t>468,749</w:t>
            </w:r>
          </w:p>
        </w:tc>
        <w:tc>
          <w:tcPr>
            <w:tcW w:w="1369" w:type="dxa"/>
            <w:vAlign w:val="center"/>
          </w:tcPr>
          <w:p w:rsidR="00EC5111" w:rsidRPr="002E79EF" w:rsidRDefault="00EC5111" w:rsidP="00E13C2A">
            <w:pPr>
              <w:jc w:val="right"/>
              <w:rPr>
                <w:color w:val="000000"/>
                <w:sz w:val="20"/>
                <w:szCs w:val="20"/>
                <w:u w:val="single"/>
              </w:rPr>
            </w:pPr>
            <w:r w:rsidRPr="002E79EF">
              <w:rPr>
                <w:color w:val="000000"/>
                <w:sz w:val="20"/>
                <w:szCs w:val="20"/>
                <w:u w:val="single"/>
              </w:rPr>
              <w:t>468,749</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Total Expenses</w:t>
            </w:r>
          </w:p>
        </w:tc>
        <w:tc>
          <w:tcPr>
            <w:tcW w:w="1350" w:type="dxa"/>
            <w:vAlign w:val="center"/>
          </w:tcPr>
          <w:p w:rsidR="00EC5111" w:rsidRPr="002E79EF" w:rsidRDefault="00EC5111" w:rsidP="00E13C2A">
            <w:pPr>
              <w:jc w:val="right"/>
              <w:rPr>
                <w:sz w:val="20"/>
                <w:szCs w:val="20"/>
              </w:rPr>
            </w:pPr>
            <w:r w:rsidRPr="002E79EF">
              <w:rPr>
                <w:color w:val="000000"/>
                <w:sz w:val="20"/>
                <w:szCs w:val="20"/>
              </w:rPr>
              <w:t xml:space="preserve"> $ </w:t>
            </w:r>
            <w:r w:rsidR="00693AC1" w:rsidRPr="002E79EF">
              <w:rPr>
                <w:color w:val="000000"/>
                <w:sz w:val="20"/>
                <w:szCs w:val="20"/>
              </w:rPr>
              <w:t>7,886,907</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$8,916,216</w:t>
            </w:r>
          </w:p>
        </w:tc>
        <w:tc>
          <w:tcPr>
            <w:tcW w:w="1350" w:type="dxa"/>
            <w:vAlign w:val="center"/>
          </w:tcPr>
          <w:p w:rsidR="00EC5111" w:rsidRPr="002E79EF" w:rsidRDefault="00EC5111" w:rsidP="00E13C2A">
            <w:pPr>
              <w:jc w:val="right"/>
              <w:rPr>
                <w:sz w:val="20"/>
                <w:szCs w:val="20"/>
              </w:rPr>
            </w:pPr>
            <w:r w:rsidRPr="002E79EF">
              <w:rPr>
                <w:sz w:val="20"/>
                <w:szCs w:val="20"/>
              </w:rPr>
              <w:t>$8,916,216</w:t>
            </w:r>
          </w:p>
        </w:tc>
        <w:tc>
          <w:tcPr>
            <w:tcW w:w="1440" w:type="dxa"/>
            <w:shd w:val="clear" w:color="auto" w:fill="auto"/>
            <w:vAlign w:val="center"/>
          </w:tcPr>
          <w:p w:rsidR="00EC5111" w:rsidRPr="002E79EF" w:rsidRDefault="00EC5111" w:rsidP="00E13C2A">
            <w:pPr>
              <w:jc w:val="right"/>
              <w:rPr>
                <w:sz w:val="20"/>
                <w:szCs w:val="20"/>
              </w:rPr>
            </w:pPr>
            <w:r w:rsidRPr="002E79EF">
              <w:rPr>
                <w:color w:val="000000"/>
                <w:sz w:val="20"/>
                <w:szCs w:val="20"/>
              </w:rPr>
              <w:t xml:space="preserve"> $ 8,546,402</w:t>
            </w:r>
          </w:p>
        </w:tc>
        <w:tc>
          <w:tcPr>
            <w:tcW w:w="1369" w:type="dxa"/>
            <w:vAlign w:val="center"/>
          </w:tcPr>
          <w:p w:rsidR="00EC5111" w:rsidRPr="002E79EF" w:rsidRDefault="00EC5111" w:rsidP="00E13C2A">
            <w:pPr>
              <w:jc w:val="right"/>
              <w:rPr>
                <w:color w:val="000000"/>
                <w:sz w:val="20"/>
                <w:szCs w:val="20"/>
              </w:rPr>
            </w:pPr>
            <w:r w:rsidRPr="002E79EF">
              <w:rPr>
                <w:color w:val="000000"/>
                <w:sz w:val="20"/>
                <w:szCs w:val="20"/>
              </w:rPr>
              <w:t>$ 8,064,442</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p>
        </w:tc>
        <w:tc>
          <w:tcPr>
            <w:tcW w:w="1350" w:type="dxa"/>
            <w:vAlign w:val="center"/>
          </w:tcPr>
          <w:p w:rsidR="00EC5111" w:rsidRPr="002E79EF" w:rsidRDefault="00EC5111" w:rsidP="00E13C2A">
            <w:pPr>
              <w:jc w:val="right"/>
              <w:rPr>
                <w:sz w:val="20"/>
                <w:szCs w:val="20"/>
              </w:rPr>
            </w:pPr>
          </w:p>
        </w:tc>
        <w:tc>
          <w:tcPr>
            <w:tcW w:w="1326" w:type="dxa"/>
            <w:shd w:val="clear" w:color="auto" w:fill="auto"/>
            <w:vAlign w:val="center"/>
          </w:tcPr>
          <w:p w:rsidR="00EC5111" w:rsidRPr="002E79EF" w:rsidRDefault="00EC5111" w:rsidP="00E13C2A">
            <w:pPr>
              <w:jc w:val="right"/>
              <w:rPr>
                <w:sz w:val="20"/>
                <w:szCs w:val="20"/>
              </w:rPr>
            </w:pPr>
          </w:p>
        </w:tc>
        <w:tc>
          <w:tcPr>
            <w:tcW w:w="1350" w:type="dxa"/>
            <w:vAlign w:val="center"/>
          </w:tcPr>
          <w:p w:rsidR="00EC5111" w:rsidRPr="002E79EF" w:rsidRDefault="00EC5111" w:rsidP="00E13C2A">
            <w:pPr>
              <w:jc w:val="right"/>
              <w:rPr>
                <w:sz w:val="20"/>
                <w:szCs w:val="20"/>
              </w:rPr>
            </w:pPr>
          </w:p>
        </w:tc>
        <w:tc>
          <w:tcPr>
            <w:tcW w:w="1440" w:type="dxa"/>
            <w:shd w:val="clear" w:color="auto" w:fill="auto"/>
            <w:vAlign w:val="center"/>
          </w:tcPr>
          <w:p w:rsidR="00EC5111" w:rsidRPr="002E79EF" w:rsidRDefault="00EC5111" w:rsidP="00E13C2A">
            <w:pPr>
              <w:jc w:val="right"/>
              <w:rPr>
                <w:sz w:val="20"/>
                <w:szCs w:val="20"/>
              </w:rPr>
            </w:pPr>
          </w:p>
        </w:tc>
        <w:tc>
          <w:tcPr>
            <w:tcW w:w="1369" w:type="dxa"/>
            <w:vAlign w:val="center"/>
          </w:tcPr>
          <w:p w:rsidR="00EC5111" w:rsidRPr="002E79EF" w:rsidRDefault="00EC5111" w:rsidP="00E13C2A">
            <w:pPr>
              <w:jc w:val="right"/>
              <w:rPr>
                <w:sz w:val="20"/>
                <w:szCs w:val="20"/>
              </w:rPr>
            </w:pP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Annual Surplus</w:t>
            </w:r>
          </w:p>
        </w:tc>
        <w:tc>
          <w:tcPr>
            <w:tcW w:w="1350" w:type="dxa"/>
            <w:vAlign w:val="center"/>
          </w:tcPr>
          <w:p w:rsidR="00EC5111" w:rsidRPr="002E79EF" w:rsidRDefault="00693AC1" w:rsidP="00E13C2A">
            <w:pPr>
              <w:jc w:val="right"/>
              <w:rPr>
                <w:sz w:val="20"/>
                <w:szCs w:val="20"/>
              </w:rPr>
            </w:pPr>
            <w:r w:rsidRPr="002E79EF">
              <w:rPr>
                <w:color w:val="000000"/>
                <w:sz w:val="20"/>
                <w:szCs w:val="20"/>
              </w:rPr>
              <w:t>251,644</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(851,774)</w:t>
            </w:r>
          </w:p>
        </w:tc>
        <w:tc>
          <w:tcPr>
            <w:tcW w:w="1350" w:type="dxa"/>
            <w:vAlign w:val="center"/>
          </w:tcPr>
          <w:p w:rsidR="00EC5111" w:rsidRPr="002E79EF" w:rsidRDefault="00FF32FD" w:rsidP="00E13C2A">
            <w:pPr>
              <w:jc w:val="right"/>
              <w:rPr>
                <w:color w:val="000000"/>
                <w:sz w:val="20"/>
                <w:szCs w:val="20"/>
              </w:rPr>
            </w:pPr>
            <w:r w:rsidRPr="002E79EF">
              <w:rPr>
                <w:color w:val="000000"/>
                <w:sz w:val="20"/>
                <w:szCs w:val="20"/>
              </w:rPr>
              <w:t>523,207</w:t>
            </w:r>
          </w:p>
        </w:tc>
        <w:tc>
          <w:tcPr>
            <w:tcW w:w="1440" w:type="dxa"/>
            <w:shd w:val="clear" w:color="auto" w:fill="auto"/>
            <w:vAlign w:val="center"/>
          </w:tcPr>
          <w:p w:rsidR="00EC5111" w:rsidRPr="002E79EF" w:rsidRDefault="00EC5111" w:rsidP="00E13C2A">
            <w:pPr>
              <w:jc w:val="right"/>
              <w:rPr>
                <w:sz w:val="20"/>
                <w:szCs w:val="20"/>
              </w:rPr>
            </w:pPr>
            <w:r w:rsidRPr="002E79EF">
              <w:rPr>
                <w:color w:val="000000"/>
                <w:sz w:val="20"/>
                <w:szCs w:val="20"/>
              </w:rPr>
              <w:t>(481,960)</w:t>
            </w:r>
          </w:p>
        </w:tc>
        <w:tc>
          <w:tcPr>
            <w:tcW w:w="1369" w:type="dxa"/>
            <w:vAlign w:val="center"/>
          </w:tcPr>
          <w:p w:rsidR="00EC5111" w:rsidRPr="002E79EF" w:rsidRDefault="00EC5111" w:rsidP="00E13C2A">
            <w:pPr>
              <w:jc w:val="right"/>
              <w:rPr>
                <w:color w:val="000000"/>
                <w:sz w:val="20"/>
                <w:szCs w:val="20"/>
              </w:rPr>
            </w:pPr>
            <w:r w:rsidRPr="002E79EF">
              <w:rPr>
                <w:color w:val="000000"/>
                <w:sz w:val="20"/>
                <w:szCs w:val="20"/>
              </w:rPr>
              <w:t>0</w:t>
            </w:r>
          </w:p>
        </w:tc>
      </w:tr>
      <w:tr w:rsidR="00EC5111" w:rsidRPr="002E79EF" w:rsidTr="00E13C2A">
        <w:trPr>
          <w:trHeight w:val="288"/>
          <w:jc w:val="center"/>
        </w:trPr>
        <w:tc>
          <w:tcPr>
            <w:tcW w:w="3550" w:type="dxa"/>
            <w:shd w:val="clear" w:color="auto" w:fill="auto"/>
            <w:vAlign w:val="center"/>
          </w:tcPr>
          <w:p w:rsidR="00EC5111" w:rsidRPr="002E79EF" w:rsidRDefault="00EC5111" w:rsidP="00E13C2A">
            <w:pPr>
              <w:rPr>
                <w:sz w:val="20"/>
                <w:szCs w:val="20"/>
              </w:rPr>
            </w:pPr>
            <w:r w:rsidRPr="002E79EF">
              <w:rPr>
                <w:color w:val="000000"/>
                <w:sz w:val="20"/>
                <w:szCs w:val="20"/>
              </w:rPr>
              <w:t>Total Surplus</w:t>
            </w:r>
          </w:p>
        </w:tc>
        <w:tc>
          <w:tcPr>
            <w:tcW w:w="1350" w:type="dxa"/>
            <w:vAlign w:val="center"/>
          </w:tcPr>
          <w:p w:rsidR="00EC5111" w:rsidRPr="002E79EF" w:rsidRDefault="00EC5111" w:rsidP="00E13C2A">
            <w:pPr>
              <w:jc w:val="right"/>
              <w:rPr>
                <w:sz w:val="20"/>
                <w:szCs w:val="20"/>
              </w:rPr>
            </w:pPr>
            <w:r w:rsidRPr="002E79EF">
              <w:rPr>
                <w:color w:val="000000"/>
                <w:sz w:val="20"/>
                <w:szCs w:val="20"/>
              </w:rPr>
              <w:t>$1</w:t>
            </w:r>
            <w:r w:rsidR="00693AC1" w:rsidRPr="002E79EF">
              <w:rPr>
                <w:color w:val="000000"/>
                <w:sz w:val="20"/>
                <w:szCs w:val="20"/>
              </w:rPr>
              <w:t>5,722,595</w:t>
            </w:r>
          </w:p>
        </w:tc>
        <w:tc>
          <w:tcPr>
            <w:tcW w:w="1326" w:type="dxa"/>
            <w:shd w:val="clear" w:color="auto" w:fill="auto"/>
            <w:vAlign w:val="center"/>
          </w:tcPr>
          <w:p w:rsidR="00EC5111" w:rsidRPr="002E79EF" w:rsidRDefault="00EC5111" w:rsidP="00E13C2A">
            <w:pPr>
              <w:jc w:val="right"/>
              <w:rPr>
                <w:sz w:val="20"/>
                <w:szCs w:val="20"/>
              </w:rPr>
            </w:pPr>
            <w:r w:rsidRPr="002E79EF">
              <w:rPr>
                <w:sz w:val="20"/>
                <w:szCs w:val="20"/>
              </w:rPr>
              <w:t>$14,870,821</w:t>
            </w:r>
          </w:p>
        </w:tc>
        <w:tc>
          <w:tcPr>
            <w:tcW w:w="1350" w:type="dxa"/>
            <w:vAlign w:val="center"/>
          </w:tcPr>
          <w:p w:rsidR="00EC5111" w:rsidRPr="002E79EF" w:rsidRDefault="00FF32FD" w:rsidP="00E13C2A">
            <w:pPr>
              <w:jc w:val="right"/>
              <w:rPr>
                <w:color w:val="000000"/>
                <w:sz w:val="20"/>
                <w:szCs w:val="20"/>
              </w:rPr>
            </w:pPr>
            <w:r w:rsidRPr="002E79EF">
              <w:rPr>
                <w:color w:val="000000"/>
                <w:sz w:val="20"/>
                <w:szCs w:val="20"/>
              </w:rPr>
              <w:t>16,245,802</w:t>
            </w:r>
          </w:p>
        </w:tc>
        <w:tc>
          <w:tcPr>
            <w:tcW w:w="1440" w:type="dxa"/>
            <w:shd w:val="clear" w:color="auto" w:fill="auto"/>
            <w:vAlign w:val="center"/>
          </w:tcPr>
          <w:p w:rsidR="00EC5111" w:rsidRPr="002E79EF" w:rsidRDefault="00EC5111" w:rsidP="00E13C2A">
            <w:pPr>
              <w:jc w:val="right"/>
              <w:rPr>
                <w:sz w:val="20"/>
                <w:szCs w:val="20"/>
              </w:rPr>
            </w:pPr>
            <w:r w:rsidRPr="002E79EF">
              <w:rPr>
                <w:color w:val="000000"/>
                <w:sz w:val="20"/>
                <w:szCs w:val="20"/>
              </w:rPr>
              <w:t>$15,240,635</w:t>
            </w:r>
          </w:p>
        </w:tc>
        <w:tc>
          <w:tcPr>
            <w:tcW w:w="1369" w:type="dxa"/>
            <w:vAlign w:val="center"/>
          </w:tcPr>
          <w:p w:rsidR="00EC5111" w:rsidRPr="002E79EF" w:rsidRDefault="00EC5111" w:rsidP="00E13C2A">
            <w:pPr>
              <w:jc w:val="right"/>
              <w:rPr>
                <w:color w:val="000000"/>
                <w:sz w:val="20"/>
                <w:szCs w:val="20"/>
              </w:rPr>
            </w:pPr>
            <w:r w:rsidRPr="002E79EF">
              <w:rPr>
                <w:color w:val="000000"/>
                <w:sz w:val="20"/>
                <w:szCs w:val="20"/>
              </w:rPr>
              <w:t>$15,722,595</w:t>
            </w:r>
          </w:p>
        </w:tc>
      </w:tr>
    </w:tbl>
    <w:p w:rsidR="00B74A09" w:rsidRPr="002E79EF" w:rsidRDefault="00B74A09" w:rsidP="00B74A09">
      <w:pPr>
        <w:autoSpaceDE w:val="0"/>
        <w:autoSpaceDN w:val="0"/>
        <w:adjustRightInd w:val="0"/>
        <w:ind w:firstLine="720"/>
        <w:jc w:val="both"/>
        <w:rPr>
          <w:sz w:val="20"/>
          <w:szCs w:val="20"/>
        </w:rPr>
      </w:pPr>
    </w:p>
    <w:p w:rsidR="00C4397D" w:rsidRDefault="00C4397D" w:rsidP="00C4397D">
      <w:pPr>
        <w:pStyle w:val="BodyText"/>
        <w:ind w:firstLine="0"/>
        <w:rPr>
          <w:u w:val="single"/>
        </w:rPr>
      </w:pPr>
      <w:r w:rsidRPr="00C4397D">
        <w:rPr>
          <w:u w:val="single"/>
        </w:rPr>
        <w:lastRenderedPageBreak/>
        <w:t>Conclusion</w:t>
      </w:r>
    </w:p>
    <w:p w:rsidR="00C4397D" w:rsidRPr="00112F1E" w:rsidRDefault="00C4397D" w:rsidP="005B4911">
      <w:pPr>
        <w:pStyle w:val="BodyText"/>
        <w:rPr>
          <w:color w:val="000000"/>
        </w:rPr>
      </w:pPr>
      <w:r w:rsidRPr="001A1785">
        <w:rPr>
          <w:color w:val="000000"/>
        </w:rPr>
        <w:t>Option 1</w:t>
      </w:r>
      <w:r>
        <w:rPr>
          <w:color w:val="000000"/>
        </w:rPr>
        <w:t xml:space="preserve"> would allow the </w:t>
      </w:r>
      <w:r>
        <w:t xml:space="preserve">$851,774 deficit to be eliminated by </w:t>
      </w:r>
      <w:r w:rsidR="007020D3">
        <w:t xml:space="preserve">transferring funds from the relay surplus account to FTRI. </w:t>
      </w:r>
      <w:r w:rsidR="005F26F5">
        <w:t xml:space="preserve"> </w:t>
      </w:r>
      <w:r>
        <w:rPr>
          <w:color w:val="000000"/>
        </w:rPr>
        <w:t xml:space="preserve">Option 2 would </w:t>
      </w:r>
      <w:r w:rsidR="005B4911">
        <w:t xml:space="preserve">offset the $851,774 proposed FTRI budget deficit by increasing the monthly relay surcharge from $0.11 to $0.13.  </w:t>
      </w:r>
      <w:r w:rsidR="005B4911" w:rsidRPr="005B4911">
        <w:t xml:space="preserve">Option 3 </w:t>
      </w:r>
      <w:r w:rsidR="005B4911">
        <w:rPr>
          <w:color w:val="000000"/>
        </w:rPr>
        <w:t xml:space="preserve">would </w:t>
      </w:r>
      <w:r w:rsidR="005B4911">
        <w:t>offset the $851,774 proposed FTRI budget deficit by</w:t>
      </w:r>
      <w:r w:rsidR="005B4911" w:rsidRPr="005B4911">
        <w:t xml:space="preserve"> </w:t>
      </w:r>
      <w:r w:rsidR="005B4911">
        <w:t>r</w:t>
      </w:r>
      <w:r w:rsidR="005B4911" w:rsidRPr="005B4911">
        <w:t>educ</w:t>
      </w:r>
      <w:r w:rsidR="005B4911">
        <w:t>ing the</w:t>
      </w:r>
      <w:r w:rsidR="005B4911" w:rsidRPr="005B4911">
        <w:t xml:space="preserve"> FTRI budget by $369,814, and us</w:t>
      </w:r>
      <w:r w:rsidR="005B4911">
        <w:t>ing</w:t>
      </w:r>
      <w:r w:rsidR="005B4911" w:rsidRPr="005B4911">
        <w:t xml:space="preserve"> $</w:t>
      </w:r>
      <w:r w:rsidR="005B4911" w:rsidRPr="005B4911">
        <w:rPr>
          <w:color w:val="000000"/>
        </w:rPr>
        <w:t xml:space="preserve">481,960 of surplus funds to offset </w:t>
      </w:r>
      <w:r w:rsidR="002B3E27">
        <w:rPr>
          <w:color w:val="000000"/>
        </w:rPr>
        <w:t xml:space="preserve">relay provider cost.  </w:t>
      </w:r>
      <w:r w:rsidR="005B4911" w:rsidRPr="005B4911">
        <w:rPr>
          <w:color w:val="000000"/>
        </w:rPr>
        <w:t xml:space="preserve">Option </w:t>
      </w:r>
      <w:r w:rsidR="0091334C" w:rsidRPr="005B4911">
        <w:rPr>
          <w:color w:val="000000"/>
        </w:rPr>
        <w:t>4 would</w:t>
      </w:r>
      <w:r w:rsidR="005B4911" w:rsidRPr="005B4911">
        <w:rPr>
          <w:color w:val="000000"/>
        </w:rPr>
        <w:t xml:space="preserve"> </w:t>
      </w:r>
      <w:r w:rsidR="005B4911" w:rsidRPr="005B4911">
        <w:t xml:space="preserve">offset the $851,774 proposed FTRI budget deficit by reducing the FTRI budget by </w:t>
      </w:r>
      <w:r w:rsidR="005B4911" w:rsidRPr="005B4911">
        <w:rPr>
          <w:color w:val="000000"/>
        </w:rPr>
        <w:t>$851,774.</w:t>
      </w:r>
      <w:r w:rsidR="005B4911">
        <w:rPr>
          <w:color w:val="000000"/>
        </w:rPr>
        <w:t xml:space="preserve">  </w:t>
      </w:r>
      <w:r>
        <w:t xml:space="preserve">Options </w:t>
      </w:r>
      <w:r w:rsidR="005B4911">
        <w:t>1, 3</w:t>
      </w:r>
      <w:r>
        <w:t xml:space="preserve"> </w:t>
      </w:r>
      <w:r>
        <w:rPr>
          <w:color w:val="000000"/>
        </w:rPr>
        <w:t xml:space="preserve">and </w:t>
      </w:r>
      <w:r w:rsidR="005B4911">
        <w:rPr>
          <w:color w:val="000000"/>
        </w:rPr>
        <w:t>4</w:t>
      </w:r>
      <w:r>
        <w:rPr>
          <w:color w:val="000000"/>
        </w:rPr>
        <w:t xml:space="preserve"> would maintain the relay</w:t>
      </w:r>
      <w:r w:rsidRPr="0054296D">
        <w:rPr>
          <w:color w:val="000000"/>
        </w:rPr>
        <w:t xml:space="preserve"> surcharge at $0.11 per month </w:t>
      </w:r>
      <w:r>
        <w:rPr>
          <w:color w:val="000000"/>
        </w:rPr>
        <w:t>for</w:t>
      </w:r>
      <w:r w:rsidRPr="0054296D">
        <w:rPr>
          <w:color w:val="000000"/>
        </w:rPr>
        <w:t xml:space="preserve"> the</w:t>
      </w:r>
      <w:r>
        <w:rPr>
          <w:color w:val="000000"/>
        </w:rPr>
        <w:t xml:space="preserve"> </w:t>
      </w:r>
      <w:r w:rsidRPr="0054296D">
        <w:rPr>
          <w:color w:val="000000"/>
        </w:rPr>
        <w:t>20</w:t>
      </w:r>
      <w:r>
        <w:rPr>
          <w:color w:val="000000"/>
        </w:rPr>
        <w:t>15/</w:t>
      </w:r>
      <w:r w:rsidRPr="0054296D">
        <w:rPr>
          <w:color w:val="000000"/>
        </w:rPr>
        <w:t>201</w:t>
      </w:r>
      <w:r>
        <w:rPr>
          <w:color w:val="000000"/>
        </w:rPr>
        <w:t>6</w:t>
      </w:r>
      <w:r w:rsidRPr="0054296D">
        <w:rPr>
          <w:color w:val="000000"/>
        </w:rPr>
        <w:t xml:space="preserve"> </w:t>
      </w:r>
      <w:r>
        <w:rPr>
          <w:color w:val="000000"/>
        </w:rPr>
        <w:t xml:space="preserve">FTRI </w:t>
      </w:r>
      <w:r w:rsidRPr="0054296D">
        <w:rPr>
          <w:color w:val="000000"/>
        </w:rPr>
        <w:t>budget.</w:t>
      </w:r>
      <w:r w:rsidRPr="001A1785">
        <w:t xml:space="preserve"> </w:t>
      </w:r>
      <w:r w:rsidR="005B4911">
        <w:t>Option 2 would increase the surcharge from $0.11 to $0.13.</w:t>
      </w:r>
    </w:p>
    <w:p w:rsidR="00BD54FA" w:rsidRDefault="00BD54FA" w:rsidP="0035703A">
      <w:pPr>
        <w:pStyle w:val="BodyText"/>
      </w:pPr>
      <w:r>
        <w:t xml:space="preserve">It is true that landline access lines, which are charged a monthly relay surcharge, continue to </w:t>
      </w:r>
      <w:r w:rsidR="00595A2D">
        <w:t>decrease,</w:t>
      </w:r>
      <w:r>
        <w:t xml:space="preserve"> but that does not mean that deaf relay services are being hindered.  Loss of landline access lines is occurring </w:t>
      </w:r>
      <w:r w:rsidR="00E13C2A">
        <w:t xml:space="preserve">on a </w:t>
      </w:r>
      <w:r>
        <w:t>national</w:t>
      </w:r>
      <w:r w:rsidR="00E13C2A">
        <w:t xml:space="preserve"> basis</w:t>
      </w:r>
      <w:r>
        <w:t xml:space="preserve"> as more and more consumers transition to wireless and </w:t>
      </w:r>
      <w:r w:rsidR="00723022">
        <w:t>Voice over Internet Protocol (</w:t>
      </w:r>
      <w:r>
        <w:t>VoIP</w:t>
      </w:r>
      <w:r w:rsidR="00723022">
        <w:t>)</w:t>
      </w:r>
      <w:r>
        <w:t xml:space="preserve"> services.  Deaf and hard-of-hearing consumers are just a part of that </w:t>
      </w:r>
      <w:r w:rsidR="004D6C48">
        <w:t xml:space="preserve">technology </w:t>
      </w:r>
      <w:r>
        <w:t xml:space="preserve">transition.  </w:t>
      </w:r>
      <w:r w:rsidR="009467CE">
        <w:t xml:space="preserve">Staff believes that by statute, </w:t>
      </w:r>
      <w:r>
        <w:t xml:space="preserve">wireless and VoIP relay services </w:t>
      </w:r>
      <w:r w:rsidR="0097777D">
        <w:t xml:space="preserve"> are </w:t>
      </w:r>
      <w:r w:rsidR="009467CE">
        <w:t>not within the Commission’s jurisdiction</w:t>
      </w:r>
      <w:r w:rsidR="00146025">
        <w:t>.</w:t>
      </w:r>
    </w:p>
    <w:p w:rsidR="00C4397D" w:rsidRDefault="005B4911" w:rsidP="0035703A">
      <w:pPr>
        <w:pStyle w:val="BodyText"/>
      </w:pPr>
      <w:r>
        <w:t xml:space="preserve">Although the Commission in past years has allowed FTRI to use surplus fund money for its budget deficits, recent decisions have required FTRI to live within its budget.  </w:t>
      </w:r>
      <w:r w:rsidR="00C4397D">
        <w:t>Staff believes the surplus account should be maintained at this time pending a final decision by the FCC</w:t>
      </w:r>
      <w:r w:rsidR="000477E9">
        <w:t xml:space="preserve"> of whether costs of intrastate Internet </w:t>
      </w:r>
      <w:r w:rsidR="00C44E25">
        <w:t>Protocol</w:t>
      </w:r>
      <w:r w:rsidR="000477E9">
        <w:t xml:space="preserve"> </w:t>
      </w:r>
      <w:r w:rsidR="00E74133">
        <w:t>services</w:t>
      </w:r>
      <w:r w:rsidR="000477E9">
        <w:t xml:space="preserve"> w</w:t>
      </w:r>
      <w:r w:rsidR="0035703A">
        <w:t>ill</w:t>
      </w:r>
      <w:r w:rsidR="000477E9">
        <w:t xml:space="preserve"> be shifted to the states</w:t>
      </w:r>
      <w:r w:rsidR="00C4397D">
        <w:t xml:space="preserve">.  Staff also believes that </w:t>
      </w:r>
      <w:r w:rsidR="00693AC1">
        <w:t xml:space="preserve">increasing the </w:t>
      </w:r>
      <w:r w:rsidR="00C4397D">
        <w:t>relay surcharge</w:t>
      </w:r>
      <w:r w:rsidR="00693AC1">
        <w:t xml:space="preserve"> at this time</w:t>
      </w:r>
      <w:r w:rsidR="00896143">
        <w:t xml:space="preserve"> would place</w:t>
      </w:r>
      <w:r w:rsidR="00E74133">
        <w:t xml:space="preserve"> an additional burden on consumers</w:t>
      </w:r>
      <w:r w:rsidR="004D6C48">
        <w:t xml:space="preserve"> and should not be done</w:t>
      </w:r>
      <w:r w:rsidR="00C4397D">
        <w:t xml:space="preserve">.  </w:t>
      </w:r>
    </w:p>
    <w:p w:rsidR="0079093C" w:rsidRDefault="00AB06BD" w:rsidP="00D5568C">
      <w:pPr>
        <w:pStyle w:val="IssueHeading"/>
        <w:ind w:firstLine="720"/>
        <w:rPr>
          <w:vanish/>
          <w:specVanish/>
        </w:rPr>
      </w:pPr>
      <w:r>
        <w:t>Therefore,</w:t>
      </w:r>
      <w:r w:rsidR="003B68B6">
        <w:t xml:space="preserve"> staff recommends the Commission approve Option 4 in staff’s analysis which reduces FTRI’s proposed budget by </w:t>
      </w:r>
      <w:r w:rsidR="003B68B6" w:rsidRPr="0035703A">
        <w:rPr>
          <w:color w:val="000000"/>
        </w:rPr>
        <w:t>$851,774</w:t>
      </w:r>
      <w:r w:rsidR="003B68B6">
        <w:rPr>
          <w:color w:val="000000"/>
        </w:rPr>
        <w:t xml:space="preserve">.  </w:t>
      </w:r>
      <w:r w:rsidR="003B68B6">
        <w:t xml:space="preserve">FTRI should determine which individual accounts of Category II, Category III, Category IV, and Category V expenses should be adjusted to equal the Commission-approved decrease.  Staff recommends that FTRI re-submit its budget within 30 days of the Commission vote.  The revised budget should show adjustments to the individual accounts reflecting the $851,774 decrease.  Staff recommends that staff be granted administrative authority to approve the resubmitted budget as long as it adheres to the Commission’s decision.  However, if the revised budget indicates an allocation of funds inconsistent with the purpose and intent of TASA, staff will bring the revised budget back to the Commission for further consideration.  Staff also </w:t>
      </w:r>
      <w:r w:rsidR="003B68B6">
        <w:rPr>
          <w:color w:val="000000"/>
        </w:rPr>
        <w:t>recommends t</w:t>
      </w:r>
      <w:r w:rsidR="00D01B94">
        <w:rPr>
          <w:color w:val="000000"/>
        </w:rPr>
        <w:t xml:space="preserve">hat the </w:t>
      </w:r>
      <w:r w:rsidR="003B68B6">
        <w:rPr>
          <w:color w:val="000000"/>
        </w:rPr>
        <w:t>TRS</w:t>
      </w:r>
      <w:r w:rsidR="00D01B94">
        <w:rPr>
          <w:color w:val="000000"/>
        </w:rPr>
        <w:t xml:space="preserve"> </w:t>
      </w:r>
      <w:r w:rsidR="003B68B6">
        <w:rPr>
          <w:color w:val="000000"/>
        </w:rPr>
        <w:t>surcharge be maintained at $0.11 per month for fiscal year 2015/2016, effective July 1, 2015.  The Commission should order</w:t>
      </w:r>
      <w:r w:rsidR="003B68B6" w:rsidRPr="00ED71CE">
        <w:rPr>
          <w:color w:val="000000"/>
        </w:rPr>
        <w:t xml:space="preserve"> the incumbent local exchange companies, competitive local exchange companies, and shared tenant providers to </w:t>
      </w:r>
      <w:r w:rsidR="003B68B6">
        <w:rPr>
          <w:color w:val="000000"/>
        </w:rPr>
        <w:t xml:space="preserve">continue to </w:t>
      </w:r>
      <w:r w:rsidR="003B68B6" w:rsidRPr="00ED71CE">
        <w:rPr>
          <w:color w:val="000000"/>
        </w:rPr>
        <w:t xml:space="preserve">bill the </w:t>
      </w:r>
      <w:r w:rsidR="003B68B6">
        <w:rPr>
          <w:color w:val="000000"/>
        </w:rPr>
        <w:t xml:space="preserve">$0.11 </w:t>
      </w:r>
      <w:r w:rsidR="003B68B6" w:rsidRPr="00ED71CE">
        <w:rPr>
          <w:color w:val="000000"/>
        </w:rPr>
        <w:t xml:space="preserve">surcharge </w:t>
      </w:r>
      <w:r w:rsidR="003B68B6">
        <w:t>for fiscal year 2015/2016, effective July 1, 2015</w:t>
      </w:r>
      <w:r w:rsidR="003B68B6" w:rsidRPr="00ED71CE">
        <w:rPr>
          <w:color w:val="000000"/>
        </w:rPr>
        <w:t>.</w:t>
      </w:r>
      <w:r w:rsidR="003B68B6">
        <w:rPr>
          <w:color w:val="000000"/>
        </w:rPr>
        <w:t xml:space="preserve">  </w:t>
      </w:r>
      <w:r w:rsidR="0079093C">
        <w:br w:type="page"/>
      </w:r>
      <w:r w:rsidR="0079093C">
        <w:rPr>
          <w:b/>
          <w:u w:val="single"/>
        </w:rPr>
        <w:lastRenderedPageBreak/>
        <w:t xml:space="preserve">Issue </w:t>
      </w:r>
      <w:r w:rsidR="0079093C">
        <w:rPr>
          <w:b/>
          <w:u w:val="single"/>
        </w:rPr>
        <w:fldChar w:fldCharType="begin"/>
      </w:r>
      <w:r w:rsidR="0079093C">
        <w:rPr>
          <w:b/>
          <w:u w:val="single"/>
        </w:rPr>
        <w:instrText xml:space="preserve"> SEQ Issue \* MERGEFORMAT </w:instrText>
      </w:r>
      <w:r w:rsidR="0079093C">
        <w:rPr>
          <w:b/>
          <w:u w:val="single"/>
        </w:rPr>
        <w:fldChar w:fldCharType="separate"/>
      </w:r>
      <w:r w:rsidR="00D27C4C">
        <w:rPr>
          <w:b/>
          <w:noProof/>
          <w:u w:val="single"/>
        </w:rPr>
        <w:t>2</w:t>
      </w:r>
      <w:r w:rsidR="0079093C">
        <w:rPr>
          <w:b/>
          <w:u w:val="single"/>
        </w:rPr>
        <w:fldChar w:fldCharType="end"/>
      </w:r>
      <w:r w:rsidR="0079093C">
        <w:t>:</w:t>
      </w:r>
      <w:r w:rsidR="0079093C">
        <w:fldChar w:fldCharType="begin"/>
      </w:r>
      <w:r w:rsidR="0079093C">
        <w:instrText xml:space="preserve"> TC "</w:instrText>
      </w:r>
      <w:r w:rsidR="0079093C">
        <w:fldChar w:fldCharType="begin"/>
      </w:r>
      <w:r w:rsidR="0079093C">
        <w:instrText xml:space="preserve"> SEQ issue \c </w:instrText>
      </w:r>
      <w:r w:rsidR="0079093C">
        <w:fldChar w:fldCharType="separate"/>
      </w:r>
      <w:r w:rsidR="00D27C4C">
        <w:rPr>
          <w:noProof/>
        </w:rPr>
        <w:instrText>2</w:instrText>
      </w:r>
      <w:r w:rsidR="0079093C">
        <w:fldChar w:fldCharType="end"/>
      </w:r>
      <w:r w:rsidR="0079093C">
        <w:tab/>
        <w:instrText xml:space="preserve">" \l 1 </w:instrText>
      </w:r>
      <w:r w:rsidR="0079093C">
        <w:fldChar w:fldCharType="end"/>
      </w:r>
      <w:r w:rsidR="0079093C">
        <w:t> </w:t>
      </w:r>
    </w:p>
    <w:p w:rsidR="0079093C" w:rsidRDefault="0079093C" w:rsidP="00AD6EE9">
      <w:pPr>
        <w:pStyle w:val="BodyText"/>
        <w:ind w:firstLine="0"/>
      </w:pPr>
      <w:r>
        <w:t> </w:t>
      </w:r>
      <w:r w:rsidR="005353ED">
        <w:t>Should th</w:t>
      </w:r>
      <w:r w:rsidR="007F7548">
        <w:t>e</w:t>
      </w:r>
      <w:r w:rsidR="005353ED">
        <w:t xml:space="preserve"> docket be closed?</w:t>
      </w:r>
    </w:p>
    <w:p w:rsidR="0079093C" w:rsidRDefault="0079093C">
      <w:pPr>
        <w:pStyle w:val="IssueSubsectionHeading"/>
        <w:rPr>
          <w:vanish/>
          <w:specVanish/>
        </w:rPr>
      </w:pPr>
      <w:r>
        <w:rPr>
          <w:b/>
          <w:u w:val="single"/>
        </w:rPr>
        <w:t>Recommendation</w:t>
      </w:r>
      <w:r>
        <w:t>:</w:t>
      </w:r>
      <w:r w:rsidR="00A13003">
        <w:t xml:space="preserve"> </w:t>
      </w:r>
    </w:p>
    <w:p w:rsidR="0079093C" w:rsidRDefault="00825E1E" w:rsidP="00825E1E">
      <w:pPr>
        <w:pStyle w:val="BodyText"/>
        <w:ind w:firstLine="0"/>
      </w:pPr>
      <w:r>
        <w:t xml:space="preserve"> No.  </w:t>
      </w:r>
      <w:r w:rsidR="007433D5">
        <w:t>A Cons</w:t>
      </w:r>
      <w:r w:rsidR="00AC028D">
        <w:t xml:space="preserve">ummating Order should be issued, </w:t>
      </w:r>
      <w:r w:rsidR="007433D5">
        <w:t>unless a person whose substantial interests are affected by the Commission’s decision files a protest within 21 days of the issuance of the proposed agency action.</w:t>
      </w:r>
      <w:r>
        <w:t xml:space="preserve">  </w:t>
      </w:r>
      <w:r w:rsidR="00AC028D">
        <w:t xml:space="preserve">The docket </w:t>
      </w:r>
      <w:r w:rsidR="007433D5">
        <w:t xml:space="preserve">should remain open to address all matters related to relay service throughout the life of the current Sprint contract.  </w:t>
      </w:r>
      <w:r w:rsidR="007433D5" w:rsidRPr="002B52EA">
        <w:t>(</w:t>
      </w:r>
      <w:r w:rsidR="007433D5">
        <w:t xml:space="preserve">Williams, </w:t>
      </w:r>
      <w:r w:rsidR="002B3E27">
        <w:t xml:space="preserve">Casey, </w:t>
      </w:r>
      <w:r w:rsidR="007433D5">
        <w:t>Page</w:t>
      </w:r>
      <w:r w:rsidR="007433D5" w:rsidRPr="002B52EA">
        <w:t>)</w:t>
      </w:r>
      <w:r w:rsidR="0079093C">
        <w:t xml:space="preserve"> </w:t>
      </w:r>
    </w:p>
    <w:p w:rsidR="0079093C" w:rsidRDefault="0079093C">
      <w:pPr>
        <w:pStyle w:val="IssueSubsectionHeading"/>
        <w:rPr>
          <w:vanish/>
          <w:specVanish/>
        </w:rPr>
      </w:pPr>
      <w:r>
        <w:rPr>
          <w:b/>
          <w:u w:val="single"/>
        </w:rPr>
        <w:t>Staff Analysis</w:t>
      </w:r>
      <w:r>
        <w:t>:</w:t>
      </w:r>
      <w:r w:rsidR="00AC028D">
        <w:t xml:space="preserve"> </w:t>
      </w:r>
    </w:p>
    <w:p w:rsidR="0079093C" w:rsidRDefault="00AB06BD" w:rsidP="007433D5">
      <w:pPr>
        <w:pStyle w:val="BodyText"/>
        <w:ind w:firstLine="0"/>
      </w:pPr>
      <w:r>
        <w:t xml:space="preserve"> A Consummating Order should be issued, unless a person whose substantial interests are affected by the Commission’s decision files a protest within 21 days of the issuance of the proposed agency action.  The docket should remain open to address all matters related to relay service throughout the life of the current Sprint contract.</w:t>
      </w:r>
    </w:p>
    <w:p w:rsidR="003B35ED" w:rsidRDefault="003B35ED" w:rsidP="0079093C">
      <w:pPr>
        <w:pStyle w:val="Default"/>
        <w:ind w:firstLine="720"/>
        <w:jc w:val="both"/>
        <w:sectPr w:rsidR="003B35ED" w:rsidSect="000477E9">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B7530B" w:rsidRDefault="003B35ED" w:rsidP="003B35ED">
      <w:pPr>
        <w:pStyle w:val="Default"/>
        <w:ind w:firstLine="720"/>
        <w:jc w:val="both"/>
      </w:pPr>
      <w:r>
        <w:rPr>
          <w:noProof/>
        </w:rPr>
        <w:lastRenderedPageBreak/>
        <w:drawing>
          <wp:inline distT="0" distB="0" distL="0" distR="0" wp14:anchorId="70CDBD04" wp14:editId="1FD92AFB">
            <wp:extent cx="5943600" cy="75433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543300"/>
                    </a:xfrm>
                    <a:prstGeom prst="rect">
                      <a:avLst/>
                    </a:prstGeom>
                    <a:noFill/>
                    <a:ln>
                      <a:noFill/>
                    </a:ln>
                  </pic:spPr>
                </pic:pic>
              </a:graphicData>
            </a:graphic>
          </wp:inline>
        </w:drawing>
      </w:r>
      <w:r w:rsidR="00B7530B">
        <w:rPr>
          <w:noProof/>
        </w:rPr>
        <w:lastRenderedPageBreak/>
        <w:drawing>
          <wp:inline distT="0" distB="0" distL="0" distR="0">
            <wp:extent cx="5943600" cy="322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20400"/>
                    </a:xfrm>
                    <a:prstGeom prst="rect">
                      <a:avLst/>
                    </a:prstGeom>
                    <a:noFill/>
                    <a:ln>
                      <a:noFill/>
                    </a:ln>
                  </pic:spPr>
                </pic:pic>
              </a:graphicData>
            </a:graphic>
          </wp:inline>
        </w:drawing>
      </w:r>
    </w:p>
    <w:p w:rsidR="00B7530B" w:rsidRDefault="00B7530B" w:rsidP="00B7530B">
      <w:pPr>
        <w:rPr>
          <w:color w:val="000000"/>
        </w:rPr>
      </w:pPr>
      <w:r>
        <w:br w:type="page"/>
      </w:r>
    </w:p>
    <w:p w:rsidR="00B7530B" w:rsidRDefault="00B7530B" w:rsidP="003B35ED">
      <w:pPr>
        <w:pStyle w:val="Default"/>
        <w:ind w:firstLine="720"/>
        <w:jc w:val="both"/>
      </w:pPr>
      <w:r>
        <w:rPr>
          <w:noProof/>
        </w:rPr>
        <w:lastRenderedPageBreak/>
        <w:drawing>
          <wp:inline distT="0" distB="0" distL="0" distR="0">
            <wp:extent cx="5943600" cy="7850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850214"/>
                    </a:xfrm>
                    <a:prstGeom prst="rect">
                      <a:avLst/>
                    </a:prstGeom>
                    <a:noFill/>
                    <a:ln>
                      <a:noFill/>
                    </a:ln>
                  </pic:spPr>
                </pic:pic>
              </a:graphicData>
            </a:graphic>
          </wp:inline>
        </w:drawing>
      </w:r>
    </w:p>
    <w:p w:rsidR="00B7530B" w:rsidRDefault="00B7530B" w:rsidP="00B7530B">
      <w:pPr>
        <w:rPr>
          <w:color w:val="000000"/>
        </w:rPr>
      </w:pPr>
      <w:r>
        <w:br w:type="page"/>
      </w:r>
    </w:p>
    <w:p w:rsidR="003B35ED" w:rsidRDefault="00B7530B" w:rsidP="003B35ED">
      <w:pPr>
        <w:pStyle w:val="Default"/>
        <w:ind w:firstLine="720"/>
        <w:jc w:val="both"/>
      </w:pPr>
      <w:r>
        <w:rPr>
          <w:noProof/>
        </w:rPr>
        <w:lastRenderedPageBreak/>
        <w:drawing>
          <wp:inline distT="0" distB="0" distL="0" distR="0">
            <wp:extent cx="5943600" cy="73009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300946"/>
                    </a:xfrm>
                    <a:prstGeom prst="rect">
                      <a:avLst/>
                    </a:prstGeom>
                    <a:noFill/>
                    <a:ln>
                      <a:noFill/>
                    </a:ln>
                  </pic:spPr>
                </pic:pic>
              </a:graphicData>
            </a:graphic>
          </wp:inline>
        </w:drawing>
      </w:r>
    </w:p>
    <w:sectPr w:rsidR="003B35ED"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E1F" w:rsidRDefault="002A7E1F">
      <w:r>
        <w:separator/>
      </w:r>
    </w:p>
  </w:endnote>
  <w:endnote w:type="continuationSeparator" w:id="0">
    <w:p w:rsidR="002A7E1F" w:rsidRDefault="002A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eddingText BT">
    <w:panose1 w:val="03040702040608040804"/>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F" w:rsidRDefault="002A7E1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E42F7">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F" w:rsidRDefault="002A7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E1F" w:rsidRDefault="002A7E1F">
      <w:r>
        <w:separator/>
      </w:r>
    </w:p>
  </w:footnote>
  <w:footnote w:type="continuationSeparator" w:id="0">
    <w:p w:rsidR="002A7E1F" w:rsidRDefault="002A7E1F">
      <w:r>
        <w:continuationSeparator/>
      </w:r>
    </w:p>
  </w:footnote>
  <w:footnote w:id="1">
    <w:p w:rsidR="002A7E1F" w:rsidRPr="001612F8" w:rsidRDefault="002A7E1F" w:rsidP="00B94CD5">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 percent </w:t>
      </w:r>
      <w:r w:rsidRPr="001612F8">
        <w:rPr>
          <w:sz w:val="20"/>
          <w:szCs w:val="20"/>
        </w:rPr>
        <w:t>decrease in landline access lines subject to the relay surcharge for the budget year 201</w:t>
      </w:r>
      <w:r>
        <w:rPr>
          <w:sz w:val="20"/>
          <w:szCs w:val="20"/>
        </w:rPr>
        <w:t>5/</w:t>
      </w:r>
      <w:r w:rsidRPr="001612F8">
        <w:rPr>
          <w:sz w:val="20"/>
          <w:szCs w:val="20"/>
        </w:rPr>
        <w:t>201</w:t>
      </w:r>
      <w:r>
        <w:rPr>
          <w:sz w:val="20"/>
          <w:szCs w:val="20"/>
        </w:rPr>
        <w:t>6</w:t>
      </w:r>
      <w:r w:rsidRPr="001612F8">
        <w:rPr>
          <w:sz w:val="20"/>
          <w:szCs w:val="20"/>
        </w:rPr>
        <w:t xml:space="preserve">.  </w:t>
      </w:r>
    </w:p>
  </w:footnote>
  <w:footnote w:id="2">
    <w:p w:rsidR="002A7E1F" w:rsidRPr="00ED71CE" w:rsidRDefault="002A7E1F" w:rsidP="00B002B1">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3">
    <w:p w:rsidR="002A7E1F" w:rsidRPr="00ED71CE" w:rsidRDefault="002A7E1F" w:rsidP="00B002B1">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w:t>
      </w:r>
      <w:r w:rsidR="003B68B6">
        <w:rPr>
          <w:rFonts w:ascii="Times New Roman" w:hAnsi="Times New Roman" w:cs="Times New Roman"/>
          <w:sz w:val="20"/>
          <w:szCs w:val="20"/>
        </w:rPr>
        <w:t xml:space="preserve">(VRS) </w:t>
      </w:r>
      <w:r w:rsidRPr="00ED71CE">
        <w:rPr>
          <w:rFonts w:ascii="Times New Roman" w:hAnsi="Times New Roman" w:cs="Times New Roman"/>
          <w:sz w:val="20"/>
          <w:szCs w:val="20"/>
        </w:rPr>
        <w:t>is a form of Telecommunications Relay Service that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Because the conversation between the VRS user and the operator flows much more quickly than with a text-based TRS call, VRS has become a popular form of TRS.</w:t>
      </w:r>
      <w:r w:rsidRPr="00ED71CE">
        <w:t xml:space="preserve"> </w:t>
      </w:r>
    </w:p>
  </w:footnote>
  <w:footnote w:id="4">
    <w:p w:rsidR="002A7E1F" w:rsidRDefault="002A7E1F" w:rsidP="00B002B1">
      <w:pPr>
        <w:pStyle w:val="FootnoteText"/>
      </w:pPr>
      <w:r>
        <w:rPr>
          <w:rStyle w:val="FootnoteReference"/>
        </w:rPr>
        <w:footnoteRef/>
      </w:r>
      <w:r>
        <w:t xml:space="preserve"> A telephone that displays real-time captions of a conversation.  The captions are typically displayed on a screen embedded into the telephone base.</w:t>
      </w:r>
    </w:p>
  </w:footnote>
  <w:footnote w:id="5">
    <w:p w:rsidR="002A7E1F" w:rsidRPr="00E97598" w:rsidRDefault="002A7E1F" w:rsidP="00B002B1">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6">
    <w:p w:rsidR="002A7E1F" w:rsidRPr="00E97598" w:rsidRDefault="002A7E1F" w:rsidP="00B002B1">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 to Speech relay service utilizes a specially trained CA who understands the speech patterns of persons with speech disabilities and can repeat the words spoken by such an individual to the other party to the call.  IP STS uses the Internet, rather than the public switched telephone network, to connect the consumer to the relay provider.  Instead of using a standard telephone to make the relay call, an IP STS user can use a personal computer or personal digital assistant (PDA) device and, with the installation of softphone application software, can make a voice call via the Internet to the relay provider.</w:t>
      </w:r>
      <w:r w:rsidR="003B68B6">
        <w:rPr>
          <w:color w:val="010101"/>
          <w:sz w:val="20"/>
          <w:szCs w:val="20"/>
        </w:rPr>
        <w:t xml:space="preserve">  </w:t>
      </w:r>
      <w:r w:rsidRPr="00E97598">
        <w:rPr>
          <w:color w:val="010101"/>
          <w:sz w:val="20"/>
          <w:szCs w:val="20"/>
        </w:rPr>
        <w:t>The call is initiated by the user clicking on an icon on his or her computer or PDA; the relay user is then connected to a CA over the Internet and tells the CA the number to be dialed; the CA then connects the IP STS user with the called party and relays the call between the two parties.</w:t>
      </w:r>
    </w:p>
    <w:p w:rsidR="002A7E1F" w:rsidRDefault="002A7E1F" w:rsidP="00B002B1">
      <w:pPr>
        <w:pStyle w:val="FootnoteText"/>
      </w:pPr>
    </w:p>
  </w:footnote>
  <w:footnote w:id="7">
    <w:p w:rsidR="002A7E1F" w:rsidRPr="00ED71CE" w:rsidRDefault="002A7E1F" w:rsidP="00A43B18">
      <w:pPr>
        <w:autoSpaceDE w:val="0"/>
        <w:autoSpaceDN w:val="0"/>
        <w:adjustRightInd w:val="0"/>
        <w:jc w:val="both"/>
        <w:rPr>
          <w:color w:val="000000"/>
        </w:rPr>
      </w:pPr>
      <w:r w:rsidRPr="00ED71CE">
        <w:rPr>
          <w:rStyle w:val="FootnoteReference"/>
          <w:color w:val="000000"/>
          <w:sz w:val="20"/>
          <w:szCs w:val="20"/>
        </w:rPr>
        <w:footnoteRef/>
      </w:r>
      <w:r w:rsidRPr="00ED71CE">
        <w:rPr>
          <w:color w:val="000000"/>
          <w:sz w:val="20"/>
          <w:szCs w:val="20"/>
        </w:rPr>
        <w:t xml:space="preserve"> </w:t>
      </w:r>
      <w:r w:rsidRPr="00ED71CE">
        <w:rPr>
          <w:rFonts w:cs="TimesNewRoman"/>
          <w:color w:val="000000"/>
          <w:sz w:val="20"/>
          <w:szCs w:val="20"/>
        </w:rPr>
        <w:t>Federal Communications Commission Report and Order</w:t>
      </w:r>
      <w:r>
        <w:rPr>
          <w:rFonts w:cs="TimesNewRoman"/>
          <w:color w:val="000000"/>
          <w:sz w:val="20"/>
          <w:szCs w:val="20"/>
        </w:rPr>
        <w:t xml:space="preserve"> and Further Notice of Proposed rulemaking</w:t>
      </w:r>
      <w:r w:rsidRPr="00ED71CE">
        <w:rPr>
          <w:rFonts w:cs="TimesNewRoman"/>
          <w:color w:val="000000"/>
          <w:sz w:val="20"/>
          <w:szCs w:val="20"/>
        </w:rPr>
        <w:t xml:space="preserve">, CG Docket No. 03-123, released on </w:t>
      </w:r>
      <w:r>
        <w:rPr>
          <w:rFonts w:cs="TimesNewRoman"/>
          <w:color w:val="000000"/>
          <w:sz w:val="20"/>
          <w:szCs w:val="20"/>
        </w:rPr>
        <w:t>August 26, 2013</w:t>
      </w:r>
      <w:r w:rsidRPr="00ED71CE">
        <w:rPr>
          <w:rFonts w:cs="TimesNewRoman"/>
          <w:color w:val="000000"/>
          <w:sz w:val="20"/>
          <w:szCs w:val="20"/>
        </w:rPr>
        <w:t xml:space="preserve">, FCC </w:t>
      </w:r>
      <w:r>
        <w:rPr>
          <w:rFonts w:cs="TimesNewRoman"/>
          <w:color w:val="000000"/>
          <w:sz w:val="20"/>
          <w:szCs w:val="20"/>
        </w:rPr>
        <w:t xml:space="preserve">13-118, </w:t>
      </w:r>
      <w:r>
        <w:rPr>
          <w:color w:val="000000"/>
          <w:sz w:val="20"/>
          <w:szCs w:val="20"/>
        </w:rPr>
        <w:t>¶</w:t>
      </w:r>
      <w:r>
        <w:rPr>
          <w:rFonts w:cs="TimesNewRoman"/>
          <w:color w:val="000000"/>
          <w:sz w:val="20"/>
          <w:szCs w:val="20"/>
        </w:rPr>
        <w:t>135</w:t>
      </w:r>
      <w:r w:rsidRPr="00ED71CE">
        <w:rPr>
          <w:rFonts w:cs="TimesNewRoman"/>
          <w:color w:val="000000"/>
          <w:sz w:val="20"/>
          <w:szCs w:val="20"/>
        </w:rPr>
        <w:t>.</w:t>
      </w:r>
    </w:p>
  </w:footnote>
  <w:footnote w:id="8">
    <w:p w:rsidR="002A7E1F" w:rsidRDefault="002A7E1F">
      <w:pPr>
        <w:pStyle w:val="FootnoteText"/>
      </w:pPr>
      <w:r>
        <w:rPr>
          <w:rStyle w:val="FootnoteReference"/>
        </w:rPr>
        <w:footnoteRef/>
      </w:r>
      <w:r>
        <w:t xml:space="preserve"> The Commission is a member state of NASRA, and James Forstall, FTRI Executive Director, is Chair of TEDPA.</w:t>
      </w:r>
    </w:p>
  </w:footnote>
  <w:footnote w:id="9">
    <w:p w:rsidR="002A7E1F" w:rsidRPr="003C755D" w:rsidRDefault="002A7E1F" w:rsidP="00193A3A">
      <w:pPr>
        <w:rPr>
          <w:sz w:val="20"/>
          <w:szCs w:val="20"/>
        </w:rPr>
      </w:pPr>
      <w:r w:rsidRPr="003C755D">
        <w:rPr>
          <w:rStyle w:val="FootnoteReference"/>
          <w:sz w:val="20"/>
          <w:szCs w:val="20"/>
        </w:rPr>
        <w:footnoteRef/>
      </w:r>
      <w:r w:rsidRPr="003C755D">
        <w:rPr>
          <w:sz w:val="20"/>
          <w:szCs w:val="20"/>
        </w:rPr>
        <w:t xml:space="preserve"> NASRA ExParte Filing with FCC Dated March 13, 2015, Filed March 20, 2015.  See </w:t>
      </w:r>
      <w:hyperlink r:id="rId1" w:history="1">
        <w:r w:rsidRPr="003C755D">
          <w:rPr>
            <w:rStyle w:val="Hyperlink"/>
            <w:bCs/>
            <w:sz w:val="20"/>
            <w:szCs w:val="20"/>
          </w:rPr>
          <w:t>NASRA/TEDPA</w:t>
        </w:r>
      </w:hyperlink>
      <w:r w:rsidRPr="003C755D">
        <w:rPr>
          <w:b/>
          <w:bCs/>
          <w:color w:val="000000"/>
          <w:sz w:val="20"/>
          <w:szCs w:val="20"/>
        </w:rPr>
        <w:t>.</w:t>
      </w:r>
    </w:p>
  </w:footnote>
  <w:footnote w:id="10">
    <w:p w:rsidR="002A7E1F" w:rsidRDefault="002A7E1F">
      <w:pPr>
        <w:pStyle w:val="FootnoteText"/>
      </w:pPr>
      <w:r w:rsidRPr="003C755D">
        <w:rPr>
          <w:rStyle w:val="FootnoteReference"/>
        </w:rPr>
        <w:footnoteRef/>
      </w:r>
      <w:r w:rsidRPr="003C755D">
        <w:t xml:space="preserve"> See Section 427.704(4)(a)3.(b), </w:t>
      </w:r>
      <w:r w:rsidR="00F651DD" w:rsidRPr="003C755D">
        <w:t>F.S.</w:t>
      </w:r>
    </w:p>
  </w:footnote>
  <w:footnote w:id="11">
    <w:p w:rsidR="002A7E1F" w:rsidRDefault="002A7E1F" w:rsidP="00B74A09">
      <w:pPr>
        <w:pStyle w:val="FootnoteText"/>
      </w:pPr>
      <w:r>
        <w:rPr>
          <w:rStyle w:val="FootnoteReference"/>
        </w:rPr>
        <w:footnoteRef/>
      </w:r>
      <w:r>
        <w:t xml:space="preserve"> National Deaf Blind Equipment Distribution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F" w:rsidRDefault="002A7E1F" w:rsidP="00220732">
    <w:pPr>
      <w:pStyle w:val="Header"/>
      <w:tabs>
        <w:tab w:val="clear" w:pos="4320"/>
        <w:tab w:val="clear" w:pos="8640"/>
        <w:tab w:val="right" w:pos="9360"/>
      </w:tabs>
    </w:pPr>
    <w:bookmarkStart w:id="13" w:name="DocketLabel"/>
    <w:r>
      <w:t>Docket No.</w:t>
    </w:r>
    <w:bookmarkStart w:id="14" w:name="DocketList"/>
    <w:bookmarkEnd w:id="13"/>
    <w:bookmarkEnd w:id="14"/>
    <w:r w:rsidR="007632F2">
      <w:t xml:space="preserve"> </w:t>
    </w:r>
    <w:r>
      <w:t>140029-TP</w:t>
    </w:r>
  </w:p>
  <w:p w:rsidR="002A7E1F" w:rsidRDefault="002A7E1F">
    <w:pPr>
      <w:pStyle w:val="Header"/>
    </w:pPr>
    <w:r>
      <w:t xml:space="preserve">Date: </w:t>
    </w:r>
    <w:r w:rsidR="005953DC">
      <w:fldChar w:fldCharType="begin"/>
    </w:r>
    <w:r w:rsidR="005953DC">
      <w:instrText xml:space="preserve"> REF FilingDate </w:instrText>
    </w:r>
    <w:r w:rsidR="005953DC">
      <w:fldChar w:fldCharType="separate"/>
    </w:r>
    <w:r w:rsidR="00D27C4C">
      <w:t>April 23, 2015</w:t>
    </w:r>
    <w:r w:rsidR="005953D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F" w:rsidRDefault="002A7E1F" w:rsidP="00220732">
    <w:pPr>
      <w:pStyle w:val="Header"/>
      <w:tabs>
        <w:tab w:val="clear" w:pos="4320"/>
        <w:tab w:val="clear" w:pos="8640"/>
        <w:tab w:val="right" w:pos="9360"/>
      </w:tabs>
    </w:pPr>
    <w:r>
      <w:fldChar w:fldCharType="begin"/>
    </w:r>
    <w:r>
      <w:instrText xml:space="preserve"> REF DocketLabel</w:instrText>
    </w:r>
    <w:r>
      <w:fldChar w:fldCharType="separate"/>
    </w:r>
    <w:r w:rsidR="00D27C4C">
      <w:t>Docket No.</w:t>
    </w:r>
    <w:r>
      <w:fldChar w:fldCharType="end"/>
    </w:r>
    <w:r w:rsidR="007632F2">
      <w:t xml:space="preserve"> </w:t>
    </w:r>
    <w:r>
      <w:t>140029-TP</w:t>
    </w:r>
    <w:r>
      <w:fldChar w:fldCharType="begin"/>
    </w:r>
    <w:r>
      <w:instrText xml:space="preserve"> REF DocketList</w:instrText>
    </w:r>
    <w:r>
      <w:fldChar w:fldCharType="end"/>
    </w:r>
    <w:r>
      <w:tab/>
      <w:t xml:space="preserve">Issue </w:t>
    </w:r>
    <w:r w:rsidR="005953DC">
      <w:fldChar w:fldCharType="begin"/>
    </w:r>
    <w:r w:rsidR="005953DC">
      <w:instrText xml:space="preserve"> Seq Issue \c \* Arabic </w:instrText>
    </w:r>
    <w:r w:rsidR="005953DC">
      <w:fldChar w:fldCharType="separate"/>
    </w:r>
    <w:r w:rsidR="007E42F7">
      <w:rPr>
        <w:noProof/>
      </w:rPr>
      <w:t>1</w:t>
    </w:r>
    <w:r w:rsidR="005953DC">
      <w:rPr>
        <w:noProof/>
      </w:rPr>
      <w:fldChar w:fldCharType="end"/>
    </w:r>
  </w:p>
  <w:p w:rsidR="002A7E1F" w:rsidRDefault="002A7E1F">
    <w:pPr>
      <w:pStyle w:val="Header"/>
    </w:pPr>
    <w:r>
      <w:t xml:space="preserve">Date: </w:t>
    </w:r>
    <w:r w:rsidR="005953DC">
      <w:fldChar w:fldCharType="begin"/>
    </w:r>
    <w:r w:rsidR="005953DC">
      <w:instrText xml:space="preserve"> REF FilingDate </w:instrText>
    </w:r>
    <w:r w:rsidR="005953DC">
      <w:fldChar w:fldCharType="separate"/>
    </w:r>
    <w:r w:rsidR="00D27C4C">
      <w:t>April 23, 2015</w:t>
    </w:r>
    <w:r w:rsidR="005953DC">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F" w:rsidRDefault="002A7E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E1F" w:rsidRDefault="002A7E1F" w:rsidP="00220732">
    <w:pPr>
      <w:pStyle w:val="Header"/>
      <w:tabs>
        <w:tab w:val="clear" w:pos="4320"/>
        <w:tab w:val="clear" w:pos="8640"/>
        <w:tab w:val="right" w:pos="9360"/>
      </w:tabs>
    </w:pPr>
    <w:r>
      <w:fldChar w:fldCharType="begin"/>
    </w:r>
    <w:r>
      <w:instrText xml:space="preserve"> REF DocketLabel</w:instrText>
    </w:r>
    <w:r>
      <w:fldChar w:fldCharType="separate"/>
    </w:r>
    <w:r w:rsidR="00D27C4C">
      <w:t>Docket No.</w:t>
    </w:r>
    <w:r>
      <w:fldChar w:fldCharType="end"/>
    </w:r>
    <w:r>
      <w:t xml:space="preserve"> 140029-TP</w:t>
    </w:r>
    <w:r>
      <w:fldChar w:fldCharType="begin"/>
    </w:r>
    <w:r>
      <w:instrText xml:space="preserve"> REF DocketList</w:instrText>
    </w:r>
    <w:r>
      <w:fldChar w:fldCharType="end"/>
    </w:r>
    <w:r>
      <w:tab/>
      <w:t>Attachment A</w:t>
    </w:r>
  </w:p>
  <w:p w:rsidR="002A7E1F" w:rsidRDefault="002A7E1F">
    <w:pPr>
      <w:pStyle w:val="Header"/>
    </w:pPr>
    <w:r>
      <w:t xml:space="preserve">Date: </w:t>
    </w:r>
    <w:r w:rsidR="005953DC">
      <w:fldChar w:fldCharType="begin"/>
    </w:r>
    <w:r w:rsidR="005953DC">
      <w:instrText xml:space="preserve"> REF FilingDate </w:instrText>
    </w:r>
    <w:r w:rsidR="005953DC">
      <w:fldChar w:fldCharType="separate"/>
    </w:r>
    <w:r w:rsidR="00D27C4C">
      <w:t>April 23, 2015</w:t>
    </w:r>
    <w:r w:rsidR="005953DC">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5FC61D9"/>
    <w:multiLevelType w:val="hybridMultilevel"/>
    <w:tmpl w:val="54F0CE56"/>
    <w:lvl w:ilvl="0" w:tplc="5484DEFA">
      <w:start w:val="1"/>
      <w:numFmt w:val="decimal"/>
      <w:lvlText w:val="%1)"/>
      <w:lvlJc w:val="left"/>
      <w:pPr>
        <w:ind w:left="1800" w:hanging="360"/>
      </w:pPr>
      <w:rPr>
        <w:rFonts w:hint="default"/>
        <w:b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083480"/>
    <w:rsid w:val="00022E48"/>
    <w:rsid w:val="00033F28"/>
    <w:rsid w:val="000477E9"/>
    <w:rsid w:val="00047C3A"/>
    <w:rsid w:val="00054EB3"/>
    <w:rsid w:val="0005747A"/>
    <w:rsid w:val="00062641"/>
    <w:rsid w:val="00070DCB"/>
    <w:rsid w:val="00083480"/>
    <w:rsid w:val="00085A4E"/>
    <w:rsid w:val="00094B02"/>
    <w:rsid w:val="000A47F8"/>
    <w:rsid w:val="000A58B6"/>
    <w:rsid w:val="000A7747"/>
    <w:rsid w:val="000A7D69"/>
    <w:rsid w:val="000C1CFF"/>
    <w:rsid w:val="000C59BD"/>
    <w:rsid w:val="000D4319"/>
    <w:rsid w:val="00110303"/>
    <w:rsid w:val="00112F1E"/>
    <w:rsid w:val="00116247"/>
    <w:rsid w:val="00117C8C"/>
    <w:rsid w:val="001307AF"/>
    <w:rsid w:val="001327CB"/>
    <w:rsid w:val="001356ED"/>
    <w:rsid w:val="00146025"/>
    <w:rsid w:val="00150AED"/>
    <w:rsid w:val="00161F64"/>
    <w:rsid w:val="00191E1F"/>
    <w:rsid w:val="001930D9"/>
    <w:rsid w:val="00193A3A"/>
    <w:rsid w:val="001A1785"/>
    <w:rsid w:val="001A1B9B"/>
    <w:rsid w:val="001B1D68"/>
    <w:rsid w:val="001B4FEE"/>
    <w:rsid w:val="001B51C5"/>
    <w:rsid w:val="001C1763"/>
    <w:rsid w:val="001C52B5"/>
    <w:rsid w:val="001D0D3E"/>
    <w:rsid w:val="001E517D"/>
    <w:rsid w:val="001F007A"/>
    <w:rsid w:val="002044E6"/>
    <w:rsid w:val="00205C82"/>
    <w:rsid w:val="00205DC2"/>
    <w:rsid w:val="00220732"/>
    <w:rsid w:val="00225C3F"/>
    <w:rsid w:val="0023092E"/>
    <w:rsid w:val="0024177F"/>
    <w:rsid w:val="00245233"/>
    <w:rsid w:val="00260E5A"/>
    <w:rsid w:val="00271F24"/>
    <w:rsid w:val="0028143B"/>
    <w:rsid w:val="00292D82"/>
    <w:rsid w:val="002963CB"/>
    <w:rsid w:val="002A7E1F"/>
    <w:rsid w:val="002B2358"/>
    <w:rsid w:val="002B3E27"/>
    <w:rsid w:val="002B7461"/>
    <w:rsid w:val="002D226D"/>
    <w:rsid w:val="002D5577"/>
    <w:rsid w:val="002E5C38"/>
    <w:rsid w:val="002E79EF"/>
    <w:rsid w:val="003037E1"/>
    <w:rsid w:val="003103EC"/>
    <w:rsid w:val="003137CA"/>
    <w:rsid w:val="003144EF"/>
    <w:rsid w:val="00317157"/>
    <w:rsid w:val="00322F74"/>
    <w:rsid w:val="00326D84"/>
    <w:rsid w:val="00340073"/>
    <w:rsid w:val="00352AB0"/>
    <w:rsid w:val="0035703A"/>
    <w:rsid w:val="00373180"/>
    <w:rsid w:val="00377EE1"/>
    <w:rsid w:val="00397C82"/>
    <w:rsid w:val="003A29B7"/>
    <w:rsid w:val="003A5708"/>
    <w:rsid w:val="003B2510"/>
    <w:rsid w:val="003B35ED"/>
    <w:rsid w:val="003B68B6"/>
    <w:rsid w:val="003C2CC4"/>
    <w:rsid w:val="003C557D"/>
    <w:rsid w:val="003C755D"/>
    <w:rsid w:val="003E0EFC"/>
    <w:rsid w:val="003E4A2B"/>
    <w:rsid w:val="003E76C2"/>
    <w:rsid w:val="003F7FDD"/>
    <w:rsid w:val="00411D70"/>
    <w:rsid w:val="00412DAE"/>
    <w:rsid w:val="004362C4"/>
    <w:rsid w:val="004454C8"/>
    <w:rsid w:val="00455717"/>
    <w:rsid w:val="00470487"/>
    <w:rsid w:val="00491C35"/>
    <w:rsid w:val="004961FD"/>
    <w:rsid w:val="004B0C4F"/>
    <w:rsid w:val="004B505A"/>
    <w:rsid w:val="004C4390"/>
    <w:rsid w:val="004C4AF7"/>
    <w:rsid w:val="004D2881"/>
    <w:rsid w:val="004D516D"/>
    <w:rsid w:val="004D67D0"/>
    <w:rsid w:val="004D6C48"/>
    <w:rsid w:val="004E22EF"/>
    <w:rsid w:val="0050699C"/>
    <w:rsid w:val="00512EA0"/>
    <w:rsid w:val="005353ED"/>
    <w:rsid w:val="005366A2"/>
    <w:rsid w:val="005423FA"/>
    <w:rsid w:val="00553FE2"/>
    <w:rsid w:val="005614BD"/>
    <w:rsid w:val="0057154F"/>
    <w:rsid w:val="005768B4"/>
    <w:rsid w:val="00595A2D"/>
    <w:rsid w:val="00597730"/>
    <w:rsid w:val="005A4AA2"/>
    <w:rsid w:val="005A65A9"/>
    <w:rsid w:val="005A75CD"/>
    <w:rsid w:val="005B4911"/>
    <w:rsid w:val="005C12E2"/>
    <w:rsid w:val="005D2E7D"/>
    <w:rsid w:val="005D561B"/>
    <w:rsid w:val="005F1F42"/>
    <w:rsid w:val="005F26F5"/>
    <w:rsid w:val="005F468D"/>
    <w:rsid w:val="00615423"/>
    <w:rsid w:val="006165B2"/>
    <w:rsid w:val="00625D97"/>
    <w:rsid w:val="00625F1C"/>
    <w:rsid w:val="00630CEB"/>
    <w:rsid w:val="00651212"/>
    <w:rsid w:val="00667036"/>
    <w:rsid w:val="00671856"/>
    <w:rsid w:val="00681B55"/>
    <w:rsid w:val="0068481F"/>
    <w:rsid w:val="00693AC1"/>
    <w:rsid w:val="00696F5D"/>
    <w:rsid w:val="006A3059"/>
    <w:rsid w:val="006A3B65"/>
    <w:rsid w:val="006A74FA"/>
    <w:rsid w:val="006B6A98"/>
    <w:rsid w:val="006D0A52"/>
    <w:rsid w:val="007020D3"/>
    <w:rsid w:val="00705B04"/>
    <w:rsid w:val="007138A2"/>
    <w:rsid w:val="00723022"/>
    <w:rsid w:val="00723D87"/>
    <w:rsid w:val="007254D4"/>
    <w:rsid w:val="007349DC"/>
    <w:rsid w:val="007433D5"/>
    <w:rsid w:val="0074365E"/>
    <w:rsid w:val="007515FD"/>
    <w:rsid w:val="007568D3"/>
    <w:rsid w:val="007632F2"/>
    <w:rsid w:val="00765D40"/>
    <w:rsid w:val="00780C09"/>
    <w:rsid w:val="00780DDF"/>
    <w:rsid w:val="00787DBC"/>
    <w:rsid w:val="0079093C"/>
    <w:rsid w:val="00794FDA"/>
    <w:rsid w:val="00796102"/>
    <w:rsid w:val="007A04A1"/>
    <w:rsid w:val="007A1840"/>
    <w:rsid w:val="007A4B52"/>
    <w:rsid w:val="007C0528"/>
    <w:rsid w:val="007C3D38"/>
    <w:rsid w:val="007E0CE7"/>
    <w:rsid w:val="007E42F7"/>
    <w:rsid w:val="007F3AF5"/>
    <w:rsid w:val="007F7548"/>
    <w:rsid w:val="00816624"/>
    <w:rsid w:val="00822562"/>
    <w:rsid w:val="00823663"/>
    <w:rsid w:val="00825E1E"/>
    <w:rsid w:val="00832DDC"/>
    <w:rsid w:val="00850BAC"/>
    <w:rsid w:val="00854A3E"/>
    <w:rsid w:val="00855D08"/>
    <w:rsid w:val="0086239D"/>
    <w:rsid w:val="00863EE7"/>
    <w:rsid w:val="0088233B"/>
    <w:rsid w:val="00882368"/>
    <w:rsid w:val="00884397"/>
    <w:rsid w:val="00892AFC"/>
    <w:rsid w:val="00893EC3"/>
    <w:rsid w:val="00896143"/>
    <w:rsid w:val="008A2A0E"/>
    <w:rsid w:val="008B62AE"/>
    <w:rsid w:val="008E14AA"/>
    <w:rsid w:val="008E2C4A"/>
    <w:rsid w:val="008E485D"/>
    <w:rsid w:val="008F7736"/>
    <w:rsid w:val="00901086"/>
    <w:rsid w:val="00901C8A"/>
    <w:rsid w:val="00905886"/>
    <w:rsid w:val="0091334C"/>
    <w:rsid w:val="009145D6"/>
    <w:rsid w:val="00922002"/>
    <w:rsid w:val="009221BE"/>
    <w:rsid w:val="00923E25"/>
    <w:rsid w:val="0093658B"/>
    <w:rsid w:val="00945BD6"/>
    <w:rsid w:val="009467CE"/>
    <w:rsid w:val="00951C45"/>
    <w:rsid w:val="0095657E"/>
    <w:rsid w:val="00971207"/>
    <w:rsid w:val="009719FB"/>
    <w:rsid w:val="0097777D"/>
    <w:rsid w:val="009841EE"/>
    <w:rsid w:val="009863B0"/>
    <w:rsid w:val="0099673A"/>
    <w:rsid w:val="009A4A34"/>
    <w:rsid w:val="009A7C96"/>
    <w:rsid w:val="009B5562"/>
    <w:rsid w:val="009C67D8"/>
    <w:rsid w:val="009D27D4"/>
    <w:rsid w:val="009D46E5"/>
    <w:rsid w:val="009D568A"/>
    <w:rsid w:val="009F04EC"/>
    <w:rsid w:val="00A019B9"/>
    <w:rsid w:val="00A06D42"/>
    <w:rsid w:val="00A12508"/>
    <w:rsid w:val="00A13003"/>
    <w:rsid w:val="00A175B6"/>
    <w:rsid w:val="00A21835"/>
    <w:rsid w:val="00A33A51"/>
    <w:rsid w:val="00A41548"/>
    <w:rsid w:val="00A41CA6"/>
    <w:rsid w:val="00A43B18"/>
    <w:rsid w:val="00A43C39"/>
    <w:rsid w:val="00A47FFC"/>
    <w:rsid w:val="00A54FF9"/>
    <w:rsid w:val="00A6540D"/>
    <w:rsid w:val="00A848E7"/>
    <w:rsid w:val="00A84BA8"/>
    <w:rsid w:val="00A92FB1"/>
    <w:rsid w:val="00A95A0C"/>
    <w:rsid w:val="00AA2765"/>
    <w:rsid w:val="00AA77B5"/>
    <w:rsid w:val="00AB06BD"/>
    <w:rsid w:val="00AB6C5D"/>
    <w:rsid w:val="00AB71B3"/>
    <w:rsid w:val="00AC028D"/>
    <w:rsid w:val="00AD2C1A"/>
    <w:rsid w:val="00AD6EE9"/>
    <w:rsid w:val="00AE0B6B"/>
    <w:rsid w:val="00AF6B6F"/>
    <w:rsid w:val="00B002B1"/>
    <w:rsid w:val="00B04154"/>
    <w:rsid w:val="00B04B72"/>
    <w:rsid w:val="00B05B51"/>
    <w:rsid w:val="00B14356"/>
    <w:rsid w:val="00B15370"/>
    <w:rsid w:val="00B17BEB"/>
    <w:rsid w:val="00B21A3C"/>
    <w:rsid w:val="00B234ED"/>
    <w:rsid w:val="00B25CA3"/>
    <w:rsid w:val="00B46A6B"/>
    <w:rsid w:val="00B64EF6"/>
    <w:rsid w:val="00B74A09"/>
    <w:rsid w:val="00B7530B"/>
    <w:rsid w:val="00B7669E"/>
    <w:rsid w:val="00B94CD5"/>
    <w:rsid w:val="00BA0D55"/>
    <w:rsid w:val="00BC188A"/>
    <w:rsid w:val="00BC24CF"/>
    <w:rsid w:val="00BC35B6"/>
    <w:rsid w:val="00BD07C1"/>
    <w:rsid w:val="00BD133F"/>
    <w:rsid w:val="00BD54FA"/>
    <w:rsid w:val="00BF23BA"/>
    <w:rsid w:val="00BF5010"/>
    <w:rsid w:val="00C13A9E"/>
    <w:rsid w:val="00C36977"/>
    <w:rsid w:val="00C41C80"/>
    <w:rsid w:val="00C4397D"/>
    <w:rsid w:val="00C44E25"/>
    <w:rsid w:val="00C60BA3"/>
    <w:rsid w:val="00C623F7"/>
    <w:rsid w:val="00C632E0"/>
    <w:rsid w:val="00C85D87"/>
    <w:rsid w:val="00C86896"/>
    <w:rsid w:val="00C907A8"/>
    <w:rsid w:val="00C93211"/>
    <w:rsid w:val="00CA0818"/>
    <w:rsid w:val="00CA30DA"/>
    <w:rsid w:val="00CA4EB1"/>
    <w:rsid w:val="00CB0EB6"/>
    <w:rsid w:val="00CB33E9"/>
    <w:rsid w:val="00CB6A82"/>
    <w:rsid w:val="00CD4EED"/>
    <w:rsid w:val="00CF0DA8"/>
    <w:rsid w:val="00CF4453"/>
    <w:rsid w:val="00CF683E"/>
    <w:rsid w:val="00D01716"/>
    <w:rsid w:val="00D01B94"/>
    <w:rsid w:val="00D04BE4"/>
    <w:rsid w:val="00D14127"/>
    <w:rsid w:val="00D266A2"/>
    <w:rsid w:val="00D27C4C"/>
    <w:rsid w:val="00D317F5"/>
    <w:rsid w:val="00D5568C"/>
    <w:rsid w:val="00D73809"/>
    <w:rsid w:val="00D81563"/>
    <w:rsid w:val="00D9073E"/>
    <w:rsid w:val="00D9221D"/>
    <w:rsid w:val="00D94F20"/>
    <w:rsid w:val="00D95B1E"/>
    <w:rsid w:val="00DA299B"/>
    <w:rsid w:val="00DB1C78"/>
    <w:rsid w:val="00DB4EC9"/>
    <w:rsid w:val="00DB7D4E"/>
    <w:rsid w:val="00DC63B4"/>
    <w:rsid w:val="00DD150B"/>
    <w:rsid w:val="00DD6D51"/>
    <w:rsid w:val="00E01B33"/>
    <w:rsid w:val="00E10967"/>
    <w:rsid w:val="00E13C2A"/>
    <w:rsid w:val="00E20A7D"/>
    <w:rsid w:val="00E375CA"/>
    <w:rsid w:val="00E43F57"/>
    <w:rsid w:val="00E61435"/>
    <w:rsid w:val="00E65BEF"/>
    <w:rsid w:val="00E65EBC"/>
    <w:rsid w:val="00E72F4B"/>
    <w:rsid w:val="00E73432"/>
    <w:rsid w:val="00E74133"/>
    <w:rsid w:val="00E77B0C"/>
    <w:rsid w:val="00E82A1D"/>
    <w:rsid w:val="00E838B0"/>
    <w:rsid w:val="00E86A7C"/>
    <w:rsid w:val="00E878E1"/>
    <w:rsid w:val="00E96A64"/>
    <w:rsid w:val="00EA2273"/>
    <w:rsid w:val="00EB1F43"/>
    <w:rsid w:val="00EC0C5E"/>
    <w:rsid w:val="00EC3FBB"/>
    <w:rsid w:val="00EC5111"/>
    <w:rsid w:val="00ED3A87"/>
    <w:rsid w:val="00ED5B67"/>
    <w:rsid w:val="00EE70C9"/>
    <w:rsid w:val="00EF2291"/>
    <w:rsid w:val="00EF3FEE"/>
    <w:rsid w:val="00F0174D"/>
    <w:rsid w:val="00F025B4"/>
    <w:rsid w:val="00F03998"/>
    <w:rsid w:val="00F04B59"/>
    <w:rsid w:val="00F12B1C"/>
    <w:rsid w:val="00F15855"/>
    <w:rsid w:val="00F32978"/>
    <w:rsid w:val="00F36577"/>
    <w:rsid w:val="00F651DD"/>
    <w:rsid w:val="00F66202"/>
    <w:rsid w:val="00F70615"/>
    <w:rsid w:val="00F713C0"/>
    <w:rsid w:val="00F75DDC"/>
    <w:rsid w:val="00FA32DE"/>
    <w:rsid w:val="00FA59CD"/>
    <w:rsid w:val="00FA78CF"/>
    <w:rsid w:val="00FB1740"/>
    <w:rsid w:val="00FC1A5B"/>
    <w:rsid w:val="00FC38FC"/>
    <w:rsid w:val="00FC6D7D"/>
    <w:rsid w:val="00FC7BE7"/>
    <w:rsid w:val="00FD1606"/>
    <w:rsid w:val="00FD4FED"/>
    <w:rsid w:val="00FE0B65"/>
    <w:rsid w:val="00FE6C64"/>
    <w:rsid w:val="00FF3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ind w:firstLine="720"/>
      <w:jc w:val="both"/>
    </w:pPr>
  </w:style>
  <w:style w:type="character" w:customStyle="1" w:styleId="BodyTextChar">
    <w:name w:val="Body Text Char"/>
    <w:link w:val="BodyText"/>
    <w:rPr>
      <w:sz w:val="24"/>
      <w:szCs w:val="24"/>
      <w:lang w:val="en-US" w:eastAsia="en-US" w:bidi="ar-SA"/>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pPr>
      <w:jc w:val="center"/>
    </w:pPr>
    <w:rPr>
      <w:rFonts w:ascii="WeddingText BT" w:hAnsi="WeddingText BT"/>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pPr>
      <w:keepNext w:val="0"/>
    </w:pPr>
  </w:style>
  <w:style w:type="character" w:customStyle="1" w:styleId="IssueHeadingChar">
    <w:name w:val="Issue Heading Char"/>
    <w:basedOn w:val="Heading1Char"/>
    <w:link w:val="IssueHeading"/>
    <w:rPr>
      <w:rFonts w:cs="Arial"/>
      <w:bCs/>
      <w:kern w:val="32"/>
      <w:sz w:val="24"/>
      <w:szCs w:val="32"/>
      <w:lang w:val="en-US" w:eastAsia="en-US" w:bidi="ar-SA"/>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pPr>
      <w:jc w:val="center"/>
    </w:pPr>
    <w:rPr>
      <w:b/>
      <w:u w:val="single"/>
    </w:rPr>
  </w:style>
  <w:style w:type="paragraph" w:customStyle="1" w:styleId="IssueSubsectionHeading">
    <w:name w:val="Issue Subsection Heading"/>
    <w:basedOn w:val="Heading2"/>
    <w:next w:val="BodyText"/>
    <w:link w:val="IssueSubsectionHeadingChar"/>
    <w:pPr>
      <w:keepNext w:val="0"/>
    </w:pPr>
  </w:style>
  <w:style w:type="character" w:customStyle="1" w:styleId="IssueSubsectionHeadingChar">
    <w:name w:val="Issue Subsection Heading Char"/>
    <w:basedOn w:val="Heading2Char"/>
    <w:link w:val="IssueSubsectionHeading"/>
    <w:rPr>
      <w:rFonts w:cs="Arial"/>
      <w:bCs/>
      <w:iCs/>
      <w:sz w:val="24"/>
      <w:szCs w:val="28"/>
      <w:lang w:val="en-US" w:eastAsia="en-US" w:bidi="ar-SA"/>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character" w:styleId="FootnoteReference">
    <w:name w:val="footnote reference"/>
    <w:rsid w:val="00B94CD5"/>
    <w:rPr>
      <w:vertAlign w:val="superscript"/>
    </w:rPr>
  </w:style>
  <w:style w:type="character" w:customStyle="1" w:styleId="FootnoteTextChar">
    <w:name w:val="Footnote Text Char"/>
    <w:link w:val="FootnoteText"/>
    <w:rsid w:val="00B002B1"/>
  </w:style>
  <w:style w:type="paragraph" w:customStyle="1" w:styleId="factsbody">
    <w:name w:val="factsbody"/>
    <w:basedOn w:val="Normal"/>
    <w:rsid w:val="00B002B1"/>
    <w:pPr>
      <w:spacing w:before="100" w:beforeAutospacing="1" w:after="100" w:afterAutospacing="1"/>
    </w:pPr>
    <w:rPr>
      <w:rFonts w:ascii="Arial" w:hAnsi="Arial" w:cs="Arial"/>
      <w:color w:val="000000"/>
      <w:sz w:val="22"/>
      <w:szCs w:val="22"/>
    </w:rPr>
  </w:style>
  <w:style w:type="paragraph" w:customStyle="1" w:styleId="Default">
    <w:name w:val="Default"/>
    <w:rsid w:val="00B74A09"/>
    <w:pPr>
      <w:autoSpaceDE w:val="0"/>
      <w:autoSpaceDN w:val="0"/>
      <w:adjustRightInd w:val="0"/>
    </w:pPr>
    <w:rPr>
      <w:color w:val="000000"/>
      <w:sz w:val="24"/>
      <w:szCs w:val="24"/>
    </w:rPr>
  </w:style>
  <w:style w:type="character" w:styleId="FollowedHyperlink">
    <w:name w:val="FollowedHyperlink"/>
    <w:basedOn w:val="DefaultParagraphFont"/>
    <w:rsid w:val="00193A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ind w:firstLine="720"/>
      <w:jc w:val="both"/>
    </w:pPr>
  </w:style>
  <w:style w:type="character" w:customStyle="1" w:styleId="BodyTextChar">
    <w:name w:val="Body Text Char"/>
    <w:link w:val="BodyText"/>
    <w:rPr>
      <w:sz w:val="24"/>
      <w:szCs w:val="24"/>
      <w:lang w:val="en-US" w:eastAsia="en-US" w:bidi="ar-SA"/>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pPr>
      <w:jc w:val="center"/>
    </w:pPr>
    <w:rPr>
      <w:rFonts w:ascii="WeddingText BT" w:hAnsi="WeddingText BT"/>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pPr>
      <w:keepNext w:val="0"/>
    </w:pPr>
  </w:style>
  <w:style w:type="character" w:customStyle="1" w:styleId="IssueHeadingChar">
    <w:name w:val="Issue Heading Char"/>
    <w:basedOn w:val="Heading1Char"/>
    <w:link w:val="IssueHeading"/>
    <w:rPr>
      <w:rFonts w:cs="Arial"/>
      <w:bCs/>
      <w:kern w:val="32"/>
      <w:sz w:val="24"/>
      <w:szCs w:val="32"/>
      <w:lang w:val="en-US" w:eastAsia="en-US" w:bidi="ar-SA"/>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pPr>
      <w:jc w:val="center"/>
    </w:pPr>
    <w:rPr>
      <w:b/>
      <w:u w:val="single"/>
    </w:rPr>
  </w:style>
  <w:style w:type="paragraph" w:customStyle="1" w:styleId="IssueSubsectionHeading">
    <w:name w:val="Issue Subsection Heading"/>
    <w:basedOn w:val="Heading2"/>
    <w:next w:val="BodyText"/>
    <w:link w:val="IssueSubsectionHeadingChar"/>
    <w:pPr>
      <w:keepNext w:val="0"/>
    </w:pPr>
  </w:style>
  <w:style w:type="character" w:customStyle="1" w:styleId="IssueSubsectionHeadingChar">
    <w:name w:val="Issue Subsection Heading Char"/>
    <w:basedOn w:val="Heading2Char"/>
    <w:link w:val="IssueSubsectionHeading"/>
    <w:rPr>
      <w:rFonts w:cs="Arial"/>
      <w:bCs/>
      <w:iCs/>
      <w:sz w:val="24"/>
      <w:szCs w:val="28"/>
      <w:lang w:val="en-US" w:eastAsia="en-US" w:bidi="ar-SA"/>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character" w:styleId="FootnoteReference">
    <w:name w:val="footnote reference"/>
    <w:rsid w:val="00B94CD5"/>
    <w:rPr>
      <w:vertAlign w:val="superscript"/>
    </w:rPr>
  </w:style>
  <w:style w:type="character" w:customStyle="1" w:styleId="FootnoteTextChar">
    <w:name w:val="Footnote Text Char"/>
    <w:link w:val="FootnoteText"/>
    <w:rsid w:val="00B002B1"/>
  </w:style>
  <w:style w:type="paragraph" w:customStyle="1" w:styleId="factsbody">
    <w:name w:val="factsbody"/>
    <w:basedOn w:val="Normal"/>
    <w:rsid w:val="00B002B1"/>
    <w:pPr>
      <w:spacing w:before="100" w:beforeAutospacing="1" w:after="100" w:afterAutospacing="1"/>
    </w:pPr>
    <w:rPr>
      <w:rFonts w:ascii="Arial" w:hAnsi="Arial" w:cs="Arial"/>
      <w:color w:val="000000"/>
      <w:sz w:val="22"/>
      <w:szCs w:val="22"/>
    </w:rPr>
  </w:style>
  <w:style w:type="paragraph" w:customStyle="1" w:styleId="Default">
    <w:name w:val="Default"/>
    <w:rsid w:val="00B74A09"/>
    <w:pPr>
      <w:autoSpaceDE w:val="0"/>
      <w:autoSpaceDN w:val="0"/>
      <w:adjustRightInd w:val="0"/>
    </w:pPr>
    <w:rPr>
      <w:color w:val="000000"/>
      <w:sz w:val="24"/>
      <w:szCs w:val="24"/>
    </w:rPr>
  </w:style>
  <w:style w:type="character" w:styleId="FollowedHyperlink">
    <w:name w:val="FollowedHyperlink"/>
    <w:basedOn w:val="DefaultParagraphFont"/>
    <w:rsid w:val="00193A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43347">
      <w:bodyDiv w:val="1"/>
      <w:marLeft w:val="0"/>
      <w:marRight w:val="0"/>
      <w:marTop w:val="0"/>
      <w:marBottom w:val="0"/>
      <w:divBdr>
        <w:top w:val="none" w:sz="0" w:space="0" w:color="auto"/>
        <w:left w:val="none" w:sz="0" w:space="0" w:color="auto"/>
        <w:bottom w:val="none" w:sz="0" w:space="0" w:color="auto"/>
        <w:right w:val="none" w:sz="0" w:space="0" w:color="auto"/>
      </w:divBdr>
    </w:div>
    <w:div w:id="1192180829">
      <w:bodyDiv w:val="1"/>
      <w:marLeft w:val="0"/>
      <w:marRight w:val="0"/>
      <w:marTop w:val="0"/>
      <w:marBottom w:val="0"/>
      <w:divBdr>
        <w:top w:val="none" w:sz="0" w:space="0" w:color="auto"/>
        <w:left w:val="none" w:sz="0" w:space="0" w:color="auto"/>
        <w:bottom w:val="none" w:sz="0" w:space="0" w:color="auto"/>
        <w:right w:val="none" w:sz="0" w:space="0" w:color="auto"/>
      </w:divBdr>
      <w:divsChild>
        <w:div w:id="897593232">
          <w:marLeft w:val="0"/>
          <w:marRight w:val="0"/>
          <w:marTop w:val="100"/>
          <w:marBottom w:val="100"/>
          <w:divBdr>
            <w:top w:val="none" w:sz="0" w:space="0" w:color="auto"/>
            <w:left w:val="none" w:sz="0" w:space="0" w:color="auto"/>
            <w:bottom w:val="none" w:sz="0" w:space="0" w:color="auto"/>
            <w:right w:val="none" w:sz="0" w:space="0" w:color="auto"/>
          </w:divBdr>
          <w:divsChild>
            <w:div w:id="464809763">
              <w:marLeft w:val="0"/>
              <w:marRight w:val="0"/>
              <w:marTop w:val="0"/>
              <w:marBottom w:val="0"/>
              <w:divBdr>
                <w:top w:val="none" w:sz="0" w:space="0" w:color="auto"/>
                <w:left w:val="none" w:sz="0" w:space="0" w:color="auto"/>
                <w:bottom w:val="none" w:sz="0" w:space="0" w:color="auto"/>
                <w:right w:val="none" w:sz="0" w:space="0" w:color="auto"/>
              </w:divBdr>
              <w:divsChild>
                <w:div w:id="1576360150">
                  <w:marLeft w:val="-6000"/>
                  <w:marRight w:val="0"/>
                  <w:marTop w:val="0"/>
                  <w:marBottom w:val="0"/>
                  <w:divBdr>
                    <w:top w:val="none" w:sz="0" w:space="0" w:color="auto"/>
                    <w:left w:val="none" w:sz="0" w:space="0" w:color="auto"/>
                    <w:bottom w:val="none" w:sz="0" w:space="0" w:color="auto"/>
                    <w:right w:val="none" w:sz="0" w:space="0" w:color="auto"/>
                  </w:divBdr>
                  <w:divsChild>
                    <w:div w:id="1980499260">
                      <w:marLeft w:val="3300"/>
                      <w:marRight w:val="0"/>
                      <w:marTop w:val="0"/>
                      <w:marBottom w:val="0"/>
                      <w:divBdr>
                        <w:top w:val="none" w:sz="0" w:space="0" w:color="auto"/>
                        <w:left w:val="none" w:sz="0" w:space="0" w:color="auto"/>
                        <w:bottom w:val="none" w:sz="0" w:space="0" w:color="auto"/>
                        <w:right w:val="none" w:sz="0" w:space="0" w:color="auto"/>
                      </w:divBdr>
                      <w:divsChild>
                        <w:div w:id="1823501009">
                          <w:marLeft w:val="0"/>
                          <w:marRight w:val="0"/>
                          <w:marTop w:val="0"/>
                          <w:marBottom w:val="0"/>
                          <w:divBdr>
                            <w:top w:val="none" w:sz="0" w:space="0" w:color="auto"/>
                            <w:left w:val="none" w:sz="0" w:space="0" w:color="auto"/>
                            <w:bottom w:val="none" w:sz="0" w:space="0" w:color="auto"/>
                            <w:right w:val="none" w:sz="0" w:space="0" w:color="auto"/>
                          </w:divBdr>
                          <w:divsChild>
                            <w:div w:id="903489659">
                              <w:marLeft w:val="0"/>
                              <w:marRight w:val="0"/>
                              <w:marTop w:val="0"/>
                              <w:marBottom w:val="0"/>
                              <w:divBdr>
                                <w:top w:val="none" w:sz="0" w:space="0" w:color="auto"/>
                                <w:left w:val="none" w:sz="0" w:space="0" w:color="auto"/>
                                <w:bottom w:val="none" w:sz="0" w:space="0" w:color="auto"/>
                                <w:right w:val="none" w:sz="0" w:space="0" w:color="auto"/>
                              </w:divBdr>
                            </w:div>
                            <w:div w:id="2402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183322">
      <w:bodyDiv w:val="1"/>
      <w:marLeft w:val="0"/>
      <w:marRight w:val="0"/>
      <w:marTop w:val="0"/>
      <w:marBottom w:val="0"/>
      <w:divBdr>
        <w:top w:val="none" w:sz="0" w:space="0" w:color="auto"/>
        <w:left w:val="none" w:sz="0" w:space="0" w:color="auto"/>
        <w:bottom w:val="none" w:sz="0" w:space="0" w:color="auto"/>
        <w:right w:val="none" w:sz="0" w:space="0" w:color="auto"/>
      </w:divBdr>
    </w:div>
    <w:div w:id="20591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apps.fcc.gov/ecfs/comment/view?id=600010271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3D502-7EA1-436A-9A87-C8BDDAB5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13</Pages>
  <Words>3318</Words>
  <Characters>18913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Charlene Hinson</cp:lastModifiedBy>
  <cp:revision>2</cp:revision>
  <cp:lastPrinted>2015-04-23T15:16:00Z</cp:lastPrinted>
  <dcterms:created xsi:type="dcterms:W3CDTF">2015-04-23T15:46:00Z</dcterms:created>
  <dcterms:modified xsi:type="dcterms:W3CDTF">2015-04-23T15:46:00Z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
  </property>
  <property fmtid="{D5CDD505-2E9C-101B-9397-08002B2CF9AE}" pid="3" name="MasterDocument">
    <vt:bool>false</vt:bool>
  </property>
</Properties>
</file>