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96990" w:rsidP="00996990">
      <w:pPr>
        <w:pStyle w:val="OrderHeading"/>
      </w:pPr>
      <w:r>
        <w:t>BEFORE THE FLORIDA PUBLIC SERVICE COMMISSION</w:t>
      </w:r>
    </w:p>
    <w:p w:rsidR="00996990" w:rsidRDefault="00996990" w:rsidP="00996990">
      <w:pPr>
        <w:pStyle w:val="OrderHeading"/>
      </w:pPr>
    </w:p>
    <w:p w:rsidR="00996990" w:rsidRDefault="00996990" w:rsidP="0099699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96990" w:rsidRPr="00C63FCF" w:rsidTr="00C63FCF">
        <w:trPr>
          <w:trHeight w:val="828"/>
        </w:trPr>
        <w:tc>
          <w:tcPr>
            <w:tcW w:w="4788" w:type="dxa"/>
            <w:tcBorders>
              <w:bottom w:val="single" w:sz="8" w:space="0" w:color="auto"/>
              <w:right w:val="double" w:sz="6" w:space="0" w:color="auto"/>
            </w:tcBorders>
            <w:shd w:val="clear" w:color="auto" w:fill="auto"/>
          </w:tcPr>
          <w:p w:rsidR="00996990" w:rsidRDefault="00996990" w:rsidP="00C63FCF">
            <w:pPr>
              <w:pStyle w:val="OrderBody"/>
              <w:tabs>
                <w:tab w:val="center" w:pos="4320"/>
                <w:tab w:val="right" w:pos="8640"/>
              </w:tabs>
              <w:jc w:val="left"/>
            </w:pPr>
            <w:r>
              <w:t xml:space="preserve">In re: </w:t>
            </w:r>
            <w:bookmarkStart w:id="0" w:name="SSInRe"/>
            <w:bookmarkEnd w:id="0"/>
            <w:r>
              <w:t>Water and wastewater industry annual reestablishment of authorized range of return on common equity for water and wastewater utilities pursuant to Section 367.081(4)(f), F.S.</w:t>
            </w:r>
          </w:p>
        </w:tc>
        <w:tc>
          <w:tcPr>
            <w:tcW w:w="4788" w:type="dxa"/>
            <w:tcBorders>
              <w:left w:val="double" w:sz="6" w:space="0" w:color="auto"/>
            </w:tcBorders>
            <w:shd w:val="clear" w:color="auto" w:fill="auto"/>
          </w:tcPr>
          <w:p w:rsidR="00996990" w:rsidRDefault="00996990" w:rsidP="00996990">
            <w:pPr>
              <w:pStyle w:val="OrderBody"/>
            </w:pPr>
            <w:r>
              <w:t xml:space="preserve">DOCKET NO. </w:t>
            </w:r>
            <w:bookmarkStart w:id="1" w:name="SSDocketNo"/>
            <w:bookmarkEnd w:id="1"/>
            <w:r>
              <w:t>150006-WS</w:t>
            </w:r>
          </w:p>
          <w:p w:rsidR="00996990" w:rsidRDefault="00996990" w:rsidP="00C63FCF">
            <w:pPr>
              <w:pStyle w:val="OrderBody"/>
              <w:tabs>
                <w:tab w:val="center" w:pos="4320"/>
                <w:tab w:val="right" w:pos="8640"/>
              </w:tabs>
              <w:jc w:val="left"/>
            </w:pPr>
            <w:r>
              <w:t xml:space="preserve">ORDER NO. </w:t>
            </w:r>
            <w:bookmarkStart w:id="2" w:name="OrderNo0259"/>
            <w:r w:rsidR="00816868">
              <w:t>PSC-15-0259-PAA-WS</w:t>
            </w:r>
            <w:bookmarkEnd w:id="2"/>
          </w:p>
          <w:p w:rsidR="00996990" w:rsidRDefault="00996990" w:rsidP="00C63FCF">
            <w:pPr>
              <w:pStyle w:val="OrderBody"/>
              <w:tabs>
                <w:tab w:val="center" w:pos="4320"/>
                <w:tab w:val="right" w:pos="8640"/>
              </w:tabs>
              <w:jc w:val="left"/>
            </w:pPr>
            <w:r>
              <w:t xml:space="preserve">ISSUED: </w:t>
            </w:r>
            <w:r w:rsidR="00816868">
              <w:t>July 2, 2015</w:t>
            </w:r>
          </w:p>
        </w:tc>
      </w:tr>
    </w:tbl>
    <w:p w:rsidR="00996990" w:rsidRDefault="00996990" w:rsidP="00996990"/>
    <w:p w:rsidR="00996990" w:rsidRDefault="00996990" w:rsidP="00996990"/>
    <w:p w:rsidR="00996990" w:rsidRPr="00E46E1F" w:rsidRDefault="00996990">
      <w:pPr>
        <w:ind w:firstLine="720"/>
        <w:jc w:val="both"/>
      </w:pPr>
      <w:bookmarkStart w:id="3" w:name="Commissioners"/>
      <w:bookmarkEnd w:id="3"/>
      <w:r w:rsidRPr="00E46E1F">
        <w:t>The following Commissioners participated in the disposition of this matter:</w:t>
      </w:r>
    </w:p>
    <w:p w:rsidR="00996990" w:rsidRPr="00E46E1F" w:rsidRDefault="00996990"/>
    <w:p w:rsidR="00996990" w:rsidRDefault="00996990">
      <w:pPr>
        <w:jc w:val="center"/>
      </w:pPr>
      <w:r>
        <w:t>ART GRAHAM</w:t>
      </w:r>
      <w:r w:rsidRPr="00E46E1F">
        <w:t>, Chairman</w:t>
      </w:r>
    </w:p>
    <w:p w:rsidR="00996990" w:rsidRPr="00E46E1F" w:rsidRDefault="00996990">
      <w:pPr>
        <w:jc w:val="center"/>
      </w:pPr>
      <w:r w:rsidRPr="00E46E1F">
        <w:t>LISA POLAK EDGAR</w:t>
      </w:r>
    </w:p>
    <w:p w:rsidR="00996990" w:rsidRDefault="00996990">
      <w:pPr>
        <w:jc w:val="center"/>
      </w:pPr>
      <w:r>
        <w:t>RONALD A. BRISÉ</w:t>
      </w:r>
    </w:p>
    <w:p w:rsidR="00996990" w:rsidRDefault="00996990">
      <w:pPr>
        <w:jc w:val="center"/>
      </w:pPr>
      <w:r>
        <w:t>JULIE I. BROWN</w:t>
      </w:r>
    </w:p>
    <w:p w:rsidR="00996990" w:rsidRDefault="00996990">
      <w:pPr>
        <w:jc w:val="center"/>
      </w:pPr>
      <w:r>
        <w:t>JIMMY PATRONIS</w:t>
      </w:r>
    </w:p>
    <w:p w:rsidR="00CB5276" w:rsidRDefault="00CB5276">
      <w:pPr>
        <w:pStyle w:val="OrderBody"/>
      </w:pPr>
    </w:p>
    <w:p w:rsidR="00996990" w:rsidRDefault="00996990" w:rsidP="00996990">
      <w:pPr>
        <w:pStyle w:val="OrderBody"/>
      </w:pPr>
    </w:p>
    <w:p w:rsidR="00996990" w:rsidRDefault="00996990" w:rsidP="00996990">
      <w:pPr>
        <w:pStyle w:val="OrderBody"/>
      </w:pPr>
    </w:p>
    <w:bookmarkStart w:id="4" w:name="OrderText"/>
    <w:bookmarkEnd w:id="4"/>
    <w:p w:rsidR="00996990" w:rsidRPr="003E4B2D" w:rsidRDefault="00996990">
      <w:pPr>
        <w:pStyle w:val="OrderBody"/>
        <w:jc w:val="center"/>
        <w:rPr>
          <w:u w:val="single"/>
        </w:rPr>
      </w:pPr>
      <w:r w:rsidRPr="003E4B2D">
        <w:rPr>
          <w:lang w:val="en-CA"/>
        </w:rPr>
        <w:fldChar w:fldCharType="begin"/>
      </w:r>
      <w:r w:rsidRPr="003E4B2D">
        <w:rPr>
          <w:lang w:val="en-CA"/>
        </w:rPr>
        <w:instrText xml:space="preserve"> SEQ CHAPTER \h \r 1</w:instrText>
      </w:r>
      <w:r w:rsidRPr="003E4B2D">
        <w:fldChar w:fldCharType="end"/>
      </w:r>
      <w:r w:rsidRPr="003E4B2D">
        <w:rPr>
          <w:u w:val="single"/>
        </w:rPr>
        <w:t>NOTICE OF PROPOSED AGENCY ACTION</w:t>
      </w:r>
    </w:p>
    <w:p w:rsidR="00996990" w:rsidRPr="003E4B2D" w:rsidRDefault="00996990">
      <w:pPr>
        <w:pStyle w:val="OrderBody"/>
        <w:jc w:val="center"/>
        <w:rPr>
          <w:u w:val="single"/>
        </w:rPr>
      </w:pPr>
      <w:r w:rsidRPr="003E4B2D">
        <w:rPr>
          <w:u w:val="single"/>
        </w:rPr>
        <w:t>ORDER</w:t>
      </w:r>
      <w:bookmarkStart w:id="5" w:name="OrderTitle"/>
      <w:r>
        <w:rPr>
          <w:u w:val="single"/>
        </w:rPr>
        <w:t xml:space="preserve"> </w:t>
      </w:r>
      <w:bookmarkEnd w:id="5"/>
      <w:r w:rsidR="00C400A3" w:rsidRPr="00C400A3">
        <w:rPr>
          <w:u w:val="single"/>
        </w:rPr>
        <w:t>ESTABLISHING AUTHORIZED RANGE OF RETURNS ON COMMON EQUITY FOR WATER AND WASTEWATER UTILITIES</w:t>
      </w:r>
    </w:p>
    <w:p w:rsidR="00996990" w:rsidRPr="003E4B2D" w:rsidRDefault="00996990">
      <w:pPr>
        <w:pStyle w:val="OrderBody"/>
      </w:pPr>
    </w:p>
    <w:p w:rsidR="00996990" w:rsidRPr="003E4B2D" w:rsidRDefault="00996990">
      <w:pPr>
        <w:pStyle w:val="OrderBody"/>
      </w:pPr>
    </w:p>
    <w:p w:rsidR="00996990" w:rsidRPr="003E4B2D" w:rsidRDefault="00996990">
      <w:pPr>
        <w:pStyle w:val="OrderBody"/>
      </w:pPr>
      <w:r w:rsidRPr="003E4B2D">
        <w:t>BY THE COMMISSION:</w:t>
      </w:r>
    </w:p>
    <w:p w:rsidR="00996990" w:rsidRPr="003E4B2D" w:rsidRDefault="00996990">
      <w:pPr>
        <w:pStyle w:val="OrderBody"/>
      </w:pPr>
    </w:p>
    <w:p w:rsidR="00996990" w:rsidRDefault="00996990">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w:t>
      </w:r>
      <w:r w:rsidR="00C400A3">
        <w:t>29, Florida Administrative Code (F.A.C.).</w:t>
      </w:r>
    </w:p>
    <w:p w:rsidR="00CB5276" w:rsidRDefault="00CB5276" w:rsidP="00996990"/>
    <w:p w:rsidR="00CB5276" w:rsidRPr="00996990" w:rsidRDefault="00996990" w:rsidP="00996990">
      <w:pPr>
        <w:jc w:val="center"/>
        <w:rPr>
          <w:u w:val="single"/>
        </w:rPr>
      </w:pPr>
      <w:r w:rsidRPr="00996990">
        <w:rPr>
          <w:u w:val="single"/>
        </w:rPr>
        <w:t>Background</w:t>
      </w:r>
    </w:p>
    <w:p w:rsidR="00996990" w:rsidRDefault="00996990" w:rsidP="00996990">
      <w:pPr>
        <w:jc w:val="center"/>
      </w:pPr>
    </w:p>
    <w:p w:rsidR="00996990" w:rsidRPr="007A5AFC" w:rsidRDefault="00996990" w:rsidP="00996990">
      <w:pPr>
        <w:spacing w:after="240"/>
        <w:ind w:firstLine="720"/>
        <w:jc w:val="both"/>
      </w:pPr>
      <w:r w:rsidRPr="007A5AFC">
        <w:t xml:space="preserve">Section 367.081(4)(f), Florida Statutes (F.S.), authorizes </w:t>
      </w:r>
      <w:r w:rsidR="00C400A3">
        <w:t>this</w:t>
      </w:r>
      <w:r w:rsidRPr="007A5AFC">
        <w:t xml:space="preserve"> Commission to establish, not less than once each year, a leverage formula to calculate a reasonable range of returns on equity (ROE) for water and wastewater (WAW) utilities.  The leverage formula methodology currently in use was established in Order No. </w:t>
      </w:r>
      <w:proofErr w:type="gramStart"/>
      <w:r w:rsidRPr="007A5AFC">
        <w:t>PSC-01-2514-FOF-WS.</w:t>
      </w:r>
      <w:proofErr w:type="gramEnd"/>
      <w:r w:rsidRPr="007A5AFC">
        <w:rPr>
          <w:vertAlign w:val="superscript"/>
        </w:rPr>
        <w:footnoteReference w:id="1"/>
      </w:r>
      <w:r w:rsidRPr="007A5AFC">
        <w:t xml:space="preserve">  On October 23, 2008, </w:t>
      </w:r>
      <w:r w:rsidR="00C400A3">
        <w:t>we</w:t>
      </w:r>
      <w:r w:rsidRPr="007A5AFC">
        <w:t xml:space="preserve"> held a formal hearing in Docket No. 080006-WS to allow interested parties to provide testimony regarding the validity of the leverage formula.</w:t>
      </w:r>
      <w:r w:rsidRPr="007A5AFC">
        <w:rPr>
          <w:vertAlign w:val="superscript"/>
        </w:rPr>
        <w:footnoteReference w:id="2"/>
      </w:r>
      <w:r w:rsidRPr="007A5AFC">
        <w:t xml:space="preserve">  Based on the record in that proceeding, </w:t>
      </w:r>
      <w:r w:rsidR="00C400A3">
        <w:t>we</w:t>
      </w:r>
      <w:r w:rsidRPr="007A5AFC">
        <w:t xml:space="preserve"> </w:t>
      </w:r>
      <w:r w:rsidRPr="007A5AFC">
        <w:lastRenderedPageBreak/>
        <w:t xml:space="preserve">approved the 2008 leverage formula in Order No. </w:t>
      </w:r>
      <w:proofErr w:type="gramStart"/>
      <w:r w:rsidRPr="007A5AFC">
        <w:t>PSC-08-0846-FOF-WS.</w:t>
      </w:r>
      <w:proofErr w:type="gramEnd"/>
      <w:r w:rsidRPr="007A5AFC">
        <w:rPr>
          <w:vertAlign w:val="superscript"/>
        </w:rPr>
        <w:footnoteReference w:id="3"/>
      </w:r>
      <w:r w:rsidRPr="007A5AFC">
        <w:t xml:space="preserve">  In</w:t>
      </w:r>
      <w:r w:rsidR="00C400A3">
        <w:t xml:space="preserve"> that order, we</w:t>
      </w:r>
      <w:r w:rsidRPr="007A5AFC">
        <w:t xml:space="preserve"> reaffirmed the methodology that was previously approved in Order No. </w:t>
      </w:r>
      <w:proofErr w:type="gramStart"/>
      <w:r w:rsidRPr="007A5AFC">
        <w:t>PSC-01-2514-FOF-WS.</w:t>
      </w:r>
      <w:proofErr w:type="gramEnd"/>
      <w:r w:rsidRPr="007A5AFC">
        <w:t xml:space="preserve">  </w:t>
      </w:r>
    </w:p>
    <w:p w:rsidR="00996990" w:rsidRPr="007A5AFC" w:rsidRDefault="00C400A3" w:rsidP="00996990">
      <w:pPr>
        <w:spacing w:after="240"/>
        <w:ind w:firstLine="720"/>
        <w:jc w:val="both"/>
      </w:pPr>
      <w:r>
        <w:t>This order</w:t>
      </w:r>
      <w:r w:rsidR="00996990" w:rsidRPr="007A5AFC">
        <w:t xml:space="preserve"> continues to use the leverage formula methodology established in Order No. </w:t>
      </w:r>
      <w:proofErr w:type="gramStart"/>
      <w:r w:rsidR="00996990" w:rsidRPr="007A5AFC">
        <w:t>PSC-01-2514-FOF-WS and reaffirmed in Order No.</w:t>
      </w:r>
      <w:proofErr w:type="gramEnd"/>
      <w:r w:rsidR="00996990" w:rsidRPr="007A5AFC">
        <w:t xml:space="preserve"> </w:t>
      </w:r>
      <w:proofErr w:type="gramStart"/>
      <w:r w:rsidR="00996990" w:rsidRPr="007A5AFC">
        <w:t>PSC-08-0846-FOF-WS.</w:t>
      </w:r>
      <w:proofErr w:type="gramEnd"/>
      <w:r w:rsidR="00996990" w:rsidRPr="007A5AFC">
        <w:t xml:space="preserve">  This methodology uses ROEs derived from financial models applied to an index of natural gas utilities.  Based on the results of </w:t>
      </w:r>
      <w:r>
        <w:t>our</w:t>
      </w:r>
      <w:r w:rsidR="00996990" w:rsidRPr="007A5AFC">
        <w:t xml:space="preserve"> annual review, there are an insufficient number of WAW utilities that meet the requisite criteria to assemble an appropriate proxy group using only WAW utilities.  Therefore, since 2001, </w:t>
      </w:r>
      <w:r>
        <w:t>we have</w:t>
      </w:r>
      <w:r w:rsidR="00996990" w:rsidRPr="007A5AFC">
        <w:t xml:space="preserve"> used natural gas utilities as the proxy companies for the leverage formula.  There are many natural gas utilities that have actively traded stocks and forecasted financial data.  Staff uses natural gas utilities that derive at least 50 percent of their revenue from regulated rates.  These utilities have market power and are influenced significantly by economic regulation.  As </w:t>
      </w:r>
      <w:r>
        <w:t>we will explain</w:t>
      </w:r>
      <w:r w:rsidR="00996990" w:rsidRPr="007A5AFC">
        <w:t xml:space="preserve"> </w:t>
      </w:r>
      <w:r>
        <w:t>later,</w:t>
      </w:r>
      <w:r w:rsidR="00996990" w:rsidRPr="007A5AFC">
        <w:t xml:space="preserve"> the model results based on natural gas utilities are adjusted to reflect the risks faced by Florida WAW utilities. </w:t>
      </w:r>
    </w:p>
    <w:p w:rsidR="00996990" w:rsidRPr="007A5AFC" w:rsidRDefault="00996990" w:rsidP="00996990">
      <w:pPr>
        <w:spacing w:after="240"/>
        <w:ind w:firstLine="720"/>
        <w:jc w:val="both"/>
      </w:pPr>
      <w:r w:rsidRPr="007A5AFC">
        <w:t xml:space="preserve">In 2011, </w:t>
      </w:r>
      <w:r w:rsidR="00C400A3">
        <w:t>we</w:t>
      </w:r>
      <w:r w:rsidRPr="007A5AFC">
        <w:t xml:space="preserve"> approved the leverage formula currently in effect (2011 leverage formula) by Order No. </w:t>
      </w:r>
      <w:proofErr w:type="gramStart"/>
      <w:r w:rsidRPr="007A5AFC">
        <w:t>PSC-11-0287-PAA-WS.</w:t>
      </w:r>
      <w:proofErr w:type="gramEnd"/>
      <w:r w:rsidRPr="007A5AFC">
        <w:rPr>
          <w:vertAlign w:val="superscript"/>
        </w:rPr>
        <w:footnoteReference w:id="4"/>
      </w:r>
      <w:r w:rsidRPr="007A5AFC">
        <w:t xml:space="preserve">  In 2012</w:t>
      </w:r>
      <w:r>
        <w:t xml:space="preserve">, </w:t>
      </w:r>
      <w:r w:rsidRPr="007A5AFC">
        <w:t>2013,</w:t>
      </w:r>
      <w:r>
        <w:t xml:space="preserve"> and 2014,</w:t>
      </w:r>
      <w:r w:rsidRPr="007A5AFC">
        <w:t xml:space="preserve"> </w:t>
      </w:r>
      <w:r w:rsidR="00C400A3">
        <w:t>we</w:t>
      </w:r>
      <w:r w:rsidRPr="007A5AFC">
        <w:t xml:space="preserve"> continue</w:t>
      </w:r>
      <w:r w:rsidR="00C400A3">
        <w:t>d</w:t>
      </w:r>
      <w:r w:rsidRPr="007A5AFC">
        <w:t xml:space="preserve"> to use the 2011 leverage formula for establishing the authorized ROE for WAW utilities by Order Nos. </w:t>
      </w:r>
      <w:proofErr w:type="gramStart"/>
      <w:r w:rsidRPr="007A5AFC">
        <w:t>PSC-12-0339-PAA-WS</w:t>
      </w:r>
      <w:r>
        <w:t>,</w:t>
      </w:r>
      <w:r w:rsidRPr="007A5AFC">
        <w:rPr>
          <w:vertAlign w:val="superscript"/>
        </w:rPr>
        <w:footnoteReference w:id="5"/>
      </w:r>
      <w:r w:rsidRPr="007A5AFC">
        <w:t xml:space="preserve"> PSC-13-0241-PAA-WS</w:t>
      </w:r>
      <w:r>
        <w:t>,</w:t>
      </w:r>
      <w:r w:rsidRPr="007A5AFC">
        <w:rPr>
          <w:vertAlign w:val="superscript"/>
        </w:rPr>
        <w:footnoteReference w:id="6"/>
      </w:r>
      <w:r>
        <w:t xml:space="preserve"> and PSC-14-0272-PAA-WS.</w:t>
      </w:r>
      <w:proofErr w:type="gramEnd"/>
      <w:r>
        <w:rPr>
          <w:rStyle w:val="FootnoteReference"/>
        </w:rPr>
        <w:footnoteReference w:id="7"/>
      </w:r>
      <w:r>
        <w:t xml:space="preserve">  </w:t>
      </w:r>
      <w:r w:rsidRPr="007A5AFC">
        <w:t>In 2012</w:t>
      </w:r>
      <w:r>
        <w:t>,</w:t>
      </w:r>
      <w:r w:rsidRPr="007A5AFC">
        <w:t xml:space="preserve"> 2103,</w:t>
      </w:r>
      <w:r>
        <w:t xml:space="preserve"> and 2014, </w:t>
      </w:r>
      <w:r w:rsidR="00685239">
        <w:t>we</w:t>
      </w:r>
      <w:r w:rsidRPr="007A5AFC">
        <w:t xml:space="preserve"> found that the range of returns on equity derived from the leverage formulas were not optimal for determining the appropriate authorized ROE for WAW utilities due to Federal Reserve monetary policies that resulted in historically low interest rates.  Consequently, </w:t>
      </w:r>
      <w:r w:rsidR="00685239">
        <w:t>we</w:t>
      </w:r>
      <w:r w:rsidRPr="007A5AFC">
        <w:t xml:space="preserve"> decided that the range of returns on equity of 8.74 percent to 11.16 percent from the 2011 leverage formula was more reasonable.  </w:t>
      </w:r>
    </w:p>
    <w:p w:rsidR="00996990" w:rsidRPr="007A5AFC" w:rsidRDefault="00996990" w:rsidP="00996990">
      <w:pPr>
        <w:spacing w:after="240"/>
        <w:ind w:firstLine="720"/>
        <w:jc w:val="both"/>
      </w:pPr>
      <w:r w:rsidRPr="007A5AFC">
        <w:t xml:space="preserve">Additional precedent for continuing the use of the current leverage formula occurred in 1996 when </w:t>
      </w:r>
      <w:r w:rsidR="00685239">
        <w:t>we voted</w:t>
      </w:r>
      <w:r w:rsidRPr="007A5AFC">
        <w:t xml:space="preserve"> to continue to base the authorized ROE for WAW utilities on the leverage formula instituted in 1995.</w:t>
      </w:r>
      <w:r w:rsidRPr="007A5AFC">
        <w:rPr>
          <w:vertAlign w:val="superscript"/>
        </w:rPr>
        <w:footnoteReference w:id="8"/>
      </w:r>
      <w:r w:rsidRPr="007A5AFC">
        <w:t xml:space="preserve">  </w:t>
      </w:r>
      <w:proofErr w:type="gramStart"/>
      <w:r w:rsidRPr="007A5AFC">
        <w:t>In Order No.</w:t>
      </w:r>
      <w:proofErr w:type="gramEnd"/>
      <w:r w:rsidRPr="007A5AFC">
        <w:t xml:space="preserve"> PSC-96-0729-FOF-WS, </w:t>
      </w:r>
      <w:r w:rsidR="00685239">
        <w:t>we</w:t>
      </w:r>
      <w:r w:rsidRPr="007A5AFC">
        <w:t xml:space="preserve"> found that the leverage formula range of returns from the prior year were still reasonable and found it appropriate to </w:t>
      </w:r>
      <w:r w:rsidRPr="007A5AFC">
        <w:lastRenderedPageBreak/>
        <w:t>continue to base the authorized range of returns on common equity for WAW utilities on the leverage formula from the prior year.</w:t>
      </w:r>
    </w:p>
    <w:p w:rsidR="00996990" w:rsidRPr="007A5AFC" w:rsidRDefault="00996990" w:rsidP="00996990">
      <w:pPr>
        <w:spacing w:after="240"/>
        <w:ind w:firstLine="720"/>
        <w:jc w:val="both"/>
      </w:pPr>
      <w:r w:rsidRPr="007A5AFC">
        <w:t>Although Section 367.081(4</w:t>
      </w:r>
      <w:proofErr w:type="gramStart"/>
      <w:r w:rsidRPr="007A5AFC">
        <w:t>)(</w:t>
      </w:r>
      <w:proofErr w:type="gramEnd"/>
      <w:r w:rsidRPr="007A5AFC">
        <w:t xml:space="preserve">f), F.S., authorizes </w:t>
      </w:r>
      <w:r w:rsidR="00685239">
        <w:t>this</w:t>
      </w:r>
      <w:r w:rsidRPr="007A5AFC">
        <w:t xml:space="preserve"> Commission to establish a range of returns for setting the authorized ROE for WAW utilities, </w:t>
      </w:r>
      <w:r w:rsidR="00685239">
        <w:t>we</w:t>
      </w:r>
      <w:r w:rsidRPr="007A5AFC">
        <w:t xml:space="preserve"> may set an ROE for WAW utilities based on record evidence in any proceeding.  If one or more parties file testimony in opposition to the use of the leverage formula, </w:t>
      </w:r>
      <w:r w:rsidR="00685239">
        <w:t>we</w:t>
      </w:r>
      <w:r w:rsidRPr="007A5AFC">
        <w:t xml:space="preserve"> will determine the appropriate ROE based on the evidentiary record in that proceeding.  </w:t>
      </w:r>
    </w:p>
    <w:p w:rsidR="00996990" w:rsidRDefault="00685239" w:rsidP="00680043">
      <w:pPr>
        <w:spacing w:after="240"/>
        <w:ind w:firstLine="720"/>
        <w:jc w:val="both"/>
      </w:pPr>
      <w:r>
        <w:t>We have</w:t>
      </w:r>
      <w:r w:rsidR="00996990" w:rsidRPr="007A5AFC">
        <w:t xml:space="preserve"> jurisdiction pursuant to Section 367.081, F.S.</w:t>
      </w:r>
    </w:p>
    <w:p w:rsidR="00996990" w:rsidRPr="00996990" w:rsidRDefault="00996990" w:rsidP="00996990">
      <w:pPr>
        <w:jc w:val="center"/>
        <w:rPr>
          <w:u w:val="single"/>
        </w:rPr>
      </w:pPr>
      <w:r w:rsidRPr="00996990">
        <w:rPr>
          <w:u w:val="single"/>
        </w:rPr>
        <w:t>Decision</w:t>
      </w:r>
    </w:p>
    <w:p w:rsidR="00996990" w:rsidRDefault="00996990" w:rsidP="00996990">
      <w:pPr>
        <w:jc w:val="both"/>
      </w:pPr>
    </w:p>
    <w:p w:rsidR="00996990" w:rsidRPr="007A5AFC" w:rsidRDefault="00685239" w:rsidP="00680043">
      <w:pPr>
        <w:pStyle w:val="BodyText"/>
        <w:ind w:firstLine="720"/>
        <w:jc w:val="both"/>
        <w:rPr>
          <w:bCs/>
          <w:iCs/>
        </w:rPr>
      </w:pPr>
      <w:proofErr w:type="gramStart"/>
      <w:r>
        <w:t>T</w:t>
      </w:r>
      <w:r w:rsidR="00996990" w:rsidRPr="007A5AFC">
        <w:rPr>
          <w:bCs/>
          <w:iCs/>
        </w:rPr>
        <w:t xml:space="preserve">he current leverage formula approved by </w:t>
      </w:r>
      <w:r>
        <w:rPr>
          <w:bCs/>
          <w:iCs/>
        </w:rPr>
        <w:t>this</w:t>
      </w:r>
      <w:r w:rsidR="00996990" w:rsidRPr="007A5AFC">
        <w:rPr>
          <w:bCs/>
          <w:iCs/>
        </w:rPr>
        <w:t xml:space="preserve"> Commission in Order No.</w:t>
      </w:r>
      <w:proofErr w:type="gramEnd"/>
      <w:r w:rsidR="00996990" w:rsidRPr="007A5AFC">
        <w:rPr>
          <w:bCs/>
          <w:iCs/>
        </w:rPr>
        <w:t xml:space="preserve"> PSC-1</w:t>
      </w:r>
      <w:r w:rsidR="00996990">
        <w:rPr>
          <w:bCs/>
          <w:iCs/>
        </w:rPr>
        <w:t>4</w:t>
      </w:r>
      <w:r w:rsidR="00996990" w:rsidRPr="007A5AFC">
        <w:rPr>
          <w:bCs/>
          <w:iCs/>
        </w:rPr>
        <w:t>-02</w:t>
      </w:r>
      <w:r w:rsidR="00996990">
        <w:rPr>
          <w:bCs/>
          <w:iCs/>
        </w:rPr>
        <w:t>72</w:t>
      </w:r>
      <w:r w:rsidR="00996990" w:rsidRPr="007A5AFC">
        <w:rPr>
          <w:bCs/>
          <w:iCs/>
        </w:rPr>
        <w:t xml:space="preserve">-PAA-WS </w:t>
      </w:r>
      <w:r>
        <w:rPr>
          <w:bCs/>
          <w:iCs/>
        </w:rPr>
        <w:t xml:space="preserve">shall </w:t>
      </w:r>
      <w:r w:rsidR="00996990" w:rsidRPr="007A5AFC">
        <w:rPr>
          <w:bCs/>
          <w:iCs/>
        </w:rPr>
        <w:t>continue to be used until the leverage formula is readdressed in 201</w:t>
      </w:r>
      <w:r w:rsidR="00996990">
        <w:rPr>
          <w:bCs/>
          <w:iCs/>
        </w:rPr>
        <w:t>6</w:t>
      </w:r>
      <w:r w:rsidR="00680043">
        <w:rPr>
          <w:bCs/>
          <w:iCs/>
        </w:rPr>
        <w:t xml:space="preserve">. </w:t>
      </w:r>
      <w:r w:rsidR="00996990" w:rsidRPr="007A5AFC">
        <w:rPr>
          <w:bCs/>
          <w:iCs/>
        </w:rPr>
        <w:t xml:space="preserve">Accordingly, </w:t>
      </w:r>
      <w:r>
        <w:rPr>
          <w:bCs/>
          <w:iCs/>
        </w:rPr>
        <w:t>the leverage formula is as follows</w:t>
      </w:r>
      <w:r w:rsidR="00996990" w:rsidRPr="007A5AFC">
        <w:rPr>
          <w:bCs/>
          <w:iCs/>
        </w:rPr>
        <w:t>:</w:t>
      </w:r>
    </w:p>
    <w:p w:rsidR="00996990" w:rsidRPr="007A5AFC" w:rsidRDefault="00996990" w:rsidP="00996990">
      <w:pPr>
        <w:spacing w:after="240"/>
        <w:ind w:left="720" w:firstLine="720"/>
        <w:jc w:val="both"/>
      </w:pPr>
      <w:r w:rsidRPr="007A5AFC">
        <w:t xml:space="preserve">Return on Common Equity </w:t>
      </w:r>
      <w:proofErr w:type="gramStart"/>
      <w:r w:rsidRPr="007A5AFC">
        <w:t>=  7.13</w:t>
      </w:r>
      <w:proofErr w:type="gramEnd"/>
      <w:r w:rsidRPr="007A5AFC">
        <w:t>% + (1.610 ÷ Equity Ratio)</w:t>
      </w:r>
    </w:p>
    <w:p w:rsidR="00996990" w:rsidRPr="007A5AFC" w:rsidRDefault="00996990" w:rsidP="00996990">
      <w:pPr>
        <w:spacing w:after="240"/>
        <w:jc w:val="both"/>
      </w:pPr>
      <w:r w:rsidRPr="007A5AFC">
        <w:t>Where the Equity Ratio = Common Equity ÷ (Common Equity + Preferred Equity + Long-Term and Short-Term Debt)</w:t>
      </w:r>
    </w:p>
    <w:p w:rsidR="00996990" w:rsidRDefault="00996990" w:rsidP="00685239">
      <w:pPr>
        <w:spacing w:after="240"/>
        <w:ind w:firstLine="720"/>
        <w:jc w:val="both"/>
      </w:pPr>
      <w:r w:rsidRPr="007A5AFC">
        <w:tab/>
        <w:t>Range: 8.74% @ 100% equity to 11.16% @ 40% equity</w:t>
      </w:r>
      <w:r>
        <w:t> </w:t>
      </w:r>
    </w:p>
    <w:p w:rsidR="009342E3" w:rsidRPr="00685239" w:rsidRDefault="009342E3" w:rsidP="009342E3">
      <w:pPr>
        <w:spacing w:after="240"/>
        <w:jc w:val="both"/>
      </w:pPr>
      <w:r>
        <w:t xml:space="preserve">Additionally, we shall cap returns on common equity at 11.16 percent for all WAW utilities with equity ratios less than 40 percent.  We believe that this will discourage imprudent financial risk.  This cap is consistent with the methodology we used in Order No. </w:t>
      </w:r>
      <w:proofErr w:type="gramStart"/>
      <w:r>
        <w:t>PSC-08-0846-FOF-WS.</w:t>
      </w:r>
      <w:proofErr w:type="gramEnd"/>
    </w:p>
    <w:p w:rsidR="00996990" w:rsidRPr="007A5AFC" w:rsidRDefault="00996990" w:rsidP="00685239">
      <w:pPr>
        <w:pStyle w:val="BodyText"/>
        <w:ind w:firstLine="720"/>
      </w:pPr>
      <w:r w:rsidRPr="007A5AFC">
        <w:t>Section 367</w:t>
      </w:r>
      <w:r w:rsidR="00685239">
        <w:t>.081(4</w:t>
      </w:r>
      <w:proofErr w:type="gramStart"/>
      <w:r w:rsidR="00685239">
        <w:t>)(</w:t>
      </w:r>
      <w:proofErr w:type="gramEnd"/>
      <w:r w:rsidR="00685239">
        <w:t>f), F.S., authorizes this</w:t>
      </w:r>
      <w:r w:rsidRPr="007A5AFC">
        <w:t xml:space="preserve"> Commission to establish a leverage formula to calculate a reasonable range of returns on com</w:t>
      </w:r>
      <w:r w:rsidR="00685239">
        <w:t>mon equity for WAW utilities.  We</w:t>
      </w:r>
      <w:r w:rsidRPr="007A5AFC">
        <w:t xml:space="preserve"> must establish this leverage formula not less than once a year. </w:t>
      </w:r>
    </w:p>
    <w:p w:rsidR="00996990" w:rsidRPr="007A5AFC" w:rsidRDefault="00996990" w:rsidP="00996990">
      <w:pPr>
        <w:spacing w:after="240"/>
        <w:ind w:firstLine="720"/>
        <w:jc w:val="both"/>
      </w:pPr>
      <w:proofErr w:type="gramStart"/>
      <w:r w:rsidRPr="007A5AFC">
        <w:t>In 201</w:t>
      </w:r>
      <w:r>
        <w:t>4</w:t>
      </w:r>
      <w:r w:rsidRPr="007A5AFC">
        <w:t>, by Order No.</w:t>
      </w:r>
      <w:proofErr w:type="gramEnd"/>
      <w:r w:rsidRPr="007A5AFC">
        <w:t xml:space="preserve"> PSC-1</w:t>
      </w:r>
      <w:r>
        <w:t>4</w:t>
      </w:r>
      <w:r w:rsidRPr="007A5AFC">
        <w:t>-02</w:t>
      </w:r>
      <w:r>
        <w:t>72</w:t>
      </w:r>
      <w:r w:rsidRPr="007A5AFC">
        <w:t xml:space="preserve">-PAA-WS, </w:t>
      </w:r>
      <w:r w:rsidR="00685239">
        <w:t>we</w:t>
      </w:r>
      <w:r w:rsidRPr="007A5AFC">
        <w:t xml:space="preserve"> continue</w:t>
      </w:r>
      <w:r w:rsidR="00685239">
        <w:t>d</w:t>
      </w:r>
      <w:r w:rsidRPr="007A5AFC">
        <w:t xml:space="preserve"> to use the leverage formula initially approved in 2011.  </w:t>
      </w:r>
      <w:r w:rsidR="00685239">
        <w:t>We</w:t>
      </w:r>
      <w:r w:rsidRPr="007A5AFC">
        <w:t xml:space="preserve"> kept the 2011 leverage formula in place because Federal Reserve monetary policies lowered interest rates to historically low levels, thereby increasing the slope of the leverage formula graph relative to previous years.  The Federal Reserve’s monetary policies and resulting capital market conditions that existed in 2012 </w:t>
      </w:r>
      <w:r>
        <w:t>through</w:t>
      </w:r>
      <w:r w:rsidRPr="007A5AFC">
        <w:t xml:space="preserve"> 201</w:t>
      </w:r>
      <w:r>
        <w:t>4</w:t>
      </w:r>
      <w:r w:rsidRPr="007A5AFC">
        <w:t xml:space="preserve"> are expected to continue </w:t>
      </w:r>
      <w:r>
        <w:t>in</w:t>
      </w:r>
      <w:r w:rsidRPr="007A5AFC">
        <w:t xml:space="preserve"> 201</w:t>
      </w:r>
      <w:r>
        <w:t>5</w:t>
      </w:r>
      <w:r w:rsidRPr="007A5AFC">
        <w:t>.</w:t>
      </w:r>
      <w:r w:rsidRPr="007A5AFC">
        <w:rPr>
          <w:vertAlign w:val="superscript"/>
        </w:rPr>
        <w:footnoteReference w:id="9"/>
      </w:r>
      <w:r w:rsidRPr="007A5AFC">
        <w:t xml:space="preserve"> </w:t>
      </w:r>
    </w:p>
    <w:p w:rsidR="00996990" w:rsidRPr="007A5AFC" w:rsidRDefault="00685239" w:rsidP="00996990">
      <w:pPr>
        <w:spacing w:after="240"/>
        <w:ind w:firstLine="720"/>
        <w:jc w:val="both"/>
      </w:pPr>
      <w:r>
        <w:t xml:space="preserve">In the instant docket, </w:t>
      </w:r>
      <w:r w:rsidR="00680043">
        <w:t>we</w:t>
      </w:r>
      <w:r w:rsidR="00996990" w:rsidRPr="007A5AFC">
        <w:t xml:space="preserve"> updated the leverage formula using the most recent 201</w:t>
      </w:r>
      <w:r w:rsidR="00996990">
        <w:t>5</w:t>
      </w:r>
      <w:r w:rsidR="00996990" w:rsidRPr="007A5AFC">
        <w:t xml:space="preserve"> financial </w:t>
      </w:r>
      <w:r w:rsidR="00996990">
        <w:t>data</w:t>
      </w:r>
      <w:r w:rsidR="00996990" w:rsidRPr="007A5AFC">
        <w:t xml:space="preserve"> and </w:t>
      </w:r>
      <w:r>
        <w:t>our previously</w:t>
      </w:r>
      <w:r w:rsidR="00996990" w:rsidRPr="007A5AFC">
        <w:t xml:space="preserve"> approved methodology.  </w:t>
      </w:r>
      <w:r w:rsidR="00996990">
        <w:t>Using t</w:t>
      </w:r>
      <w:r w:rsidR="00996990" w:rsidRPr="007A5AFC">
        <w:t xml:space="preserve">he updated </w:t>
      </w:r>
      <w:r w:rsidR="00996990">
        <w:t>financial data in the</w:t>
      </w:r>
      <w:r w:rsidR="00996990" w:rsidRPr="007A5AFC">
        <w:t xml:space="preserve"> leverage formula decreases the lower end of the current allowed ROE range by </w:t>
      </w:r>
      <w:r w:rsidR="00996990">
        <w:t>95</w:t>
      </w:r>
      <w:r w:rsidR="00996990" w:rsidRPr="007A5AFC">
        <w:t xml:space="preserve"> basis points</w:t>
      </w:r>
      <w:r w:rsidR="00680043">
        <w:t>,</w:t>
      </w:r>
      <w:r w:rsidR="00996990" w:rsidRPr="007A5AFC">
        <w:t xml:space="preserve"> while increasing the upper end of the range by </w:t>
      </w:r>
      <w:r w:rsidR="00996990">
        <w:t>35</w:t>
      </w:r>
      <w:r w:rsidR="00996990" w:rsidRPr="007A5AFC">
        <w:t xml:space="preserve"> basis points relative to the current leverage formula.  The spread between the </w:t>
      </w:r>
      <w:proofErr w:type="gramStart"/>
      <w:r w:rsidR="00996990" w:rsidRPr="007A5AFC">
        <w:t>range</w:t>
      </w:r>
      <w:proofErr w:type="gramEnd"/>
      <w:r w:rsidR="00996990" w:rsidRPr="007A5AFC">
        <w:t xml:space="preserve"> of returns on equity</w:t>
      </w:r>
      <w:r w:rsidR="00996990">
        <w:t xml:space="preserve"> based on the updated </w:t>
      </w:r>
      <w:r w:rsidR="00996990" w:rsidRPr="007A5AFC">
        <w:t>leverage formula is 3</w:t>
      </w:r>
      <w:r w:rsidR="00996990">
        <w:t>72</w:t>
      </w:r>
      <w:r w:rsidR="00996990" w:rsidRPr="007A5AFC">
        <w:t xml:space="preserve"> basis points (</w:t>
      </w:r>
      <w:r w:rsidR="00996990">
        <w:t>7</w:t>
      </w:r>
      <w:r w:rsidR="00996990" w:rsidRPr="007A5AFC">
        <w:t>.</w:t>
      </w:r>
      <w:r w:rsidR="00996990">
        <w:t>79</w:t>
      </w:r>
      <w:r w:rsidR="00996990" w:rsidRPr="007A5AFC">
        <w:t xml:space="preserve"> percent to 11.</w:t>
      </w:r>
      <w:r w:rsidR="00996990">
        <w:t>51</w:t>
      </w:r>
      <w:r w:rsidR="00996990" w:rsidRPr="007A5AFC">
        <w:t xml:space="preserve"> percent).  This is the second largest spread for </w:t>
      </w:r>
      <w:r w:rsidR="00996990" w:rsidRPr="007A5AFC">
        <w:lastRenderedPageBreak/>
        <w:t>the allowed ROE for WAW utilities in the approximately 3</w:t>
      </w:r>
      <w:r w:rsidR="00996990">
        <w:t>3</w:t>
      </w:r>
      <w:r w:rsidR="00996990" w:rsidRPr="007A5AFC">
        <w:t xml:space="preserve"> years the leverage formula has been in use in Florida.    In comparison, the spread in the range of returns on equity for the </w:t>
      </w:r>
      <w:r w:rsidR="00996990">
        <w:t xml:space="preserve">existing </w:t>
      </w:r>
      <w:r w:rsidR="00996990" w:rsidRPr="007A5AFC">
        <w:t>leverage formula is 242 basis points (8.74 percent to 11.16 percent).</w:t>
      </w:r>
    </w:p>
    <w:p w:rsidR="00996990" w:rsidRPr="007A5AFC" w:rsidRDefault="00996990" w:rsidP="00996990">
      <w:pPr>
        <w:spacing w:after="240"/>
        <w:ind w:firstLine="720"/>
        <w:jc w:val="both"/>
      </w:pPr>
      <w:r w:rsidRPr="007A5AFC">
        <w:t xml:space="preserve">The increase in the spread in the range of the ROE from the </w:t>
      </w:r>
      <w:r>
        <w:t>updated</w:t>
      </w:r>
      <w:r w:rsidRPr="007A5AFC">
        <w:t xml:space="preserve"> leverage formula relative to the 2011 leverage formula is caused by the very low bond rates resulting from the Federal Reserve’s various monetary policies and quantitative easing programs, which are still in effect.  In its press release dated </w:t>
      </w:r>
      <w:r>
        <w:t>April</w:t>
      </w:r>
      <w:r w:rsidRPr="007A5AFC">
        <w:t xml:space="preserve"> </w:t>
      </w:r>
      <w:r>
        <w:t>2</w:t>
      </w:r>
      <w:r w:rsidRPr="007A5AFC">
        <w:t>9, 201</w:t>
      </w:r>
      <w:r>
        <w:t>5</w:t>
      </w:r>
      <w:r w:rsidRPr="007A5AFC">
        <w:t>, the Federal Reserve stated:</w:t>
      </w:r>
    </w:p>
    <w:p w:rsidR="00996990" w:rsidRPr="00996990" w:rsidRDefault="00996990" w:rsidP="00996990">
      <w:pPr>
        <w:shd w:val="clear" w:color="auto" w:fill="FFFFFF"/>
        <w:spacing w:before="100" w:beforeAutospacing="1" w:after="100" w:afterAutospacing="1"/>
        <w:ind w:left="720" w:right="720"/>
        <w:jc w:val="both"/>
        <w:rPr>
          <w:rFonts w:cs="Calibri"/>
          <w:color w:val="000000"/>
        </w:rPr>
      </w:pPr>
      <w:r w:rsidRPr="00996990">
        <w:rPr>
          <w:rFonts w:cs="Calibri"/>
          <w:color w:val="000000"/>
        </w:rPr>
        <w:t>To support continued progress toward maximum employment and price stability, the Committee today reaffirmed its view that the current 0 to 1/4 percent target range for the federal funds rate remains appropriate. In determining how long to maintain this target range, the Committee will assess progress--both realized and expected--toward its objectives of maximum employment and 2 percent inflation. This assessment will take into account a wide range of information, including measures of labor market conditions, indicators of inflation pressures and inflation expectations, and readings on financial and international developments. The Committee anticipates that it will be appropriate to raise the target range for the federal funds rate when it has seen further improvement in the labor market and is reasonably confident that inflation will move back to its 2 percent objective over the medium term.</w:t>
      </w:r>
      <w:r w:rsidRPr="00996990">
        <w:rPr>
          <w:rStyle w:val="FootnoteReference"/>
          <w:rFonts w:cs="Calibri"/>
          <w:color w:val="000000"/>
        </w:rPr>
        <w:footnoteReference w:id="10"/>
      </w:r>
    </w:p>
    <w:p w:rsidR="00996990" w:rsidRPr="00996990" w:rsidRDefault="00996990" w:rsidP="00996990">
      <w:pPr>
        <w:shd w:val="clear" w:color="auto" w:fill="FFFFFF"/>
        <w:spacing w:before="100" w:beforeAutospacing="1" w:after="100" w:afterAutospacing="1"/>
        <w:jc w:val="both"/>
        <w:rPr>
          <w:rFonts w:cs="Calibri"/>
          <w:color w:val="000000"/>
        </w:rPr>
      </w:pPr>
      <w:r>
        <w:t>In the same</w:t>
      </w:r>
      <w:r w:rsidRPr="007A5AFC">
        <w:t xml:space="preserve"> press release</w:t>
      </w:r>
      <w:r>
        <w:t xml:space="preserve">, </w:t>
      </w:r>
      <w:r w:rsidRPr="007A5AFC">
        <w:t xml:space="preserve">the Federal Reserve </w:t>
      </w:r>
      <w:r>
        <w:t xml:space="preserve">further </w:t>
      </w:r>
      <w:r w:rsidRPr="007A5AFC">
        <w:t>stated:</w:t>
      </w:r>
    </w:p>
    <w:p w:rsidR="00996990" w:rsidRPr="00996990" w:rsidRDefault="00996990" w:rsidP="00996990">
      <w:pPr>
        <w:shd w:val="clear" w:color="auto" w:fill="FFFFFF"/>
        <w:spacing w:before="100" w:beforeAutospacing="1" w:after="100" w:afterAutospacing="1"/>
        <w:ind w:left="720" w:right="720"/>
        <w:jc w:val="both"/>
        <w:rPr>
          <w:rFonts w:cs="Calibri"/>
          <w:color w:val="000000"/>
        </w:rPr>
      </w:pPr>
      <w:r w:rsidRPr="00996990">
        <w:rPr>
          <w:rFonts w:cs="Calibri"/>
          <w:color w:val="000000"/>
        </w:rPr>
        <w:t>When the Committee decides to begin to remove policy accommodation, it will take a balanced approach consistent with its longer-run goals of maximum employment and inflation of 2 percent. The Committee currently anticipates that, even after employment and inflation are near mandate-consistent levels, economic conditions may, for some time, warrant keeping the target federal funds rate below levels the Committee views as normal in the longer run.</w:t>
      </w:r>
    </w:p>
    <w:p w:rsidR="00996990" w:rsidRPr="007A5AFC" w:rsidRDefault="00996990" w:rsidP="00996990">
      <w:pPr>
        <w:spacing w:after="240"/>
        <w:ind w:firstLine="720"/>
        <w:jc w:val="both"/>
      </w:pPr>
      <w:r w:rsidRPr="007A5AFC">
        <w:t xml:space="preserve">The most recent assumed Baa3 bond rate of </w:t>
      </w:r>
      <w:r>
        <w:t>5</w:t>
      </w:r>
      <w:r w:rsidRPr="007A5AFC">
        <w:t>.</w:t>
      </w:r>
      <w:r>
        <w:t>31</w:t>
      </w:r>
      <w:r w:rsidRPr="007A5AFC">
        <w:t xml:space="preserve"> percent used in the </w:t>
      </w:r>
      <w:r>
        <w:t>updated</w:t>
      </w:r>
      <w:r w:rsidRPr="007A5AFC">
        <w:t xml:space="preserve"> leverage formula calculation, which includes a 50 basis point adjustment for small company risk and a 50 basis point adjustment for a private placement premium, remains low relative to historic levels.  In comparison, the assumed Baa3 bond rate used in the </w:t>
      </w:r>
      <w:r>
        <w:t>existing</w:t>
      </w:r>
      <w:r w:rsidRPr="007A5AFC">
        <w:t xml:space="preserve"> leverage formula is 7.13 percent.</w:t>
      </w:r>
    </w:p>
    <w:p w:rsidR="00996990" w:rsidRPr="007A5AFC" w:rsidRDefault="00996990" w:rsidP="00996990">
      <w:pPr>
        <w:spacing w:after="120"/>
        <w:ind w:firstLine="720"/>
        <w:jc w:val="both"/>
      </w:pPr>
      <w:r w:rsidRPr="007A5AFC">
        <w:t xml:space="preserve">Because interest rates are at historically low levels, thereby increasing the slope of the leverage formula relative to prior years, </w:t>
      </w:r>
      <w:r w:rsidR="00685239">
        <w:t>we find that</w:t>
      </w:r>
      <w:r w:rsidRPr="007A5AFC">
        <w:t xml:space="preserve"> the range of returns on equity produced from the updated leverage formula is not optimal for determining the appropriate authorized ROE for Florida WAW utilities at this time.  An increase in the slope of the leverage formula means a given change in the equity ratio will result in a greater change to the cost of equity.  The results of this year</w:t>
      </w:r>
      <w:r>
        <w:t>’</w:t>
      </w:r>
      <w:r w:rsidRPr="007A5AFC">
        <w:t xml:space="preserve">s leverage formula produced a slope </w:t>
      </w:r>
      <w:r>
        <w:t>consistent with</w:t>
      </w:r>
      <w:r w:rsidRPr="007A5AFC">
        <w:t xml:space="preserve"> the slope</w:t>
      </w:r>
      <w:r>
        <w:t>s</w:t>
      </w:r>
      <w:r w:rsidRPr="007A5AFC">
        <w:t xml:space="preserve"> </w:t>
      </w:r>
      <w:r>
        <w:t xml:space="preserve">produced by </w:t>
      </w:r>
      <w:r>
        <w:lastRenderedPageBreak/>
        <w:t xml:space="preserve">financial data for 2012 through </w:t>
      </w:r>
      <w:r w:rsidRPr="007A5AFC">
        <w:t>201</w:t>
      </w:r>
      <w:r>
        <w:t xml:space="preserve">4. </w:t>
      </w:r>
      <w:r w:rsidRPr="007A5AFC">
        <w:t xml:space="preserve"> As shown </w:t>
      </w:r>
      <w:r w:rsidR="00680043">
        <w:t>below</w:t>
      </w:r>
      <w:r>
        <w:t>,</w:t>
      </w:r>
      <w:r w:rsidRPr="007A5AFC">
        <w:t xml:space="preserve"> Chart 1 illustrates the change in the slope of the</w:t>
      </w:r>
      <w:r>
        <w:t xml:space="preserve"> </w:t>
      </w:r>
      <w:r w:rsidRPr="007A5AFC">
        <w:t>leverage formula</w:t>
      </w:r>
      <w:r>
        <w:t xml:space="preserve"> using updated data</w:t>
      </w:r>
      <w:r w:rsidRPr="007A5AFC">
        <w:t xml:space="preserve"> </w:t>
      </w:r>
      <w:r>
        <w:t>compared to the current leverage formula</w:t>
      </w:r>
      <w:r w:rsidRPr="007A5AFC">
        <w:t>.</w:t>
      </w:r>
    </w:p>
    <w:p w:rsidR="00996990" w:rsidRDefault="00996990" w:rsidP="00996990">
      <w:pPr>
        <w:spacing w:after="120"/>
        <w:jc w:val="center"/>
      </w:pPr>
      <w:r>
        <w:t>Chart 1</w:t>
      </w:r>
    </w:p>
    <w:p w:rsidR="00996990" w:rsidRDefault="00996990" w:rsidP="00996990">
      <w:pPr>
        <w:spacing w:after="120"/>
        <w:jc w:val="center"/>
      </w:pPr>
      <w:r>
        <w:rPr>
          <w:noProof/>
        </w:rPr>
        <w:drawing>
          <wp:inline distT="0" distB="0" distL="0" distR="0">
            <wp:extent cx="5953125" cy="313372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96990" w:rsidRDefault="00996990" w:rsidP="00996990">
      <w:pPr>
        <w:spacing w:after="120"/>
        <w:jc w:val="both"/>
      </w:pPr>
      <w:r>
        <w:t>Chart 2 illustrates the change in the slope of the leverage formula for the five years 2011 through 2015.</w:t>
      </w:r>
    </w:p>
    <w:p w:rsidR="00996990" w:rsidRPr="007A5AFC" w:rsidRDefault="00996990" w:rsidP="00996990">
      <w:pPr>
        <w:spacing w:after="120"/>
        <w:jc w:val="center"/>
      </w:pPr>
      <w:r>
        <w:t>Chart 2</w:t>
      </w:r>
    </w:p>
    <w:p w:rsidR="00996990" w:rsidRPr="007A5AFC" w:rsidRDefault="00996990" w:rsidP="00996990">
      <w:pPr>
        <w:spacing w:after="240"/>
        <w:jc w:val="both"/>
      </w:pPr>
      <w:r>
        <w:rPr>
          <w:noProof/>
        </w:rPr>
        <w:drawing>
          <wp:inline distT="0" distB="0" distL="0" distR="0">
            <wp:extent cx="5953125" cy="3133725"/>
            <wp:effectExtent l="0" t="0" r="0" b="0"/>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6990" w:rsidRPr="007A5AFC" w:rsidRDefault="00685239" w:rsidP="00996990">
      <w:pPr>
        <w:spacing w:after="240"/>
        <w:ind w:firstLine="720"/>
        <w:jc w:val="both"/>
      </w:pPr>
      <w:r>
        <w:lastRenderedPageBreak/>
        <w:t>T</w:t>
      </w:r>
      <w:r w:rsidR="00996990" w:rsidRPr="007A5AFC">
        <w:t xml:space="preserve">he </w:t>
      </w:r>
      <w:r w:rsidR="00996990">
        <w:t xml:space="preserve">existing </w:t>
      </w:r>
      <w:r w:rsidR="00996990" w:rsidRPr="007A5AFC">
        <w:t xml:space="preserve">leverage formula range of 8.74 percent to 11.16 percent </w:t>
      </w:r>
      <w:r w:rsidR="00996990">
        <w:t xml:space="preserve">initially approved in 2011 </w:t>
      </w:r>
      <w:r w:rsidR="00996990" w:rsidRPr="007A5AFC">
        <w:t xml:space="preserve">is still reasonable for WAW utilities.  Therefore, the current leverage formula approved in Docket No. 110006-WS </w:t>
      </w:r>
      <w:r>
        <w:t xml:space="preserve">shall </w:t>
      </w:r>
      <w:r w:rsidR="00996990" w:rsidRPr="007A5AFC">
        <w:t>continue to be used for determining the return on equity for WAW utilities in 201</w:t>
      </w:r>
      <w:r w:rsidR="00996990">
        <w:t>5</w:t>
      </w:r>
      <w:r w:rsidR="00996990" w:rsidRPr="007A5AFC">
        <w:t xml:space="preserve">.  </w:t>
      </w:r>
      <w:r>
        <w:t>R</w:t>
      </w:r>
      <w:r w:rsidR="00996990" w:rsidRPr="007A5AFC">
        <w:t>etaining the use of the current leverage formula until the leverage formula is addressed again in 201</w:t>
      </w:r>
      <w:r w:rsidR="00996990">
        <w:t>6</w:t>
      </w:r>
      <w:r w:rsidR="00996990" w:rsidRPr="007A5AFC">
        <w:t xml:space="preserve"> is a reasonable alternative to updating the formula using current 201</w:t>
      </w:r>
      <w:r w:rsidR="00996990">
        <w:t>5</w:t>
      </w:r>
      <w:r w:rsidR="00996990" w:rsidRPr="007A5AFC">
        <w:t xml:space="preserve"> financial information.</w:t>
      </w:r>
    </w:p>
    <w:p w:rsidR="00996990" w:rsidRPr="007A5AFC" w:rsidRDefault="00685239" w:rsidP="00996990">
      <w:pPr>
        <w:spacing w:after="240"/>
        <w:ind w:firstLine="720"/>
        <w:jc w:val="both"/>
      </w:pPr>
      <w:r>
        <w:t>We continue</w:t>
      </w:r>
      <w:r w:rsidR="00996990" w:rsidRPr="007A5AFC">
        <w:t xml:space="preserve"> to </w:t>
      </w:r>
      <w:r w:rsidR="00680043">
        <w:t>find</w:t>
      </w:r>
      <w:r w:rsidR="00996990" w:rsidRPr="007A5AFC">
        <w:t xml:space="preserve"> the </w:t>
      </w:r>
      <w:r w:rsidR="00680043">
        <w:t>leverage formula</w:t>
      </w:r>
      <w:r w:rsidR="00996990" w:rsidRPr="007A5AFC">
        <w:t xml:space="preserve"> a sound, workable methodology that reduces the costs and administrative burdens in WAW rate cases by eliminating the need for cost of equity testimony.  Many of the WAW utilities under </w:t>
      </w:r>
      <w:r>
        <w:t>our</w:t>
      </w:r>
      <w:r w:rsidR="00996990" w:rsidRPr="007A5AFC">
        <w:t xml:space="preserve"> jurisdiction are small operations that find it beneficial to avoid the costs associated with presenting cost of equity testimony.</w:t>
      </w:r>
    </w:p>
    <w:p w:rsidR="00996990" w:rsidRDefault="00996990" w:rsidP="00685239">
      <w:pPr>
        <w:pStyle w:val="BodyText"/>
        <w:ind w:firstLine="720"/>
        <w:jc w:val="both"/>
      </w:pPr>
      <w:r w:rsidRPr="007A5AFC">
        <w:t xml:space="preserve">Based on the aforementioned, </w:t>
      </w:r>
      <w:r w:rsidR="00685239">
        <w:t>we find</w:t>
      </w:r>
      <w:r w:rsidRPr="007A5AFC">
        <w:t xml:space="preserve"> that the current range of returns on common equity of 8.74 percent to 11.16 percent is still reasonable for WAW utilities.  As such, the current leverage formula authorized by </w:t>
      </w:r>
      <w:r w:rsidR="00685239">
        <w:t>this</w:t>
      </w:r>
      <w:r w:rsidRPr="007A5AFC">
        <w:t xml:space="preserve"> Commission in Order No. PSC-1</w:t>
      </w:r>
      <w:r>
        <w:t>4</w:t>
      </w:r>
      <w:r w:rsidRPr="007A5AFC">
        <w:t>-02</w:t>
      </w:r>
      <w:r>
        <w:t>72</w:t>
      </w:r>
      <w:r w:rsidRPr="007A5AFC">
        <w:t>-PAA-WS</w:t>
      </w:r>
      <w:r w:rsidR="00685239">
        <w:t xml:space="preserve"> shall</w:t>
      </w:r>
      <w:r w:rsidRPr="007A5AFC">
        <w:t xml:space="preserve"> remain unchanged until the leverage formula is readdressed in 201</w:t>
      </w:r>
      <w:r>
        <w:t>6.</w:t>
      </w:r>
    </w:p>
    <w:p w:rsidR="00996990" w:rsidRDefault="00996990" w:rsidP="00996990">
      <w:pPr>
        <w:pStyle w:val="OrderBody"/>
      </w:pPr>
      <w:r>
        <w:tab/>
        <w:t>Based on the foregoing, it is</w:t>
      </w:r>
    </w:p>
    <w:p w:rsidR="00996990" w:rsidRDefault="00996990" w:rsidP="00996990">
      <w:pPr>
        <w:pStyle w:val="OrderBody"/>
      </w:pPr>
    </w:p>
    <w:p w:rsidR="00996990" w:rsidRDefault="00996990" w:rsidP="00996990">
      <w:pPr>
        <w:pStyle w:val="OrderBody"/>
      </w:pPr>
      <w:r>
        <w:tab/>
      </w:r>
      <w:proofErr w:type="gramStart"/>
      <w:r>
        <w:t>ORDERED by the Florida Public Service Commission that</w:t>
      </w:r>
      <w:r w:rsidR="00BD3698">
        <w:t xml:space="preserve"> the current 2011 leverage formula authorized by this Commission in Order N</w:t>
      </w:r>
      <w:r w:rsidR="00B627F9">
        <w:t>o</w:t>
      </w:r>
      <w:r w:rsidR="00BD3698">
        <w:t>.</w:t>
      </w:r>
      <w:proofErr w:type="gramEnd"/>
      <w:r w:rsidR="00BD3698">
        <w:t xml:space="preserve"> PSC-</w:t>
      </w:r>
      <w:r w:rsidR="00B627F9">
        <w:t xml:space="preserve">14-0272-PAA-WS, Return on Common Equity = 7.13% + </w:t>
      </w:r>
      <w:r w:rsidR="00B627F9" w:rsidRPr="00B627F9">
        <w:t>(1.610 ÷ Equity Ratio)</w:t>
      </w:r>
      <w:r w:rsidR="00B627F9">
        <w:t>, shall continue to be used until the leverage formula is readdressed in 2016.  It is further</w:t>
      </w:r>
    </w:p>
    <w:p w:rsidR="00B627F9" w:rsidRDefault="00B627F9" w:rsidP="00996990">
      <w:pPr>
        <w:pStyle w:val="OrderBody"/>
      </w:pPr>
    </w:p>
    <w:p w:rsidR="00B627F9" w:rsidRDefault="00B627F9" w:rsidP="00996990">
      <w:pPr>
        <w:pStyle w:val="OrderBody"/>
      </w:pPr>
      <w:r>
        <w:tab/>
        <w:t>ORDERED that the current range of returns on common equity shall of 8.74 percent to 11.16 percent is hereby approved for water and wastewater utilities as set forth in this Order.  It is further</w:t>
      </w:r>
    </w:p>
    <w:p w:rsidR="00B627F9" w:rsidRDefault="00B627F9" w:rsidP="00996990">
      <w:pPr>
        <w:pStyle w:val="OrderBody"/>
      </w:pPr>
    </w:p>
    <w:p w:rsidR="00B627F9" w:rsidRDefault="00B627F9" w:rsidP="00996990">
      <w:pPr>
        <w:pStyle w:val="OrderBody"/>
      </w:pPr>
      <w:r>
        <w:tab/>
      </w:r>
      <w:proofErr w:type="gramStart"/>
      <w:r>
        <w:t>ORDERED that the returns on common equity shall be capped at 11.16 percent for all water and wastewater utilities with equity ra</w:t>
      </w:r>
      <w:r w:rsidR="009342E3">
        <w:t>tio</w:t>
      </w:r>
      <w:r>
        <w:t>s less than 40 percent.</w:t>
      </w:r>
      <w:proofErr w:type="gramEnd"/>
    </w:p>
    <w:p w:rsidR="009342E3" w:rsidRDefault="009342E3" w:rsidP="00996990">
      <w:pPr>
        <w:pStyle w:val="OrderBody"/>
      </w:pPr>
    </w:p>
    <w:p w:rsidR="009342E3" w:rsidRDefault="009342E3" w:rsidP="00996990">
      <w:pPr>
        <w:pStyle w:val="OrderBody"/>
      </w:pPr>
      <w:r>
        <w:tab/>
      </w:r>
      <w:proofErr w:type="gramStart"/>
      <w:r>
        <w:t>ORDERED that Attachment 1 is incorporated herein by reference.</w:t>
      </w:r>
      <w:proofErr w:type="gramEnd"/>
      <w:r>
        <w:t xml:space="preserve">  It is further</w:t>
      </w:r>
    </w:p>
    <w:p w:rsidR="00B627F9" w:rsidRDefault="00B627F9" w:rsidP="00996990">
      <w:pPr>
        <w:pStyle w:val="OrderBody"/>
      </w:pPr>
    </w:p>
    <w:p w:rsidR="00996990" w:rsidRDefault="00996990" w:rsidP="00996990">
      <w:pPr>
        <w:pStyle w:val="OrderBody"/>
      </w:pPr>
      <w:r>
        <w:tab/>
        <w:t>ORDERED that the provisions of this Order, issued as proposed agency action,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996990" w:rsidRDefault="00996990" w:rsidP="00996990">
      <w:pPr>
        <w:pStyle w:val="OrderBody"/>
      </w:pPr>
    </w:p>
    <w:p w:rsidR="00996990" w:rsidRDefault="00996990" w:rsidP="00996990">
      <w:pPr>
        <w:pStyle w:val="OrderBody"/>
      </w:pPr>
      <w:r>
        <w:tab/>
      </w:r>
      <w:proofErr w:type="gramStart"/>
      <w:r>
        <w:t xml:space="preserve">ORDERED that </w:t>
      </w:r>
      <w:r w:rsidRPr="006C5A11">
        <w:t xml:space="preserve">this docket </w:t>
      </w:r>
      <w:r w:rsidR="00680043">
        <w:t>shall</w:t>
      </w:r>
      <w:r w:rsidRPr="006C5A11">
        <w:t xml:space="preserve"> remain open to allow staff to monitor changes in capital market conditions and to readdress the reasonableness of the leverage formula as conditions warrant.</w:t>
      </w:r>
      <w:proofErr w:type="gramEnd"/>
    </w:p>
    <w:p w:rsidR="00996990" w:rsidRDefault="00996990" w:rsidP="00996990">
      <w:pPr>
        <w:pStyle w:val="OrderBody"/>
      </w:pPr>
    </w:p>
    <w:p w:rsidR="00996990" w:rsidRDefault="00996990" w:rsidP="00996990">
      <w:pPr>
        <w:pStyle w:val="OrderBody"/>
        <w:keepNext/>
        <w:keepLines/>
      </w:pPr>
      <w:r>
        <w:lastRenderedPageBreak/>
        <w:tab/>
        <w:t xml:space="preserve">By ORDER of the Florida Public Service Commission this </w:t>
      </w:r>
      <w:bookmarkStart w:id="6" w:name="replaceDate"/>
      <w:bookmarkEnd w:id="6"/>
      <w:r w:rsidR="00816868">
        <w:rPr>
          <w:u w:val="single"/>
        </w:rPr>
        <w:t>2nd</w:t>
      </w:r>
      <w:r w:rsidR="00816868">
        <w:t xml:space="preserve"> day of </w:t>
      </w:r>
      <w:r w:rsidR="00816868">
        <w:rPr>
          <w:u w:val="single"/>
        </w:rPr>
        <w:t>July</w:t>
      </w:r>
      <w:r w:rsidR="00816868">
        <w:t xml:space="preserve">, </w:t>
      </w:r>
      <w:r w:rsidR="00816868">
        <w:rPr>
          <w:u w:val="single"/>
        </w:rPr>
        <w:t>2015</w:t>
      </w:r>
      <w:r w:rsidR="00816868">
        <w:t>.</w:t>
      </w:r>
    </w:p>
    <w:p w:rsidR="00816868" w:rsidRPr="00816868" w:rsidRDefault="00816868" w:rsidP="00996990">
      <w:pPr>
        <w:pStyle w:val="OrderBody"/>
        <w:keepNext/>
        <w:keepLines/>
      </w:pPr>
    </w:p>
    <w:p w:rsidR="00996990" w:rsidRDefault="00996990" w:rsidP="00996990">
      <w:pPr>
        <w:pStyle w:val="OrderBody"/>
        <w:keepNext/>
        <w:keepLines/>
      </w:pPr>
    </w:p>
    <w:p w:rsidR="00996990" w:rsidRDefault="00996990" w:rsidP="00996990">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816868" w:rsidTr="00816868">
        <w:tc>
          <w:tcPr>
            <w:tcW w:w="686" w:type="dxa"/>
            <w:shd w:val="clear" w:color="auto" w:fill="auto"/>
          </w:tcPr>
          <w:p w:rsidR="00816868" w:rsidRDefault="00816868" w:rsidP="00996990">
            <w:pPr>
              <w:pStyle w:val="OrderBody"/>
              <w:keepNext/>
              <w:keepLines/>
            </w:pPr>
            <w:bookmarkStart w:id="7" w:name="bkmrkSignature" w:colFirst="0" w:colLast="0"/>
          </w:p>
        </w:tc>
        <w:tc>
          <w:tcPr>
            <w:tcW w:w="4034" w:type="dxa"/>
            <w:tcBorders>
              <w:bottom w:val="single" w:sz="4" w:space="0" w:color="auto"/>
            </w:tcBorders>
            <w:shd w:val="clear" w:color="auto" w:fill="auto"/>
          </w:tcPr>
          <w:p w:rsidR="00816868" w:rsidRDefault="00816868" w:rsidP="007C2D3A">
            <w:pPr>
              <w:pStyle w:val="OrderBody"/>
              <w:keepNext/>
              <w:keepLines/>
            </w:pPr>
            <w:r>
              <w:t>/s/ Hong Wang</w:t>
            </w:r>
          </w:p>
        </w:tc>
      </w:tr>
      <w:bookmarkEnd w:id="7"/>
      <w:tr w:rsidR="00816868" w:rsidTr="00816868">
        <w:tc>
          <w:tcPr>
            <w:tcW w:w="686" w:type="dxa"/>
            <w:shd w:val="clear" w:color="auto" w:fill="auto"/>
          </w:tcPr>
          <w:p w:rsidR="00816868" w:rsidRDefault="00816868" w:rsidP="00996990">
            <w:pPr>
              <w:pStyle w:val="OrderBody"/>
              <w:keepNext/>
              <w:keepLines/>
            </w:pPr>
          </w:p>
        </w:tc>
        <w:tc>
          <w:tcPr>
            <w:tcW w:w="4034" w:type="dxa"/>
            <w:tcBorders>
              <w:top w:val="single" w:sz="4" w:space="0" w:color="auto"/>
            </w:tcBorders>
            <w:shd w:val="clear" w:color="auto" w:fill="auto"/>
          </w:tcPr>
          <w:p w:rsidR="00816868" w:rsidRDefault="00816868" w:rsidP="00996990">
            <w:pPr>
              <w:pStyle w:val="OrderBody"/>
              <w:keepNext/>
              <w:keepLines/>
            </w:pPr>
            <w:r>
              <w:t>HONG WANG</w:t>
            </w:r>
          </w:p>
          <w:p w:rsidR="00816868" w:rsidRDefault="00816868" w:rsidP="00996990">
            <w:pPr>
              <w:pStyle w:val="OrderBody"/>
              <w:keepNext/>
              <w:keepLines/>
            </w:pPr>
            <w:r>
              <w:t>Chief Deputy Commission Clerk</w:t>
            </w:r>
          </w:p>
        </w:tc>
      </w:tr>
    </w:tbl>
    <w:p w:rsidR="00996990" w:rsidRDefault="00996990" w:rsidP="00996990">
      <w:pPr>
        <w:pStyle w:val="OrderSigInfo"/>
        <w:keepNext/>
        <w:keepLines/>
      </w:pPr>
      <w:r>
        <w:t>Florida Public Service Commission</w:t>
      </w:r>
    </w:p>
    <w:p w:rsidR="00996990" w:rsidRDefault="00996990" w:rsidP="00996990">
      <w:pPr>
        <w:pStyle w:val="OrderSigInfo"/>
        <w:keepNext/>
        <w:keepLines/>
      </w:pPr>
      <w:r>
        <w:t>2540 Shumard Oak Boulevard</w:t>
      </w:r>
    </w:p>
    <w:p w:rsidR="00996990" w:rsidRDefault="00996990" w:rsidP="00996990">
      <w:pPr>
        <w:pStyle w:val="OrderSigInfo"/>
        <w:keepNext/>
        <w:keepLines/>
      </w:pPr>
      <w:r>
        <w:t>Tallahassee, Florida  32399</w:t>
      </w:r>
    </w:p>
    <w:p w:rsidR="00996990" w:rsidRDefault="00996990" w:rsidP="00996990">
      <w:pPr>
        <w:pStyle w:val="OrderSigInfo"/>
        <w:keepNext/>
        <w:keepLines/>
      </w:pPr>
      <w:r>
        <w:t>(850) 413</w:t>
      </w:r>
      <w:r>
        <w:noBreakHyphen/>
        <w:t>6770</w:t>
      </w:r>
    </w:p>
    <w:p w:rsidR="00996990" w:rsidRDefault="00996990" w:rsidP="00996990">
      <w:pPr>
        <w:pStyle w:val="OrderSigInfo"/>
        <w:keepNext/>
        <w:keepLines/>
      </w:pPr>
      <w:r>
        <w:t>www.floridapsc.com</w:t>
      </w:r>
    </w:p>
    <w:p w:rsidR="00996990" w:rsidRDefault="00996990" w:rsidP="00996990">
      <w:pPr>
        <w:pStyle w:val="OrderSigInfo"/>
        <w:keepNext/>
        <w:keepLines/>
      </w:pPr>
    </w:p>
    <w:p w:rsidR="00996990" w:rsidRDefault="00996990" w:rsidP="00996990">
      <w:pPr>
        <w:pStyle w:val="OrderSigInfo"/>
        <w:keepNext/>
        <w:keepLines/>
      </w:pPr>
      <w:r>
        <w:t>Copies furnished:  A copy of this document is provided to the parties of record at the time of issuance and, if applicable, interested persons.</w:t>
      </w:r>
    </w:p>
    <w:p w:rsidR="00996990" w:rsidRDefault="00996990" w:rsidP="00996990">
      <w:pPr>
        <w:pStyle w:val="OrderBody"/>
        <w:keepNext/>
        <w:keepLines/>
      </w:pPr>
    </w:p>
    <w:p w:rsidR="00996990" w:rsidRDefault="00996990" w:rsidP="00996990">
      <w:pPr>
        <w:pStyle w:val="OrderBody"/>
        <w:keepNext/>
        <w:keepLines/>
      </w:pPr>
      <w:r>
        <w:t>KRM</w:t>
      </w:r>
    </w:p>
    <w:p w:rsidR="00996990" w:rsidRDefault="00996990" w:rsidP="00996990">
      <w:pPr>
        <w:pStyle w:val="OrderBody"/>
      </w:pPr>
    </w:p>
    <w:p w:rsidR="00996990" w:rsidRDefault="00996990" w:rsidP="00996990">
      <w:pPr>
        <w:pStyle w:val="CenterUnderline"/>
      </w:pPr>
      <w:r>
        <w:t>NOTICE OF FURTHER PROCEEDINGS OR JUDICIAL REVIEW</w:t>
      </w:r>
    </w:p>
    <w:p w:rsidR="00996990" w:rsidRDefault="00996990" w:rsidP="00996990">
      <w:pPr>
        <w:pStyle w:val="CenterUnderline"/>
      </w:pPr>
    </w:p>
    <w:p w:rsidR="00996990" w:rsidRDefault="00996990" w:rsidP="00996990">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996990" w:rsidRDefault="00996990" w:rsidP="00996990">
      <w:pPr>
        <w:pStyle w:val="OrderBody"/>
      </w:pPr>
    </w:p>
    <w:p w:rsidR="00996990" w:rsidRDefault="00996990" w:rsidP="00996990">
      <w:pPr>
        <w:pStyle w:val="OrderBody"/>
      </w:pPr>
      <w:r>
        <w:tab/>
        <w:t>Mediation may be available on a case-by-case basis.  If mediation is conducted, it does not affect a substantially interested person's right to a hearing.</w:t>
      </w:r>
    </w:p>
    <w:p w:rsidR="00996990" w:rsidRDefault="00996990" w:rsidP="00996990">
      <w:pPr>
        <w:pStyle w:val="OrderBody"/>
      </w:pPr>
      <w:bookmarkStart w:id="8" w:name="_GoBack"/>
      <w:bookmarkEnd w:id="8"/>
    </w:p>
    <w:p w:rsidR="00996990" w:rsidRDefault="00996990" w:rsidP="00996990">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816868">
        <w:rPr>
          <w:u w:val="single"/>
        </w:rPr>
        <w:t>July 23, 2015</w:t>
      </w:r>
      <w:r>
        <w:t>.</w:t>
      </w:r>
    </w:p>
    <w:p w:rsidR="00996990" w:rsidRDefault="00996990" w:rsidP="00996990">
      <w:pPr>
        <w:pStyle w:val="OrderBody"/>
      </w:pPr>
    </w:p>
    <w:p w:rsidR="00996990" w:rsidRDefault="00996990" w:rsidP="00996990">
      <w:pPr>
        <w:pStyle w:val="OrderBody"/>
      </w:pPr>
      <w:r>
        <w:tab/>
        <w:t>In the absence of such a petition, this order shall become final and effective upon the issuance of a Consummating Order.</w:t>
      </w:r>
    </w:p>
    <w:p w:rsidR="00996990" w:rsidRDefault="00996990" w:rsidP="00996990">
      <w:pPr>
        <w:pStyle w:val="OrderBody"/>
      </w:pPr>
    </w:p>
    <w:p w:rsidR="00996990" w:rsidRDefault="00996990" w:rsidP="00996990">
      <w:pPr>
        <w:pStyle w:val="OrderBody"/>
      </w:pPr>
      <w:r>
        <w:tab/>
        <w:t>Any objection or protest filed in this/these docket(s) before the issuance date of this order is considered abandoned unless it satisfies the foregoing conditions and is renewed within the specified protest period.</w:t>
      </w:r>
    </w:p>
    <w:p w:rsidR="007D77ED" w:rsidRDefault="007D77ED" w:rsidP="00996990">
      <w:pPr>
        <w:pStyle w:val="OrderBody"/>
        <w:sectPr w:rsidR="007D77ED">
          <w:headerReference w:type="default" r:id="rId10"/>
          <w:footerReference w:type="first" r:id="rId11"/>
          <w:pgSz w:w="12240" w:h="15840" w:code="1"/>
          <w:pgMar w:top="1440" w:right="1440" w:bottom="1440" w:left="1440" w:header="720" w:footer="720" w:gutter="0"/>
          <w:cols w:space="720"/>
          <w:titlePg/>
          <w:docGrid w:linePitch="360"/>
        </w:sectPr>
      </w:pPr>
    </w:p>
    <w:p w:rsidR="007D77ED" w:rsidRDefault="007D77ED" w:rsidP="007D77ED">
      <w:pPr>
        <w:jc w:val="right"/>
      </w:pPr>
      <w:r>
        <w:lastRenderedPageBreak/>
        <w:t>Attachment 1</w:t>
      </w:r>
    </w:p>
    <w:p w:rsidR="007D77ED" w:rsidRDefault="007D77ED" w:rsidP="007D77ED">
      <w:pPr>
        <w:jc w:val="right"/>
      </w:pPr>
    </w:p>
    <w:p w:rsidR="00125508" w:rsidRDefault="00125508" w:rsidP="007D77ED">
      <w:pPr>
        <w:jc w:val="right"/>
      </w:pPr>
    </w:p>
    <w:tbl>
      <w:tblPr>
        <w:tblW w:w="0" w:type="auto"/>
        <w:jc w:val="center"/>
        <w:tblLayout w:type="fixed"/>
        <w:tblCellMar>
          <w:left w:w="120" w:type="dxa"/>
          <w:right w:w="120" w:type="dxa"/>
        </w:tblCellMar>
        <w:tblLook w:val="0000" w:firstRow="0" w:lastRow="0" w:firstColumn="0" w:lastColumn="0" w:noHBand="0" w:noVBand="0"/>
      </w:tblPr>
      <w:tblGrid>
        <w:gridCol w:w="5220"/>
        <w:gridCol w:w="414"/>
        <w:gridCol w:w="649"/>
        <w:gridCol w:w="585"/>
        <w:gridCol w:w="1152"/>
        <w:gridCol w:w="585"/>
      </w:tblGrid>
      <w:tr w:rsidR="004416BE" w:rsidRPr="004416BE" w:rsidTr="00EC5CBB">
        <w:trPr>
          <w:cantSplit/>
          <w:jc w:val="center"/>
        </w:trPr>
        <w:tc>
          <w:tcPr>
            <w:tcW w:w="8605" w:type="dxa"/>
            <w:gridSpan w:val="6"/>
          </w:tcPr>
          <w:p w:rsidR="004416BE" w:rsidRPr="004416BE" w:rsidRDefault="004416BE" w:rsidP="004416BE">
            <w:pPr>
              <w:rPr>
                <w:bCs/>
              </w:rPr>
            </w:pPr>
          </w:p>
          <w:p w:rsidR="004416BE" w:rsidRPr="004416BE" w:rsidRDefault="004416BE" w:rsidP="004416BE">
            <w:pPr>
              <w:rPr>
                <w:bCs/>
              </w:rPr>
            </w:pPr>
          </w:p>
          <w:p w:rsidR="004416BE" w:rsidRPr="004416BE" w:rsidRDefault="004416BE" w:rsidP="004416BE">
            <w:pPr>
              <w:jc w:val="center"/>
            </w:pPr>
            <w:r w:rsidRPr="004416BE">
              <w:rPr>
                <w:bCs/>
              </w:rPr>
              <w:t>SUMMARY OF LEVERAGE FORMULA FACTORS</w:t>
            </w:r>
          </w:p>
        </w:tc>
      </w:tr>
      <w:tr w:rsidR="004416BE" w:rsidRPr="004416BE" w:rsidTr="00EC5CBB">
        <w:trPr>
          <w:cantSplit/>
          <w:jc w:val="center"/>
        </w:trPr>
        <w:tc>
          <w:tcPr>
            <w:tcW w:w="8605" w:type="dxa"/>
            <w:gridSpan w:val="6"/>
          </w:tcPr>
          <w:p w:rsidR="004416BE" w:rsidRPr="004416BE" w:rsidRDefault="004416BE" w:rsidP="004416BE"/>
        </w:tc>
      </w:tr>
      <w:tr w:rsidR="004416BE" w:rsidRPr="004416BE" w:rsidTr="00EC5CBB">
        <w:trPr>
          <w:cantSplit/>
          <w:jc w:val="center"/>
        </w:trPr>
        <w:tc>
          <w:tcPr>
            <w:tcW w:w="5634" w:type="dxa"/>
            <w:gridSpan w:val="2"/>
          </w:tcPr>
          <w:p w:rsidR="004416BE" w:rsidRPr="004416BE" w:rsidRDefault="004416BE" w:rsidP="004416BE"/>
        </w:tc>
        <w:tc>
          <w:tcPr>
            <w:tcW w:w="1234" w:type="dxa"/>
            <w:gridSpan w:val="2"/>
            <w:vAlign w:val="center"/>
          </w:tcPr>
          <w:p w:rsidR="004416BE" w:rsidRPr="004416BE" w:rsidRDefault="004416BE" w:rsidP="004416BE"/>
        </w:tc>
        <w:tc>
          <w:tcPr>
            <w:tcW w:w="1737" w:type="dxa"/>
            <w:gridSpan w:val="2"/>
            <w:vAlign w:val="center"/>
          </w:tcPr>
          <w:p w:rsidR="004416BE" w:rsidRPr="004416BE" w:rsidRDefault="004416BE" w:rsidP="004416BE"/>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 xml:space="preserve">(A) DCF ROE for Natural Gas Utility Index </w:t>
            </w:r>
          </w:p>
        </w:tc>
        <w:tc>
          <w:tcPr>
            <w:tcW w:w="649" w:type="dxa"/>
            <w:vAlign w:val="bottom"/>
          </w:tcPr>
          <w:p w:rsidR="004416BE" w:rsidRPr="004416BE" w:rsidRDefault="004416BE" w:rsidP="004416BE"/>
        </w:tc>
        <w:tc>
          <w:tcPr>
            <w:tcW w:w="1737" w:type="dxa"/>
            <w:gridSpan w:val="2"/>
            <w:vAlign w:val="center"/>
          </w:tcPr>
          <w:p w:rsidR="004416BE" w:rsidRPr="004416BE" w:rsidRDefault="004416BE" w:rsidP="004416BE">
            <w:r w:rsidRPr="004416BE">
              <w:t>8.25%</w:t>
            </w:r>
          </w:p>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(B) CAPM ROE for Natural Gas Utility Index</w:t>
            </w:r>
          </w:p>
        </w:tc>
        <w:tc>
          <w:tcPr>
            <w:tcW w:w="649" w:type="dxa"/>
            <w:vAlign w:val="bottom"/>
          </w:tcPr>
          <w:p w:rsidR="004416BE" w:rsidRPr="004416BE" w:rsidRDefault="004416BE" w:rsidP="004416BE">
            <w:pPr>
              <w:rPr>
                <w:u w:val="single"/>
              </w:rPr>
            </w:pPr>
          </w:p>
        </w:tc>
        <w:tc>
          <w:tcPr>
            <w:tcW w:w="1737" w:type="dxa"/>
            <w:gridSpan w:val="2"/>
            <w:vAlign w:val="center"/>
          </w:tcPr>
          <w:p w:rsidR="004416BE" w:rsidRPr="004416BE" w:rsidRDefault="004416BE" w:rsidP="004416BE">
            <w:pPr>
              <w:rPr>
                <w:u w:val="single"/>
              </w:rPr>
            </w:pPr>
            <w:r w:rsidRPr="004416BE">
              <w:rPr>
                <w:u w:val="single"/>
              </w:rPr>
              <w:t>9.40%</w:t>
            </w:r>
          </w:p>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AVERAGE</w:t>
            </w:r>
            <w:r w:rsidRPr="004416BE">
              <w:tab/>
            </w:r>
          </w:p>
        </w:tc>
        <w:tc>
          <w:tcPr>
            <w:tcW w:w="649" w:type="dxa"/>
            <w:vAlign w:val="bottom"/>
          </w:tcPr>
          <w:p w:rsidR="004416BE" w:rsidRPr="004416BE" w:rsidRDefault="004416BE" w:rsidP="004416BE">
            <w:pPr>
              <w:rPr>
                <w:u w:val="double"/>
              </w:rPr>
            </w:pPr>
          </w:p>
        </w:tc>
        <w:tc>
          <w:tcPr>
            <w:tcW w:w="1737" w:type="dxa"/>
            <w:gridSpan w:val="2"/>
            <w:vAlign w:val="center"/>
          </w:tcPr>
          <w:p w:rsidR="004416BE" w:rsidRPr="004416BE" w:rsidRDefault="004416BE" w:rsidP="004416BE">
            <w:pPr>
              <w:rPr>
                <w:u w:val="double"/>
              </w:rPr>
            </w:pPr>
            <w:r w:rsidRPr="004416BE">
              <w:rPr>
                <w:u w:val="double"/>
              </w:rPr>
              <w:t>8.83%</w:t>
            </w:r>
          </w:p>
        </w:tc>
      </w:tr>
      <w:tr w:rsidR="004416BE" w:rsidRPr="004416BE" w:rsidTr="00EC5CBB">
        <w:trPr>
          <w:gridAfter w:val="1"/>
          <w:wAfter w:w="585" w:type="dxa"/>
          <w:cantSplit/>
          <w:jc w:val="center"/>
        </w:trPr>
        <w:tc>
          <w:tcPr>
            <w:tcW w:w="5634" w:type="dxa"/>
            <w:gridSpan w:val="2"/>
          </w:tcPr>
          <w:p w:rsidR="004416BE" w:rsidRPr="004416BE" w:rsidRDefault="004416BE" w:rsidP="004416BE"/>
        </w:tc>
        <w:tc>
          <w:tcPr>
            <w:tcW w:w="649" w:type="dxa"/>
            <w:vAlign w:val="bottom"/>
          </w:tcPr>
          <w:p w:rsidR="004416BE" w:rsidRPr="004416BE" w:rsidRDefault="004416BE" w:rsidP="004416BE"/>
        </w:tc>
        <w:tc>
          <w:tcPr>
            <w:tcW w:w="1737" w:type="dxa"/>
            <w:gridSpan w:val="2"/>
            <w:vAlign w:val="center"/>
          </w:tcPr>
          <w:p w:rsidR="004416BE" w:rsidRPr="004416BE" w:rsidRDefault="004416BE" w:rsidP="004416BE"/>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Bond Yield Differential</w:t>
            </w:r>
          </w:p>
        </w:tc>
        <w:tc>
          <w:tcPr>
            <w:tcW w:w="649" w:type="dxa"/>
            <w:vAlign w:val="bottom"/>
          </w:tcPr>
          <w:p w:rsidR="004416BE" w:rsidRPr="004416BE" w:rsidRDefault="004416BE" w:rsidP="004416BE"/>
        </w:tc>
        <w:tc>
          <w:tcPr>
            <w:tcW w:w="1737" w:type="dxa"/>
            <w:gridSpan w:val="2"/>
            <w:vAlign w:val="center"/>
          </w:tcPr>
          <w:p w:rsidR="004416BE" w:rsidRPr="004416BE" w:rsidRDefault="004416BE" w:rsidP="004416BE">
            <w:r w:rsidRPr="004416BE">
              <w:t>0.57%</w:t>
            </w:r>
          </w:p>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Private Placement Premium</w:t>
            </w:r>
          </w:p>
        </w:tc>
        <w:tc>
          <w:tcPr>
            <w:tcW w:w="649" w:type="dxa"/>
            <w:vAlign w:val="bottom"/>
          </w:tcPr>
          <w:p w:rsidR="004416BE" w:rsidRPr="004416BE" w:rsidRDefault="004416BE" w:rsidP="004416BE"/>
        </w:tc>
        <w:tc>
          <w:tcPr>
            <w:tcW w:w="1737" w:type="dxa"/>
            <w:gridSpan w:val="2"/>
            <w:vAlign w:val="center"/>
          </w:tcPr>
          <w:p w:rsidR="004416BE" w:rsidRPr="004416BE" w:rsidRDefault="004416BE" w:rsidP="004416BE">
            <w:r w:rsidRPr="004416BE">
              <w:t>0.50%</w:t>
            </w:r>
          </w:p>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Small-Utility Risk Premium</w:t>
            </w:r>
          </w:p>
        </w:tc>
        <w:tc>
          <w:tcPr>
            <w:tcW w:w="649" w:type="dxa"/>
            <w:vAlign w:val="bottom"/>
          </w:tcPr>
          <w:p w:rsidR="004416BE" w:rsidRPr="004416BE" w:rsidRDefault="004416BE" w:rsidP="004416BE"/>
        </w:tc>
        <w:tc>
          <w:tcPr>
            <w:tcW w:w="1737" w:type="dxa"/>
            <w:gridSpan w:val="2"/>
            <w:vAlign w:val="center"/>
          </w:tcPr>
          <w:p w:rsidR="004416BE" w:rsidRPr="004416BE" w:rsidRDefault="004416BE" w:rsidP="004416BE">
            <w:r w:rsidRPr="004416BE">
              <w:t>0.50%</w:t>
            </w:r>
          </w:p>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Adjustment to Reflect ROE at 40% Equity Ratio</w:t>
            </w:r>
          </w:p>
        </w:tc>
        <w:tc>
          <w:tcPr>
            <w:tcW w:w="649" w:type="dxa"/>
            <w:vAlign w:val="bottom"/>
          </w:tcPr>
          <w:p w:rsidR="004416BE" w:rsidRPr="004416BE" w:rsidRDefault="004416BE" w:rsidP="004416BE">
            <w:pPr>
              <w:rPr>
                <w:u w:val="single"/>
              </w:rPr>
            </w:pPr>
          </w:p>
        </w:tc>
        <w:tc>
          <w:tcPr>
            <w:tcW w:w="1737" w:type="dxa"/>
            <w:gridSpan w:val="2"/>
            <w:vAlign w:val="center"/>
          </w:tcPr>
          <w:p w:rsidR="004416BE" w:rsidRPr="004416BE" w:rsidRDefault="004416BE" w:rsidP="004416BE">
            <w:r w:rsidRPr="004416BE">
              <w:rPr>
                <w:u w:val="single"/>
              </w:rPr>
              <w:t>0.76%</w:t>
            </w:r>
          </w:p>
        </w:tc>
      </w:tr>
      <w:tr w:rsidR="004416BE" w:rsidRPr="004416BE" w:rsidTr="00EC5CBB">
        <w:trPr>
          <w:gridAfter w:val="1"/>
          <w:wAfter w:w="585" w:type="dxa"/>
          <w:cantSplit/>
          <w:jc w:val="center"/>
        </w:trPr>
        <w:tc>
          <w:tcPr>
            <w:tcW w:w="5634" w:type="dxa"/>
            <w:gridSpan w:val="2"/>
          </w:tcPr>
          <w:p w:rsidR="004416BE" w:rsidRPr="004416BE" w:rsidRDefault="004416BE" w:rsidP="004416BE"/>
        </w:tc>
        <w:tc>
          <w:tcPr>
            <w:tcW w:w="649" w:type="dxa"/>
            <w:vAlign w:val="bottom"/>
          </w:tcPr>
          <w:p w:rsidR="004416BE" w:rsidRPr="004416BE" w:rsidRDefault="004416BE" w:rsidP="004416BE">
            <w:pPr>
              <w:rPr>
                <w:u w:val="single"/>
              </w:rPr>
            </w:pPr>
          </w:p>
        </w:tc>
        <w:tc>
          <w:tcPr>
            <w:tcW w:w="1737" w:type="dxa"/>
            <w:gridSpan w:val="2"/>
            <w:vAlign w:val="center"/>
          </w:tcPr>
          <w:p w:rsidR="004416BE" w:rsidRPr="004416BE" w:rsidRDefault="004416BE" w:rsidP="004416BE"/>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Cost of Equity for Average Florida WAW Utility</w:t>
            </w:r>
          </w:p>
        </w:tc>
        <w:tc>
          <w:tcPr>
            <w:tcW w:w="649" w:type="dxa"/>
            <w:vAlign w:val="bottom"/>
          </w:tcPr>
          <w:p w:rsidR="004416BE" w:rsidRPr="004416BE" w:rsidRDefault="004416BE" w:rsidP="004416BE"/>
        </w:tc>
        <w:tc>
          <w:tcPr>
            <w:tcW w:w="1737" w:type="dxa"/>
            <w:gridSpan w:val="2"/>
            <w:vAlign w:val="center"/>
          </w:tcPr>
          <w:p w:rsidR="004416BE" w:rsidRPr="004416BE" w:rsidRDefault="004416BE" w:rsidP="004416BE"/>
        </w:tc>
      </w:tr>
      <w:tr w:rsidR="004416BE" w:rsidRPr="004416BE" w:rsidTr="00EC5CBB">
        <w:trPr>
          <w:gridAfter w:val="1"/>
          <w:wAfter w:w="585" w:type="dxa"/>
          <w:cantSplit/>
          <w:jc w:val="center"/>
        </w:trPr>
        <w:tc>
          <w:tcPr>
            <w:tcW w:w="5634" w:type="dxa"/>
            <w:gridSpan w:val="2"/>
          </w:tcPr>
          <w:p w:rsidR="004416BE" w:rsidRPr="004416BE" w:rsidRDefault="004416BE" w:rsidP="004416BE">
            <w:r w:rsidRPr="004416BE">
              <w:t>with a capital structure containing a 40% Equity Ratio</w:t>
            </w:r>
          </w:p>
        </w:tc>
        <w:tc>
          <w:tcPr>
            <w:tcW w:w="649" w:type="dxa"/>
            <w:vAlign w:val="bottom"/>
          </w:tcPr>
          <w:p w:rsidR="004416BE" w:rsidRPr="004416BE" w:rsidRDefault="004416BE" w:rsidP="004416BE">
            <w:pPr>
              <w:rPr>
                <w:u w:val="double"/>
              </w:rPr>
            </w:pPr>
          </w:p>
        </w:tc>
        <w:tc>
          <w:tcPr>
            <w:tcW w:w="1737" w:type="dxa"/>
            <w:gridSpan w:val="2"/>
            <w:vAlign w:val="center"/>
          </w:tcPr>
          <w:p w:rsidR="004416BE" w:rsidRPr="004416BE" w:rsidRDefault="004416BE" w:rsidP="004416BE">
            <w:pPr>
              <w:rPr>
                <w:u w:val="double"/>
              </w:rPr>
            </w:pPr>
            <w:r w:rsidRPr="004416BE">
              <w:rPr>
                <w:u w:val="double"/>
              </w:rPr>
              <w:t>11.16%</w:t>
            </w:r>
          </w:p>
        </w:tc>
      </w:tr>
      <w:tr w:rsidR="004416BE" w:rsidRPr="004416BE" w:rsidTr="00EC5CBB">
        <w:trPr>
          <w:cantSplit/>
          <w:jc w:val="center"/>
        </w:trPr>
        <w:tc>
          <w:tcPr>
            <w:tcW w:w="8605" w:type="dxa"/>
            <w:gridSpan w:val="6"/>
          </w:tcPr>
          <w:p w:rsidR="004416BE" w:rsidRPr="004416BE" w:rsidRDefault="004416BE" w:rsidP="004416BE">
            <w:pPr>
              <w:rPr>
                <w:u w:val="single"/>
              </w:rPr>
            </w:pPr>
          </w:p>
          <w:p w:rsidR="004416BE" w:rsidRPr="004416BE" w:rsidRDefault="004416BE" w:rsidP="004416BE">
            <w:pPr>
              <w:rPr>
                <w:u w:val="single"/>
              </w:rPr>
            </w:pPr>
          </w:p>
          <w:p w:rsidR="004416BE" w:rsidRPr="004416BE" w:rsidRDefault="004416BE" w:rsidP="004416BE">
            <w:pPr>
              <w:rPr>
                <w:u w:val="single"/>
              </w:rPr>
            </w:pPr>
            <w:r w:rsidRPr="004416BE">
              <w:rPr>
                <w:u w:val="single"/>
              </w:rPr>
              <w:t xml:space="preserve">Authorized Leverage Formula             </w:t>
            </w:r>
          </w:p>
        </w:tc>
      </w:tr>
      <w:tr w:rsidR="004416BE" w:rsidRPr="004416BE" w:rsidTr="00EC5CBB">
        <w:trPr>
          <w:cantSplit/>
          <w:jc w:val="center"/>
        </w:trPr>
        <w:tc>
          <w:tcPr>
            <w:tcW w:w="5220" w:type="dxa"/>
            <w:vAlign w:val="center"/>
          </w:tcPr>
          <w:p w:rsidR="004416BE" w:rsidRPr="004416BE" w:rsidRDefault="004416BE" w:rsidP="004416BE">
            <w:r w:rsidRPr="004416BE">
              <w:t>Return on Common Equity                              =</w:t>
            </w:r>
          </w:p>
        </w:tc>
        <w:tc>
          <w:tcPr>
            <w:tcW w:w="3385" w:type="dxa"/>
            <w:gridSpan w:val="5"/>
          </w:tcPr>
          <w:p w:rsidR="004416BE" w:rsidRPr="004416BE" w:rsidRDefault="004416BE" w:rsidP="004416BE">
            <w:r w:rsidRPr="004416BE">
              <w:t>7.13% + (1.610  ÷ Equity Ratio)</w:t>
            </w:r>
          </w:p>
        </w:tc>
      </w:tr>
      <w:tr w:rsidR="004416BE" w:rsidRPr="004416BE" w:rsidTr="00EC5CBB">
        <w:trPr>
          <w:cantSplit/>
          <w:jc w:val="center"/>
        </w:trPr>
        <w:tc>
          <w:tcPr>
            <w:tcW w:w="5220" w:type="dxa"/>
            <w:vAlign w:val="center"/>
          </w:tcPr>
          <w:p w:rsidR="004416BE" w:rsidRPr="004416BE" w:rsidRDefault="004416BE" w:rsidP="004416BE">
            <w:r w:rsidRPr="004416BE">
              <w:t>Range of Returns on Equity (100% to 40%)   =</w:t>
            </w:r>
          </w:p>
        </w:tc>
        <w:tc>
          <w:tcPr>
            <w:tcW w:w="3385" w:type="dxa"/>
            <w:gridSpan w:val="5"/>
          </w:tcPr>
          <w:p w:rsidR="004416BE" w:rsidRPr="004416BE" w:rsidRDefault="004416BE" w:rsidP="004416BE">
            <w:r w:rsidRPr="004416BE">
              <w:t>8.74% to 11.16%</w:t>
            </w:r>
          </w:p>
        </w:tc>
      </w:tr>
    </w:tbl>
    <w:p w:rsidR="007D77ED" w:rsidRDefault="007D77ED" w:rsidP="00232274"/>
    <w:sectPr w:rsidR="007D77ED" w:rsidSect="007D77ED">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990" w:rsidRDefault="00996990">
      <w:r>
        <w:separator/>
      </w:r>
    </w:p>
  </w:endnote>
  <w:endnote w:type="continuationSeparator" w:id="0">
    <w:p w:rsidR="00996990" w:rsidRDefault="0099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990" w:rsidRDefault="00996990">
      <w:r>
        <w:separator/>
      </w:r>
    </w:p>
  </w:footnote>
  <w:footnote w:type="continuationSeparator" w:id="0">
    <w:p w:rsidR="00996990" w:rsidRDefault="00996990">
      <w:r>
        <w:continuationSeparator/>
      </w:r>
    </w:p>
  </w:footnote>
  <w:footnote w:id="1">
    <w:p w:rsidR="00996990" w:rsidRPr="007D4008" w:rsidRDefault="00996990" w:rsidP="00996990">
      <w:pPr>
        <w:pStyle w:val="FootnoteText"/>
      </w:pPr>
      <w:r>
        <w:rPr>
          <w:rStyle w:val="FootnoteReference"/>
        </w:rPr>
        <w:footnoteRef/>
      </w:r>
      <w:r>
        <w:t xml:space="preserve"> </w:t>
      </w:r>
      <w:proofErr w:type="gramStart"/>
      <w:r>
        <w:t>Order No.</w:t>
      </w:r>
      <w:proofErr w:type="gramEnd"/>
      <w:r>
        <w:t xml:space="preserve"> PSC-01-2514-FOF-WS, issued December 24, 2001, in </w:t>
      </w:r>
      <w:r w:rsidRPr="00484C59">
        <w:t>Docket No. 0</w:t>
      </w:r>
      <w:r>
        <w:t>1</w:t>
      </w:r>
      <w:r w:rsidRPr="00484C59">
        <w:t>0</w:t>
      </w:r>
      <w:r>
        <w:t>006</w:t>
      </w:r>
      <w:r w:rsidRPr="00484C59">
        <w:t xml:space="preserve">-WS, </w:t>
      </w:r>
      <w:r w:rsidRPr="00BD4120">
        <w:rPr>
          <w:u w:val="single"/>
        </w:rPr>
        <w:t>In re: Water and wastewater industry annual reestablishment of authorized range of return on common equity for water and wastewater utilities pursuan</w:t>
      </w:r>
      <w:r>
        <w:rPr>
          <w:u w:val="single"/>
        </w:rPr>
        <w:t>t to Section 367.081(4</w:t>
      </w:r>
      <w:proofErr w:type="gramStart"/>
      <w:r>
        <w:rPr>
          <w:u w:val="single"/>
        </w:rPr>
        <w:t>)(</w:t>
      </w:r>
      <w:proofErr w:type="gramEnd"/>
      <w:r>
        <w:rPr>
          <w:u w:val="single"/>
        </w:rPr>
        <w:t>f), F.S</w:t>
      </w:r>
      <w:r w:rsidRPr="00266BD3">
        <w:rPr>
          <w:u w:val="single"/>
        </w:rPr>
        <w:t>.</w:t>
      </w:r>
    </w:p>
  </w:footnote>
  <w:footnote w:id="2">
    <w:p w:rsidR="00996990" w:rsidRDefault="00996990" w:rsidP="00996990">
      <w:pPr>
        <w:pStyle w:val="FootnoteText"/>
      </w:pPr>
      <w:r>
        <w:rPr>
          <w:rStyle w:val="FootnoteReference"/>
        </w:rPr>
        <w:footnoteRef/>
      </w:r>
      <w:r>
        <w:t xml:space="preserve"> At the May 20, 2008, Commission Conference, upon request of t</w:t>
      </w:r>
      <w:r w:rsidR="00680043">
        <w:t>he Office of Public Counsel, this</w:t>
      </w:r>
      <w:r>
        <w:t xml:space="preserve"> Commission voted to set the establishment of the appropriate leverage formula directly for hearing.</w:t>
      </w:r>
    </w:p>
  </w:footnote>
  <w:footnote w:id="3">
    <w:p w:rsidR="00996990" w:rsidRPr="007D4008" w:rsidRDefault="00996990" w:rsidP="00996990">
      <w:pPr>
        <w:pStyle w:val="FootnoteText"/>
      </w:pPr>
      <w:r>
        <w:rPr>
          <w:rStyle w:val="FootnoteReference"/>
        </w:rPr>
        <w:footnoteRef/>
      </w:r>
      <w:r>
        <w:t xml:space="preserve"> </w:t>
      </w:r>
      <w:proofErr w:type="gramStart"/>
      <w:r>
        <w:t>Order No.</w:t>
      </w:r>
      <w:proofErr w:type="gramEnd"/>
      <w:r>
        <w:t xml:space="preserve"> PSC-08-0846-FOF-WS, issued December 31, 2008, in </w:t>
      </w:r>
      <w:r w:rsidRPr="00484C59">
        <w:t>Docket No. 080</w:t>
      </w:r>
      <w:r>
        <w:t>006</w:t>
      </w:r>
      <w:r w:rsidRPr="00484C59">
        <w:t xml:space="preserve">-WS, </w:t>
      </w:r>
      <w:r w:rsidRPr="00BD4120">
        <w:rPr>
          <w:u w:val="single"/>
        </w:rPr>
        <w:t>In re: Water and wastewater industry annual reestablishment of authorized range of return on common equity for water and wastewater utilities pursuan</w:t>
      </w:r>
      <w:r>
        <w:rPr>
          <w:u w:val="single"/>
        </w:rPr>
        <w:t>t to Section 367.081(4</w:t>
      </w:r>
      <w:proofErr w:type="gramStart"/>
      <w:r>
        <w:rPr>
          <w:u w:val="single"/>
        </w:rPr>
        <w:t>)(</w:t>
      </w:r>
      <w:proofErr w:type="gramEnd"/>
      <w:r>
        <w:rPr>
          <w:u w:val="single"/>
        </w:rPr>
        <w:t>f), F.</w:t>
      </w:r>
      <w:r w:rsidRPr="00266BD3">
        <w:rPr>
          <w:u w:val="single"/>
        </w:rPr>
        <w:t>S.</w:t>
      </w:r>
    </w:p>
  </w:footnote>
  <w:footnote w:id="4">
    <w:p w:rsidR="00996990" w:rsidRPr="007D4008" w:rsidRDefault="00996990" w:rsidP="00996990">
      <w:pPr>
        <w:pStyle w:val="FootnoteText"/>
      </w:pPr>
      <w:r w:rsidRPr="002B14F8">
        <w:rPr>
          <w:rStyle w:val="FootnoteReference"/>
        </w:rPr>
        <w:footnoteRef/>
      </w:r>
      <w:r w:rsidRPr="002B14F8">
        <w:t xml:space="preserve"> </w:t>
      </w:r>
      <w:proofErr w:type="gramStart"/>
      <w:r w:rsidRPr="002B14F8">
        <w:t>Order No.</w:t>
      </w:r>
      <w:proofErr w:type="gramEnd"/>
      <w:r w:rsidRPr="002B14F8">
        <w:t xml:space="preserve"> PSC-1</w:t>
      </w:r>
      <w:r>
        <w:t>1</w:t>
      </w:r>
      <w:r w:rsidRPr="002B14F8">
        <w:t>-0</w:t>
      </w:r>
      <w:r>
        <w:t>287</w:t>
      </w:r>
      <w:r w:rsidRPr="002B14F8">
        <w:t>-PAA-WS, issued Ju</w:t>
      </w:r>
      <w:r>
        <w:t>ly</w:t>
      </w:r>
      <w:r w:rsidRPr="002B14F8">
        <w:t xml:space="preserve"> </w:t>
      </w:r>
      <w:r>
        <w:t>5</w:t>
      </w:r>
      <w:r w:rsidRPr="002B14F8">
        <w:t>, 201</w:t>
      </w:r>
      <w:r>
        <w:t>1</w:t>
      </w:r>
      <w:r w:rsidRPr="002B14F8">
        <w:t>, in Docket No. 1</w:t>
      </w:r>
      <w:r>
        <w:t>1</w:t>
      </w:r>
      <w:r w:rsidRPr="002B14F8">
        <w:t xml:space="preserve">0006-WS, </w:t>
      </w:r>
      <w:r w:rsidRPr="002B14F8">
        <w:rPr>
          <w:u w:val="single"/>
        </w:rPr>
        <w:t>In re: Water and wastewater industry annual reestablishment of authorized range of return on common equity for water and wastewater utilities pursuan</w:t>
      </w:r>
      <w:r>
        <w:rPr>
          <w:u w:val="single"/>
        </w:rPr>
        <w:t>t to Section 367.081(4</w:t>
      </w:r>
      <w:proofErr w:type="gramStart"/>
      <w:r>
        <w:rPr>
          <w:u w:val="single"/>
        </w:rPr>
        <w:t>)(</w:t>
      </w:r>
      <w:proofErr w:type="gramEnd"/>
      <w:r>
        <w:rPr>
          <w:u w:val="single"/>
        </w:rPr>
        <w:t>f), F.</w:t>
      </w:r>
      <w:r w:rsidRPr="00266BD3">
        <w:rPr>
          <w:u w:val="single"/>
        </w:rPr>
        <w:t>S.</w:t>
      </w:r>
    </w:p>
  </w:footnote>
  <w:footnote w:id="5">
    <w:p w:rsidR="00996990" w:rsidRDefault="00996990" w:rsidP="00996990">
      <w:pPr>
        <w:pStyle w:val="FootnoteText"/>
      </w:pPr>
      <w:r>
        <w:rPr>
          <w:rStyle w:val="FootnoteReference"/>
        </w:rPr>
        <w:footnoteRef/>
      </w:r>
      <w:r>
        <w:t xml:space="preserve"> </w:t>
      </w:r>
      <w:proofErr w:type="gramStart"/>
      <w:r w:rsidRPr="002B14F8">
        <w:t>Order No.</w:t>
      </w:r>
      <w:proofErr w:type="gramEnd"/>
      <w:r w:rsidRPr="002B14F8">
        <w:t xml:space="preserve"> PSC-1</w:t>
      </w:r>
      <w:r>
        <w:t>2</w:t>
      </w:r>
      <w:r w:rsidRPr="002B14F8">
        <w:t>-0</w:t>
      </w:r>
      <w:r>
        <w:t>339</w:t>
      </w:r>
      <w:r w:rsidRPr="002B14F8">
        <w:t>-PAA-WS, issued Ju</w:t>
      </w:r>
      <w:r>
        <w:t>ne</w:t>
      </w:r>
      <w:r w:rsidRPr="002B14F8">
        <w:t xml:space="preserve"> </w:t>
      </w:r>
      <w:r>
        <w:t>28</w:t>
      </w:r>
      <w:r w:rsidRPr="002B14F8">
        <w:t>, 201</w:t>
      </w:r>
      <w:r>
        <w:t>2</w:t>
      </w:r>
      <w:r w:rsidRPr="002B14F8">
        <w:t>, in Docket No. 1</w:t>
      </w:r>
      <w:r>
        <w:t>2</w:t>
      </w:r>
      <w:r w:rsidRPr="002B14F8">
        <w:t xml:space="preserve">0006-WS, </w:t>
      </w:r>
      <w:r w:rsidRPr="002B14F8">
        <w:rPr>
          <w:u w:val="single"/>
        </w:rPr>
        <w:t>In re: Water and wastewater industry annual reestablishment of authorized range of return on common equity for water and wastewater utilities pursuan</w:t>
      </w:r>
      <w:r>
        <w:rPr>
          <w:u w:val="single"/>
        </w:rPr>
        <w:t>t to Section 367.081(4</w:t>
      </w:r>
      <w:proofErr w:type="gramStart"/>
      <w:r>
        <w:rPr>
          <w:u w:val="single"/>
        </w:rPr>
        <w:t>)(</w:t>
      </w:r>
      <w:proofErr w:type="gramEnd"/>
      <w:r>
        <w:rPr>
          <w:u w:val="single"/>
        </w:rPr>
        <w:t>f), F.S.</w:t>
      </w:r>
      <w:r>
        <w:t xml:space="preserve"> </w:t>
      </w:r>
    </w:p>
  </w:footnote>
  <w:footnote w:id="6">
    <w:p w:rsidR="00996990" w:rsidRDefault="00996990" w:rsidP="00996990">
      <w:pPr>
        <w:pStyle w:val="FootnoteText"/>
      </w:pPr>
      <w:r>
        <w:rPr>
          <w:rStyle w:val="FootnoteReference"/>
        </w:rPr>
        <w:footnoteRef/>
      </w:r>
      <w:r>
        <w:t xml:space="preserve"> </w:t>
      </w:r>
      <w:proofErr w:type="gramStart"/>
      <w:r w:rsidRPr="002B14F8">
        <w:t>Order No.</w:t>
      </w:r>
      <w:proofErr w:type="gramEnd"/>
      <w:r w:rsidRPr="002B14F8">
        <w:t xml:space="preserve"> PSC-1</w:t>
      </w:r>
      <w:r>
        <w:t>3</w:t>
      </w:r>
      <w:r w:rsidRPr="002B14F8">
        <w:t>-0</w:t>
      </w:r>
      <w:r>
        <w:t>241</w:t>
      </w:r>
      <w:r w:rsidRPr="002B14F8">
        <w:t>-PAA-WS, issued Ju</w:t>
      </w:r>
      <w:r>
        <w:t>ne</w:t>
      </w:r>
      <w:r w:rsidRPr="002B14F8">
        <w:t xml:space="preserve"> </w:t>
      </w:r>
      <w:r>
        <w:t>3</w:t>
      </w:r>
      <w:r w:rsidRPr="002B14F8">
        <w:t>, 201</w:t>
      </w:r>
      <w:r>
        <w:t>3</w:t>
      </w:r>
      <w:r w:rsidRPr="002B14F8">
        <w:t>, in Docket No. 1</w:t>
      </w:r>
      <w:r>
        <w:t>3</w:t>
      </w:r>
      <w:r w:rsidRPr="002B14F8">
        <w:t xml:space="preserve">0006-WS, </w:t>
      </w:r>
      <w:r w:rsidRPr="002B14F8">
        <w:rPr>
          <w:u w:val="single"/>
        </w:rPr>
        <w:t>In re: Water and wastewater industry annual reestablishment of authorized range of return on common equity for water and wastewater utilities pursuan</w:t>
      </w:r>
      <w:r>
        <w:rPr>
          <w:u w:val="single"/>
        </w:rPr>
        <w:t>t to Section 367.081(4</w:t>
      </w:r>
      <w:proofErr w:type="gramStart"/>
      <w:r>
        <w:rPr>
          <w:u w:val="single"/>
        </w:rPr>
        <w:t>)(</w:t>
      </w:r>
      <w:proofErr w:type="gramEnd"/>
      <w:r>
        <w:rPr>
          <w:u w:val="single"/>
        </w:rPr>
        <w:t>f), F.S</w:t>
      </w:r>
      <w:r w:rsidRPr="00266BD3">
        <w:rPr>
          <w:u w:val="single"/>
        </w:rPr>
        <w:t>.</w:t>
      </w:r>
    </w:p>
  </w:footnote>
  <w:footnote w:id="7">
    <w:p w:rsidR="00996990" w:rsidRDefault="00996990" w:rsidP="00996990">
      <w:pPr>
        <w:pStyle w:val="FootnoteText"/>
      </w:pPr>
      <w:r>
        <w:rPr>
          <w:rStyle w:val="FootnoteReference"/>
        </w:rPr>
        <w:footnoteRef/>
      </w:r>
      <w:r>
        <w:t xml:space="preserve"> </w:t>
      </w:r>
      <w:proofErr w:type="gramStart"/>
      <w:r w:rsidRPr="002B14F8">
        <w:t>Order No.</w:t>
      </w:r>
      <w:proofErr w:type="gramEnd"/>
      <w:r w:rsidRPr="002B14F8">
        <w:t xml:space="preserve"> PSC-1</w:t>
      </w:r>
      <w:r>
        <w:t>4</w:t>
      </w:r>
      <w:r w:rsidRPr="002B14F8">
        <w:t>-0</w:t>
      </w:r>
      <w:r>
        <w:t>272</w:t>
      </w:r>
      <w:r w:rsidRPr="002B14F8">
        <w:t xml:space="preserve">-PAA-WS, issued </w:t>
      </w:r>
      <w:r>
        <w:t>May 29</w:t>
      </w:r>
      <w:r w:rsidRPr="002B14F8">
        <w:t>, 201</w:t>
      </w:r>
      <w:r>
        <w:t>4</w:t>
      </w:r>
      <w:r w:rsidRPr="002B14F8">
        <w:t>, in Docket No. 1</w:t>
      </w:r>
      <w:r>
        <w:t>4</w:t>
      </w:r>
      <w:r w:rsidRPr="002B14F8">
        <w:t xml:space="preserve">0006-WS, </w:t>
      </w:r>
      <w:r w:rsidRPr="002B14F8">
        <w:rPr>
          <w:u w:val="single"/>
        </w:rPr>
        <w:t>In re: Water and wastewater industry annual reestablishment of authorized range of return on common equity for water and wastewater utilities pursuan</w:t>
      </w:r>
      <w:r>
        <w:rPr>
          <w:u w:val="single"/>
        </w:rPr>
        <w:t>t to Section 367.081(4</w:t>
      </w:r>
      <w:proofErr w:type="gramStart"/>
      <w:r>
        <w:rPr>
          <w:u w:val="single"/>
        </w:rPr>
        <w:t>)(</w:t>
      </w:r>
      <w:proofErr w:type="gramEnd"/>
      <w:r>
        <w:rPr>
          <w:u w:val="single"/>
        </w:rPr>
        <w:t>f), F.S</w:t>
      </w:r>
      <w:r w:rsidRPr="00266BD3">
        <w:rPr>
          <w:u w:val="single"/>
        </w:rPr>
        <w:t>.</w:t>
      </w:r>
    </w:p>
  </w:footnote>
  <w:footnote w:id="8">
    <w:p w:rsidR="00996990" w:rsidRPr="00266BD3" w:rsidRDefault="00996990" w:rsidP="00996990">
      <w:pPr>
        <w:pStyle w:val="FootnoteText"/>
        <w:rPr>
          <w:u w:val="single"/>
        </w:rPr>
      </w:pPr>
      <w:r>
        <w:rPr>
          <w:rStyle w:val="FootnoteReference"/>
        </w:rPr>
        <w:footnoteRef/>
      </w:r>
      <w:r>
        <w:t xml:space="preserve"> </w:t>
      </w:r>
      <w:proofErr w:type="gramStart"/>
      <w:r>
        <w:t>Order No.</w:t>
      </w:r>
      <w:proofErr w:type="gramEnd"/>
      <w:r>
        <w:t xml:space="preserve"> PSC-96-0729-FOF-WS, issued May 31, 1996, in Docket No. 960006-WS, </w:t>
      </w:r>
      <w:r w:rsidRPr="009B362F">
        <w:rPr>
          <w:u w:val="single"/>
        </w:rPr>
        <w:t xml:space="preserve">In </w:t>
      </w:r>
      <w:r>
        <w:rPr>
          <w:u w:val="single"/>
        </w:rPr>
        <w:t>r</w:t>
      </w:r>
      <w:r w:rsidRPr="009B362F">
        <w:rPr>
          <w:u w:val="single"/>
        </w:rPr>
        <w:t>e: Annual reestablishment of authorized range of returns on common equity of water and wastewater utilities, pursuant to Section 367.081(4</w:t>
      </w:r>
      <w:proofErr w:type="gramStart"/>
      <w:r w:rsidRPr="009B362F">
        <w:rPr>
          <w:u w:val="single"/>
        </w:rPr>
        <w:t>)(</w:t>
      </w:r>
      <w:proofErr w:type="gramEnd"/>
      <w:r w:rsidRPr="009B362F">
        <w:rPr>
          <w:u w:val="single"/>
        </w:rPr>
        <w:t>f), F</w:t>
      </w:r>
      <w:r>
        <w:rPr>
          <w:u w:val="single"/>
        </w:rPr>
        <w:t>.S</w:t>
      </w:r>
      <w:r w:rsidRPr="00266BD3">
        <w:rPr>
          <w:u w:val="single"/>
        </w:rPr>
        <w:t>.</w:t>
      </w:r>
    </w:p>
  </w:footnote>
  <w:footnote w:id="9">
    <w:p w:rsidR="00996990" w:rsidRDefault="00996990" w:rsidP="00996990">
      <w:pPr>
        <w:pStyle w:val="FootnoteText"/>
      </w:pPr>
      <w:r>
        <w:rPr>
          <w:rStyle w:val="FootnoteReference"/>
        </w:rPr>
        <w:footnoteRef/>
      </w:r>
      <w:r>
        <w:t xml:space="preserve"> </w:t>
      </w:r>
      <w:r w:rsidRPr="008E45FC">
        <w:rPr>
          <w:u w:val="single"/>
        </w:rPr>
        <w:t>See</w:t>
      </w:r>
      <w:r>
        <w:t xml:space="preserve"> Federal Reserve System, minutes of the Federal Open Market Committee on April 28-29, 2015, p. 10, available at</w:t>
      </w:r>
      <w:r w:rsidRPr="003B4F84">
        <w:t xml:space="preserve"> http://www.federalreserve.gov/monetarypolicy/files/fomcminutes20150429.pdf</w:t>
      </w:r>
      <w:r>
        <w:t>.</w:t>
      </w:r>
    </w:p>
  </w:footnote>
  <w:footnote w:id="10">
    <w:p w:rsidR="00996990" w:rsidRDefault="00996990" w:rsidP="00996990">
      <w:pPr>
        <w:pStyle w:val="FootnoteText"/>
        <w:jc w:val="left"/>
      </w:pPr>
      <w:r>
        <w:rPr>
          <w:rStyle w:val="FootnoteReference"/>
        </w:rPr>
        <w:footnoteRef/>
      </w:r>
      <w:r>
        <w:rPr>
          <w:u w:val="single"/>
        </w:rPr>
        <w:t>See</w:t>
      </w:r>
      <w:r>
        <w:t xml:space="preserve"> Federal Reserve System, Monetary Policy Releases, available at </w:t>
      </w:r>
      <w:r w:rsidRPr="007C5C9E">
        <w:t>http://www.federalreserve.gov/newevents/</w:t>
      </w:r>
      <w:r>
        <w:t xml:space="preserve"> press/monetary/ 20150429a.htm.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259 ">
      <w:r w:rsidR="00816868">
        <w:t>PSC-15-0259-PAA-WS</w:t>
      </w:r>
    </w:fldSimple>
  </w:p>
  <w:p w:rsidR="00FA6EFD" w:rsidRDefault="00996990">
    <w:pPr>
      <w:pStyle w:val="OrderHeader"/>
    </w:pPr>
    <w:bookmarkStart w:id="9" w:name="HeaderDocketNo"/>
    <w:bookmarkEnd w:id="9"/>
    <w:r>
      <w:t>DOCKET NO. 150006-WS</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6868">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7ED" w:rsidRDefault="007D77ED">
    <w:pPr>
      <w:pStyle w:val="OrderHeader"/>
    </w:pPr>
    <w:r>
      <w:t xml:space="preserve">ORDER NO. </w:t>
    </w:r>
    <w:r w:rsidR="00816868">
      <w:t>PSC-15-0259-PAA-WS</w:t>
    </w:r>
  </w:p>
  <w:p w:rsidR="007D77ED" w:rsidRDefault="007D77ED">
    <w:pPr>
      <w:pStyle w:val="OrderHeader"/>
    </w:pPr>
    <w:r>
      <w:t>DOCKET NO. 150006-WS</w:t>
    </w:r>
  </w:p>
  <w:p w:rsidR="007D77ED" w:rsidRDefault="007D77E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6868">
      <w:rPr>
        <w:rStyle w:val="PageNumber"/>
        <w:noProof/>
      </w:rPr>
      <w:t>8</w:t>
    </w:r>
    <w:r>
      <w:rPr>
        <w:rStyle w:val="PageNumber"/>
      </w:rPr>
      <w:fldChar w:fldCharType="end"/>
    </w:r>
  </w:p>
  <w:p w:rsidR="007D77ED" w:rsidRDefault="007D77ED">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57C9A"/>
    <w:multiLevelType w:val="hybridMultilevel"/>
    <w:tmpl w:val="D57E000A"/>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112D3A"/>
    <w:multiLevelType w:val="hybridMultilevel"/>
    <w:tmpl w:val="962CA6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7642BA"/>
    <w:multiLevelType w:val="hybridMultilevel"/>
    <w:tmpl w:val="9A4E1CC4"/>
    <w:lvl w:ilvl="0" w:tplc="7B944C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E1EC170-EA76-470D-BB59-A4BF6144E0C2}"/>
    <w:docVar w:name="dgnword-eventsink" w:val="19458032"/>
    <w:docVar w:name="Dockets" w:val="150006-WS"/>
  </w:docVars>
  <w:rsids>
    <w:rsidRoot w:val="00996990"/>
    <w:rsid w:val="000022B8"/>
    <w:rsid w:val="00053AB9"/>
    <w:rsid w:val="00056229"/>
    <w:rsid w:val="00065FC2"/>
    <w:rsid w:val="00090AFC"/>
    <w:rsid w:val="000C5A78"/>
    <w:rsid w:val="000D06E8"/>
    <w:rsid w:val="000E344D"/>
    <w:rsid w:val="000F3B2C"/>
    <w:rsid w:val="000F7BE3"/>
    <w:rsid w:val="00116AD3"/>
    <w:rsid w:val="00125508"/>
    <w:rsid w:val="00126593"/>
    <w:rsid w:val="00142A96"/>
    <w:rsid w:val="00187E32"/>
    <w:rsid w:val="00194E81"/>
    <w:rsid w:val="001A33C9"/>
    <w:rsid w:val="001D008A"/>
    <w:rsid w:val="002002ED"/>
    <w:rsid w:val="0022721A"/>
    <w:rsid w:val="00230BB9"/>
    <w:rsid w:val="00232274"/>
    <w:rsid w:val="002A11AC"/>
    <w:rsid w:val="002A6F30"/>
    <w:rsid w:val="002B3EC6"/>
    <w:rsid w:val="002D7D15"/>
    <w:rsid w:val="00303FDE"/>
    <w:rsid w:val="003140E8"/>
    <w:rsid w:val="003231C7"/>
    <w:rsid w:val="00331ED0"/>
    <w:rsid w:val="0035495B"/>
    <w:rsid w:val="003744F5"/>
    <w:rsid w:val="00390DD8"/>
    <w:rsid w:val="00394DC6"/>
    <w:rsid w:val="00397C3E"/>
    <w:rsid w:val="003D4CCA"/>
    <w:rsid w:val="003D6416"/>
    <w:rsid w:val="003E1D48"/>
    <w:rsid w:val="004416BE"/>
    <w:rsid w:val="00457DC7"/>
    <w:rsid w:val="00472BCC"/>
    <w:rsid w:val="004A0012"/>
    <w:rsid w:val="004A25CD"/>
    <w:rsid w:val="004A26CC"/>
    <w:rsid w:val="004B2108"/>
    <w:rsid w:val="004B3A2B"/>
    <w:rsid w:val="004D2D1B"/>
    <w:rsid w:val="004F2DDE"/>
    <w:rsid w:val="0050097F"/>
    <w:rsid w:val="00514B1F"/>
    <w:rsid w:val="00556A10"/>
    <w:rsid w:val="005963C2"/>
    <w:rsid w:val="005B45F7"/>
    <w:rsid w:val="005B63EA"/>
    <w:rsid w:val="005C084C"/>
    <w:rsid w:val="005F0F7D"/>
    <w:rsid w:val="00660774"/>
    <w:rsid w:val="00665CC7"/>
    <w:rsid w:val="00680043"/>
    <w:rsid w:val="00685239"/>
    <w:rsid w:val="006A0BF3"/>
    <w:rsid w:val="006B0DA6"/>
    <w:rsid w:val="006C11B0"/>
    <w:rsid w:val="006C547E"/>
    <w:rsid w:val="00704C5D"/>
    <w:rsid w:val="00733B6B"/>
    <w:rsid w:val="0076170F"/>
    <w:rsid w:val="0076669C"/>
    <w:rsid w:val="007865E9"/>
    <w:rsid w:val="00792383"/>
    <w:rsid w:val="007D3D20"/>
    <w:rsid w:val="007D77ED"/>
    <w:rsid w:val="007E3AFD"/>
    <w:rsid w:val="00804E7A"/>
    <w:rsid w:val="00805FBB"/>
    <w:rsid w:val="00816868"/>
    <w:rsid w:val="008169A4"/>
    <w:rsid w:val="008278FE"/>
    <w:rsid w:val="00832598"/>
    <w:rsid w:val="0083397E"/>
    <w:rsid w:val="0083534B"/>
    <w:rsid w:val="00863A66"/>
    <w:rsid w:val="00874429"/>
    <w:rsid w:val="00883D9A"/>
    <w:rsid w:val="008919EF"/>
    <w:rsid w:val="008B533E"/>
    <w:rsid w:val="008C6A5B"/>
    <w:rsid w:val="008E26A5"/>
    <w:rsid w:val="008E42D2"/>
    <w:rsid w:val="009040EE"/>
    <w:rsid w:val="009057FD"/>
    <w:rsid w:val="00922A7F"/>
    <w:rsid w:val="00923A5E"/>
    <w:rsid w:val="009342E3"/>
    <w:rsid w:val="00994100"/>
    <w:rsid w:val="0099699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627F9"/>
    <w:rsid w:val="00B73DE6"/>
    <w:rsid w:val="00B86EF0"/>
    <w:rsid w:val="00B97900"/>
    <w:rsid w:val="00BA44A8"/>
    <w:rsid w:val="00BD3698"/>
    <w:rsid w:val="00BF6691"/>
    <w:rsid w:val="00C028FC"/>
    <w:rsid w:val="00C400A3"/>
    <w:rsid w:val="00C66692"/>
    <w:rsid w:val="00C91123"/>
    <w:rsid w:val="00CA71FF"/>
    <w:rsid w:val="00CB5276"/>
    <w:rsid w:val="00CB68D7"/>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A3FD8"/>
    <w:rsid w:val="00EB18EF"/>
    <w:rsid w:val="00EE17DF"/>
    <w:rsid w:val="00EF4621"/>
    <w:rsid w:val="00F277B6"/>
    <w:rsid w:val="00F54380"/>
    <w:rsid w:val="00F54B47"/>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96990"/>
  </w:style>
  <w:style w:type="paragraph" w:customStyle="1" w:styleId="IssueSubsectionHeading">
    <w:name w:val="Issue Subsection Heading"/>
    <w:basedOn w:val="Heading2"/>
    <w:next w:val="BodyText"/>
    <w:link w:val="IssueSubsectionHeadingChar"/>
    <w:rsid w:val="00996990"/>
    <w:pPr>
      <w:keepNext w:val="0"/>
    </w:pPr>
  </w:style>
  <w:style w:type="character" w:customStyle="1" w:styleId="IssueSubsectionHeadingChar">
    <w:name w:val="Issue Subsection Heading Char"/>
    <w:link w:val="IssueSubsectionHeading"/>
    <w:rsid w:val="00996990"/>
    <w:rPr>
      <w:rFonts w:cs="Arial"/>
      <w:bCs/>
      <w:iCs/>
      <w:sz w:val="24"/>
      <w:szCs w:val="28"/>
    </w:rPr>
  </w:style>
  <w:style w:type="paragraph" w:styleId="BalloonText">
    <w:name w:val="Balloon Text"/>
    <w:basedOn w:val="Normal"/>
    <w:link w:val="BalloonTextChar"/>
    <w:rsid w:val="006C11B0"/>
    <w:rPr>
      <w:rFonts w:ascii="Tahoma" w:hAnsi="Tahoma" w:cs="Tahoma"/>
      <w:sz w:val="16"/>
      <w:szCs w:val="16"/>
    </w:rPr>
  </w:style>
  <w:style w:type="character" w:customStyle="1" w:styleId="BalloonTextChar">
    <w:name w:val="Balloon Text Char"/>
    <w:basedOn w:val="DefaultParagraphFont"/>
    <w:link w:val="BalloonText"/>
    <w:rsid w:val="006C11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customStyle="1" w:styleId="FootnoteTextChar">
    <w:name w:val="Footnote Text Char"/>
    <w:link w:val="FootnoteText"/>
    <w:rsid w:val="00996990"/>
  </w:style>
  <w:style w:type="paragraph" w:customStyle="1" w:styleId="IssueSubsectionHeading">
    <w:name w:val="Issue Subsection Heading"/>
    <w:basedOn w:val="Heading2"/>
    <w:next w:val="BodyText"/>
    <w:link w:val="IssueSubsectionHeadingChar"/>
    <w:rsid w:val="00996990"/>
    <w:pPr>
      <w:keepNext w:val="0"/>
    </w:pPr>
  </w:style>
  <w:style w:type="character" w:customStyle="1" w:styleId="IssueSubsectionHeadingChar">
    <w:name w:val="Issue Subsection Heading Char"/>
    <w:link w:val="IssueSubsectionHeading"/>
    <w:rsid w:val="00996990"/>
    <w:rPr>
      <w:rFonts w:cs="Arial"/>
      <w:bCs/>
      <w:iCs/>
      <w:sz w:val="24"/>
      <w:szCs w:val="28"/>
    </w:rPr>
  </w:style>
  <w:style w:type="paragraph" w:styleId="BalloonText">
    <w:name w:val="Balloon Text"/>
    <w:basedOn w:val="Normal"/>
    <w:link w:val="BalloonTextChar"/>
    <w:rsid w:val="006C11B0"/>
    <w:rPr>
      <w:rFonts w:ascii="Tahoma" w:hAnsi="Tahoma" w:cs="Tahoma"/>
      <w:sz w:val="16"/>
      <w:szCs w:val="16"/>
    </w:rPr>
  </w:style>
  <w:style w:type="character" w:customStyle="1" w:styleId="BalloonTextChar">
    <w:name w:val="Balloon Text Char"/>
    <w:basedOn w:val="DefaultParagraphFont"/>
    <w:link w:val="BalloonText"/>
    <w:rsid w:val="006C1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Edgar,%20Bris&#233;,%20Brown%20and%20Patronis.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99" b="1" i="0" u="none" strike="noStrike" baseline="0">
                <a:solidFill>
                  <a:srgbClr val="000000"/>
                </a:solidFill>
                <a:latin typeface="Calibri"/>
                <a:ea typeface="Calibri"/>
                <a:cs typeface="Calibri"/>
              </a:defRPr>
            </a:pPr>
            <a:r>
              <a:rPr lang="en-US"/>
              <a:t>FPSC Leverage Graph</a:t>
            </a:r>
          </a:p>
        </c:rich>
      </c:tx>
      <c:layout>
        <c:manualLayout>
          <c:xMode val="edge"/>
          <c:yMode val="edge"/>
          <c:x val="0.33694563423871687"/>
          <c:y val="5.1587183677512007E-2"/>
        </c:manualLayout>
      </c:layout>
      <c:overlay val="0"/>
    </c:title>
    <c:autoTitleDeleted val="0"/>
    <c:plotArea>
      <c:layout>
        <c:manualLayout>
          <c:layoutTarget val="inner"/>
          <c:xMode val="edge"/>
          <c:yMode val="edge"/>
          <c:x val="0.14396295711209389"/>
          <c:y val="0.20238154058995009"/>
          <c:w val="0.64757530695659948"/>
          <c:h val="0.57738263050662231"/>
        </c:manualLayout>
      </c:layout>
      <c:lineChart>
        <c:grouping val="standard"/>
        <c:varyColors val="0"/>
        <c:ser>
          <c:idx val="1"/>
          <c:order val="0"/>
          <c:tx>
            <c:v>2011</c:v>
          </c:tx>
          <c:spPr>
            <a:ln>
              <a:solidFill>
                <a:sysClr val="windowText" lastClr="000000"/>
              </a:solidFill>
              <a:prstDash val="solid"/>
            </a:ln>
          </c:spPr>
          <c:marker>
            <c:symbol val="none"/>
          </c:marker>
          <c:cat>
            <c:numRef>
              <c:f>Sheet1!$A$2:$A$62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Sheet1!$C$2:$C$62</c:f>
              <c:numCache>
                <c:formatCode>0.00%</c:formatCode>
                <c:ptCount val="61"/>
                <c:pt idx="0">
                  <c:v>0.11155000000000001</c:v>
                </c:pt>
                <c:pt idx="1">
                  <c:v>0.11056829268292684</c:v>
                </c:pt>
                <c:pt idx="2">
                  <c:v>0.10963333333333333</c:v>
                </c:pt>
                <c:pt idx="3">
                  <c:v>0.10874186046511627</c:v>
                </c:pt>
                <c:pt idx="4">
                  <c:v>0.10789090909090909</c:v>
                </c:pt>
                <c:pt idx="5">
                  <c:v>0.10707777777777779</c:v>
                </c:pt>
                <c:pt idx="6">
                  <c:v>0.10630000000000001</c:v>
                </c:pt>
                <c:pt idx="7">
                  <c:v>0.10555531914893618</c:v>
                </c:pt>
                <c:pt idx="8">
                  <c:v>0.10484166666666667</c:v>
                </c:pt>
                <c:pt idx="9">
                  <c:v>0.10415714285714286</c:v>
                </c:pt>
                <c:pt idx="10">
                  <c:v>0.10350000000000001</c:v>
                </c:pt>
                <c:pt idx="11">
                  <c:v>0.1028686274509804</c:v>
                </c:pt>
                <c:pt idx="12">
                  <c:v>0.10226153846153846</c:v>
                </c:pt>
                <c:pt idx="13">
                  <c:v>0.10167735849056604</c:v>
                </c:pt>
                <c:pt idx="14">
                  <c:v>0.10111481481481482</c:v>
                </c:pt>
                <c:pt idx="15">
                  <c:v>0.10057272727272727</c:v>
                </c:pt>
                <c:pt idx="16">
                  <c:v>0.10005</c:v>
                </c:pt>
                <c:pt idx="17">
                  <c:v>9.9545614035087715E-2</c:v>
                </c:pt>
                <c:pt idx="18">
                  <c:v>9.905862068965518E-2</c:v>
                </c:pt>
                <c:pt idx="19">
                  <c:v>9.8588135593220341E-2</c:v>
                </c:pt>
                <c:pt idx="20">
                  <c:v>9.8133333333333336E-2</c:v>
                </c:pt>
                <c:pt idx="21">
                  <c:v>9.7693442622950821E-2</c:v>
                </c:pt>
                <c:pt idx="22">
                  <c:v>9.7267741935483876E-2</c:v>
                </c:pt>
                <c:pt idx="23">
                  <c:v>9.6855555555555556E-2</c:v>
                </c:pt>
                <c:pt idx="24">
                  <c:v>9.6456250000000007E-2</c:v>
                </c:pt>
                <c:pt idx="25">
                  <c:v>9.6069230769230768E-2</c:v>
                </c:pt>
                <c:pt idx="26">
                  <c:v>9.5693939393939401E-2</c:v>
                </c:pt>
                <c:pt idx="27">
                  <c:v>9.5329850746268666E-2</c:v>
                </c:pt>
                <c:pt idx="28">
                  <c:v>9.4976470588235301E-2</c:v>
                </c:pt>
                <c:pt idx="29">
                  <c:v>9.4633333333333333E-2</c:v>
                </c:pt>
                <c:pt idx="30">
                  <c:v>9.4300000000000009E-2</c:v>
                </c:pt>
                <c:pt idx="31">
                  <c:v>9.3976056338028177E-2</c:v>
                </c:pt>
                <c:pt idx="32">
                  <c:v>9.3661111111111112E-2</c:v>
                </c:pt>
                <c:pt idx="33">
                  <c:v>9.3354794520547957E-2</c:v>
                </c:pt>
                <c:pt idx="34">
                  <c:v>9.3056756756756759E-2</c:v>
                </c:pt>
                <c:pt idx="35">
                  <c:v>9.2766666666666664E-2</c:v>
                </c:pt>
                <c:pt idx="36">
                  <c:v>9.2484210526315794E-2</c:v>
                </c:pt>
                <c:pt idx="37">
                  <c:v>9.2209090909090907E-2</c:v>
                </c:pt>
                <c:pt idx="38">
                  <c:v>9.1941025641025645E-2</c:v>
                </c:pt>
                <c:pt idx="39">
                  <c:v>9.1679746835443041E-2</c:v>
                </c:pt>
                <c:pt idx="40">
                  <c:v>9.1425000000000006E-2</c:v>
                </c:pt>
                <c:pt idx="41">
                  <c:v>9.1176543209876545E-2</c:v>
                </c:pt>
                <c:pt idx="42">
                  <c:v>9.093414634146342E-2</c:v>
                </c:pt>
                <c:pt idx="43">
                  <c:v>9.0697590361445785E-2</c:v>
                </c:pt>
                <c:pt idx="44">
                  <c:v>9.0466666666666667E-2</c:v>
                </c:pt>
                <c:pt idx="45">
                  <c:v>9.0241176470588241E-2</c:v>
                </c:pt>
                <c:pt idx="46">
                  <c:v>9.0020930232558138E-2</c:v>
                </c:pt>
                <c:pt idx="47">
                  <c:v>8.9805747126436783E-2</c:v>
                </c:pt>
                <c:pt idx="48">
                  <c:v>8.9595454545454548E-2</c:v>
                </c:pt>
                <c:pt idx="49">
                  <c:v>8.9389887640449445E-2</c:v>
                </c:pt>
                <c:pt idx="50">
                  <c:v>8.9188888888888901E-2</c:v>
                </c:pt>
                <c:pt idx="51">
                  <c:v>8.8992307692307704E-2</c:v>
                </c:pt>
                <c:pt idx="52">
                  <c:v>8.8800000000000004E-2</c:v>
                </c:pt>
                <c:pt idx="53">
                  <c:v>8.8611827956989242E-2</c:v>
                </c:pt>
                <c:pt idx="54">
                  <c:v>8.842765957446809E-2</c:v>
                </c:pt>
                <c:pt idx="55">
                  <c:v>8.824736842105263E-2</c:v>
                </c:pt>
                <c:pt idx="56">
                  <c:v>8.8070833333333334E-2</c:v>
                </c:pt>
                <c:pt idx="57">
                  <c:v>8.7897938144329904E-2</c:v>
                </c:pt>
                <c:pt idx="58">
                  <c:v>8.7728571428571434E-2</c:v>
                </c:pt>
                <c:pt idx="59">
                  <c:v>8.7562626262626259E-2</c:v>
                </c:pt>
                <c:pt idx="60">
                  <c:v>8.7400000000000005E-2</c:v>
                </c:pt>
              </c:numCache>
            </c:numRef>
          </c:val>
          <c:smooth val="0"/>
        </c:ser>
        <c:ser>
          <c:idx val="4"/>
          <c:order val="1"/>
          <c:tx>
            <c:v>2015</c:v>
          </c:tx>
          <c:spPr>
            <a:ln>
              <a:solidFill>
                <a:sysClr val="windowText" lastClr="000000"/>
              </a:solidFill>
              <a:prstDash val="sysDash"/>
            </a:ln>
          </c:spPr>
          <c:marker>
            <c:symbol val="none"/>
          </c:marker>
          <c:val>
            <c:numRef>
              <c:f>Sheet1!$H$2:$H$62</c:f>
              <c:numCache>
                <c:formatCode>0.00%</c:formatCode>
                <c:ptCount val="61"/>
                <c:pt idx="0">
                  <c:v>0.11510000000000001</c:v>
                </c:pt>
                <c:pt idx="1">
                  <c:v>0.11358780487804879</c:v>
                </c:pt>
                <c:pt idx="2">
                  <c:v>0.11214761904761905</c:v>
                </c:pt>
                <c:pt idx="3">
                  <c:v>0.11077441860465116</c:v>
                </c:pt>
                <c:pt idx="4">
                  <c:v>0.10946363636363637</c:v>
                </c:pt>
                <c:pt idx="5">
                  <c:v>0.10821111111111112</c:v>
                </c:pt>
                <c:pt idx="6">
                  <c:v>0.10701304347826088</c:v>
                </c:pt>
                <c:pt idx="7">
                  <c:v>0.10586595744680852</c:v>
                </c:pt>
                <c:pt idx="8">
                  <c:v>0.10476666666666667</c:v>
                </c:pt>
                <c:pt idx="9">
                  <c:v>0.10371224489795919</c:v>
                </c:pt>
                <c:pt idx="10">
                  <c:v>0.1027</c:v>
                </c:pt>
                <c:pt idx="11">
                  <c:v>0.10172745098039215</c:v>
                </c:pt>
                <c:pt idx="12">
                  <c:v>0.10079230769230769</c:v>
                </c:pt>
                <c:pt idx="13">
                  <c:v>9.9892452830188688E-2</c:v>
                </c:pt>
                <c:pt idx="14">
                  <c:v>9.9025925925925934E-2</c:v>
                </c:pt>
                <c:pt idx="15">
                  <c:v>9.8190909090909093E-2</c:v>
                </c:pt>
                <c:pt idx="16">
                  <c:v>9.7385714285714284E-2</c:v>
                </c:pt>
                <c:pt idx="17">
                  <c:v>9.6608771929824561E-2</c:v>
                </c:pt>
                <c:pt idx="18">
                  <c:v>9.5858620689655172E-2</c:v>
                </c:pt>
                <c:pt idx="19">
                  <c:v>9.5133898305084744E-2</c:v>
                </c:pt>
                <c:pt idx="20">
                  <c:v>9.4433333333333341E-2</c:v>
                </c:pt>
                <c:pt idx="21">
                  <c:v>9.3755737704918032E-2</c:v>
                </c:pt>
                <c:pt idx="22">
                  <c:v>9.3100000000000002E-2</c:v>
                </c:pt>
                <c:pt idx="23">
                  <c:v>9.2465079365079361E-2</c:v>
                </c:pt>
                <c:pt idx="24">
                  <c:v>9.1850000000000001E-2</c:v>
                </c:pt>
                <c:pt idx="25">
                  <c:v>9.1253846153846158E-2</c:v>
                </c:pt>
                <c:pt idx="26">
                  <c:v>9.0675757575757576E-2</c:v>
                </c:pt>
                <c:pt idx="27">
                  <c:v>9.0114925373134327E-2</c:v>
                </c:pt>
                <c:pt idx="28">
                  <c:v>8.9570588235294124E-2</c:v>
                </c:pt>
                <c:pt idx="29">
                  <c:v>8.9042028985507254E-2</c:v>
                </c:pt>
                <c:pt idx="30">
                  <c:v>8.8528571428571429E-2</c:v>
                </c:pt>
                <c:pt idx="31">
                  <c:v>8.8029577464788733E-2</c:v>
                </c:pt>
                <c:pt idx="32">
                  <c:v>8.7544444444444453E-2</c:v>
                </c:pt>
                <c:pt idx="33">
                  <c:v>8.7072602739726029E-2</c:v>
                </c:pt>
                <c:pt idx="34">
                  <c:v>8.6613513513513513E-2</c:v>
                </c:pt>
                <c:pt idx="35">
                  <c:v>8.6166666666666669E-2</c:v>
                </c:pt>
                <c:pt idx="36">
                  <c:v>8.5731578947368423E-2</c:v>
                </c:pt>
                <c:pt idx="37">
                  <c:v>8.5307792207792207E-2</c:v>
                </c:pt>
                <c:pt idx="38">
                  <c:v>8.489487179487179E-2</c:v>
                </c:pt>
                <c:pt idx="39">
                  <c:v>8.4492405063291143E-2</c:v>
                </c:pt>
                <c:pt idx="40">
                  <c:v>8.4100000000000008E-2</c:v>
                </c:pt>
                <c:pt idx="41">
                  <c:v>8.3717283950617283E-2</c:v>
                </c:pt>
                <c:pt idx="42">
                  <c:v>8.3343902439024398E-2</c:v>
                </c:pt>
                <c:pt idx="43">
                  <c:v>8.2979518072289163E-2</c:v>
                </c:pt>
                <c:pt idx="44">
                  <c:v>8.262380952380953E-2</c:v>
                </c:pt>
                <c:pt idx="45">
                  <c:v>8.2276470588235298E-2</c:v>
                </c:pt>
                <c:pt idx="46">
                  <c:v>8.1937209302325578E-2</c:v>
                </c:pt>
                <c:pt idx="47">
                  <c:v>8.1605747126436784E-2</c:v>
                </c:pt>
                <c:pt idx="48">
                  <c:v>8.1281818181818177E-2</c:v>
                </c:pt>
                <c:pt idx="49">
                  <c:v>8.0965168539325838E-2</c:v>
                </c:pt>
                <c:pt idx="50">
                  <c:v>8.0655555555555564E-2</c:v>
                </c:pt>
                <c:pt idx="51">
                  <c:v>8.0352747252747256E-2</c:v>
                </c:pt>
                <c:pt idx="52">
                  <c:v>8.0056521739130443E-2</c:v>
                </c:pt>
                <c:pt idx="53">
                  <c:v>7.9766666666666666E-2</c:v>
                </c:pt>
                <c:pt idx="54">
                  <c:v>7.9482978723404263E-2</c:v>
                </c:pt>
                <c:pt idx="55">
                  <c:v>7.9205263157894737E-2</c:v>
                </c:pt>
                <c:pt idx="56">
                  <c:v>7.8933333333333328E-2</c:v>
                </c:pt>
                <c:pt idx="57">
                  <c:v>7.8667010309278348E-2</c:v>
                </c:pt>
                <c:pt idx="58">
                  <c:v>7.8406122448979598E-2</c:v>
                </c:pt>
                <c:pt idx="59">
                  <c:v>7.8150505050505054E-2</c:v>
                </c:pt>
                <c:pt idx="60">
                  <c:v>7.7899999999999997E-2</c:v>
                </c:pt>
              </c:numCache>
            </c:numRef>
          </c:val>
          <c:smooth val="0"/>
        </c:ser>
        <c:dLbls>
          <c:showLegendKey val="0"/>
          <c:showVal val="0"/>
          <c:showCatName val="0"/>
          <c:showSerName val="0"/>
          <c:showPercent val="0"/>
          <c:showBubbleSize val="0"/>
        </c:dLbls>
        <c:marker val="1"/>
        <c:smooth val="0"/>
        <c:axId val="197132288"/>
        <c:axId val="197134208"/>
      </c:lineChart>
      <c:catAx>
        <c:axId val="197132288"/>
        <c:scaling>
          <c:orientation val="minMax"/>
        </c:scaling>
        <c:delete val="0"/>
        <c:axPos val="b"/>
        <c:majorGridlines>
          <c:spPr>
            <a:ln>
              <a:solidFill>
                <a:sysClr val="windowText" lastClr="000000"/>
              </a:solidFill>
            </a:ln>
          </c:spPr>
        </c:majorGridlines>
        <c:title>
          <c:tx>
            <c:rich>
              <a:bodyPr/>
              <a:lstStyle/>
              <a:p>
                <a:pPr>
                  <a:defRPr sz="999" b="1" i="0" u="none" strike="noStrike" baseline="0">
                    <a:solidFill>
                      <a:srgbClr val="000000"/>
                    </a:solidFill>
                    <a:latin typeface="Calibri"/>
                    <a:ea typeface="Calibri"/>
                    <a:cs typeface="Calibri"/>
                  </a:defRPr>
                </a:pPr>
                <a:r>
                  <a:rPr lang="en-US"/>
                  <a:t>% Common Equity</a:t>
                </a:r>
              </a:p>
            </c:rich>
          </c:tx>
          <c:layout>
            <c:manualLayout>
              <c:xMode val="edge"/>
              <c:yMode val="edge"/>
              <c:x val="0.40557302487026253"/>
              <c:y val="0.87202627973390123"/>
            </c:manualLayout>
          </c:layout>
          <c:overlay val="0"/>
        </c:title>
        <c:numFmt formatCode="0" sourceLinked="0"/>
        <c:majorTickMark val="out"/>
        <c:minorTickMark val="in"/>
        <c:tickLblPos val="nextTo"/>
        <c:spPr>
          <a:ln w="12693">
            <a:solidFill>
              <a:sysClr val="windowText" lastClr="000000"/>
            </a:solidFill>
          </a:ln>
        </c:spPr>
        <c:txPr>
          <a:bodyPr rot="0" vert="horz"/>
          <a:lstStyle/>
          <a:p>
            <a:pPr>
              <a:defRPr sz="999" b="0" i="0" u="none" strike="noStrike" baseline="0">
                <a:solidFill>
                  <a:srgbClr val="000000"/>
                </a:solidFill>
                <a:latin typeface="Calibri"/>
                <a:ea typeface="Calibri"/>
                <a:cs typeface="Calibri"/>
              </a:defRPr>
            </a:pPr>
            <a:endParaRPr lang="en-US"/>
          </a:p>
        </c:txPr>
        <c:crossAx val="197134208"/>
        <c:crosses val="autoZero"/>
        <c:auto val="1"/>
        <c:lblAlgn val="ctr"/>
        <c:lblOffset val="120"/>
        <c:tickLblSkip val="5"/>
        <c:tickMarkSkip val="5"/>
        <c:noMultiLvlLbl val="0"/>
      </c:catAx>
      <c:valAx>
        <c:axId val="197134208"/>
        <c:scaling>
          <c:orientation val="minMax"/>
          <c:max val="0.125"/>
          <c:min val="7.5000000000000011E-2"/>
        </c:scaling>
        <c:delete val="0"/>
        <c:axPos val="l"/>
        <c:majorGridlines>
          <c:spPr>
            <a:ln>
              <a:solidFill>
                <a:sysClr val="windowText" lastClr="000000"/>
              </a:solidFill>
            </a:ln>
          </c:spPr>
        </c:majorGridlines>
        <c:title>
          <c:tx>
            <c:rich>
              <a:bodyPr/>
              <a:lstStyle/>
              <a:p>
                <a:pPr>
                  <a:defRPr sz="999" b="1" i="0" u="none" strike="noStrike" baseline="0">
                    <a:solidFill>
                      <a:srgbClr val="000000"/>
                    </a:solidFill>
                    <a:latin typeface="Calibri"/>
                    <a:ea typeface="Calibri"/>
                    <a:cs typeface="Calibri"/>
                  </a:defRPr>
                </a:pPr>
                <a:r>
                  <a:rPr lang="en-US"/>
                  <a:t>ROE</a:t>
                </a:r>
              </a:p>
            </c:rich>
          </c:tx>
          <c:layout>
            <c:manualLayout>
              <c:xMode val="edge"/>
              <c:yMode val="edge"/>
              <c:x val="2.4767840502021937E-2"/>
              <c:y val="0.44047739315604417"/>
            </c:manualLayout>
          </c:layout>
          <c:overlay val="0"/>
        </c:title>
        <c:numFmt formatCode="0.0%" sourceLinked="0"/>
        <c:majorTickMark val="out"/>
        <c:minorTickMark val="none"/>
        <c:tickLblPos val="nextTo"/>
        <c:spPr>
          <a:ln>
            <a:solidFill>
              <a:sysClr val="windowText" lastClr="000000"/>
            </a:solidFill>
          </a:ln>
        </c:spPr>
        <c:txPr>
          <a:bodyPr rot="0" vert="horz"/>
          <a:lstStyle/>
          <a:p>
            <a:pPr>
              <a:defRPr sz="999" b="0" i="0" u="none" strike="noStrike" baseline="0">
                <a:solidFill>
                  <a:srgbClr val="000000"/>
                </a:solidFill>
                <a:latin typeface="Calibri"/>
                <a:ea typeface="Calibri"/>
                <a:cs typeface="Calibri"/>
              </a:defRPr>
            </a:pPr>
            <a:endParaRPr lang="en-US"/>
          </a:p>
        </c:txPr>
        <c:crossAx val="197132288"/>
        <c:crosses val="autoZero"/>
        <c:crossBetween val="between"/>
        <c:minorUnit val="1E-3"/>
      </c:valAx>
    </c:plotArea>
    <c:legend>
      <c:legendPos val="r"/>
      <c:layout>
        <c:manualLayout>
          <c:xMode val="edge"/>
          <c:yMode val="edge"/>
          <c:x val="0.81888618157258031"/>
          <c:y val="0.40277918090427378"/>
          <c:w val="0.1098451700052151"/>
          <c:h val="0.12194654913418845"/>
        </c:manualLayout>
      </c:layout>
      <c:overlay val="0"/>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99" b="1" i="0" u="none" strike="noStrike" baseline="0">
                <a:solidFill>
                  <a:srgbClr val="000000"/>
                </a:solidFill>
                <a:latin typeface="Calibri"/>
                <a:ea typeface="Calibri"/>
                <a:cs typeface="Calibri"/>
              </a:defRPr>
            </a:pPr>
            <a:r>
              <a:rPr lang="en-US"/>
              <a:t>FPSC Leverage Graph</a:t>
            </a:r>
          </a:p>
        </c:rich>
      </c:tx>
      <c:layout>
        <c:manualLayout>
          <c:xMode val="edge"/>
          <c:yMode val="edge"/>
          <c:x val="0.33694563423871687"/>
          <c:y val="5.1587183677512007E-2"/>
        </c:manualLayout>
      </c:layout>
      <c:overlay val="0"/>
    </c:title>
    <c:autoTitleDeleted val="0"/>
    <c:plotArea>
      <c:layout>
        <c:manualLayout>
          <c:layoutTarget val="inner"/>
          <c:xMode val="edge"/>
          <c:yMode val="edge"/>
          <c:x val="0.14396295711209389"/>
          <c:y val="0.20238154058995009"/>
          <c:w val="0.64344733998033532"/>
          <c:h val="0.57738263050662231"/>
        </c:manualLayout>
      </c:layout>
      <c:lineChart>
        <c:grouping val="standard"/>
        <c:varyColors val="0"/>
        <c:ser>
          <c:idx val="1"/>
          <c:order val="0"/>
          <c:tx>
            <c:v>2011</c:v>
          </c:tx>
          <c:spPr>
            <a:ln>
              <a:solidFill>
                <a:sysClr val="windowText" lastClr="000000"/>
              </a:solidFill>
            </a:ln>
          </c:spPr>
          <c:marker>
            <c:symbol val="none"/>
          </c:marker>
          <c:cat>
            <c:numRef>
              <c:f>Sheet1!$A$2:$A$62</c:f>
              <c:numCache>
                <c:formatCode>General</c:formatCode>
                <c:ptCount val="61"/>
                <c:pt idx="0">
                  <c:v>40</c:v>
                </c:pt>
                <c:pt idx="1">
                  <c:v>41</c:v>
                </c:pt>
                <c:pt idx="2">
                  <c:v>42</c:v>
                </c:pt>
                <c:pt idx="3">
                  <c:v>43</c:v>
                </c:pt>
                <c:pt idx="4">
                  <c:v>44</c:v>
                </c:pt>
                <c:pt idx="5">
                  <c:v>45</c:v>
                </c:pt>
                <c:pt idx="6">
                  <c:v>46</c:v>
                </c:pt>
                <c:pt idx="7">
                  <c:v>47</c:v>
                </c:pt>
                <c:pt idx="8">
                  <c:v>48</c:v>
                </c:pt>
                <c:pt idx="9">
                  <c:v>49</c:v>
                </c:pt>
                <c:pt idx="10">
                  <c:v>50</c:v>
                </c:pt>
                <c:pt idx="11">
                  <c:v>51</c:v>
                </c:pt>
                <c:pt idx="12">
                  <c:v>52</c:v>
                </c:pt>
                <c:pt idx="13">
                  <c:v>53</c:v>
                </c:pt>
                <c:pt idx="14">
                  <c:v>54</c:v>
                </c:pt>
                <c:pt idx="15">
                  <c:v>55</c:v>
                </c:pt>
                <c:pt idx="16">
                  <c:v>56</c:v>
                </c:pt>
                <c:pt idx="17">
                  <c:v>57</c:v>
                </c:pt>
                <c:pt idx="18">
                  <c:v>58</c:v>
                </c:pt>
                <c:pt idx="19">
                  <c:v>59</c:v>
                </c:pt>
                <c:pt idx="20">
                  <c:v>60</c:v>
                </c:pt>
                <c:pt idx="21">
                  <c:v>61</c:v>
                </c:pt>
                <c:pt idx="22">
                  <c:v>62</c:v>
                </c:pt>
                <c:pt idx="23">
                  <c:v>63</c:v>
                </c:pt>
                <c:pt idx="24">
                  <c:v>64</c:v>
                </c:pt>
                <c:pt idx="25">
                  <c:v>65</c:v>
                </c:pt>
                <c:pt idx="26">
                  <c:v>66</c:v>
                </c:pt>
                <c:pt idx="27">
                  <c:v>67</c:v>
                </c:pt>
                <c:pt idx="28">
                  <c:v>68</c:v>
                </c:pt>
                <c:pt idx="29">
                  <c:v>69</c:v>
                </c:pt>
                <c:pt idx="30">
                  <c:v>70</c:v>
                </c:pt>
                <c:pt idx="31">
                  <c:v>71</c:v>
                </c:pt>
                <c:pt idx="32">
                  <c:v>72</c:v>
                </c:pt>
                <c:pt idx="33">
                  <c:v>73</c:v>
                </c:pt>
                <c:pt idx="34">
                  <c:v>74</c:v>
                </c:pt>
                <c:pt idx="35">
                  <c:v>75</c:v>
                </c:pt>
                <c:pt idx="36">
                  <c:v>76</c:v>
                </c:pt>
                <c:pt idx="37">
                  <c:v>77</c:v>
                </c:pt>
                <c:pt idx="38">
                  <c:v>78</c:v>
                </c:pt>
                <c:pt idx="39">
                  <c:v>79</c:v>
                </c:pt>
                <c:pt idx="40">
                  <c:v>80</c:v>
                </c:pt>
                <c:pt idx="41">
                  <c:v>81</c:v>
                </c:pt>
                <c:pt idx="42">
                  <c:v>82</c:v>
                </c:pt>
                <c:pt idx="43">
                  <c:v>83</c:v>
                </c:pt>
                <c:pt idx="44">
                  <c:v>84</c:v>
                </c:pt>
                <c:pt idx="45">
                  <c:v>85</c:v>
                </c:pt>
                <c:pt idx="46">
                  <c:v>86</c:v>
                </c:pt>
                <c:pt idx="47">
                  <c:v>87</c:v>
                </c:pt>
                <c:pt idx="48">
                  <c:v>88</c:v>
                </c:pt>
                <c:pt idx="49">
                  <c:v>89</c:v>
                </c:pt>
                <c:pt idx="50">
                  <c:v>90</c:v>
                </c:pt>
                <c:pt idx="51">
                  <c:v>91</c:v>
                </c:pt>
                <c:pt idx="52">
                  <c:v>92</c:v>
                </c:pt>
                <c:pt idx="53">
                  <c:v>93</c:v>
                </c:pt>
                <c:pt idx="54">
                  <c:v>94</c:v>
                </c:pt>
                <c:pt idx="55">
                  <c:v>95</c:v>
                </c:pt>
                <c:pt idx="56">
                  <c:v>96</c:v>
                </c:pt>
                <c:pt idx="57">
                  <c:v>97</c:v>
                </c:pt>
                <c:pt idx="58">
                  <c:v>98</c:v>
                </c:pt>
                <c:pt idx="59">
                  <c:v>99</c:v>
                </c:pt>
                <c:pt idx="60">
                  <c:v>100</c:v>
                </c:pt>
              </c:numCache>
            </c:numRef>
          </c:cat>
          <c:val>
            <c:numRef>
              <c:f>Sheet1!$C$2:$C$62</c:f>
              <c:numCache>
                <c:formatCode>0.00%</c:formatCode>
                <c:ptCount val="61"/>
                <c:pt idx="0">
                  <c:v>0.11155000000000001</c:v>
                </c:pt>
                <c:pt idx="1">
                  <c:v>0.11056829268292684</c:v>
                </c:pt>
                <c:pt idx="2">
                  <c:v>0.10963333333333333</c:v>
                </c:pt>
                <c:pt idx="3">
                  <c:v>0.10874186046511627</c:v>
                </c:pt>
                <c:pt idx="4">
                  <c:v>0.10789090909090909</c:v>
                </c:pt>
                <c:pt idx="5">
                  <c:v>0.10707777777777779</c:v>
                </c:pt>
                <c:pt idx="6">
                  <c:v>0.10630000000000001</c:v>
                </c:pt>
                <c:pt idx="7">
                  <c:v>0.10555531914893618</c:v>
                </c:pt>
                <c:pt idx="8">
                  <c:v>0.10484166666666667</c:v>
                </c:pt>
                <c:pt idx="9">
                  <c:v>0.10415714285714286</c:v>
                </c:pt>
                <c:pt idx="10">
                  <c:v>0.10350000000000001</c:v>
                </c:pt>
                <c:pt idx="11">
                  <c:v>0.1028686274509804</c:v>
                </c:pt>
                <c:pt idx="12">
                  <c:v>0.10226153846153846</c:v>
                </c:pt>
                <c:pt idx="13">
                  <c:v>0.10167735849056604</c:v>
                </c:pt>
                <c:pt idx="14">
                  <c:v>0.10111481481481482</c:v>
                </c:pt>
                <c:pt idx="15">
                  <c:v>0.10057272727272727</c:v>
                </c:pt>
                <c:pt idx="16">
                  <c:v>0.10005</c:v>
                </c:pt>
                <c:pt idx="17">
                  <c:v>9.9545614035087715E-2</c:v>
                </c:pt>
                <c:pt idx="18">
                  <c:v>9.905862068965518E-2</c:v>
                </c:pt>
                <c:pt idx="19">
                  <c:v>9.8588135593220341E-2</c:v>
                </c:pt>
                <c:pt idx="20">
                  <c:v>9.8133333333333336E-2</c:v>
                </c:pt>
                <c:pt idx="21">
                  <c:v>9.7693442622950821E-2</c:v>
                </c:pt>
                <c:pt idx="22">
                  <c:v>9.7267741935483876E-2</c:v>
                </c:pt>
                <c:pt idx="23">
                  <c:v>9.6855555555555556E-2</c:v>
                </c:pt>
                <c:pt idx="24">
                  <c:v>9.6456250000000007E-2</c:v>
                </c:pt>
                <c:pt idx="25">
                  <c:v>9.6069230769230768E-2</c:v>
                </c:pt>
                <c:pt idx="26">
                  <c:v>9.5693939393939401E-2</c:v>
                </c:pt>
                <c:pt idx="27">
                  <c:v>9.5329850746268666E-2</c:v>
                </c:pt>
                <c:pt idx="28">
                  <c:v>9.4976470588235301E-2</c:v>
                </c:pt>
                <c:pt idx="29">
                  <c:v>9.4633333333333333E-2</c:v>
                </c:pt>
                <c:pt idx="30">
                  <c:v>9.4300000000000009E-2</c:v>
                </c:pt>
                <c:pt idx="31">
                  <c:v>9.3976056338028177E-2</c:v>
                </c:pt>
                <c:pt idx="32">
                  <c:v>9.3661111111111112E-2</c:v>
                </c:pt>
                <c:pt idx="33">
                  <c:v>9.3354794520547957E-2</c:v>
                </c:pt>
                <c:pt idx="34">
                  <c:v>9.3056756756756759E-2</c:v>
                </c:pt>
                <c:pt idx="35">
                  <c:v>9.2766666666666664E-2</c:v>
                </c:pt>
                <c:pt idx="36">
                  <c:v>9.2484210526315794E-2</c:v>
                </c:pt>
                <c:pt idx="37">
                  <c:v>9.2209090909090907E-2</c:v>
                </c:pt>
                <c:pt idx="38">
                  <c:v>9.1941025641025645E-2</c:v>
                </c:pt>
                <c:pt idx="39">
                  <c:v>9.1679746835443041E-2</c:v>
                </c:pt>
                <c:pt idx="40">
                  <c:v>9.1425000000000006E-2</c:v>
                </c:pt>
                <c:pt idx="41">
                  <c:v>9.1176543209876545E-2</c:v>
                </c:pt>
                <c:pt idx="42">
                  <c:v>9.093414634146342E-2</c:v>
                </c:pt>
                <c:pt idx="43">
                  <c:v>9.0697590361445785E-2</c:v>
                </c:pt>
                <c:pt idx="44">
                  <c:v>9.0466666666666667E-2</c:v>
                </c:pt>
                <c:pt idx="45">
                  <c:v>9.0241176470588241E-2</c:v>
                </c:pt>
                <c:pt idx="46">
                  <c:v>9.0020930232558138E-2</c:v>
                </c:pt>
                <c:pt idx="47">
                  <c:v>8.9805747126436783E-2</c:v>
                </c:pt>
                <c:pt idx="48">
                  <c:v>8.9595454545454548E-2</c:v>
                </c:pt>
                <c:pt idx="49">
                  <c:v>8.9389887640449445E-2</c:v>
                </c:pt>
                <c:pt idx="50">
                  <c:v>8.9188888888888901E-2</c:v>
                </c:pt>
                <c:pt idx="51">
                  <c:v>8.8992307692307704E-2</c:v>
                </c:pt>
                <c:pt idx="52">
                  <c:v>8.8800000000000004E-2</c:v>
                </c:pt>
                <c:pt idx="53">
                  <c:v>8.8611827956989242E-2</c:v>
                </c:pt>
                <c:pt idx="54">
                  <c:v>8.842765957446809E-2</c:v>
                </c:pt>
                <c:pt idx="55">
                  <c:v>8.824736842105263E-2</c:v>
                </c:pt>
                <c:pt idx="56">
                  <c:v>8.8070833333333334E-2</c:v>
                </c:pt>
                <c:pt idx="57">
                  <c:v>8.7897938144329904E-2</c:v>
                </c:pt>
                <c:pt idx="58">
                  <c:v>8.7728571428571434E-2</c:v>
                </c:pt>
                <c:pt idx="59">
                  <c:v>8.7562626262626259E-2</c:v>
                </c:pt>
                <c:pt idx="60">
                  <c:v>8.7400000000000005E-2</c:v>
                </c:pt>
              </c:numCache>
            </c:numRef>
          </c:val>
          <c:smooth val="0"/>
        </c:ser>
        <c:ser>
          <c:idx val="0"/>
          <c:order val="1"/>
          <c:tx>
            <c:v>2012</c:v>
          </c:tx>
          <c:spPr>
            <a:ln>
              <a:solidFill>
                <a:sysClr val="windowText" lastClr="000000"/>
              </a:solidFill>
              <a:prstDash val="dashDot"/>
            </a:ln>
          </c:spPr>
          <c:marker>
            <c:symbol val="none"/>
          </c:marker>
          <c:val>
            <c:numRef>
              <c:f>Sheet1!$B$2:$B$62</c:f>
              <c:numCache>
                <c:formatCode>0.00%</c:formatCode>
                <c:ptCount val="61"/>
                <c:pt idx="0">
                  <c:v>0.12142500000000001</c:v>
                </c:pt>
                <c:pt idx="1">
                  <c:v>0.11988780487804879</c:v>
                </c:pt>
                <c:pt idx="2">
                  <c:v>0.11842380952380951</c:v>
                </c:pt>
                <c:pt idx="3">
                  <c:v>0.11702790697674419</c:v>
                </c:pt>
                <c:pt idx="4">
                  <c:v>0.11569545454545455</c:v>
                </c:pt>
                <c:pt idx="5">
                  <c:v>0.11442222222222223</c:v>
                </c:pt>
                <c:pt idx="6">
                  <c:v>0.11320434782608696</c:v>
                </c:pt>
                <c:pt idx="7">
                  <c:v>0.11203829787234043</c:v>
                </c:pt>
                <c:pt idx="8">
                  <c:v>0.11092083333333333</c:v>
                </c:pt>
                <c:pt idx="9">
                  <c:v>0.10984897959183673</c:v>
                </c:pt>
                <c:pt idx="10">
                  <c:v>0.10882</c:v>
                </c:pt>
                <c:pt idx="11">
                  <c:v>0.10783137254901962</c:v>
                </c:pt>
                <c:pt idx="12">
                  <c:v>0.10688076923076922</c:v>
                </c:pt>
                <c:pt idx="13">
                  <c:v>0.10596603773584906</c:v>
                </c:pt>
                <c:pt idx="14">
                  <c:v>0.10508518518518518</c:v>
                </c:pt>
                <c:pt idx="15">
                  <c:v>0.10423636363636363</c:v>
                </c:pt>
                <c:pt idx="16">
                  <c:v>0.10341785714285714</c:v>
                </c:pt>
                <c:pt idx="17">
                  <c:v>0.1026280701754386</c:v>
                </c:pt>
                <c:pt idx="18">
                  <c:v>0.10186551724137931</c:v>
                </c:pt>
                <c:pt idx="19">
                  <c:v>0.10112881355932203</c:v>
                </c:pt>
                <c:pt idx="20">
                  <c:v>0.10041666666666667</c:v>
                </c:pt>
                <c:pt idx="21">
                  <c:v>9.9727868852459017E-2</c:v>
                </c:pt>
                <c:pt idx="22">
                  <c:v>9.9061290322580653E-2</c:v>
                </c:pt>
                <c:pt idx="23">
                  <c:v>9.8415873015873012E-2</c:v>
                </c:pt>
                <c:pt idx="24">
                  <c:v>9.7790624999999992E-2</c:v>
                </c:pt>
                <c:pt idx="25">
                  <c:v>9.7184615384615383E-2</c:v>
                </c:pt>
                <c:pt idx="26">
                  <c:v>9.6596969696969695E-2</c:v>
                </c:pt>
                <c:pt idx="27">
                  <c:v>9.6026865671641787E-2</c:v>
                </c:pt>
                <c:pt idx="28">
                  <c:v>9.5473529411764707E-2</c:v>
                </c:pt>
                <c:pt idx="29">
                  <c:v>9.4936231884057976E-2</c:v>
                </c:pt>
                <c:pt idx="30">
                  <c:v>9.4414285714285714E-2</c:v>
                </c:pt>
                <c:pt idx="31">
                  <c:v>9.3907042253521117E-2</c:v>
                </c:pt>
                <c:pt idx="32">
                  <c:v>9.341388888888888E-2</c:v>
                </c:pt>
                <c:pt idx="33">
                  <c:v>9.2934246575342466E-2</c:v>
                </c:pt>
                <c:pt idx="34">
                  <c:v>9.2467567567567577E-2</c:v>
                </c:pt>
                <c:pt idx="35">
                  <c:v>9.2013333333333336E-2</c:v>
                </c:pt>
                <c:pt idx="36">
                  <c:v>9.1571052631578942E-2</c:v>
                </c:pt>
                <c:pt idx="37">
                  <c:v>9.1140259740259744E-2</c:v>
                </c:pt>
                <c:pt idx="38">
                  <c:v>9.0720512820512828E-2</c:v>
                </c:pt>
                <c:pt idx="39">
                  <c:v>9.0311392405063293E-2</c:v>
                </c:pt>
                <c:pt idx="40">
                  <c:v>8.9912500000000006E-2</c:v>
                </c:pt>
                <c:pt idx="41">
                  <c:v>8.9523456790123454E-2</c:v>
                </c:pt>
                <c:pt idx="42">
                  <c:v>8.9143902439024397E-2</c:v>
                </c:pt>
                <c:pt idx="43">
                  <c:v>8.8773493975903617E-2</c:v>
                </c:pt>
                <c:pt idx="44">
                  <c:v>8.8411904761904761E-2</c:v>
                </c:pt>
                <c:pt idx="45">
                  <c:v>8.8058823529411773E-2</c:v>
                </c:pt>
                <c:pt idx="46">
                  <c:v>8.771395348837209E-2</c:v>
                </c:pt>
                <c:pt idx="47">
                  <c:v>8.7377011494252865E-2</c:v>
                </c:pt>
                <c:pt idx="48">
                  <c:v>8.7047727272727277E-2</c:v>
                </c:pt>
                <c:pt idx="49">
                  <c:v>8.672584269662921E-2</c:v>
                </c:pt>
                <c:pt idx="50">
                  <c:v>8.6411111111111105E-2</c:v>
                </c:pt>
                <c:pt idx="51">
                  <c:v>8.6103296703296694E-2</c:v>
                </c:pt>
                <c:pt idx="52">
                  <c:v>8.5802173913043484E-2</c:v>
                </c:pt>
                <c:pt idx="53">
                  <c:v>8.5507526881720433E-2</c:v>
                </c:pt>
                <c:pt idx="54">
                  <c:v>8.5219148936170219E-2</c:v>
                </c:pt>
                <c:pt idx="55">
                  <c:v>8.4936842105263158E-2</c:v>
                </c:pt>
                <c:pt idx="56">
                  <c:v>8.4660416666666669E-2</c:v>
                </c:pt>
                <c:pt idx="57">
                  <c:v>8.438969072164948E-2</c:v>
                </c:pt>
                <c:pt idx="58">
                  <c:v>8.412448979591837E-2</c:v>
                </c:pt>
                <c:pt idx="59">
                  <c:v>8.3864646464646461E-2</c:v>
                </c:pt>
                <c:pt idx="60">
                  <c:v>8.3610000000000004E-2</c:v>
                </c:pt>
              </c:numCache>
            </c:numRef>
          </c:val>
          <c:smooth val="0"/>
        </c:ser>
        <c:ser>
          <c:idx val="3"/>
          <c:order val="2"/>
          <c:tx>
            <c:v>2013</c:v>
          </c:tx>
          <c:spPr>
            <a:ln>
              <a:solidFill>
                <a:sysClr val="windowText" lastClr="000000"/>
              </a:solidFill>
              <a:prstDash val="lgDash"/>
            </a:ln>
          </c:spPr>
          <c:marker>
            <c:symbol val="none"/>
          </c:marker>
          <c:val>
            <c:numRef>
              <c:f>Sheet1!$D$2:$D$62</c:f>
              <c:numCache>
                <c:formatCode>0.00%</c:formatCode>
                <c:ptCount val="61"/>
                <c:pt idx="0">
                  <c:v>0.11297499999999999</c:v>
                </c:pt>
                <c:pt idx="1">
                  <c:v>0.11158536585365854</c:v>
                </c:pt>
                <c:pt idx="2">
                  <c:v>0.11026190476190476</c:v>
                </c:pt>
                <c:pt idx="3">
                  <c:v>0.109</c:v>
                </c:pt>
                <c:pt idx="4">
                  <c:v>0.10779545454545454</c:v>
                </c:pt>
                <c:pt idx="5">
                  <c:v>0.10664444444444444</c:v>
                </c:pt>
                <c:pt idx="6">
                  <c:v>0.10554347826086957</c:v>
                </c:pt>
                <c:pt idx="7">
                  <c:v>0.10448936170212766</c:v>
                </c:pt>
                <c:pt idx="8">
                  <c:v>0.10347916666666666</c:v>
                </c:pt>
                <c:pt idx="9">
                  <c:v>0.10251020408163265</c:v>
                </c:pt>
                <c:pt idx="10">
                  <c:v>0.10158</c:v>
                </c:pt>
                <c:pt idx="11">
                  <c:v>0.10068627450980391</c:v>
                </c:pt>
                <c:pt idx="12">
                  <c:v>9.9826923076923077E-2</c:v>
                </c:pt>
                <c:pt idx="13">
                  <c:v>9.9000000000000005E-2</c:v>
                </c:pt>
                <c:pt idx="14">
                  <c:v>9.820370370370371E-2</c:v>
                </c:pt>
                <c:pt idx="15">
                  <c:v>9.7436363636363627E-2</c:v>
                </c:pt>
                <c:pt idx="16">
                  <c:v>9.6696428571428572E-2</c:v>
                </c:pt>
                <c:pt idx="17">
                  <c:v>9.5982456140350877E-2</c:v>
                </c:pt>
                <c:pt idx="18">
                  <c:v>9.5293103448275865E-2</c:v>
                </c:pt>
                <c:pt idx="19">
                  <c:v>9.4627118644067795E-2</c:v>
                </c:pt>
                <c:pt idx="20">
                  <c:v>9.3983333333333335E-2</c:v>
                </c:pt>
                <c:pt idx="21">
                  <c:v>9.3360655737704912E-2</c:v>
                </c:pt>
                <c:pt idx="22">
                  <c:v>9.275806451612903E-2</c:v>
                </c:pt>
                <c:pt idx="23">
                  <c:v>9.2174603174603173E-2</c:v>
                </c:pt>
                <c:pt idx="24">
                  <c:v>9.1609374999999993E-2</c:v>
                </c:pt>
                <c:pt idx="25">
                  <c:v>9.1061538461538472E-2</c:v>
                </c:pt>
                <c:pt idx="26">
                  <c:v>9.053030303030303E-2</c:v>
                </c:pt>
                <c:pt idx="27">
                  <c:v>9.0014925373134325E-2</c:v>
                </c:pt>
                <c:pt idx="28">
                  <c:v>8.9514705882352941E-2</c:v>
                </c:pt>
                <c:pt idx="29">
                  <c:v>8.9028985507246375E-2</c:v>
                </c:pt>
                <c:pt idx="30">
                  <c:v>8.8557142857142862E-2</c:v>
                </c:pt>
                <c:pt idx="31">
                  <c:v>8.8098591549295779E-2</c:v>
                </c:pt>
                <c:pt idx="32">
                  <c:v>8.7652777777777774E-2</c:v>
                </c:pt>
                <c:pt idx="33">
                  <c:v>8.7219178082191789E-2</c:v>
                </c:pt>
                <c:pt idx="34">
                  <c:v>8.6797297297297293E-2</c:v>
                </c:pt>
                <c:pt idx="35">
                  <c:v>8.6386666666666667E-2</c:v>
                </c:pt>
                <c:pt idx="36">
                  <c:v>8.5986842105263153E-2</c:v>
                </c:pt>
                <c:pt idx="37">
                  <c:v>8.5597402597402603E-2</c:v>
                </c:pt>
                <c:pt idx="38">
                  <c:v>8.5217948717948716E-2</c:v>
                </c:pt>
                <c:pt idx="39">
                  <c:v>8.484810126582279E-2</c:v>
                </c:pt>
                <c:pt idx="40">
                  <c:v>8.4487499999999993E-2</c:v>
                </c:pt>
                <c:pt idx="41">
                  <c:v>8.4135802469135795E-2</c:v>
                </c:pt>
                <c:pt idx="42">
                  <c:v>8.3792682926829273E-2</c:v>
                </c:pt>
                <c:pt idx="43">
                  <c:v>8.3457831325301213E-2</c:v>
                </c:pt>
                <c:pt idx="44">
                  <c:v>8.3130952380952389E-2</c:v>
                </c:pt>
                <c:pt idx="45">
                  <c:v>8.2811764705882349E-2</c:v>
                </c:pt>
                <c:pt idx="46">
                  <c:v>8.2500000000000004E-2</c:v>
                </c:pt>
                <c:pt idx="47">
                  <c:v>8.219540229885057E-2</c:v>
                </c:pt>
                <c:pt idx="48">
                  <c:v>8.1897727272727275E-2</c:v>
                </c:pt>
                <c:pt idx="49">
                  <c:v>8.1606741573033714E-2</c:v>
                </c:pt>
                <c:pt idx="50">
                  <c:v>8.1322222222222226E-2</c:v>
                </c:pt>
                <c:pt idx="51">
                  <c:v>8.1043956043956047E-2</c:v>
                </c:pt>
                <c:pt idx="52">
                  <c:v>8.0771739130434783E-2</c:v>
                </c:pt>
                <c:pt idx="53">
                  <c:v>8.0505376344086027E-2</c:v>
                </c:pt>
                <c:pt idx="54">
                  <c:v>8.0244680851063829E-2</c:v>
                </c:pt>
                <c:pt idx="55">
                  <c:v>7.9989473684210527E-2</c:v>
                </c:pt>
                <c:pt idx="56">
                  <c:v>7.9739583333333336E-2</c:v>
                </c:pt>
                <c:pt idx="57">
                  <c:v>7.949484536082474E-2</c:v>
                </c:pt>
                <c:pt idx="58">
                  <c:v>7.925510204081633E-2</c:v>
                </c:pt>
                <c:pt idx="59">
                  <c:v>7.9020202020202018E-2</c:v>
                </c:pt>
                <c:pt idx="60">
                  <c:v>7.8789999999999999E-2</c:v>
                </c:pt>
              </c:numCache>
            </c:numRef>
          </c:val>
          <c:smooth val="0"/>
        </c:ser>
        <c:ser>
          <c:idx val="2"/>
          <c:order val="3"/>
          <c:tx>
            <c:v>2014</c:v>
          </c:tx>
          <c:spPr>
            <a:ln>
              <a:solidFill>
                <a:sysClr val="windowText" lastClr="000000"/>
              </a:solidFill>
              <a:prstDash val="sysDash"/>
            </a:ln>
          </c:spPr>
          <c:marker>
            <c:symbol val="none"/>
          </c:marker>
          <c:val>
            <c:numRef>
              <c:f>Sheet1!$G$2:$G$62</c:f>
              <c:numCache>
                <c:formatCode>0.00%</c:formatCode>
                <c:ptCount val="61"/>
                <c:pt idx="0">
                  <c:v>0.11745</c:v>
                </c:pt>
                <c:pt idx="1">
                  <c:v>0.11602682926829269</c:v>
                </c:pt>
                <c:pt idx="2">
                  <c:v>0.11467142857142856</c:v>
                </c:pt>
                <c:pt idx="3">
                  <c:v>0.11337906976744186</c:v>
                </c:pt>
                <c:pt idx="4">
                  <c:v>0.11214545454545455</c:v>
                </c:pt>
                <c:pt idx="5">
                  <c:v>0.11096666666666666</c:v>
                </c:pt>
                <c:pt idx="6">
                  <c:v>0.10983913043478261</c:v>
                </c:pt>
                <c:pt idx="7">
                  <c:v>0.10875957446808511</c:v>
                </c:pt>
                <c:pt idx="8">
                  <c:v>0.107725</c:v>
                </c:pt>
                <c:pt idx="9">
                  <c:v>0.10673265306122449</c:v>
                </c:pt>
                <c:pt idx="10">
                  <c:v>0.10578</c:v>
                </c:pt>
                <c:pt idx="11">
                  <c:v>0.10486470588235294</c:v>
                </c:pt>
                <c:pt idx="12">
                  <c:v>0.10398461538461538</c:v>
                </c:pt>
                <c:pt idx="13">
                  <c:v>0.10313773584905661</c:v>
                </c:pt>
                <c:pt idx="14">
                  <c:v>0.10232222222222223</c:v>
                </c:pt>
                <c:pt idx="15">
                  <c:v>0.10153636363636365</c:v>
                </c:pt>
                <c:pt idx="16">
                  <c:v>0.10077857142857144</c:v>
                </c:pt>
                <c:pt idx="17">
                  <c:v>0.10004736842105263</c:v>
                </c:pt>
                <c:pt idx="18">
                  <c:v>9.9341379310344827E-2</c:v>
                </c:pt>
                <c:pt idx="19">
                  <c:v>9.8659322033898308E-2</c:v>
                </c:pt>
                <c:pt idx="20">
                  <c:v>9.8000000000000004E-2</c:v>
                </c:pt>
                <c:pt idx="21">
                  <c:v>9.7362295081967212E-2</c:v>
                </c:pt>
                <c:pt idx="22">
                  <c:v>9.6745161290322582E-2</c:v>
                </c:pt>
                <c:pt idx="23">
                  <c:v>9.6147619047619051E-2</c:v>
                </c:pt>
                <c:pt idx="24">
                  <c:v>9.5568750000000008E-2</c:v>
                </c:pt>
                <c:pt idx="25">
                  <c:v>9.5007692307692307E-2</c:v>
                </c:pt>
                <c:pt idx="26">
                  <c:v>9.4463636363636361E-2</c:v>
                </c:pt>
                <c:pt idx="27">
                  <c:v>9.3935820895522382E-2</c:v>
                </c:pt>
                <c:pt idx="28">
                  <c:v>9.3423529411764711E-2</c:v>
                </c:pt>
                <c:pt idx="29">
                  <c:v>9.2926086956521742E-2</c:v>
                </c:pt>
                <c:pt idx="30">
                  <c:v>9.2442857142857146E-2</c:v>
                </c:pt>
                <c:pt idx="31">
                  <c:v>9.1973239436619725E-2</c:v>
                </c:pt>
                <c:pt idx="32">
                  <c:v>9.1516666666666663E-2</c:v>
                </c:pt>
                <c:pt idx="33">
                  <c:v>9.1072602739726033E-2</c:v>
                </c:pt>
                <c:pt idx="34">
                  <c:v>9.0640540540540548E-2</c:v>
                </c:pt>
                <c:pt idx="35">
                  <c:v>9.0219999999999995E-2</c:v>
                </c:pt>
                <c:pt idx="36">
                  <c:v>8.981052631578948E-2</c:v>
                </c:pt>
                <c:pt idx="37">
                  <c:v>8.9411688311688317E-2</c:v>
                </c:pt>
                <c:pt idx="38">
                  <c:v>8.9023076923076927E-2</c:v>
                </c:pt>
                <c:pt idx="39">
                  <c:v>8.8644303797468349E-2</c:v>
                </c:pt>
                <c:pt idx="40">
                  <c:v>8.8274999999999992E-2</c:v>
                </c:pt>
                <c:pt idx="41">
                  <c:v>8.7914814814814821E-2</c:v>
                </c:pt>
                <c:pt idx="42">
                  <c:v>8.7563414634146339E-2</c:v>
                </c:pt>
                <c:pt idx="43">
                  <c:v>8.7220481927710841E-2</c:v>
                </c:pt>
                <c:pt idx="44">
                  <c:v>8.6885714285714288E-2</c:v>
                </c:pt>
                <c:pt idx="45">
                  <c:v>8.6558823529411771E-2</c:v>
                </c:pt>
                <c:pt idx="46">
                  <c:v>8.6239534883720936E-2</c:v>
                </c:pt>
                <c:pt idx="47">
                  <c:v>8.5927586206896556E-2</c:v>
                </c:pt>
                <c:pt idx="48">
                  <c:v>8.5622727272727267E-2</c:v>
                </c:pt>
                <c:pt idx="49">
                  <c:v>8.5324719101123603E-2</c:v>
                </c:pt>
                <c:pt idx="50">
                  <c:v>8.5033333333333336E-2</c:v>
                </c:pt>
                <c:pt idx="51">
                  <c:v>8.474835164835165E-2</c:v>
                </c:pt>
                <c:pt idx="52">
                  <c:v>8.446956521739131E-2</c:v>
                </c:pt>
                <c:pt idx="53">
                  <c:v>8.4196774193548388E-2</c:v>
                </c:pt>
                <c:pt idx="54">
                  <c:v>8.3929787234042555E-2</c:v>
                </c:pt>
                <c:pt idx="55">
                  <c:v>8.3668421052631586E-2</c:v>
                </c:pt>
                <c:pt idx="56">
                  <c:v>8.3412500000000001E-2</c:v>
                </c:pt>
                <c:pt idx="57">
                  <c:v>8.3161855670103091E-2</c:v>
                </c:pt>
                <c:pt idx="58">
                  <c:v>8.2916326530612247E-2</c:v>
                </c:pt>
                <c:pt idx="59">
                  <c:v>8.2675757575757569E-2</c:v>
                </c:pt>
                <c:pt idx="60">
                  <c:v>8.2439999999999999E-2</c:v>
                </c:pt>
              </c:numCache>
            </c:numRef>
          </c:val>
          <c:smooth val="0"/>
        </c:ser>
        <c:ser>
          <c:idx val="4"/>
          <c:order val="4"/>
          <c:tx>
            <c:v>2015</c:v>
          </c:tx>
          <c:spPr>
            <a:ln>
              <a:solidFill>
                <a:sysClr val="windowText" lastClr="000000"/>
              </a:solidFill>
              <a:prstDash val="sysDot"/>
            </a:ln>
          </c:spPr>
          <c:marker>
            <c:symbol val="none"/>
          </c:marker>
          <c:val>
            <c:numRef>
              <c:f>Sheet1!$H$2:$H$62</c:f>
              <c:numCache>
                <c:formatCode>0.00%</c:formatCode>
                <c:ptCount val="61"/>
                <c:pt idx="0">
                  <c:v>0.11510000000000001</c:v>
                </c:pt>
                <c:pt idx="1">
                  <c:v>0.11358780487804879</c:v>
                </c:pt>
                <c:pt idx="2">
                  <c:v>0.11214761904761905</c:v>
                </c:pt>
                <c:pt idx="3">
                  <c:v>0.11077441860465116</c:v>
                </c:pt>
                <c:pt idx="4">
                  <c:v>0.10946363636363637</c:v>
                </c:pt>
                <c:pt idx="5">
                  <c:v>0.10821111111111112</c:v>
                </c:pt>
                <c:pt idx="6">
                  <c:v>0.10701304347826088</c:v>
                </c:pt>
                <c:pt idx="7">
                  <c:v>0.10586595744680852</c:v>
                </c:pt>
                <c:pt idx="8">
                  <c:v>0.10476666666666667</c:v>
                </c:pt>
                <c:pt idx="9">
                  <c:v>0.10371224489795919</c:v>
                </c:pt>
                <c:pt idx="10">
                  <c:v>0.1027</c:v>
                </c:pt>
                <c:pt idx="11">
                  <c:v>0.10172745098039215</c:v>
                </c:pt>
                <c:pt idx="12">
                  <c:v>0.10079230769230769</c:v>
                </c:pt>
                <c:pt idx="13">
                  <c:v>9.9892452830188688E-2</c:v>
                </c:pt>
                <c:pt idx="14">
                  <c:v>9.9025925925925934E-2</c:v>
                </c:pt>
                <c:pt idx="15">
                  <c:v>9.8190909090909093E-2</c:v>
                </c:pt>
                <c:pt idx="16">
                  <c:v>9.7385714285714284E-2</c:v>
                </c:pt>
                <c:pt idx="17">
                  <c:v>9.6608771929824561E-2</c:v>
                </c:pt>
                <c:pt idx="18">
                  <c:v>9.5858620689655172E-2</c:v>
                </c:pt>
                <c:pt idx="19">
                  <c:v>9.5133898305084744E-2</c:v>
                </c:pt>
                <c:pt idx="20">
                  <c:v>9.4433333333333341E-2</c:v>
                </c:pt>
                <c:pt idx="21">
                  <c:v>9.3755737704918032E-2</c:v>
                </c:pt>
                <c:pt idx="22">
                  <c:v>9.3100000000000002E-2</c:v>
                </c:pt>
                <c:pt idx="23">
                  <c:v>9.2465079365079361E-2</c:v>
                </c:pt>
                <c:pt idx="24">
                  <c:v>9.1850000000000001E-2</c:v>
                </c:pt>
                <c:pt idx="25">
                  <c:v>9.1253846153846158E-2</c:v>
                </c:pt>
                <c:pt idx="26">
                  <c:v>9.0675757575757576E-2</c:v>
                </c:pt>
                <c:pt idx="27">
                  <c:v>9.0114925373134327E-2</c:v>
                </c:pt>
                <c:pt idx="28">
                  <c:v>8.9570588235294124E-2</c:v>
                </c:pt>
                <c:pt idx="29">
                  <c:v>8.9042028985507254E-2</c:v>
                </c:pt>
                <c:pt idx="30">
                  <c:v>8.8528571428571429E-2</c:v>
                </c:pt>
                <c:pt idx="31">
                  <c:v>8.8029577464788733E-2</c:v>
                </c:pt>
                <c:pt idx="32">
                  <c:v>8.7544444444444453E-2</c:v>
                </c:pt>
                <c:pt idx="33">
                  <c:v>8.7072602739726029E-2</c:v>
                </c:pt>
                <c:pt idx="34">
                  <c:v>8.6613513513513513E-2</c:v>
                </c:pt>
                <c:pt idx="35">
                  <c:v>8.6166666666666669E-2</c:v>
                </c:pt>
                <c:pt idx="36">
                  <c:v>8.5731578947368423E-2</c:v>
                </c:pt>
                <c:pt idx="37">
                  <c:v>8.5307792207792207E-2</c:v>
                </c:pt>
                <c:pt idx="38">
                  <c:v>8.489487179487179E-2</c:v>
                </c:pt>
                <c:pt idx="39">
                  <c:v>8.4492405063291143E-2</c:v>
                </c:pt>
                <c:pt idx="40">
                  <c:v>8.4100000000000008E-2</c:v>
                </c:pt>
                <c:pt idx="41">
                  <c:v>8.3717283950617283E-2</c:v>
                </c:pt>
                <c:pt idx="42">
                  <c:v>8.3343902439024398E-2</c:v>
                </c:pt>
                <c:pt idx="43">
                  <c:v>8.2979518072289163E-2</c:v>
                </c:pt>
                <c:pt idx="44">
                  <c:v>8.262380952380953E-2</c:v>
                </c:pt>
                <c:pt idx="45">
                  <c:v>8.2276470588235298E-2</c:v>
                </c:pt>
                <c:pt idx="46">
                  <c:v>8.1937209302325578E-2</c:v>
                </c:pt>
                <c:pt idx="47">
                  <c:v>8.1605747126436784E-2</c:v>
                </c:pt>
                <c:pt idx="48">
                  <c:v>8.1281818181818177E-2</c:v>
                </c:pt>
                <c:pt idx="49">
                  <c:v>8.0965168539325838E-2</c:v>
                </c:pt>
                <c:pt idx="50">
                  <c:v>8.0655555555555564E-2</c:v>
                </c:pt>
                <c:pt idx="51">
                  <c:v>8.0352747252747256E-2</c:v>
                </c:pt>
                <c:pt idx="52">
                  <c:v>8.0056521739130443E-2</c:v>
                </c:pt>
                <c:pt idx="53">
                  <c:v>7.9766666666666666E-2</c:v>
                </c:pt>
                <c:pt idx="54">
                  <c:v>7.9482978723404263E-2</c:v>
                </c:pt>
                <c:pt idx="55">
                  <c:v>7.9205263157894737E-2</c:v>
                </c:pt>
                <c:pt idx="56">
                  <c:v>7.8933333333333328E-2</c:v>
                </c:pt>
                <c:pt idx="57">
                  <c:v>7.8667010309278348E-2</c:v>
                </c:pt>
                <c:pt idx="58">
                  <c:v>7.8406122448979598E-2</c:v>
                </c:pt>
                <c:pt idx="59">
                  <c:v>7.8150505050505054E-2</c:v>
                </c:pt>
                <c:pt idx="60">
                  <c:v>7.7899999999999997E-2</c:v>
                </c:pt>
              </c:numCache>
            </c:numRef>
          </c:val>
          <c:smooth val="0"/>
        </c:ser>
        <c:dLbls>
          <c:showLegendKey val="0"/>
          <c:showVal val="0"/>
          <c:showCatName val="0"/>
          <c:showSerName val="0"/>
          <c:showPercent val="0"/>
          <c:showBubbleSize val="0"/>
        </c:dLbls>
        <c:marker val="1"/>
        <c:smooth val="0"/>
        <c:axId val="25376640"/>
        <c:axId val="25399296"/>
      </c:lineChart>
      <c:catAx>
        <c:axId val="25376640"/>
        <c:scaling>
          <c:orientation val="minMax"/>
        </c:scaling>
        <c:delete val="0"/>
        <c:axPos val="b"/>
        <c:majorGridlines>
          <c:spPr>
            <a:ln>
              <a:solidFill>
                <a:sysClr val="windowText" lastClr="000000"/>
              </a:solidFill>
            </a:ln>
          </c:spPr>
        </c:majorGridlines>
        <c:title>
          <c:tx>
            <c:rich>
              <a:bodyPr/>
              <a:lstStyle/>
              <a:p>
                <a:pPr>
                  <a:defRPr sz="999" b="1" i="0" u="none" strike="noStrike" baseline="0">
                    <a:solidFill>
                      <a:srgbClr val="000000"/>
                    </a:solidFill>
                    <a:latin typeface="Calibri"/>
                    <a:ea typeface="Calibri"/>
                    <a:cs typeface="Calibri"/>
                  </a:defRPr>
                </a:pPr>
                <a:r>
                  <a:rPr lang="en-US"/>
                  <a:t>% Common Equity</a:t>
                </a:r>
              </a:p>
            </c:rich>
          </c:tx>
          <c:layout>
            <c:manualLayout>
              <c:xMode val="edge"/>
              <c:yMode val="edge"/>
              <c:x val="0.40557302487026253"/>
              <c:y val="0.87202627973390123"/>
            </c:manualLayout>
          </c:layout>
          <c:overlay val="0"/>
        </c:title>
        <c:numFmt formatCode="0" sourceLinked="0"/>
        <c:majorTickMark val="out"/>
        <c:minorTickMark val="in"/>
        <c:tickLblPos val="nextTo"/>
        <c:spPr>
          <a:ln w="12693"/>
        </c:spPr>
        <c:txPr>
          <a:bodyPr rot="0" vert="horz"/>
          <a:lstStyle/>
          <a:p>
            <a:pPr>
              <a:defRPr sz="999" b="0" i="0" u="none" strike="noStrike" baseline="0">
                <a:solidFill>
                  <a:srgbClr val="000000"/>
                </a:solidFill>
                <a:latin typeface="Calibri"/>
                <a:ea typeface="Calibri"/>
                <a:cs typeface="Calibri"/>
              </a:defRPr>
            </a:pPr>
            <a:endParaRPr lang="en-US"/>
          </a:p>
        </c:txPr>
        <c:crossAx val="25399296"/>
        <c:crosses val="autoZero"/>
        <c:auto val="1"/>
        <c:lblAlgn val="ctr"/>
        <c:lblOffset val="120"/>
        <c:tickLblSkip val="5"/>
        <c:tickMarkSkip val="5"/>
        <c:noMultiLvlLbl val="0"/>
      </c:catAx>
      <c:valAx>
        <c:axId val="25399296"/>
        <c:scaling>
          <c:orientation val="minMax"/>
          <c:max val="0.125"/>
          <c:min val="7.5000000000000011E-2"/>
        </c:scaling>
        <c:delete val="0"/>
        <c:axPos val="l"/>
        <c:majorGridlines/>
        <c:title>
          <c:tx>
            <c:rich>
              <a:bodyPr/>
              <a:lstStyle/>
              <a:p>
                <a:pPr>
                  <a:defRPr sz="999" b="1" i="0" u="none" strike="noStrike" baseline="0">
                    <a:solidFill>
                      <a:srgbClr val="000000"/>
                    </a:solidFill>
                    <a:latin typeface="Calibri"/>
                    <a:ea typeface="Calibri"/>
                    <a:cs typeface="Calibri"/>
                  </a:defRPr>
                </a:pPr>
                <a:r>
                  <a:rPr lang="en-US"/>
                  <a:t>ROE</a:t>
                </a:r>
              </a:p>
            </c:rich>
          </c:tx>
          <c:layout>
            <c:manualLayout>
              <c:xMode val="edge"/>
              <c:yMode val="edge"/>
              <c:x val="2.4767840502021937E-2"/>
              <c:y val="0.44047739315604417"/>
            </c:manualLayout>
          </c:layout>
          <c:overlay val="0"/>
        </c:title>
        <c:numFmt formatCode="0.0%" sourceLinked="0"/>
        <c:majorTickMark val="out"/>
        <c:minorTickMark val="none"/>
        <c:tickLblPos val="nextTo"/>
        <c:txPr>
          <a:bodyPr rot="0" vert="horz"/>
          <a:lstStyle/>
          <a:p>
            <a:pPr>
              <a:defRPr sz="999" b="0" i="0" u="none" strike="noStrike" baseline="0">
                <a:solidFill>
                  <a:srgbClr val="000000"/>
                </a:solidFill>
                <a:latin typeface="Calibri"/>
                <a:ea typeface="Calibri"/>
                <a:cs typeface="Calibri"/>
              </a:defRPr>
            </a:pPr>
            <a:endParaRPr lang="en-US"/>
          </a:p>
        </c:txPr>
        <c:crossAx val="25376640"/>
        <c:crosses val="autoZero"/>
        <c:crossBetween val="between"/>
        <c:minorUnit val="1E-3"/>
      </c:valAx>
    </c:plotArea>
    <c:legend>
      <c:legendPos val="r"/>
      <c:layout>
        <c:manualLayout>
          <c:xMode val="edge"/>
          <c:yMode val="edge"/>
          <c:x val="0.78999033915548833"/>
          <c:y val="0.39087439541755392"/>
          <c:w val="0.10812502671693724"/>
          <c:h val="0.28925304148302217"/>
        </c:manualLayout>
      </c:layout>
      <c:overlay val="0"/>
      <c:txPr>
        <a:bodyPr/>
        <a:lstStyle/>
        <a:p>
          <a:pPr>
            <a:defRPr sz="71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Orders with Chairman Graham, Edgar, Brisé, Brown and Patronis.dot</Template>
  <TotalTime>0</TotalTime>
  <Pages>8</Pages>
  <Words>2284</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2015-07-02T13:14:00Z</dcterms:created>
  <dcterms:modified xsi:type="dcterms:W3CDTF">2015-07-02T13:20:00Z</dcterms:modified>
</cp:coreProperties>
</file>