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pPr>
              <w:pStyle w:val="MastHeadState"/>
            </w:pPr>
            <w:bookmarkStart w:id="0" w:name="_GoBack"/>
            <w:bookmarkEnd w:id="0"/>
            <w:r>
              <w:t>State of Florida</w:t>
            </w:r>
          </w:p>
          <w:p w:rsidR="007C0528" w:rsidRDefault="00404838">
            <w:pPr>
              <w:jc w:val="center"/>
            </w:pPr>
            <w:r>
              <w:rPr>
                <w:noProof/>
              </w:rPr>
              <w:drawing>
                <wp:inline distT="0" distB="0" distL="0" distR="0">
                  <wp:extent cx="922020" cy="914400"/>
                  <wp:effectExtent l="0" t="0" r="0"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2020"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404838">
            <w:pPr>
              <w:pStyle w:val="MemoHeading"/>
            </w:pPr>
            <w:bookmarkStart w:id="1" w:name="FilingDate"/>
            <w:r>
              <w:t>September 3, 2015</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404838" w:rsidRDefault="00404838">
            <w:pPr>
              <w:pStyle w:val="MemoHeading"/>
            </w:pPr>
            <w:bookmarkStart w:id="2" w:name="From"/>
            <w:r>
              <w:t>Division of Economics (Draper)</w:t>
            </w:r>
          </w:p>
          <w:p w:rsidR="00404838" w:rsidRDefault="00404838">
            <w:pPr>
              <w:pStyle w:val="MemoHeading"/>
            </w:pPr>
            <w:r>
              <w:t>Division of Engineering (Ellis, Wooten)</w:t>
            </w:r>
          </w:p>
          <w:p w:rsidR="007C0528" w:rsidRDefault="00404838">
            <w:pPr>
              <w:pStyle w:val="MemoHeading"/>
            </w:pPr>
            <w:r>
              <w:t>Office of the General Counsel (Leathers, Crawford)</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404838">
            <w:pPr>
              <w:pStyle w:val="MemoHeadingRe"/>
            </w:pPr>
            <w:bookmarkStart w:id="3" w:name="Re"/>
            <w:r>
              <w:t>Docket No. 150177-EI – Joint petition by Tampa Electric Company, Duke Energy Florida, and Mosaic Fertilizer, LLC, for approval of intermittent electric standby power agreement.</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404838" w:rsidP="00CE42FE">
            <w:pPr>
              <w:pStyle w:val="MemoHeading"/>
            </w:pPr>
            <w:bookmarkStart w:id="4" w:name="AgendaDate"/>
            <w:r>
              <w:t>09/15/15</w:t>
            </w:r>
            <w:bookmarkEnd w:id="4"/>
            <w:r w:rsidR="007C0528">
              <w:t xml:space="preserve"> – </w:t>
            </w:r>
            <w:bookmarkStart w:id="5" w:name="PermittedStatus"/>
            <w:r w:rsidR="00CE42FE">
              <w:t>Regular Agenda  – Proposed Agency Action</w:t>
            </w:r>
            <w:r>
              <w:t xml:space="preserve">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404838">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404838">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404838">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404838">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8481F" w:rsidRDefault="00404838">
      <w:pPr>
        <w:pStyle w:val="BodyText"/>
      </w:pPr>
      <w:r>
        <w:t>On July 31, 2015, Tampa Electric Company (Tampa Electric), Duke Energy Florida (Duke), and Mosaic Fertilizer, LLC (Mosaic) (joint</w:t>
      </w:r>
      <w:r w:rsidR="00076A0E">
        <w:t>ly</w:t>
      </w:r>
      <w:r>
        <w:t xml:space="preserve"> petitioners) filed a joint petition for approval of </w:t>
      </w:r>
      <w:r w:rsidR="00EC0399">
        <w:t xml:space="preserve">an </w:t>
      </w:r>
      <w:r>
        <w:t>intermittent electric standby power agreement</w:t>
      </w:r>
      <w:r w:rsidR="002F591A">
        <w:t xml:space="preserve"> (agreement)</w:t>
      </w:r>
      <w:r>
        <w:t>. Mosaic is in the business of mining and processing phosphate</w:t>
      </w:r>
      <w:r w:rsidR="002F591A">
        <w:t>,</w:t>
      </w:r>
      <w:r>
        <w:t xml:space="preserve"> and manufacturing fertilizer</w:t>
      </w:r>
      <w:r w:rsidR="00EC0399">
        <w:t>.</w:t>
      </w:r>
      <w:r>
        <w:t xml:space="preserve"> </w:t>
      </w:r>
      <w:r w:rsidR="00EC0399">
        <w:t>Mosaic</w:t>
      </w:r>
      <w:r>
        <w:t xml:space="preserve"> has operations in the service territories of Tampa Electric, Duke, and other utilities.</w:t>
      </w:r>
      <w:r w:rsidR="00637F72">
        <w:t xml:space="preserve"> </w:t>
      </w:r>
      <w:r w:rsidR="007F2F90">
        <w:t>On August 21</w:t>
      </w:r>
      <w:r w:rsidR="00021CAD">
        <w:t xml:space="preserve"> and August 31</w:t>
      </w:r>
      <w:r w:rsidR="007F2F90">
        <w:t>, 2015, the petitioners provided responses to staff’s data request</w:t>
      </w:r>
      <w:r w:rsidR="00021CAD">
        <w:t>s</w:t>
      </w:r>
      <w:r w:rsidR="007F2F90">
        <w:t xml:space="preserve">. </w:t>
      </w:r>
      <w:r w:rsidR="00CB7760">
        <w:t xml:space="preserve">It appears that this agreement is the first of its type to come before the Commission. </w:t>
      </w:r>
      <w:r w:rsidR="00637F72">
        <w:t>The Commission has jurisdiction pursuant t</w:t>
      </w:r>
      <w:r w:rsidR="00021CAD">
        <w:t xml:space="preserve">o </w:t>
      </w:r>
      <w:r w:rsidR="00CB7760">
        <w:t>Section</w:t>
      </w:r>
      <w:r w:rsidR="00021CAD">
        <w:t xml:space="preserve"> </w:t>
      </w:r>
      <w:proofErr w:type="gramStart"/>
      <w:r w:rsidR="00021CAD">
        <w:t>366</w:t>
      </w:r>
      <w:r w:rsidR="00CB7760">
        <w:t>.04</w:t>
      </w:r>
      <w:r w:rsidR="00021CAD">
        <w:t>, Florida Statutes (F.S.)</w:t>
      </w:r>
      <w:r w:rsidR="00EC0399">
        <w:t>.</w:t>
      </w:r>
      <w:proofErr w:type="gramEnd"/>
    </w:p>
    <w:p w:rsidR="007C0528" w:rsidRDefault="007C0528"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2F591A" w:rsidRDefault="002F591A">
      <w:pPr>
        <w:pStyle w:val="IssueHeading"/>
        <w:rPr>
          <w:vanish/>
          <w:specVanish/>
        </w:rPr>
      </w:pPr>
      <w:r w:rsidRPr="004C3641">
        <w:t xml:space="preserve">Issue </w:t>
      </w:r>
      <w:r w:rsidR="00042436">
        <w:fldChar w:fldCharType="begin"/>
      </w:r>
      <w:r w:rsidR="00042436">
        <w:instrText xml:space="preserve"> SEQ Issue \* MERGEFORMAT </w:instrText>
      </w:r>
      <w:r w:rsidR="00042436">
        <w:fldChar w:fldCharType="separate"/>
      </w:r>
      <w:r w:rsidR="00993B63">
        <w:rPr>
          <w:noProof/>
        </w:rPr>
        <w:t>1</w:t>
      </w:r>
      <w:r w:rsidR="00042436">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993B63">
        <w:rPr>
          <w:noProof/>
        </w:rPr>
        <w:instrText>1</w:instrText>
      </w:r>
      <w:r>
        <w:fldChar w:fldCharType="end"/>
      </w:r>
      <w:r>
        <w:tab/>
        <w:instrText xml:space="preserve">(Draper)" \l 1 </w:instrText>
      </w:r>
      <w:r>
        <w:fldChar w:fldCharType="end"/>
      </w:r>
      <w:r>
        <w:t> </w:t>
      </w:r>
    </w:p>
    <w:p w:rsidR="002F591A" w:rsidRDefault="002F591A">
      <w:pPr>
        <w:pStyle w:val="BodyText"/>
      </w:pPr>
      <w:r>
        <w:t xml:space="preserve"> Should the Commission approve the proposed </w:t>
      </w:r>
      <w:r w:rsidR="007F2F90">
        <w:t xml:space="preserve">intermittent electric standby power </w:t>
      </w:r>
      <w:r>
        <w:t>agreement</w:t>
      </w:r>
      <w:r w:rsidR="007F2F90">
        <w:t xml:space="preserve"> between Tampa Electric, Duke, and Mosaic</w:t>
      </w:r>
      <w:r>
        <w:t>?</w:t>
      </w:r>
    </w:p>
    <w:p w:rsidR="002F591A" w:rsidRPr="004C3641" w:rsidRDefault="002F591A">
      <w:pPr>
        <w:pStyle w:val="IssueSubsectionHeading"/>
        <w:rPr>
          <w:vanish/>
          <w:specVanish/>
        </w:rPr>
      </w:pPr>
      <w:r w:rsidRPr="004C3641">
        <w:t>Recommendation: </w:t>
      </w:r>
    </w:p>
    <w:p w:rsidR="002F591A" w:rsidRDefault="002F591A">
      <w:pPr>
        <w:pStyle w:val="BodyText"/>
      </w:pPr>
      <w:r>
        <w:t> Yes.</w:t>
      </w:r>
      <w:r w:rsidR="007E5BC9">
        <w:t xml:space="preserve"> The agreement is consistent with the Commission’s policy of encouraging agreements, promotes renewable </w:t>
      </w:r>
      <w:r w:rsidR="003D371C">
        <w:t>energy</w:t>
      </w:r>
      <w:r w:rsidR="007E5BC9">
        <w:t xml:space="preserve">, and has no immediate impact on Tampa Electric’s and Duke’s general body of ratepayers. </w:t>
      </w:r>
      <w:r>
        <w:t xml:space="preserve"> (Draper)</w:t>
      </w:r>
    </w:p>
    <w:p w:rsidR="002F591A" w:rsidRPr="004C3641" w:rsidRDefault="002F591A">
      <w:pPr>
        <w:pStyle w:val="IssueSubsectionHeading"/>
        <w:rPr>
          <w:vanish/>
          <w:specVanish/>
        </w:rPr>
      </w:pPr>
      <w:r w:rsidRPr="004C3641">
        <w:t>Staff Analysis: </w:t>
      </w:r>
    </w:p>
    <w:p w:rsidR="00F27626" w:rsidRDefault="002F591A">
      <w:pPr>
        <w:pStyle w:val="BodyText"/>
      </w:pPr>
      <w:r>
        <w:t xml:space="preserve"> The proposed agreement addresses the supply of electric service to certain Mosaic facilities located in Hardee County. Specifically, the Mosaic facilities at issue are the South Pierce Generating Facilities (South Pierce) and the South Pasture Beneficiation Plant (Pasture </w:t>
      </w:r>
      <w:r w:rsidR="00D84FF8">
        <w:t>P</w:t>
      </w:r>
      <w:r>
        <w:t xml:space="preserve">lant). </w:t>
      </w:r>
      <w:r w:rsidR="00F532C5">
        <w:t xml:space="preserve">The agreement would allow Tampa Electric to provide intermittent standby power to Mosaic during infrequent periods when generation from the South Pierce facility is not sufficient to serve the South Pasture load. </w:t>
      </w:r>
      <w:r w:rsidR="00D84FF8">
        <w:t xml:space="preserve">The agreement becomes effective on the date of a final Commission order approving the agreement for an initial term of </w:t>
      </w:r>
      <w:r w:rsidR="00CE42FE">
        <w:t>ten</w:t>
      </w:r>
      <w:r w:rsidR="00D84FF8">
        <w:t xml:space="preserve"> years with an automatic ten-year extension if all the parties to the agreement agree on an extension. Alternatively, the parties can petition the Commission for a change in the agreement.</w:t>
      </w:r>
      <w:r w:rsidR="00076A0E">
        <w:t xml:space="preserve"> The proposed agreement is shown in Attachment A </w:t>
      </w:r>
      <w:r w:rsidR="00B01FE0">
        <w:t>of</w:t>
      </w:r>
      <w:r w:rsidR="00076A0E">
        <w:t xml:space="preserve"> the recommendation.</w:t>
      </w:r>
    </w:p>
    <w:p w:rsidR="00EC0399" w:rsidRDefault="00D84FF8" w:rsidP="00EC0399">
      <w:pPr>
        <w:pStyle w:val="First-LevelSubheading"/>
      </w:pPr>
      <w:r>
        <w:t xml:space="preserve">Mosaic </w:t>
      </w:r>
      <w:r w:rsidR="004A79FF">
        <w:t>F</w:t>
      </w:r>
      <w:r>
        <w:t>acilities</w:t>
      </w:r>
    </w:p>
    <w:p w:rsidR="00EC0399" w:rsidRPr="00EC0399" w:rsidRDefault="00EC0399" w:rsidP="00E346A7">
      <w:pPr>
        <w:pStyle w:val="BodyText"/>
        <w:spacing w:after="100"/>
      </w:pPr>
    </w:p>
    <w:p w:rsidR="00EC0399" w:rsidRPr="00EC0399" w:rsidRDefault="00EC0399" w:rsidP="00EC0399">
      <w:pPr>
        <w:pStyle w:val="Second-LevelSubheading"/>
      </w:pPr>
      <w:r>
        <w:t>South Pierce</w:t>
      </w:r>
    </w:p>
    <w:p w:rsidR="00D82C37" w:rsidRDefault="002F591A">
      <w:pPr>
        <w:pStyle w:val="BodyText"/>
      </w:pPr>
      <w:r>
        <w:t xml:space="preserve">South Pierce is a qualifying </w:t>
      </w:r>
      <w:r w:rsidR="000F3C84">
        <w:t xml:space="preserve">cogeneration </w:t>
      </w:r>
      <w:r>
        <w:t xml:space="preserve">facility which consists of two steam-turbine generators that generate energy from waste heat captured during the fertilizer production process. </w:t>
      </w:r>
      <w:r w:rsidR="00174C1E">
        <w:t>Mosaic uses the electricity generated to self-serv</w:t>
      </w:r>
      <w:r w:rsidR="00B6563C">
        <w:t>ice</w:t>
      </w:r>
      <w:r w:rsidR="00174C1E">
        <w:t xml:space="preserve"> the South Pierce facility and </w:t>
      </w:r>
      <w:r w:rsidR="007A4A16">
        <w:t xml:space="preserve">sells </w:t>
      </w:r>
      <w:r w:rsidR="00174C1E">
        <w:t xml:space="preserve">excess energy to Tampa Electric under the as-available COG-1 tariff. </w:t>
      </w:r>
      <w:r w:rsidR="00F27626">
        <w:t>Tampa Electric provides service to South Pierce under the Interruptible Standby and Supplemental Service</w:t>
      </w:r>
      <w:r w:rsidR="00366F2F">
        <w:t xml:space="preserve"> rate schedule</w:t>
      </w:r>
      <w:r w:rsidR="00F27626">
        <w:t>.</w:t>
      </w:r>
    </w:p>
    <w:p w:rsidR="00EC0399" w:rsidRDefault="00EC0399" w:rsidP="00EC0399">
      <w:pPr>
        <w:pStyle w:val="Second-LevelSubheading"/>
      </w:pPr>
      <w:r>
        <w:t>Pasture Plant</w:t>
      </w:r>
    </w:p>
    <w:p w:rsidR="002F591A" w:rsidRDefault="003261A8">
      <w:pPr>
        <w:pStyle w:val="BodyText"/>
      </w:pPr>
      <w:r>
        <w:t>The Pasture Plant produces fertilizer products a</w:t>
      </w:r>
      <w:r w:rsidR="00D82C37">
        <w:t xml:space="preserve">nd is currently served by Duke </w:t>
      </w:r>
      <w:r w:rsidR="00EC0399">
        <w:t>under</w:t>
      </w:r>
      <w:r w:rsidR="00D82C37">
        <w:t xml:space="preserve"> </w:t>
      </w:r>
      <w:r w:rsidR="00366F2F">
        <w:t>the Interruptible General Service rate schedule</w:t>
      </w:r>
      <w:r w:rsidR="00D82C37">
        <w:t>. The Pasture Plant is located in Peace River Electric Cooperative</w:t>
      </w:r>
      <w:r w:rsidR="00D84FF8">
        <w:t>’</w:t>
      </w:r>
      <w:r w:rsidR="00D82C37">
        <w:t xml:space="preserve">s (Peace River) service </w:t>
      </w:r>
      <w:r w:rsidR="001C07C6">
        <w:t>territory;</w:t>
      </w:r>
      <w:r w:rsidR="00D82C37">
        <w:t xml:space="preserve"> however</w:t>
      </w:r>
      <w:r w:rsidR="00D84FF8">
        <w:t>,</w:t>
      </w:r>
      <w:r w:rsidR="00D82C37">
        <w:t xml:space="preserve"> pursuant to the territorial agreement between Duke and Peace River, Duke provides service to the Pasture Plant</w:t>
      </w:r>
      <w:r w:rsidR="00B6563C">
        <w:t xml:space="preserve"> because</w:t>
      </w:r>
      <w:r w:rsidR="00366F2F">
        <w:t xml:space="preserve"> </w:t>
      </w:r>
      <w:r w:rsidR="00076A0E">
        <w:t>the facility</w:t>
      </w:r>
      <w:r w:rsidR="00366F2F">
        <w:t xml:space="preserve"> requires service at transmission level</w:t>
      </w:r>
      <w:r w:rsidR="00D82C37">
        <w:t xml:space="preserve">. The petitioners state that Peace River has read the agreement and Peace River’s consent to approval and implementation of the agreement is attached as Exhibit B to the petition. </w:t>
      </w:r>
    </w:p>
    <w:p w:rsidR="00EC0399" w:rsidRDefault="00EC0399" w:rsidP="00EC0399">
      <w:pPr>
        <w:pStyle w:val="Second-LevelSubheading"/>
      </w:pPr>
      <w:r>
        <w:t xml:space="preserve">Transmission </w:t>
      </w:r>
      <w:r w:rsidR="004A79FF">
        <w:t>L</w:t>
      </w:r>
      <w:r>
        <w:t>ine</w:t>
      </w:r>
    </w:p>
    <w:p w:rsidR="007E7E5C" w:rsidRDefault="00F27626" w:rsidP="007E7E5C">
      <w:pPr>
        <w:keepNext/>
        <w:widowControl w:val="0"/>
        <w:tabs>
          <w:tab w:val="left" w:pos="360"/>
          <w:tab w:val="left" w:pos="360"/>
          <w:tab w:val="left" w:pos="360"/>
          <w:tab w:val="left" w:pos="360"/>
        </w:tabs>
        <w:overflowPunct w:val="0"/>
        <w:autoSpaceDE w:val="0"/>
        <w:autoSpaceDN w:val="0"/>
        <w:adjustRightInd w:val="0"/>
        <w:spacing w:line="260" w:lineRule="atLeast"/>
        <w:jc w:val="both"/>
        <w:textAlignment w:val="baseline"/>
      </w:pPr>
      <w:r>
        <w:t xml:space="preserve">Mosaic plans to build a </w:t>
      </w:r>
      <w:r w:rsidR="00CE42FE">
        <w:t>ten</w:t>
      </w:r>
      <w:r>
        <w:t xml:space="preserve">-mile 69 kilovolt transmission line to connect the South Pierce generating facilities to the Pasture Plant. </w:t>
      </w:r>
      <w:r w:rsidR="00EF4004">
        <w:t xml:space="preserve">The transmission line is referred to in the agreement as the South Pasture Tie Line. </w:t>
      </w:r>
      <w:r w:rsidR="00E11647">
        <w:t xml:space="preserve">Once Mosaic completes the construction of the transmission line, Mosaic will direct the excess energy generated at the South Pierce facilities to </w:t>
      </w:r>
      <w:r w:rsidR="001C07C6">
        <w:t xml:space="preserve">serve the full load of </w:t>
      </w:r>
      <w:r w:rsidR="00E11647">
        <w:t>the Pasture Plant</w:t>
      </w:r>
      <w:r w:rsidR="00B6563C">
        <w:t xml:space="preserve"> and</w:t>
      </w:r>
      <w:r w:rsidR="001C07C6">
        <w:t xml:space="preserve"> </w:t>
      </w:r>
      <w:r w:rsidR="00B6563C">
        <w:t>t</w:t>
      </w:r>
      <w:r w:rsidR="00E11647">
        <w:t xml:space="preserve">he as-available </w:t>
      </w:r>
      <w:r w:rsidR="00D84FF8">
        <w:t>sales to</w:t>
      </w:r>
      <w:r w:rsidR="00EF4004">
        <w:t xml:space="preserve"> Tampa Electric will be reduced or eliminated. </w:t>
      </w:r>
      <w:r w:rsidR="00FE38C7">
        <w:t xml:space="preserve">Mosaic anticipates the transmission line will be constructed by March 31, 2016. </w:t>
      </w:r>
      <w:r w:rsidR="005A74D8">
        <w:t xml:space="preserve">The transmission line </w:t>
      </w:r>
      <w:r w:rsidR="007E7E5C">
        <w:t xml:space="preserve">will be owned by Mosaic and </w:t>
      </w:r>
      <w:r w:rsidR="005A74D8">
        <w:t xml:space="preserve">solely located on Mosaic-owned property, with </w:t>
      </w:r>
      <w:r w:rsidR="005A74D8">
        <w:lastRenderedPageBreak/>
        <w:t>the exception of crossings of public right of ways such as roads. This type of arrangement is referred to as self-</w:t>
      </w:r>
      <w:r w:rsidR="00076A0E">
        <w:t>service</w:t>
      </w:r>
      <w:r w:rsidR="005A74D8">
        <w:t>.</w:t>
      </w:r>
      <w:r>
        <w:t xml:space="preserve"> </w:t>
      </w:r>
      <w:r w:rsidR="007E7E5C">
        <w:t>Staff notes that self-</w:t>
      </w:r>
      <w:r w:rsidR="00076A0E">
        <w:t>serv</w:t>
      </w:r>
      <w:r w:rsidR="00B6563C">
        <w:t>ice</w:t>
      </w:r>
      <w:r w:rsidR="007E7E5C">
        <w:t xml:space="preserve"> is to be differentiated from </w:t>
      </w:r>
      <w:r w:rsidR="007E7E5C" w:rsidRPr="007E7E5C">
        <w:t xml:space="preserve">self-service wheeling </w:t>
      </w:r>
      <w:r w:rsidR="007E7E5C">
        <w:t xml:space="preserve">which </w:t>
      </w:r>
      <w:r w:rsidR="007E7E5C" w:rsidRPr="007E7E5C">
        <w:t>means transmission or distribution service provided by a public utility to enable a retail customer to transmit electrical power generated by the customer at one location to the customer’s facilities at another location.</w:t>
      </w:r>
      <w:r w:rsidR="00CA088D">
        <w:t xml:space="preserve"> </w:t>
      </w:r>
    </w:p>
    <w:p w:rsidR="006F47CB" w:rsidRDefault="006F47CB" w:rsidP="007E7E5C">
      <w:pPr>
        <w:keepNext/>
        <w:widowControl w:val="0"/>
        <w:tabs>
          <w:tab w:val="left" w:pos="360"/>
          <w:tab w:val="left" w:pos="360"/>
          <w:tab w:val="left" w:pos="360"/>
          <w:tab w:val="left" w:pos="360"/>
        </w:tabs>
        <w:overflowPunct w:val="0"/>
        <w:autoSpaceDE w:val="0"/>
        <w:autoSpaceDN w:val="0"/>
        <w:adjustRightInd w:val="0"/>
        <w:spacing w:line="260" w:lineRule="atLeast"/>
        <w:jc w:val="both"/>
        <w:textAlignment w:val="baseline"/>
      </w:pPr>
    </w:p>
    <w:p w:rsidR="00E11647" w:rsidRDefault="00E11647" w:rsidP="00E11647">
      <w:pPr>
        <w:pStyle w:val="First-LevelSubheading"/>
      </w:pPr>
      <w:r>
        <w:t xml:space="preserve">Proposed </w:t>
      </w:r>
      <w:r w:rsidR="004A79FF">
        <w:t>A</w:t>
      </w:r>
      <w:r>
        <w:t>greement</w:t>
      </w:r>
    </w:p>
    <w:p w:rsidR="00174C1E" w:rsidRDefault="00AB5887" w:rsidP="007E7E5C">
      <w:pPr>
        <w:keepNext/>
        <w:widowControl w:val="0"/>
        <w:tabs>
          <w:tab w:val="left" w:pos="360"/>
          <w:tab w:val="left" w:pos="360"/>
          <w:tab w:val="left" w:pos="360"/>
          <w:tab w:val="left" w:pos="360"/>
        </w:tabs>
        <w:overflowPunct w:val="0"/>
        <w:autoSpaceDE w:val="0"/>
        <w:autoSpaceDN w:val="0"/>
        <w:adjustRightInd w:val="0"/>
        <w:spacing w:line="260" w:lineRule="atLeast"/>
        <w:jc w:val="both"/>
        <w:textAlignment w:val="baseline"/>
      </w:pPr>
      <w:r>
        <w:t>The proposed agreement is designed for Tampa Electric to provide</w:t>
      </w:r>
      <w:r w:rsidR="00BC6D4A">
        <w:t xml:space="preserve"> intermittent</w:t>
      </w:r>
      <w:r>
        <w:t xml:space="preserve"> standby power to </w:t>
      </w:r>
      <w:r w:rsidR="00BC6D4A">
        <w:t>Mosaic during infrequent periods when generation from the South Pierce facility is not sufficient to serv</w:t>
      </w:r>
      <w:r w:rsidR="00EC0399">
        <w:t>e</w:t>
      </w:r>
      <w:r w:rsidR="00BC6D4A">
        <w:t xml:space="preserve"> the South Pasture load</w:t>
      </w:r>
      <w:r>
        <w:t>.</w:t>
      </w:r>
      <w:r w:rsidR="00BC6D4A">
        <w:t xml:space="preserve"> </w:t>
      </w:r>
      <w:r w:rsidR="00E11647">
        <w:t xml:space="preserve">As stated above, Tampa Electric currently provides standby power to </w:t>
      </w:r>
      <w:r w:rsidR="008E5482">
        <w:t>the South Pierce facility</w:t>
      </w:r>
      <w:r>
        <w:t xml:space="preserve"> and will continue to do so</w:t>
      </w:r>
      <w:r w:rsidR="008945E9">
        <w:t>, while Duke provides service to the Pasture Plant</w:t>
      </w:r>
      <w:r w:rsidR="008E5482">
        <w:t xml:space="preserve">. </w:t>
      </w:r>
      <w:r>
        <w:t>Once Mosaic</w:t>
      </w:r>
      <w:r w:rsidR="00436FFB">
        <w:t>’s</w:t>
      </w:r>
      <w:r>
        <w:t xml:space="preserve"> transmission line </w:t>
      </w:r>
      <w:r w:rsidR="00EF4004">
        <w:t>connects t</w:t>
      </w:r>
      <w:r w:rsidR="00FE38C7">
        <w:t>he South Pi</w:t>
      </w:r>
      <w:r w:rsidR="006F47CB">
        <w:t>erce facility</w:t>
      </w:r>
      <w:r w:rsidR="00366F2F">
        <w:t xml:space="preserve"> to the Pasture Plant</w:t>
      </w:r>
      <w:r w:rsidR="006F47CB">
        <w:t>,</w:t>
      </w:r>
      <w:r w:rsidR="00A35177">
        <w:t xml:space="preserve"> Duke will not be able to provide standby power to the Pasture plant because only one utility can </w:t>
      </w:r>
      <w:r w:rsidR="00EC0399">
        <w:t xml:space="preserve">be </w:t>
      </w:r>
      <w:r w:rsidR="00A35177">
        <w:t xml:space="preserve">connected </w:t>
      </w:r>
      <w:r w:rsidR="00B6563C">
        <w:t xml:space="preserve">electrically </w:t>
      </w:r>
      <w:r w:rsidR="00A35177">
        <w:t>to the Mosaic facilities at a time.</w:t>
      </w:r>
      <w:r w:rsidR="00EF4004">
        <w:t xml:space="preserve"> The petitioners explained that should the South Pierce facility go off-line, even for a short period of time, such that Tampa Electric’s standby service picks up</w:t>
      </w:r>
      <w:r w:rsidR="007B641C">
        <w:t xml:space="preserve">, the time and expense associated with converting the Pasture Plant load over to Duke would </w:t>
      </w:r>
      <w:r w:rsidR="00076A0E">
        <w:t xml:space="preserve">not </w:t>
      </w:r>
      <w:r w:rsidR="007B641C">
        <w:t xml:space="preserve">be </w:t>
      </w:r>
      <w:r w:rsidR="000F3C84">
        <w:t>economic</w:t>
      </w:r>
      <w:r w:rsidR="00EC0399">
        <w:t xml:space="preserve"> to the parties</w:t>
      </w:r>
      <w:r w:rsidR="000F3C84">
        <w:t xml:space="preserve">. Mosaic explained that a switch from cogeneration service to Duke </w:t>
      </w:r>
      <w:proofErr w:type="gramStart"/>
      <w:r w:rsidR="000F3C84">
        <w:t>service</w:t>
      </w:r>
      <w:proofErr w:type="gramEnd"/>
      <w:r w:rsidR="000F3C84">
        <w:t xml:space="preserve"> and back translates into over $300,000 in production losses.</w:t>
      </w:r>
    </w:p>
    <w:p w:rsidR="008945E9" w:rsidRDefault="008945E9" w:rsidP="007E7E5C">
      <w:pPr>
        <w:keepNext/>
        <w:widowControl w:val="0"/>
        <w:tabs>
          <w:tab w:val="left" w:pos="360"/>
          <w:tab w:val="left" w:pos="360"/>
          <w:tab w:val="left" w:pos="360"/>
          <w:tab w:val="left" w:pos="360"/>
        </w:tabs>
        <w:overflowPunct w:val="0"/>
        <w:autoSpaceDE w:val="0"/>
        <w:autoSpaceDN w:val="0"/>
        <w:adjustRightInd w:val="0"/>
        <w:spacing w:line="260" w:lineRule="atLeast"/>
        <w:jc w:val="both"/>
        <w:textAlignment w:val="baseline"/>
      </w:pPr>
    </w:p>
    <w:p w:rsidR="008945E9" w:rsidRDefault="008945E9" w:rsidP="007E7E5C">
      <w:pPr>
        <w:keepNext/>
        <w:widowControl w:val="0"/>
        <w:tabs>
          <w:tab w:val="left" w:pos="360"/>
          <w:tab w:val="left" w:pos="360"/>
          <w:tab w:val="left" w:pos="360"/>
          <w:tab w:val="left" w:pos="360"/>
        </w:tabs>
        <w:overflowPunct w:val="0"/>
        <w:autoSpaceDE w:val="0"/>
        <w:autoSpaceDN w:val="0"/>
        <w:adjustRightInd w:val="0"/>
        <w:spacing w:line="260" w:lineRule="atLeast"/>
        <w:jc w:val="both"/>
        <w:textAlignment w:val="baseline"/>
      </w:pPr>
      <w:r>
        <w:t xml:space="preserve">The petitioners explained that the infrequent circumstance under which Tampa Electric would </w:t>
      </w:r>
      <w:r w:rsidR="00AA5ACB">
        <w:t>provide standby power</w:t>
      </w:r>
      <w:r>
        <w:t xml:space="preserve"> </w:t>
      </w:r>
      <w:r w:rsidR="00AA5ACB">
        <w:t>to</w:t>
      </w:r>
      <w:r>
        <w:t xml:space="preserve"> the Pasture </w:t>
      </w:r>
      <w:r w:rsidR="003333B7">
        <w:t>P</w:t>
      </w:r>
      <w:r>
        <w:t xml:space="preserve">lant is when the South Pierce </w:t>
      </w:r>
      <w:r w:rsidR="00366F2F">
        <w:t>facility</w:t>
      </w:r>
      <w:r>
        <w:t xml:space="preserve"> is de-rated or off-lin</w:t>
      </w:r>
      <w:r w:rsidR="00B6563C">
        <w:t xml:space="preserve">e for repair or maintenance or when </w:t>
      </w:r>
      <w:r>
        <w:t xml:space="preserve">the Pasture </w:t>
      </w:r>
      <w:r w:rsidR="00EC0399">
        <w:t xml:space="preserve">Plant </w:t>
      </w:r>
      <w:r>
        <w:t>and other Mosaic load exceeds the output of the South Pierce facility.</w:t>
      </w:r>
      <w:r w:rsidR="00F65E7F">
        <w:t xml:space="preserve"> If </w:t>
      </w:r>
      <w:r w:rsidR="00EC0399">
        <w:t xml:space="preserve">the </w:t>
      </w:r>
      <w:r w:rsidR="00F65E7F">
        <w:t xml:space="preserve">South Pierce generation reduction is to be of a more extended nature or if there </w:t>
      </w:r>
      <w:r w:rsidR="00EC0399">
        <w:t xml:space="preserve">is </w:t>
      </w:r>
      <w:r w:rsidR="00F65E7F">
        <w:t xml:space="preserve">an interruption on the Mosaic transmission line, then the South Pasture load will be transferred to Duke, consistent with the terms of the agreement. </w:t>
      </w:r>
    </w:p>
    <w:p w:rsidR="00C87D6C" w:rsidRDefault="00C87D6C" w:rsidP="007E7E5C">
      <w:pPr>
        <w:keepNext/>
        <w:widowControl w:val="0"/>
        <w:tabs>
          <w:tab w:val="left" w:pos="360"/>
          <w:tab w:val="left" w:pos="360"/>
          <w:tab w:val="left" w:pos="360"/>
          <w:tab w:val="left" w:pos="360"/>
        </w:tabs>
        <w:overflowPunct w:val="0"/>
        <w:autoSpaceDE w:val="0"/>
        <w:autoSpaceDN w:val="0"/>
        <w:adjustRightInd w:val="0"/>
        <w:spacing w:line="260" w:lineRule="atLeast"/>
        <w:jc w:val="both"/>
        <w:textAlignment w:val="baseline"/>
      </w:pPr>
    </w:p>
    <w:p w:rsidR="00DB3D15" w:rsidRDefault="00C87D6C" w:rsidP="007E7E5C">
      <w:pPr>
        <w:keepNext/>
        <w:widowControl w:val="0"/>
        <w:tabs>
          <w:tab w:val="left" w:pos="360"/>
          <w:tab w:val="left" w:pos="360"/>
          <w:tab w:val="left" w:pos="360"/>
          <w:tab w:val="left" w:pos="360"/>
        </w:tabs>
        <w:overflowPunct w:val="0"/>
        <w:autoSpaceDE w:val="0"/>
        <w:autoSpaceDN w:val="0"/>
        <w:adjustRightInd w:val="0"/>
        <w:spacing w:line="260" w:lineRule="atLeast"/>
        <w:jc w:val="both"/>
        <w:textAlignment w:val="baseline"/>
      </w:pPr>
      <w:r>
        <w:t xml:space="preserve">The proposed agreement </w:t>
      </w:r>
      <w:r w:rsidR="00076A0E">
        <w:t xml:space="preserve">also </w:t>
      </w:r>
      <w:r>
        <w:t xml:space="preserve">provides for a 3,500 </w:t>
      </w:r>
      <w:r w:rsidR="00076A0E">
        <w:t>M</w:t>
      </w:r>
      <w:r>
        <w:t xml:space="preserve">egawatt-hour annual cap on the amount of standby power Tampa Electric can provide to Mosaic. In response to staff’s data request, the petitioners explained that the purpose of the </w:t>
      </w:r>
      <w:r w:rsidR="003333B7">
        <w:t xml:space="preserve">negotiated </w:t>
      </w:r>
      <w:r>
        <w:t xml:space="preserve">cap is to </w:t>
      </w:r>
      <w:r w:rsidR="003333B7">
        <w:t>en</w:t>
      </w:r>
      <w:r>
        <w:t xml:space="preserve">sure that Tampa Electric’s </w:t>
      </w:r>
      <w:r w:rsidR="00CC09CE">
        <w:t xml:space="preserve">standby </w:t>
      </w:r>
      <w:r>
        <w:t xml:space="preserve">service to Mosaic under the proposed agreement is </w:t>
      </w:r>
      <w:r w:rsidR="00CC09CE">
        <w:t>infrequent and i</w:t>
      </w:r>
      <w:r w:rsidR="000F3C84">
        <w:t>ntermittent in nature only</w:t>
      </w:r>
      <w:r w:rsidR="00352FA6">
        <w:t>. The agreement provides that if the cap is exceed</w:t>
      </w:r>
      <w:r w:rsidR="00366F2F">
        <w:t>ed</w:t>
      </w:r>
      <w:r w:rsidR="00352FA6">
        <w:t xml:space="preserve">, Mosaic will disconnect the Pasture </w:t>
      </w:r>
      <w:r w:rsidR="003333B7">
        <w:t>P</w:t>
      </w:r>
      <w:r w:rsidR="00352FA6">
        <w:t xml:space="preserve">lant from the South Pierce facility and connect the Pasture </w:t>
      </w:r>
      <w:r w:rsidR="003333B7">
        <w:t>P</w:t>
      </w:r>
      <w:r w:rsidR="00352FA6">
        <w:t>lant to Duke and purchase power from Duke.</w:t>
      </w:r>
      <w:r w:rsidR="00C71213">
        <w:t xml:space="preserve"> Once Mosaic has purchased a certain amount of electricity</w:t>
      </w:r>
      <w:r w:rsidR="00EC0399">
        <w:t xml:space="preserve"> from Duke</w:t>
      </w:r>
      <w:r w:rsidR="00C71213">
        <w:t xml:space="preserve"> as outlined in the agreement, Mosaic will reconnect the Pasture Plant to its facilities and the cap will be </w:t>
      </w:r>
      <w:r w:rsidR="00076A0E">
        <w:t>reset</w:t>
      </w:r>
      <w:r w:rsidR="00C71213">
        <w:t xml:space="preserve"> to zero.</w:t>
      </w:r>
    </w:p>
    <w:p w:rsidR="00586381" w:rsidRDefault="00586381" w:rsidP="007E7E5C">
      <w:pPr>
        <w:keepNext/>
        <w:widowControl w:val="0"/>
        <w:tabs>
          <w:tab w:val="left" w:pos="360"/>
          <w:tab w:val="left" w:pos="360"/>
          <w:tab w:val="left" w:pos="360"/>
          <w:tab w:val="left" w:pos="360"/>
        </w:tabs>
        <w:overflowPunct w:val="0"/>
        <w:autoSpaceDE w:val="0"/>
        <w:autoSpaceDN w:val="0"/>
        <w:adjustRightInd w:val="0"/>
        <w:spacing w:line="260" w:lineRule="atLeast"/>
        <w:jc w:val="both"/>
        <w:textAlignment w:val="baseline"/>
      </w:pPr>
    </w:p>
    <w:p w:rsidR="00586381" w:rsidRDefault="00586381" w:rsidP="00586381">
      <w:pPr>
        <w:pStyle w:val="First-LevelSubheading"/>
      </w:pPr>
      <w:r>
        <w:t>Conclusion</w:t>
      </w:r>
    </w:p>
    <w:p w:rsidR="00586381" w:rsidRPr="00586381" w:rsidRDefault="00E10EF6" w:rsidP="00586381">
      <w:pPr>
        <w:pStyle w:val="BodyText"/>
      </w:pPr>
      <w:r>
        <w:t>T</w:t>
      </w:r>
      <w:r w:rsidR="00E346A7">
        <w:t xml:space="preserve">he Supreme Court found that an individual does not have the right to service by a particular utility merely because </w:t>
      </w:r>
      <w:r w:rsidR="00E43244">
        <w:t>the individual</w:t>
      </w:r>
      <w:r w:rsidR="00E346A7">
        <w:t xml:space="preserve"> deems it advantageous.</w:t>
      </w:r>
      <w:r w:rsidR="00E346A7">
        <w:rPr>
          <w:rStyle w:val="FootnoteReference"/>
        </w:rPr>
        <w:footnoteReference w:id="1"/>
      </w:r>
      <w:r w:rsidR="00E346A7">
        <w:t xml:space="preserve"> However, the proposed agreement for intermittent standby power is confined to unique and limited circumstances as presented by the facts of this case. </w:t>
      </w:r>
      <w:r>
        <w:t>The agreement maintains the current territorial boundaries for Tampa Electric and Duke, while allowing Mosaic to self-generate power to serve the Pasture Plant load. Furthermore, t</w:t>
      </w:r>
      <w:r w:rsidR="00586381">
        <w:t xml:space="preserve">he Commission has recognized in </w:t>
      </w:r>
      <w:r w:rsidR="00355813">
        <w:t xml:space="preserve">several </w:t>
      </w:r>
      <w:r w:rsidR="00586381">
        <w:t xml:space="preserve">prior orders the need for flexibility in </w:t>
      </w:r>
      <w:r w:rsidR="00586381">
        <w:lastRenderedPageBreak/>
        <w:t>the provision of electric service to Mosaic’s mining operations.</w:t>
      </w:r>
      <w:r w:rsidR="00E0638C">
        <w:rPr>
          <w:rStyle w:val="FootnoteReference"/>
        </w:rPr>
        <w:footnoteReference w:id="2"/>
      </w:r>
      <w:r w:rsidR="003F75F9">
        <w:t xml:space="preserve"> </w:t>
      </w:r>
      <w:r>
        <w:t>T</w:t>
      </w:r>
      <w:r w:rsidR="003F75F9">
        <w:t>he proposed agreement is consistent with the Commission’s policy of encouraging agreements</w:t>
      </w:r>
      <w:r w:rsidR="00076A0E">
        <w:t xml:space="preserve">, promotes renewable </w:t>
      </w:r>
      <w:r w:rsidR="003D371C">
        <w:t>energy</w:t>
      </w:r>
      <w:r w:rsidR="00076A0E">
        <w:t>, and has no immediate impact on Tampa Electric’s and Duke’s general body of ratepayers</w:t>
      </w:r>
      <w:r w:rsidR="003F75F9">
        <w:t>. Therefore, staff recommends approval of the proposed intermittent electric standby power agreement between Tampa Electric, Duke, and Mosaic.</w:t>
      </w:r>
    </w:p>
    <w:p w:rsidR="00586381" w:rsidRDefault="00586381" w:rsidP="007E7E5C">
      <w:pPr>
        <w:keepNext/>
        <w:widowControl w:val="0"/>
        <w:tabs>
          <w:tab w:val="left" w:pos="360"/>
          <w:tab w:val="left" w:pos="360"/>
          <w:tab w:val="left" w:pos="360"/>
          <w:tab w:val="left" w:pos="360"/>
        </w:tabs>
        <w:overflowPunct w:val="0"/>
        <w:autoSpaceDE w:val="0"/>
        <w:autoSpaceDN w:val="0"/>
        <w:adjustRightInd w:val="0"/>
        <w:spacing w:line="260" w:lineRule="atLeast"/>
        <w:jc w:val="both"/>
        <w:textAlignment w:val="baseline"/>
      </w:pPr>
    </w:p>
    <w:p w:rsidR="00A35177" w:rsidRPr="00071B5E" w:rsidRDefault="00A35177" w:rsidP="007E7E5C">
      <w:pPr>
        <w:keepNext/>
        <w:widowControl w:val="0"/>
        <w:tabs>
          <w:tab w:val="left" w:pos="360"/>
          <w:tab w:val="left" w:pos="360"/>
          <w:tab w:val="left" w:pos="360"/>
          <w:tab w:val="left" w:pos="360"/>
        </w:tabs>
        <w:overflowPunct w:val="0"/>
        <w:autoSpaceDE w:val="0"/>
        <w:autoSpaceDN w:val="0"/>
        <w:adjustRightInd w:val="0"/>
        <w:spacing w:line="260" w:lineRule="atLeast"/>
        <w:jc w:val="both"/>
        <w:textAlignment w:val="baseline"/>
        <w:rPr>
          <w:noProof/>
          <w:color w:val="000000"/>
          <w:sz w:val="20"/>
          <w:szCs w:val="20"/>
        </w:rPr>
      </w:pPr>
    </w:p>
    <w:p w:rsidR="00D82C37" w:rsidRDefault="00D82C37">
      <w:pPr>
        <w:pStyle w:val="BodyText"/>
      </w:pPr>
    </w:p>
    <w:p w:rsidR="003D7392" w:rsidRDefault="003D7392">
      <w:pPr>
        <w:pStyle w:val="IssueHeading"/>
        <w:rPr>
          <w:vanish/>
          <w:specVanish/>
        </w:rPr>
      </w:pPr>
      <w:r w:rsidRPr="004C3641">
        <w:rPr>
          <w:b w:val="0"/>
          <w:i w:val="0"/>
        </w:rPr>
        <w:br w:type="page"/>
      </w:r>
      <w:r w:rsidRPr="004C3641">
        <w:lastRenderedPageBreak/>
        <w:t xml:space="preserve">Issue </w:t>
      </w:r>
      <w:r w:rsidR="00042436">
        <w:fldChar w:fldCharType="begin"/>
      </w:r>
      <w:r w:rsidR="00042436">
        <w:instrText xml:space="preserve"> SEQ Issue \* MERGEFORMAT </w:instrText>
      </w:r>
      <w:r w:rsidR="00042436">
        <w:fldChar w:fldCharType="separate"/>
      </w:r>
      <w:r w:rsidR="00993B63">
        <w:rPr>
          <w:noProof/>
        </w:rPr>
        <w:t>2</w:t>
      </w:r>
      <w:r w:rsidR="00042436">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993B63">
        <w:rPr>
          <w:noProof/>
        </w:rPr>
        <w:instrText>2</w:instrText>
      </w:r>
      <w:r>
        <w:fldChar w:fldCharType="end"/>
      </w:r>
      <w:r>
        <w:tab/>
        <w:instrText xml:space="preserve">" \l 1 </w:instrText>
      </w:r>
      <w:r>
        <w:fldChar w:fldCharType="end"/>
      </w:r>
      <w:r>
        <w:t> </w:t>
      </w:r>
    </w:p>
    <w:p w:rsidR="003D7392" w:rsidRDefault="003D7392">
      <w:pPr>
        <w:pStyle w:val="BodyText"/>
      </w:pPr>
      <w:r>
        <w:t> Should this docket be closed?</w:t>
      </w:r>
    </w:p>
    <w:p w:rsidR="003D7392" w:rsidRPr="004C3641" w:rsidRDefault="003D7392">
      <w:pPr>
        <w:pStyle w:val="IssueSubsectionHeading"/>
        <w:rPr>
          <w:vanish/>
          <w:specVanish/>
        </w:rPr>
      </w:pPr>
      <w:r w:rsidRPr="004C3641">
        <w:t>Recommendation: </w:t>
      </w:r>
    </w:p>
    <w:p w:rsidR="003D7392" w:rsidRDefault="00867D73">
      <w:pPr>
        <w:pStyle w:val="BodyText"/>
      </w:pPr>
      <w:r>
        <w:t> Yes. If no protest is filed by a person whose substantial interests are affected within 21 days of the issuance of the Order, this docket should be close</w:t>
      </w:r>
      <w:r w:rsidR="00F532C5">
        <w:t>d</w:t>
      </w:r>
      <w:r>
        <w:t xml:space="preserve"> upon</w:t>
      </w:r>
      <w:r w:rsidR="00F532C5">
        <w:t xml:space="preserve"> the</w:t>
      </w:r>
      <w:r>
        <w:t xml:space="preserve"> issuance of a Consummating Order</w:t>
      </w:r>
      <w:r w:rsidR="003D7392">
        <w:t xml:space="preserve">. (Leathers) </w:t>
      </w:r>
    </w:p>
    <w:p w:rsidR="003D7392" w:rsidRPr="004C3641" w:rsidRDefault="003D7392">
      <w:pPr>
        <w:pStyle w:val="IssueSubsectionHeading"/>
        <w:rPr>
          <w:vanish/>
          <w:specVanish/>
        </w:rPr>
      </w:pPr>
      <w:r w:rsidRPr="004C3641">
        <w:t>Staff Analysis: </w:t>
      </w:r>
    </w:p>
    <w:p w:rsidR="00D556DD" w:rsidRDefault="003D7392">
      <w:pPr>
        <w:pStyle w:val="BodyText"/>
        <w:sectPr w:rsidR="00D556DD"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r>
        <w:t> </w:t>
      </w:r>
      <w:r w:rsidR="00867D73">
        <w:t>If no protest is filed by a person whose substantial interests are affected within 21 days of the issuance of the Order, this docket should be close</w:t>
      </w:r>
      <w:r w:rsidR="00F532C5">
        <w:t>d</w:t>
      </w:r>
      <w:r w:rsidR="00867D73">
        <w:t xml:space="preserve"> upon </w:t>
      </w:r>
      <w:r w:rsidR="00F532C5">
        <w:t xml:space="preserve">the </w:t>
      </w:r>
      <w:r w:rsidR="00867D73">
        <w:t>issuance of a Consummating Order.</w:t>
      </w:r>
    </w:p>
    <w:p w:rsidR="00D556DD" w:rsidRDefault="00D556DD" w:rsidP="00E275D8">
      <w:pPr>
        <w:pStyle w:val="BodyText"/>
      </w:pPr>
      <w:r>
        <w:rPr>
          <w:noProof/>
        </w:rPr>
        <w:lastRenderedPageBreak/>
        <w:drawing>
          <wp:inline distT="0" distB="0" distL="0" distR="0">
            <wp:extent cx="6193674" cy="80543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5646" cy="8056904"/>
                    </a:xfrm>
                    <a:prstGeom prst="rect">
                      <a:avLst/>
                    </a:prstGeom>
                    <a:noFill/>
                    <a:ln>
                      <a:noFill/>
                    </a:ln>
                  </pic:spPr>
                </pic:pic>
              </a:graphicData>
            </a:graphic>
          </wp:inline>
        </w:drawing>
      </w:r>
    </w:p>
    <w:p w:rsidR="00821B8E" w:rsidRDefault="00821B8E" w:rsidP="00E275D8">
      <w:pPr>
        <w:pStyle w:val="BodyText"/>
      </w:pPr>
      <w:r>
        <w:rPr>
          <w:noProof/>
        </w:rPr>
        <w:lastRenderedPageBreak/>
        <w:drawing>
          <wp:inline distT="0" distB="0" distL="0" distR="0" wp14:anchorId="0DD1B06D" wp14:editId="3BC7681C">
            <wp:extent cx="6073140" cy="7992408"/>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73140" cy="7992408"/>
                    </a:xfrm>
                    <a:prstGeom prst="rect">
                      <a:avLst/>
                    </a:prstGeom>
                  </pic:spPr>
                </pic:pic>
              </a:graphicData>
            </a:graphic>
          </wp:inline>
        </w:drawing>
      </w:r>
    </w:p>
    <w:p w:rsidR="00821B8E" w:rsidRDefault="00821B8E" w:rsidP="00E275D8">
      <w:pPr>
        <w:pStyle w:val="BodyText"/>
      </w:pPr>
      <w:r>
        <w:rPr>
          <w:noProof/>
        </w:rPr>
        <w:lastRenderedPageBreak/>
        <w:drawing>
          <wp:inline distT="0" distB="0" distL="0" distR="0" wp14:anchorId="45EE3FC5" wp14:editId="778032B7">
            <wp:extent cx="6072819" cy="7878445"/>
            <wp:effectExtent l="0" t="0" r="444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72819" cy="7878445"/>
                    </a:xfrm>
                    <a:prstGeom prst="rect">
                      <a:avLst/>
                    </a:prstGeom>
                  </pic:spPr>
                </pic:pic>
              </a:graphicData>
            </a:graphic>
          </wp:inline>
        </w:drawing>
      </w:r>
    </w:p>
    <w:p w:rsidR="00821B8E" w:rsidRDefault="00821B8E" w:rsidP="00E275D8">
      <w:pPr>
        <w:pStyle w:val="BodyText"/>
      </w:pPr>
      <w:r>
        <w:rPr>
          <w:noProof/>
        </w:rPr>
        <w:lastRenderedPageBreak/>
        <w:drawing>
          <wp:inline distT="0" distB="0" distL="0" distR="0" wp14:anchorId="55E00150" wp14:editId="594587F3">
            <wp:extent cx="6025587" cy="78403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025587" cy="7840345"/>
                    </a:xfrm>
                    <a:prstGeom prst="rect">
                      <a:avLst/>
                    </a:prstGeom>
                  </pic:spPr>
                </pic:pic>
              </a:graphicData>
            </a:graphic>
          </wp:inline>
        </w:drawing>
      </w:r>
    </w:p>
    <w:p w:rsidR="00821B8E" w:rsidRDefault="00821B8E" w:rsidP="00E275D8">
      <w:pPr>
        <w:pStyle w:val="BodyText"/>
      </w:pPr>
      <w:r>
        <w:rPr>
          <w:noProof/>
        </w:rPr>
        <w:lastRenderedPageBreak/>
        <w:drawing>
          <wp:inline distT="0" distB="0" distL="0" distR="0" wp14:anchorId="7E418D1F" wp14:editId="45299459">
            <wp:extent cx="6110408" cy="7955280"/>
            <wp:effectExtent l="0" t="0" r="508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13363" cy="7959127"/>
                    </a:xfrm>
                    <a:prstGeom prst="rect">
                      <a:avLst/>
                    </a:prstGeom>
                  </pic:spPr>
                </pic:pic>
              </a:graphicData>
            </a:graphic>
          </wp:inline>
        </w:drawing>
      </w:r>
    </w:p>
    <w:p w:rsidR="00821B8E" w:rsidRDefault="00821B8E" w:rsidP="00E275D8">
      <w:pPr>
        <w:pStyle w:val="BodyText"/>
      </w:pPr>
      <w:r>
        <w:rPr>
          <w:noProof/>
        </w:rPr>
        <w:lastRenderedPageBreak/>
        <w:drawing>
          <wp:inline distT="0" distB="0" distL="0" distR="0" wp14:anchorId="263896B6" wp14:editId="212B4CEE">
            <wp:extent cx="6031285" cy="7861935"/>
            <wp:effectExtent l="0" t="0" r="762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31285" cy="7861935"/>
                    </a:xfrm>
                    <a:prstGeom prst="rect">
                      <a:avLst/>
                    </a:prstGeom>
                  </pic:spPr>
                </pic:pic>
              </a:graphicData>
            </a:graphic>
          </wp:inline>
        </w:drawing>
      </w:r>
    </w:p>
    <w:p w:rsidR="00821B8E" w:rsidRDefault="00821B8E" w:rsidP="00E275D8">
      <w:pPr>
        <w:pStyle w:val="BodyText"/>
      </w:pPr>
      <w:r>
        <w:rPr>
          <w:noProof/>
        </w:rPr>
        <w:lastRenderedPageBreak/>
        <w:drawing>
          <wp:inline distT="0" distB="0" distL="0" distR="0" wp14:anchorId="55800D1A" wp14:editId="4D61FAE5">
            <wp:extent cx="6118860" cy="79845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18860" cy="7984589"/>
                    </a:xfrm>
                    <a:prstGeom prst="rect">
                      <a:avLst/>
                    </a:prstGeom>
                  </pic:spPr>
                </pic:pic>
              </a:graphicData>
            </a:graphic>
          </wp:inline>
        </w:drawing>
      </w:r>
    </w:p>
    <w:p w:rsidR="00821B8E" w:rsidRDefault="00821B8E" w:rsidP="00E275D8">
      <w:pPr>
        <w:pStyle w:val="BodyText"/>
      </w:pPr>
      <w:r>
        <w:rPr>
          <w:noProof/>
        </w:rPr>
        <w:lastRenderedPageBreak/>
        <w:drawing>
          <wp:inline distT="0" distB="0" distL="0" distR="0" wp14:anchorId="5AB12BF2" wp14:editId="5D2909C9">
            <wp:extent cx="6072164" cy="7902896"/>
            <wp:effectExtent l="0" t="0" r="508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73161" cy="7904194"/>
                    </a:xfrm>
                    <a:prstGeom prst="rect">
                      <a:avLst/>
                    </a:prstGeom>
                  </pic:spPr>
                </pic:pic>
              </a:graphicData>
            </a:graphic>
          </wp:inline>
        </w:drawing>
      </w:r>
    </w:p>
    <w:p w:rsidR="00821B8E" w:rsidRDefault="00821B8E" w:rsidP="00E275D8">
      <w:pPr>
        <w:pStyle w:val="BodyText"/>
      </w:pPr>
      <w:r>
        <w:rPr>
          <w:noProof/>
        </w:rPr>
        <w:lastRenderedPageBreak/>
        <w:drawing>
          <wp:inline distT="0" distB="0" distL="0" distR="0" wp14:anchorId="19DE5E19" wp14:editId="019D4E3E">
            <wp:extent cx="6027420" cy="78317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027420" cy="7831782"/>
                    </a:xfrm>
                    <a:prstGeom prst="rect">
                      <a:avLst/>
                    </a:prstGeom>
                  </pic:spPr>
                </pic:pic>
              </a:graphicData>
            </a:graphic>
          </wp:inline>
        </w:drawing>
      </w:r>
    </w:p>
    <w:p w:rsidR="00821B8E" w:rsidRDefault="00821B8E" w:rsidP="00E275D8">
      <w:pPr>
        <w:pStyle w:val="BodyText"/>
      </w:pPr>
      <w:r>
        <w:rPr>
          <w:noProof/>
        </w:rPr>
        <w:lastRenderedPageBreak/>
        <w:drawing>
          <wp:inline distT="0" distB="0" distL="0" distR="0" wp14:anchorId="6AA75F21" wp14:editId="45E17AB6">
            <wp:extent cx="5943600" cy="77171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7717155"/>
                    </a:xfrm>
                    <a:prstGeom prst="rect">
                      <a:avLst/>
                    </a:prstGeom>
                  </pic:spPr>
                </pic:pic>
              </a:graphicData>
            </a:graphic>
          </wp:inline>
        </w:drawing>
      </w:r>
    </w:p>
    <w:p w:rsidR="00821B8E" w:rsidRDefault="00821B8E" w:rsidP="00E275D8">
      <w:pPr>
        <w:pStyle w:val="BodyText"/>
      </w:pPr>
    </w:p>
    <w:p w:rsidR="00821B8E" w:rsidRDefault="00821B8E" w:rsidP="00E275D8">
      <w:pPr>
        <w:pStyle w:val="BodyText"/>
      </w:pPr>
      <w:r>
        <w:rPr>
          <w:noProof/>
        </w:rPr>
        <w:lastRenderedPageBreak/>
        <w:drawing>
          <wp:inline distT="0" distB="0" distL="0" distR="0" wp14:anchorId="6EAED322" wp14:editId="05864564">
            <wp:extent cx="5943600" cy="77368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736840"/>
                    </a:xfrm>
                    <a:prstGeom prst="rect">
                      <a:avLst/>
                    </a:prstGeom>
                  </pic:spPr>
                </pic:pic>
              </a:graphicData>
            </a:graphic>
          </wp:inline>
        </w:drawing>
      </w:r>
    </w:p>
    <w:p w:rsidR="00821B8E" w:rsidRDefault="00821B8E" w:rsidP="00E275D8">
      <w:pPr>
        <w:pStyle w:val="BodyText"/>
      </w:pPr>
    </w:p>
    <w:p w:rsidR="00821B8E" w:rsidRDefault="00821B8E" w:rsidP="00E275D8">
      <w:pPr>
        <w:pStyle w:val="BodyText"/>
      </w:pPr>
      <w:r>
        <w:rPr>
          <w:noProof/>
        </w:rPr>
        <w:lastRenderedPageBreak/>
        <w:drawing>
          <wp:inline distT="0" distB="0" distL="0" distR="0" wp14:anchorId="29D61F63" wp14:editId="1C7F69BE">
            <wp:extent cx="5943600" cy="77349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734935"/>
                    </a:xfrm>
                    <a:prstGeom prst="rect">
                      <a:avLst/>
                    </a:prstGeom>
                  </pic:spPr>
                </pic:pic>
              </a:graphicData>
            </a:graphic>
          </wp:inline>
        </w:drawing>
      </w:r>
    </w:p>
    <w:sectPr w:rsidR="00821B8E" w:rsidSect="0068481F">
      <w:headerReference w:type="default" r:id="rId27"/>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18F" w:rsidRDefault="00F9418F">
      <w:r>
        <w:separator/>
      </w:r>
    </w:p>
  </w:endnote>
  <w:endnote w:type="continuationSeparator" w:id="0">
    <w:p w:rsidR="00F9418F" w:rsidRDefault="00F94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0B1B71">
      <w:rPr>
        <w:rStyle w:val="PageNumber"/>
        <w:noProof/>
      </w:rPr>
      <w:t>17</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18F" w:rsidRDefault="00F9418F">
      <w:r>
        <w:separator/>
      </w:r>
    </w:p>
  </w:footnote>
  <w:footnote w:type="continuationSeparator" w:id="0">
    <w:p w:rsidR="00F9418F" w:rsidRDefault="00F9418F">
      <w:r>
        <w:continuationSeparator/>
      </w:r>
    </w:p>
  </w:footnote>
  <w:footnote w:id="1">
    <w:p w:rsidR="00E346A7" w:rsidRDefault="00E346A7">
      <w:pPr>
        <w:pStyle w:val="FootnoteText"/>
      </w:pPr>
      <w:r>
        <w:rPr>
          <w:rStyle w:val="FootnoteReference"/>
        </w:rPr>
        <w:footnoteRef/>
      </w:r>
      <w:r>
        <w:t xml:space="preserve"> </w:t>
      </w:r>
      <w:proofErr w:type="spellStart"/>
      <w:proofErr w:type="gramStart"/>
      <w:r w:rsidRPr="00E346A7">
        <w:rPr>
          <w:i/>
        </w:rPr>
        <w:t>Storey</w:t>
      </w:r>
      <w:proofErr w:type="spellEnd"/>
      <w:r w:rsidRPr="00E346A7">
        <w:rPr>
          <w:i/>
        </w:rPr>
        <w:t xml:space="preserve"> v. Mayo</w:t>
      </w:r>
      <w:r>
        <w:t>, 217 So.</w:t>
      </w:r>
      <w:proofErr w:type="gramEnd"/>
      <w:r>
        <w:t xml:space="preserve"> 2d 304 (Fla. 1968)</w:t>
      </w:r>
    </w:p>
  </w:footnote>
  <w:footnote w:id="2">
    <w:p w:rsidR="00E0638C" w:rsidRPr="00E0638C" w:rsidRDefault="00E0638C">
      <w:pPr>
        <w:pStyle w:val="FootnoteText"/>
        <w:rPr>
          <w:i/>
        </w:rPr>
      </w:pPr>
      <w:r>
        <w:rPr>
          <w:rStyle w:val="FootnoteReference"/>
        </w:rPr>
        <w:footnoteRef/>
      </w:r>
      <w:r>
        <w:t xml:space="preserve"> </w:t>
      </w:r>
      <w:proofErr w:type="gramStart"/>
      <w:r>
        <w:t>Order No.</w:t>
      </w:r>
      <w:proofErr w:type="gramEnd"/>
      <w:r>
        <w:t xml:space="preserve"> PSC-10-0580-PAA-EU, issued September 22, 2010, </w:t>
      </w:r>
      <w:r w:rsidRPr="00E0638C">
        <w:rPr>
          <w:i/>
        </w:rPr>
        <w:t>In re: Joint petition for approval to extend territorial settlement agreement by Progress Energy Florida, Inc., Tampa Electric Company, and The Mosaic Company</w:t>
      </w:r>
      <w:r>
        <w:t xml:space="preserve"> and Order No. </w:t>
      </w:r>
      <w:smartTag w:uri="urn:schemas-microsoft-com:office:smarttags" w:element="stockticker">
        <w:r>
          <w:t>PSC</w:t>
        </w:r>
      </w:smartTag>
      <w:r>
        <w:t>-02-0929-AS-EI, issued July 11, 2002, in Docket No. 020105-EI,</w:t>
      </w:r>
      <w:r w:rsidRPr="00E0638C">
        <w:rPr>
          <w:i/>
        </w:rPr>
        <w:t xml:space="preserve"> In re: Joint petition of Florida Power Corporation and Tampa Electric Company for expedited declaratory relief concerning provision of electric service to an industrial customer’s facilities located in Tampa Electric Company’s Commission-approved service territory</w:t>
      </w:r>
      <w:r>
        <w:rPr>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404838" w:rsidP="00220732">
    <w:pPr>
      <w:pStyle w:val="Header"/>
      <w:tabs>
        <w:tab w:val="clear" w:pos="4320"/>
        <w:tab w:val="clear" w:pos="8640"/>
        <w:tab w:val="right" w:pos="9360"/>
      </w:tabs>
    </w:pPr>
    <w:bookmarkStart w:id="14" w:name="DocketLabel"/>
    <w:r>
      <w:t>Docket No.</w:t>
    </w:r>
    <w:bookmarkEnd w:id="14"/>
    <w:r w:rsidR="00BB3493">
      <w:t xml:space="preserve"> </w:t>
    </w:r>
    <w:bookmarkStart w:id="15" w:name="DocketList"/>
    <w:r>
      <w:t>150177-EI</w:t>
    </w:r>
    <w:bookmarkEnd w:id="15"/>
  </w:p>
  <w:p w:rsidR="00BB3493" w:rsidRDefault="00BB3493">
    <w:pPr>
      <w:pStyle w:val="Header"/>
    </w:pPr>
    <w:r>
      <w:t xml:space="preserve">Date: </w:t>
    </w:r>
    <w:r w:rsidR="00042436">
      <w:fldChar w:fldCharType="begin"/>
    </w:r>
    <w:r w:rsidR="00042436">
      <w:instrText xml:space="preserve"> REF FilingDate </w:instrText>
    </w:r>
    <w:r w:rsidR="00042436">
      <w:fldChar w:fldCharType="separate"/>
    </w:r>
    <w:r w:rsidR="00993B63">
      <w:t>September 3, 2015</w:t>
    </w:r>
    <w:r w:rsidR="00042436">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rsidP="00220732">
    <w:pPr>
      <w:pStyle w:val="Header"/>
      <w:tabs>
        <w:tab w:val="clear" w:pos="4320"/>
        <w:tab w:val="clear" w:pos="8640"/>
        <w:tab w:val="right" w:pos="9360"/>
      </w:tabs>
    </w:pPr>
    <w:r>
      <w:fldChar w:fldCharType="begin"/>
    </w:r>
    <w:r>
      <w:instrText xml:space="preserve"> REF DocketLabel</w:instrText>
    </w:r>
    <w:r>
      <w:fldChar w:fldCharType="separate"/>
    </w:r>
    <w:r w:rsidR="00993B63">
      <w:t>Docket No.</w:t>
    </w:r>
    <w:r>
      <w:fldChar w:fldCharType="end"/>
    </w:r>
    <w:r>
      <w:t xml:space="preserve"> </w:t>
    </w:r>
    <w:r>
      <w:fldChar w:fldCharType="begin"/>
    </w:r>
    <w:r>
      <w:instrText xml:space="preserve"> REF DocketList</w:instrText>
    </w:r>
    <w:r>
      <w:fldChar w:fldCharType="separate"/>
    </w:r>
    <w:r w:rsidR="00993B63">
      <w:t>150177-EI</w:t>
    </w:r>
    <w:r>
      <w:fldChar w:fldCharType="end"/>
    </w:r>
    <w:r>
      <w:tab/>
      <w:t xml:space="preserve">Issue </w:t>
    </w:r>
    <w:r w:rsidR="00042436">
      <w:fldChar w:fldCharType="begin"/>
    </w:r>
    <w:r w:rsidR="00042436">
      <w:instrText xml:space="preserve"> Seq Issue \c \* Arabic </w:instrText>
    </w:r>
    <w:r w:rsidR="00042436">
      <w:fldChar w:fldCharType="separate"/>
    </w:r>
    <w:r w:rsidR="000B1B71">
      <w:rPr>
        <w:noProof/>
      </w:rPr>
      <w:t>2</w:t>
    </w:r>
    <w:r w:rsidR="00042436">
      <w:rPr>
        <w:noProof/>
      </w:rPr>
      <w:fldChar w:fldCharType="end"/>
    </w:r>
  </w:p>
  <w:p w:rsidR="00BB3493" w:rsidRDefault="00BB3493">
    <w:pPr>
      <w:pStyle w:val="Header"/>
    </w:pPr>
    <w:r>
      <w:t xml:space="preserve">Date: </w:t>
    </w:r>
    <w:r w:rsidR="00042436">
      <w:fldChar w:fldCharType="begin"/>
    </w:r>
    <w:r w:rsidR="00042436">
      <w:instrText xml:space="preserve"> REF FilingDate </w:instrText>
    </w:r>
    <w:r w:rsidR="00042436">
      <w:fldChar w:fldCharType="separate"/>
    </w:r>
    <w:r w:rsidR="00993B63">
      <w:t>September 3, 2015</w:t>
    </w:r>
    <w:r w:rsidR="00042436">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FA8" w:rsidRDefault="00821B8E" w:rsidP="00220732">
    <w:pPr>
      <w:pStyle w:val="Header"/>
      <w:tabs>
        <w:tab w:val="clear" w:pos="4320"/>
        <w:tab w:val="clear" w:pos="8640"/>
        <w:tab w:val="right" w:pos="9360"/>
      </w:tabs>
    </w:pPr>
    <w:r>
      <w:fldChar w:fldCharType="begin"/>
    </w:r>
    <w:r>
      <w:instrText xml:space="preserve"> REF DocketLabel</w:instrText>
    </w:r>
    <w:r>
      <w:fldChar w:fldCharType="separate"/>
    </w:r>
    <w:r w:rsidR="00993B63">
      <w:t>Docket No.</w:t>
    </w:r>
    <w:r>
      <w:fldChar w:fldCharType="end"/>
    </w:r>
    <w:r>
      <w:t xml:space="preserve"> </w:t>
    </w:r>
    <w:r>
      <w:fldChar w:fldCharType="begin"/>
    </w:r>
    <w:r>
      <w:instrText xml:space="preserve"> REF DocketList</w:instrText>
    </w:r>
    <w:r>
      <w:fldChar w:fldCharType="separate"/>
    </w:r>
    <w:r w:rsidR="00993B63">
      <w:t>150177-EI</w:t>
    </w:r>
    <w:r>
      <w:fldChar w:fldCharType="end"/>
    </w:r>
    <w:r>
      <w:tab/>
      <w:t>Attachment A</w:t>
    </w:r>
  </w:p>
  <w:p w:rsidR="00821B8E" w:rsidRDefault="00821B8E" w:rsidP="004C6DD1">
    <w:pPr>
      <w:pStyle w:val="Header"/>
      <w:tabs>
        <w:tab w:val="clear" w:pos="4320"/>
        <w:tab w:val="clear" w:pos="8640"/>
        <w:tab w:val="left" w:pos="8415"/>
      </w:tabs>
    </w:pPr>
    <w:r>
      <w:t xml:space="preserve">Date: </w:t>
    </w:r>
    <w:r w:rsidR="00042436">
      <w:fldChar w:fldCharType="begin"/>
    </w:r>
    <w:r w:rsidR="00042436">
      <w:instrText xml:space="preserve"> REF FilingDate </w:instrText>
    </w:r>
    <w:r w:rsidR="00042436">
      <w:fldChar w:fldCharType="separate"/>
    </w:r>
    <w:r w:rsidR="00993B63">
      <w:t>September 3, 2015</w:t>
    </w:r>
    <w:r w:rsidR="00042436">
      <w:fldChar w:fldCharType="end"/>
    </w:r>
    <w:r w:rsidR="004C6DD1">
      <w:t xml:space="preserve">                                                                                              Page </w:t>
    </w:r>
    <w:r w:rsidR="004C6DD1">
      <w:fldChar w:fldCharType="begin"/>
    </w:r>
    <w:r w:rsidR="004C6DD1">
      <w:instrText xml:space="preserve">= </w:instrText>
    </w:r>
    <w:r w:rsidR="004C6DD1">
      <w:fldChar w:fldCharType="begin"/>
    </w:r>
    <w:r w:rsidR="004C6DD1">
      <w:instrText xml:space="preserve">page  </w:instrText>
    </w:r>
    <w:r w:rsidR="004C6DD1">
      <w:fldChar w:fldCharType="separate"/>
    </w:r>
    <w:r w:rsidR="000B1B71">
      <w:rPr>
        <w:noProof/>
      </w:rPr>
      <w:instrText>17</w:instrText>
    </w:r>
    <w:r w:rsidR="004C6DD1">
      <w:fldChar w:fldCharType="end"/>
    </w:r>
    <w:r w:rsidR="004C6DD1">
      <w:instrText xml:space="preserve">-5 </w:instrText>
    </w:r>
    <w:r w:rsidR="004C6DD1">
      <w:fldChar w:fldCharType="separate"/>
    </w:r>
    <w:r w:rsidR="000B1B71">
      <w:rPr>
        <w:noProof/>
      </w:rPr>
      <w:t>12</w:t>
    </w:r>
    <w:r w:rsidR="004C6DD1">
      <w:fldChar w:fldCharType="end"/>
    </w:r>
    <w:r w:rsidR="004C6DD1">
      <w:t xml:space="preserve"> of 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95E939B7-A965-484E-BA19-E98EC73B167F}"/>
    <w:docVar w:name="dgnword-eventsink" w:val="255766216"/>
    <w:docVar w:name="NumberOfIssues" w:val="0"/>
    <w:docVar w:name="StaffInToC" w:val="True"/>
  </w:docVars>
  <w:rsids>
    <w:rsidRoot w:val="00404838"/>
    <w:rsid w:val="00010E37"/>
    <w:rsid w:val="00021CAD"/>
    <w:rsid w:val="000277C2"/>
    <w:rsid w:val="00035B48"/>
    <w:rsid w:val="00036CE2"/>
    <w:rsid w:val="000437FE"/>
    <w:rsid w:val="00065A06"/>
    <w:rsid w:val="000666F3"/>
    <w:rsid w:val="00070DCB"/>
    <w:rsid w:val="00073120"/>
    <w:rsid w:val="00076A0E"/>
    <w:rsid w:val="000828D3"/>
    <w:rsid w:val="000A2B57"/>
    <w:rsid w:val="000A418B"/>
    <w:rsid w:val="000B1B71"/>
    <w:rsid w:val="000C2A17"/>
    <w:rsid w:val="000C4431"/>
    <w:rsid w:val="000D4319"/>
    <w:rsid w:val="000E7E06"/>
    <w:rsid w:val="000F374A"/>
    <w:rsid w:val="000F3C84"/>
    <w:rsid w:val="00114132"/>
    <w:rsid w:val="00117C8C"/>
    <w:rsid w:val="00124E2E"/>
    <w:rsid w:val="00125ED4"/>
    <w:rsid w:val="001305E9"/>
    <w:rsid w:val="001307AF"/>
    <w:rsid w:val="00135687"/>
    <w:rsid w:val="00174C1E"/>
    <w:rsid w:val="00180254"/>
    <w:rsid w:val="00191E1F"/>
    <w:rsid w:val="00192943"/>
    <w:rsid w:val="001A7406"/>
    <w:rsid w:val="001B4FEE"/>
    <w:rsid w:val="001B51C5"/>
    <w:rsid w:val="001B6F3F"/>
    <w:rsid w:val="001C07C6"/>
    <w:rsid w:val="001C52B5"/>
    <w:rsid w:val="001D0D3E"/>
    <w:rsid w:val="001F2245"/>
    <w:rsid w:val="001F6DA1"/>
    <w:rsid w:val="002044E6"/>
    <w:rsid w:val="00205C82"/>
    <w:rsid w:val="00205DC2"/>
    <w:rsid w:val="002163B6"/>
    <w:rsid w:val="00220732"/>
    <w:rsid w:val="00221D32"/>
    <w:rsid w:val="00225C3F"/>
    <w:rsid w:val="0026055E"/>
    <w:rsid w:val="00263D44"/>
    <w:rsid w:val="00292D82"/>
    <w:rsid w:val="002963CB"/>
    <w:rsid w:val="002A6546"/>
    <w:rsid w:val="002D226D"/>
    <w:rsid w:val="002F591A"/>
    <w:rsid w:val="002F6030"/>
    <w:rsid w:val="003037E1"/>
    <w:rsid w:val="00307E51"/>
    <w:rsid w:val="003103EC"/>
    <w:rsid w:val="003144EF"/>
    <w:rsid w:val="00322F74"/>
    <w:rsid w:val="003261A8"/>
    <w:rsid w:val="003333B7"/>
    <w:rsid w:val="00340073"/>
    <w:rsid w:val="00352FA6"/>
    <w:rsid w:val="00353ED4"/>
    <w:rsid w:val="00355813"/>
    <w:rsid w:val="00366F2F"/>
    <w:rsid w:val="00372805"/>
    <w:rsid w:val="00373180"/>
    <w:rsid w:val="00375AB9"/>
    <w:rsid w:val="003821A0"/>
    <w:rsid w:val="00385B04"/>
    <w:rsid w:val="003A22A6"/>
    <w:rsid w:val="003A5494"/>
    <w:rsid w:val="003B2510"/>
    <w:rsid w:val="003C2CC4"/>
    <w:rsid w:val="003D371C"/>
    <w:rsid w:val="003D7392"/>
    <w:rsid w:val="003E0EFC"/>
    <w:rsid w:val="003E4A2B"/>
    <w:rsid w:val="003E76C2"/>
    <w:rsid w:val="003F1679"/>
    <w:rsid w:val="003F4A35"/>
    <w:rsid w:val="003F75F9"/>
    <w:rsid w:val="003F7FDD"/>
    <w:rsid w:val="00402481"/>
    <w:rsid w:val="004042B4"/>
    <w:rsid w:val="00404838"/>
    <w:rsid w:val="00412DAE"/>
    <w:rsid w:val="00431598"/>
    <w:rsid w:val="00436FFB"/>
    <w:rsid w:val="00444432"/>
    <w:rsid w:val="00444A79"/>
    <w:rsid w:val="00471860"/>
    <w:rsid w:val="004A79FF"/>
    <w:rsid w:val="004C3150"/>
    <w:rsid w:val="004C3641"/>
    <w:rsid w:val="004C4390"/>
    <w:rsid w:val="004C4AF7"/>
    <w:rsid w:val="004C6DD1"/>
    <w:rsid w:val="004D2881"/>
    <w:rsid w:val="004D385F"/>
    <w:rsid w:val="004D5B39"/>
    <w:rsid w:val="004E5147"/>
    <w:rsid w:val="00506C03"/>
    <w:rsid w:val="0052572A"/>
    <w:rsid w:val="00526AEA"/>
    <w:rsid w:val="00543CB3"/>
    <w:rsid w:val="005614BD"/>
    <w:rsid w:val="0057154F"/>
    <w:rsid w:val="00581CA3"/>
    <w:rsid w:val="00586381"/>
    <w:rsid w:val="00597730"/>
    <w:rsid w:val="00597DE7"/>
    <w:rsid w:val="005A4AA2"/>
    <w:rsid w:val="005A74D8"/>
    <w:rsid w:val="005B34B6"/>
    <w:rsid w:val="005B6C8F"/>
    <w:rsid w:val="005D0F74"/>
    <w:rsid w:val="005D12DB"/>
    <w:rsid w:val="005D2E7D"/>
    <w:rsid w:val="005D4A8F"/>
    <w:rsid w:val="005D561B"/>
    <w:rsid w:val="005F468D"/>
    <w:rsid w:val="005F5DD9"/>
    <w:rsid w:val="005F69A3"/>
    <w:rsid w:val="00615423"/>
    <w:rsid w:val="006165B2"/>
    <w:rsid w:val="00617276"/>
    <w:rsid w:val="00625D97"/>
    <w:rsid w:val="00625F1C"/>
    <w:rsid w:val="00630CEB"/>
    <w:rsid w:val="00632264"/>
    <w:rsid w:val="00637F72"/>
    <w:rsid w:val="006470BC"/>
    <w:rsid w:val="00667036"/>
    <w:rsid w:val="00673BDB"/>
    <w:rsid w:val="006771B8"/>
    <w:rsid w:val="0068481F"/>
    <w:rsid w:val="00696F5D"/>
    <w:rsid w:val="00697249"/>
    <w:rsid w:val="006B3947"/>
    <w:rsid w:val="006B4293"/>
    <w:rsid w:val="006C31E3"/>
    <w:rsid w:val="006F47CB"/>
    <w:rsid w:val="00705B04"/>
    <w:rsid w:val="00734820"/>
    <w:rsid w:val="007349DC"/>
    <w:rsid w:val="00735E32"/>
    <w:rsid w:val="00735FA8"/>
    <w:rsid w:val="0074365E"/>
    <w:rsid w:val="007515FD"/>
    <w:rsid w:val="00760D80"/>
    <w:rsid w:val="00762331"/>
    <w:rsid w:val="00780C09"/>
    <w:rsid w:val="00780DDF"/>
    <w:rsid w:val="007834E9"/>
    <w:rsid w:val="00787DBC"/>
    <w:rsid w:val="007A04A1"/>
    <w:rsid w:val="007A1840"/>
    <w:rsid w:val="007A4A16"/>
    <w:rsid w:val="007B641C"/>
    <w:rsid w:val="007C0528"/>
    <w:rsid w:val="007C3D38"/>
    <w:rsid w:val="007D0F35"/>
    <w:rsid w:val="007D4FEB"/>
    <w:rsid w:val="007D6146"/>
    <w:rsid w:val="007E0CE7"/>
    <w:rsid w:val="007E5BC9"/>
    <w:rsid w:val="007E7E5C"/>
    <w:rsid w:val="007F2F90"/>
    <w:rsid w:val="007F417F"/>
    <w:rsid w:val="00816624"/>
    <w:rsid w:val="00821B8E"/>
    <w:rsid w:val="00822562"/>
    <w:rsid w:val="00823663"/>
    <w:rsid w:val="00832DDC"/>
    <w:rsid w:val="00850BAC"/>
    <w:rsid w:val="00854A3E"/>
    <w:rsid w:val="00855D08"/>
    <w:rsid w:val="00867D73"/>
    <w:rsid w:val="00874344"/>
    <w:rsid w:val="00882155"/>
    <w:rsid w:val="0088233B"/>
    <w:rsid w:val="0088599E"/>
    <w:rsid w:val="00886C37"/>
    <w:rsid w:val="008945E9"/>
    <w:rsid w:val="008B62AE"/>
    <w:rsid w:val="008C04B5"/>
    <w:rsid w:val="008C14FA"/>
    <w:rsid w:val="008D4057"/>
    <w:rsid w:val="008E5482"/>
    <w:rsid w:val="008F2262"/>
    <w:rsid w:val="008F7736"/>
    <w:rsid w:val="0090019E"/>
    <w:rsid w:val="00901086"/>
    <w:rsid w:val="00901C8A"/>
    <w:rsid w:val="00905886"/>
    <w:rsid w:val="009070D6"/>
    <w:rsid w:val="009076C6"/>
    <w:rsid w:val="0091019E"/>
    <w:rsid w:val="009106F1"/>
    <w:rsid w:val="009145D6"/>
    <w:rsid w:val="00920E64"/>
    <w:rsid w:val="00922002"/>
    <w:rsid w:val="00924020"/>
    <w:rsid w:val="009271A7"/>
    <w:rsid w:val="0093658B"/>
    <w:rsid w:val="009429FF"/>
    <w:rsid w:val="00945BD6"/>
    <w:rsid w:val="009479FB"/>
    <w:rsid w:val="00951C45"/>
    <w:rsid w:val="00962A00"/>
    <w:rsid w:val="00963263"/>
    <w:rsid w:val="00966A08"/>
    <w:rsid w:val="00971207"/>
    <w:rsid w:val="00975CB4"/>
    <w:rsid w:val="009863B0"/>
    <w:rsid w:val="00987DE1"/>
    <w:rsid w:val="00990571"/>
    <w:rsid w:val="00993B63"/>
    <w:rsid w:val="0099673A"/>
    <w:rsid w:val="009A3330"/>
    <w:rsid w:val="009A7C96"/>
    <w:rsid w:val="009C3DB9"/>
    <w:rsid w:val="009D46E5"/>
    <w:rsid w:val="009D568A"/>
    <w:rsid w:val="009F04EC"/>
    <w:rsid w:val="009F3B36"/>
    <w:rsid w:val="00A019B9"/>
    <w:rsid w:val="00A12508"/>
    <w:rsid w:val="00A1282B"/>
    <w:rsid w:val="00A13A27"/>
    <w:rsid w:val="00A175B6"/>
    <w:rsid w:val="00A21835"/>
    <w:rsid w:val="00A328EC"/>
    <w:rsid w:val="00A33A51"/>
    <w:rsid w:val="00A35177"/>
    <w:rsid w:val="00A41CA6"/>
    <w:rsid w:val="00A47927"/>
    <w:rsid w:val="00A47FFC"/>
    <w:rsid w:val="00A5442F"/>
    <w:rsid w:val="00A54FF9"/>
    <w:rsid w:val="00A56765"/>
    <w:rsid w:val="00A675AC"/>
    <w:rsid w:val="00A7581F"/>
    <w:rsid w:val="00A92FB1"/>
    <w:rsid w:val="00A95A0C"/>
    <w:rsid w:val="00AA2765"/>
    <w:rsid w:val="00AA46A4"/>
    <w:rsid w:val="00AA5ACB"/>
    <w:rsid w:val="00AA77B5"/>
    <w:rsid w:val="00AB5887"/>
    <w:rsid w:val="00AB6C5D"/>
    <w:rsid w:val="00AC51A7"/>
    <w:rsid w:val="00AD6C5E"/>
    <w:rsid w:val="00AF3F47"/>
    <w:rsid w:val="00AF5F89"/>
    <w:rsid w:val="00AF73CB"/>
    <w:rsid w:val="00B002D6"/>
    <w:rsid w:val="00B01FE0"/>
    <w:rsid w:val="00B05B51"/>
    <w:rsid w:val="00B15370"/>
    <w:rsid w:val="00B17BEB"/>
    <w:rsid w:val="00B21A3C"/>
    <w:rsid w:val="00B223C0"/>
    <w:rsid w:val="00B234ED"/>
    <w:rsid w:val="00B25CA3"/>
    <w:rsid w:val="00B57A6A"/>
    <w:rsid w:val="00B6563C"/>
    <w:rsid w:val="00B760F1"/>
    <w:rsid w:val="00B7669E"/>
    <w:rsid w:val="00B77DA1"/>
    <w:rsid w:val="00BA0D55"/>
    <w:rsid w:val="00BA37B3"/>
    <w:rsid w:val="00BA4CC6"/>
    <w:rsid w:val="00BB3493"/>
    <w:rsid w:val="00BC188A"/>
    <w:rsid w:val="00BC6D4A"/>
    <w:rsid w:val="00BE240B"/>
    <w:rsid w:val="00BF5010"/>
    <w:rsid w:val="00C13791"/>
    <w:rsid w:val="00C24B22"/>
    <w:rsid w:val="00C31BB3"/>
    <w:rsid w:val="00C36977"/>
    <w:rsid w:val="00C477D9"/>
    <w:rsid w:val="00C60BA3"/>
    <w:rsid w:val="00C623F7"/>
    <w:rsid w:val="00C71213"/>
    <w:rsid w:val="00C81773"/>
    <w:rsid w:val="00C86896"/>
    <w:rsid w:val="00C87D6C"/>
    <w:rsid w:val="00C907A8"/>
    <w:rsid w:val="00C93211"/>
    <w:rsid w:val="00C942EC"/>
    <w:rsid w:val="00C96047"/>
    <w:rsid w:val="00C979D0"/>
    <w:rsid w:val="00CA0818"/>
    <w:rsid w:val="00CA088D"/>
    <w:rsid w:val="00CA2C8F"/>
    <w:rsid w:val="00CA30DA"/>
    <w:rsid w:val="00CA3A24"/>
    <w:rsid w:val="00CB1777"/>
    <w:rsid w:val="00CB33E9"/>
    <w:rsid w:val="00CB7760"/>
    <w:rsid w:val="00CC09CE"/>
    <w:rsid w:val="00CC10A9"/>
    <w:rsid w:val="00CE2BF8"/>
    <w:rsid w:val="00CE42FE"/>
    <w:rsid w:val="00CE484E"/>
    <w:rsid w:val="00CF0DA8"/>
    <w:rsid w:val="00CF2E25"/>
    <w:rsid w:val="00CF4453"/>
    <w:rsid w:val="00D034D7"/>
    <w:rsid w:val="00D04BE4"/>
    <w:rsid w:val="00D14127"/>
    <w:rsid w:val="00D349E2"/>
    <w:rsid w:val="00D556DD"/>
    <w:rsid w:val="00D60F02"/>
    <w:rsid w:val="00D66E49"/>
    <w:rsid w:val="00D72F74"/>
    <w:rsid w:val="00D81563"/>
    <w:rsid w:val="00D82C37"/>
    <w:rsid w:val="00D84FF8"/>
    <w:rsid w:val="00D9073E"/>
    <w:rsid w:val="00D9221D"/>
    <w:rsid w:val="00D958DF"/>
    <w:rsid w:val="00D96DA1"/>
    <w:rsid w:val="00DA51E7"/>
    <w:rsid w:val="00DB1C78"/>
    <w:rsid w:val="00DB3D15"/>
    <w:rsid w:val="00DB7D96"/>
    <w:rsid w:val="00DC23FE"/>
    <w:rsid w:val="00DC59E6"/>
    <w:rsid w:val="00DD150B"/>
    <w:rsid w:val="00DD5025"/>
    <w:rsid w:val="00E0638C"/>
    <w:rsid w:val="00E06484"/>
    <w:rsid w:val="00E10EF6"/>
    <w:rsid w:val="00E11647"/>
    <w:rsid w:val="00E20A7D"/>
    <w:rsid w:val="00E275D8"/>
    <w:rsid w:val="00E346A7"/>
    <w:rsid w:val="00E375CA"/>
    <w:rsid w:val="00E43244"/>
    <w:rsid w:val="00E567E8"/>
    <w:rsid w:val="00E64679"/>
    <w:rsid w:val="00E65EBC"/>
    <w:rsid w:val="00E73432"/>
    <w:rsid w:val="00E77B0C"/>
    <w:rsid w:val="00E77FB8"/>
    <w:rsid w:val="00E838B0"/>
    <w:rsid w:val="00E86A7C"/>
    <w:rsid w:val="00E878E1"/>
    <w:rsid w:val="00E95278"/>
    <w:rsid w:val="00EA2273"/>
    <w:rsid w:val="00EB2DB3"/>
    <w:rsid w:val="00EC0399"/>
    <w:rsid w:val="00EC3FBB"/>
    <w:rsid w:val="00EC5D48"/>
    <w:rsid w:val="00EC6B7A"/>
    <w:rsid w:val="00ED3A87"/>
    <w:rsid w:val="00ED5B67"/>
    <w:rsid w:val="00EF3FEE"/>
    <w:rsid w:val="00EF4004"/>
    <w:rsid w:val="00F04B59"/>
    <w:rsid w:val="00F11741"/>
    <w:rsid w:val="00F12B1C"/>
    <w:rsid w:val="00F13CF8"/>
    <w:rsid w:val="00F15855"/>
    <w:rsid w:val="00F27626"/>
    <w:rsid w:val="00F32978"/>
    <w:rsid w:val="00F45CB2"/>
    <w:rsid w:val="00F532C5"/>
    <w:rsid w:val="00F544C0"/>
    <w:rsid w:val="00F55332"/>
    <w:rsid w:val="00F65519"/>
    <w:rsid w:val="00F65E7F"/>
    <w:rsid w:val="00F713C0"/>
    <w:rsid w:val="00F75DDC"/>
    <w:rsid w:val="00F853E1"/>
    <w:rsid w:val="00F9418F"/>
    <w:rsid w:val="00FA17AC"/>
    <w:rsid w:val="00FA32DE"/>
    <w:rsid w:val="00FA3382"/>
    <w:rsid w:val="00FA59CD"/>
    <w:rsid w:val="00FB1740"/>
    <w:rsid w:val="00FC6D7D"/>
    <w:rsid w:val="00FD16B0"/>
    <w:rsid w:val="00FD4FED"/>
    <w:rsid w:val="00FE38C7"/>
    <w:rsid w:val="00FE5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uiPriority w:val="99"/>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pPr>
      <w:tabs>
        <w:tab w:val="left" w:pos="864"/>
        <w:tab w:val="right" w:pos="9360"/>
      </w:tabs>
    </w:pPr>
    <w:rPr>
      <w:u w:val="words"/>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E0638C"/>
    <w:rPr>
      <w:vertAlign w:val="superscript"/>
    </w:rPr>
  </w:style>
  <w:style w:type="character" w:customStyle="1" w:styleId="HeaderChar">
    <w:name w:val="Header Char"/>
    <w:basedOn w:val="DefaultParagraphFont"/>
    <w:link w:val="Header"/>
    <w:uiPriority w:val="99"/>
    <w:rsid w:val="00BE240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uiPriority w:val="99"/>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pPr>
      <w:tabs>
        <w:tab w:val="left" w:pos="864"/>
        <w:tab w:val="right" w:pos="9360"/>
      </w:tabs>
    </w:pPr>
    <w:rPr>
      <w:u w:val="words"/>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E0638C"/>
    <w:rPr>
      <w:vertAlign w:val="superscript"/>
    </w:rPr>
  </w:style>
  <w:style w:type="character" w:customStyle="1" w:styleId="HeaderChar">
    <w:name w:val="Header Char"/>
    <w:basedOn w:val="DefaultParagraphFont"/>
    <w:link w:val="Header"/>
    <w:uiPriority w:val="99"/>
    <w:rsid w:val="00BE240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84CBF-4A7A-4BEA-94EA-6AA44B115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17</Pages>
  <Words>1331</Words>
  <Characters>7734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9047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Elisabeth Draper</dc:creator>
  <cp:lastModifiedBy>Jackie Colson</cp:lastModifiedBy>
  <cp:revision>2</cp:revision>
  <cp:lastPrinted>2015-09-03T14:05:00Z</cp:lastPrinted>
  <dcterms:created xsi:type="dcterms:W3CDTF">2015-09-03T14:44:00Z</dcterms:created>
  <dcterms:modified xsi:type="dcterms:W3CDTF">2015-09-03T14:44:00Z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150177-EI</vt:lpwstr>
  </property>
  <property fmtid="{D5CDD505-2E9C-101B-9397-08002B2CF9AE}" pid="3" name="MasterDocument">
    <vt:bool>false</vt:bool>
  </property>
</Properties>
</file>