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FF29EF" w:rsidP="00FF29EF">
      <w:pPr>
        <w:pStyle w:val="OrderHeading"/>
      </w:pPr>
      <w:r>
        <w:t>BEFORE THE FLORIDA PUBLIC SERVICE COMMISSION</w:t>
      </w:r>
    </w:p>
    <w:p w:rsidR="00FF29EF" w:rsidRDefault="00FF29EF" w:rsidP="00FF29EF">
      <w:pPr>
        <w:pStyle w:val="OrderHeading"/>
      </w:pPr>
    </w:p>
    <w:p w:rsidR="00FF29EF" w:rsidRDefault="00FF29EF" w:rsidP="00FF29E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F29EF" w:rsidRPr="00C63FCF" w:rsidTr="00C63FCF">
        <w:trPr>
          <w:trHeight w:val="828"/>
        </w:trPr>
        <w:tc>
          <w:tcPr>
            <w:tcW w:w="4788" w:type="dxa"/>
            <w:tcBorders>
              <w:bottom w:val="single" w:sz="8" w:space="0" w:color="auto"/>
              <w:right w:val="double" w:sz="6" w:space="0" w:color="auto"/>
            </w:tcBorders>
            <w:shd w:val="clear" w:color="auto" w:fill="auto"/>
          </w:tcPr>
          <w:p w:rsidR="00FF29EF" w:rsidRDefault="00FF29EF" w:rsidP="00C63FCF">
            <w:pPr>
              <w:pStyle w:val="OrderBody"/>
              <w:tabs>
                <w:tab w:val="center" w:pos="4320"/>
                <w:tab w:val="right" w:pos="8640"/>
              </w:tabs>
              <w:jc w:val="left"/>
            </w:pPr>
            <w:r>
              <w:t xml:space="preserve">In re: </w:t>
            </w:r>
            <w:bookmarkStart w:id="0" w:name="SSInRe"/>
            <w:bookmarkEnd w:id="0"/>
            <w:r>
              <w:t>Petition for approval of arrangement to mitigate impact of unfavorable Cedar Bay power purchase obligation, by Florida Power &amp; Light Company.</w:t>
            </w:r>
          </w:p>
        </w:tc>
        <w:tc>
          <w:tcPr>
            <w:tcW w:w="4788" w:type="dxa"/>
            <w:tcBorders>
              <w:left w:val="double" w:sz="6" w:space="0" w:color="auto"/>
            </w:tcBorders>
            <w:shd w:val="clear" w:color="auto" w:fill="auto"/>
          </w:tcPr>
          <w:p w:rsidR="00FF29EF" w:rsidRDefault="00FF29EF" w:rsidP="00FF29EF">
            <w:pPr>
              <w:pStyle w:val="OrderBody"/>
            </w:pPr>
            <w:r>
              <w:t xml:space="preserve">DOCKET NO. </w:t>
            </w:r>
            <w:bookmarkStart w:id="1" w:name="SSDocketNo"/>
            <w:bookmarkEnd w:id="1"/>
            <w:r>
              <w:t>150075-EI</w:t>
            </w:r>
          </w:p>
          <w:p w:rsidR="00FF29EF" w:rsidRDefault="00FF29EF" w:rsidP="00C63FCF">
            <w:pPr>
              <w:pStyle w:val="OrderBody"/>
              <w:tabs>
                <w:tab w:val="center" w:pos="4320"/>
                <w:tab w:val="right" w:pos="8640"/>
              </w:tabs>
              <w:jc w:val="left"/>
            </w:pPr>
            <w:r>
              <w:t xml:space="preserve">ORDER NO. </w:t>
            </w:r>
            <w:bookmarkStart w:id="2" w:name="OrderNo0401"/>
            <w:r w:rsidR="0098579D">
              <w:t>PSC-15-0401-AS-EI</w:t>
            </w:r>
            <w:bookmarkEnd w:id="2"/>
          </w:p>
          <w:p w:rsidR="00FF29EF" w:rsidRDefault="00FF29EF" w:rsidP="00C63FCF">
            <w:pPr>
              <w:pStyle w:val="OrderBody"/>
              <w:tabs>
                <w:tab w:val="center" w:pos="4320"/>
                <w:tab w:val="right" w:pos="8640"/>
              </w:tabs>
              <w:jc w:val="left"/>
            </w:pPr>
            <w:r>
              <w:t xml:space="preserve">ISSUED: </w:t>
            </w:r>
            <w:r w:rsidR="0098579D">
              <w:t>September 23, 2015</w:t>
            </w:r>
          </w:p>
        </w:tc>
      </w:tr>
    </w:tbl>
    <w:p w:rsidR="00FF29EF" w:rsidRDefault="00FF29EF" w:rsidP="00FF29EF"/>
    <w:p w:rsidR="00FF29EF" w:rsidRDefault="00FF29EF" w:rsidP="00FF29EF"/>
    <w:p w:rsidR="00FF29EF" w:rsidRPr="00E46E1F" w:rsidRDefault="00FF29EF">
      <w:pPr>
        <w:ind w:firstLine="720"/>
        <w:jc w:val="both"/>
      </w:pPr>
      <w:bookmarkStart w:id="3" w:name="Commissioners"/>
      <w:bookmarkEnd w:id="3"/>
      <w:r w:rsidRPr="00E46E1F">
        <w:t>The following Commissioners participated in the disposition of this matter:</w:t>
      </w:r>
    </w:p>
    <w:p w:rsidR="00FF29EF" w:rsidRPr="00E46E1F" w:rsidRDefault="00FF29EF"/>
    <w:p w:rsidR="00FF29EF" w:rsidRPr="00E46E1F" w:rsidRDefault="00FF29EF">
      <w:pPr>
        <w:jc w:val="center"/>
      </w:pPr>
      <w:r w:rsidRPr="00E46E1F">
        <w:t>LISA POLAK EDGAR</w:t>
      </w:r>
    </w:p>
    <w:p w:rsidR="00FF29EF" w:rsidRDefault="00FF29EF">
      <w:pPr>
        <w:jc w:val="center"/>
      </w:pPr>
      <w:r>
        <w:t>RONALD A. BRISÉ</w:t>
      </w:r>
    </w:p>
    <w:p w:rsidR="00FF29EF" w:rsidRDefault="00FF29EF">
      <w:pPr>
        <w:jc w:val="center"/>
      </w:pPr>
      <w:bookmarkStart w:id="4" w:name="_GoBack"/>
      <w:bookmarkEnd w:id="4"/>
      <w:r>
        <w:t>JIMMY PATRONIS</w:t>
      </w:r>
    </w:p>
    <w:p w:rsidR="00CB5276" w:rsidRDefault="00CB5276">
      <w:pPr>
        <w:pStyle w:val="OrderBody"/>
      </w:pPr>
    </w:p>
    <w:p w:rsidR="00FF29EF" w:rsidRDefault="00FF29EF" w:rsidP="00FF29EF">
      <w:pPr>
        <w:pStyle w:val="CenterUnderline"/>
      </w:pPr>
      <w:bookmarkStart w:id="5" w:name="OrderTitle"/>
      <w:r>
        <w:t xml:space="preserve">FINAL ORDER APPROVING SETTLEMENT AGREEMENT BETWEEN FLORIDA POWER &amp; LIGHT COMPANY AND THE OFFICE OF PUBLIC COUNSEL </w:t>
      </w:r>
      <w:bookmarkEnd w:id="5"/>
    </w:p>
    <w:p w:rsidR="00FF29EF" w:rsidRDefault="00FF29EF" w:rsidP="00FF29EF">
      <w:pPr>
        <w:pStyle w:val="CenterUnderline"/>
      </w:pPr>
    </w:p>
    <w:p w:rsidR="00FF29EF" w:rsidRDefault="00FF29EF" w:rsidP="00FF29EF">
      <w:pPr>
        <w:pStyle w:val="OrderBody"/>
      </w:pPr>
      <w:r>
        <w:t>BY THE COMMISSION:</w:t>
      </w:r>
    </w:p>
    <w:p w:rsidR="00FF29EF" w:rsidRDefault="00FF29EF" w:rsidP="00FF29EF">
      <w:pPr>
        <w:pStyle w:val="OrderBody"/>
      </w:pPr>
    </w:p>
    <w:p w:rsidR="00CB5276" w:rsidRDefault="00CB5276">
      <w:pPr>
        <w:pStyle w:val="OrderBody"/>
      </w:pPr>
      <w:bookmarkStart w:id="6" w:name="OrderText"/>
      <w:bookmarkEnd w:id="6"/>
    </w:p>
    <w:p w:rsidR="001A25C8" w:rsidRDefault="00A02AC2" w:rsidP="001A25C8">
      <w:pPr>
        <w:autoSpaceDE w:val="0"/>
        <w:autoSpaceDN w:val="0"/>
        <w:adjustRightInd w:val="0"/>
        <w:jc w:val="both"/>
      </w:pPr>
      <w:r>
        <w:tab/>
        <w:t xml:space="preserve">On March 6, 2015, pursuant to Section 366.06, Florida Statutes (F.S.), Florida Power &amp; Light Company (FPL) filed its Petition for approval of arrangement to mitigate impact of unfavorable Cedar Bay power purchase obligation. </w:t>
      </w:r>
      <w:r w:rsidR="001A25C8">
        <w:t xml:space="preserve">Specifically, FPL seeks approval of a </w:t>
      </w:r>
      <w:r w:rsidR="001A25C8" w:rsidRPr="00DB2111">
        <w:t>Purchase and Sale Agreemen</w:t>
      </w:r>
      <w:r w:rsidR="001A25C8">
        <w:t>t with CBAS Power Holdings, LLC,  to assume ownership of the Cedar Bay generating facility through a stock purchase and terminate its existing Power Purchase Agreement</w:t>
      </w:r>
      <w:r w:rsidR="00B050A9">
        <w:t xml:space="preserve"> (PPA)</w:t>
      </w:r>
      <w:r w:rsidR="001A25C8">
        <w:t xml:space="preserve">  with Cedar Bay Generating Company, Limited Partnership. </w:t>
      </w:r>
    </w:p>
    <w:p w:rsidR="00CC294B" w:rsidRDefault="00CC294B" w:rsidP="001A25C8">
      <w:pPr>
        <w:autoSpaceDE w:val="0"/>
        <w:autoSpaceDN w:val="0"/>
        <w:adjustRightInd w:val="0"/>
        <w:jc w:val="both"/>
      </w:pPr>
    </w:p>
    <w:p w:rsidR="00A02AC2" w:rsidRDefault="001A25C8" w:rsidP="00A02A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r>
      <w:r w:rsidR="008A1859">
        <w:t xml:space="preserve">On July 24, 2015, FPL and the Office of Public Counsel (OPC) filed a joint motion for approval of </w:t>
      </w:r>
      <w:r w:rsidR="00F67986">
        <w:t xml:space="preserve">a </w:t>
      </w:r>
      <w:r w:rsidR="008A1859">
        <w:t>settlement agreement (motion)</w:t>
      </w:r>
      <w:r w:rsidR="00F67986">
        <w:t xml:space="preserve">.  The </w:t>
      </w:r>
      <w:r>
        <w:t>Settlement Agreement</w:t>
      </w:r>
      <w:r w:rsidR="00F67986">
        <w:t xml:space="preserve"> was attached and filed with the motion.  </w:t>
      </w:r>
      <w:r w:rsidR="008A1859">
        <w:t>A duly noticed</w:t>
      </w:r>
      <w:r w:rsidR="00A02AC2">
        <w:t xml:space="preserve"> administrative hearing </w:t>
      </w:r>
      <w:r w:rsidR="008A1859">
        <w:t xml:space="preserve">on the issues in this docket </w:t>
      </w:r>
      <w:r w:rsidR="00A02AC2">
        <w:t>was held on July 28 a</w:t>
      </w:r>
      <w:r w:rsidR="00D156A9">
        <w:t xml:space="preserve">nd 29, 2015.  At the hearing, the testimony of witnesses was heard and evidence was introduced into the record.  </w:t>
      </w:r>
      <w:r w:rsidR="008A1859">
        <w:t>The Florida Industrial Power Users Group (FIPUG)</w:t>
      </w:r>
      <w:r>
        <w:t xml:space="preserve"> </w:t>
      </w:r>
      <w:r w:rsidR="008A1859">
        <w:t>did no</w:t>
      </w:r>
      <w:r>
        <w:t>t sign the settlement agreement and</w:t>
      </w:r>
      <w:r w:rsidR="008A1859">
        <w:t xml:space="preserve"> objected to the motion being considered during the </w:t>
      </w:r>
      <w:r w:rsidR="001C78F9">
        <w:t xml:space="preserve">July 28 and 29 </w:t>
      </w:r>
      <w:r w:rsidR="008A1859">
        <w:t>hearing</w:t>
      </w:r>
      <w:r w:rsidR="001C78F9">
        <w:t xml:space="preserve">. </w:t>
      </w:r>
      <w:r w:rsidR="008A1859">
        <w:t xml:space="preserve"> </w:t>
      </w:r>
      <w:r w:rsidR="001C78F9">
        <w:t xml:space="preserve">A </w:t>
      </w:r>
      <w:r w:rsidR="008A1859">
        <w:t xml:space="preserve">special Commission agenda </w:t>
      </w:r>
      <w:r w:rsidR="00CC294B">
        <w:t xml:space="preserve">conference </w:t>
      </w:r>
      <w:r w:rsidR="008A1859">
        <w:t>was scheduled for oral argument on the motion</w:t>
      </w:r>
      <w:r w:rsidR="00D156A9">
        <w:t xml:space="preserve"> on </w:t>
      </w:r>
      <w:r w:rsidR="008A1859">
        <w:t xml:space="preserve">August 27, 2015.  </w:t>
      </w:r>
      <w:r w:rsidR="00D156A9">
        <w:t>On July 31, 2015</w:t>
      </w:r>
      <w:r w:rsidR="005B40A7">
        <w:t>,</w:t>
      </w:r>
      <w:r w:rsidR="00D156A9">
        <w:t xml:space="preserve"> FIPUG filed </w:t>
      </w:r>
      <w:r w:rsidR="001C78F9">
        <w:t xml:space="preserve">its </w:t>
      </w:r>
      <w:r w:rsidR="00D156A9">
        <w:t>objections to the motion.</w:t>
      </w:r>
      <w:r w:rsidR="009025AB">
        <w:t xml:space="preserve"> FIPUG and staff were authorized to request information from FPL on the provisions of the Settlement Agreement  through data requests.  </w:t>
      </w:r>
      <w:r w:rsidR="00F67986">
        <w:t xml:space="preserve">The parties filed post hearing briefs on the motion on August 13, 2015.  </w:t>
      </w:r>
      <w:r w:rsidR="00D156A9">
        <w:t xml:space="preserve">We heard argument of counsel </w:t>
      </w:r>
      <w:r w:rsidR="009025AB">
        <w:t xml:space="preserve">on the Settlement Agreement </w:t>
      </w:r>
      <w:r w:rsidR="00D156A9">
        <w:t xml:space="preserve">at the special agenda </w:t>
      </w:r>
      <w:r w:rsidR="00CC294B">
        <w:t xml:space="preserve">conference </w:t>
      </w:r>
      <w:r w:rsidR="00D156A9">
        <w:t xml:space="preserve">on August 27, 2015.  </w:t>
      </w:r>
      <w:r w:rsidR="00F67986">
        <w:t xml:space="preserve"> </w:t>
      </w:r>
      <w:r w:rsidR="008A1859">
        <w:t xml:space="preserve">  </w:t>
      </w:r>
    </w:p>
    <w:p w:rsidR="00A02AC2" w:rsidRDefault="00A02AC2" w:rsidP="00A02AC2">
      <w:pPr>
        <w:jc w:val="both"/>
        <w:rPr>
          <w:b/>
        </w:rPr>
      </w:pPr>
    </w:p>
    <w:p w:rsidR="00FF29EF" w:rsidRDefault="00FF29EF" w:rsidP="00FF29EF">
      <w:pPr>
        <w:ind w:firstLine="720"/>
        <w:jc w:val="both"/>
      </w:pPr>
      <w:r>
        <w:t>We have jurisdiction pursuant to Chapter 366, Florida Statutes, including Sections 366.04, 366.041, 3</w:t>
      </w:r>
      <w:r w:rsidR="00CF4723">
        <w:t>66.05, 366.06, 366.07, and</w:t>
      </w:r>
      <w:r>
        <w:t xml:space="preserve"> 120.57, F.S., and Rules 28-106.301 and 28-106.302, Florida Administrative Code.   </w:t>
      </w:r>
    </w:p>
    <w:p w:rsidR="001A25C8" w:rsidRDefault="001A25C8" w:rsidP="00FF29EF">
      <w:pPr>
        <w:ind w:firstLine="720"/>
        <w:jc w:val="both"/>
      </w:pPr>
    </w:p>
    <w:p w:rsidR="00B050A9" w:rsidRDefault="00B050A9" w:rsidP="00B050A9">
      <w:pPr>
        <w:autoSpaceDE w:val="0"/>
        <w:autoSpaceDN w:val="0"/>
        <w:adjustRightInd w:val="0"/>
        <w:ind w:firstLine="720"/>
        <w:jc w:val="both"/>
      </w:pPr>
      <w:r>
        <w:lastRenderedPageBreak/>
        <w:t xml:space="preserve">A review of the testimony and exhibits shows that the terms of the </w:t>
      </w:r>
      <w:r w:rsidR="00746A1C">
        <w:t xml:space="preserve">Settlement Agreement </w:t>
      </w:r>
      <w:r>
        <w:t xml:space="preserve">are supported by the record of the hearing in this proceeding.  </w:t>
      </w:r>
      <w:r w:rsidR="00746A1C">
        <w:t>We find there is convincing</w:t>
      </w:r>
      <w:r w:rsidR="001D40C9">
        <w:t xml:space="preserve">, credible </w:t>
      </w:r>
      <w:r w:rsidR="00746A1C">
        <w:t xml:space="preserve">evidence that the </w:t>
      </w:r>
      <w:r w:rsidR="00746A1C" w:rsidRPr="00DB2111">
        <w:t>$520.5 million purchase price, plus $326.9 million for income tax gross up</w:t>
      </w:r>
      <w:r w:rsidR="001D40C9">
        <w:t>,</w:t>
      </w:r>
      <w:r w:rsidR="00746A1C">
        <w:t xml:space="preserve"> serves to </w:t>
      </w:r>
      <w:r w:rsidR="00746A1C" w:rsidRPr="00DB2111">
        <w:t xml:space="preserve">mitigate the impact on customers of </w:t>
      </w:r>
      <w:r w:rsidR="001D40C9">
        <w:t>the</w:t>
      </w:r>
      <w:r w:rsidR="00746A1C" w:rsidRPr="00DB2111">
        <w:t xml:space="preserve"> Cedar Bay power purchase obligation</w:t>
      </w:r>
      <w:r w:rsidR="009E011D">
        <w:t>,</w:t>
      </w:r>
      <w:r w:rsidR="00CC294B">
        <w:t xml:space="preserve"> and</w:t>
      </w:r>
      <w:r w:rsidR="00746A1C" w:rsidRPr="00DB2111">
        <w:t xml:space="preserve"> is reasonable, cost-effective, and prudent.</w:t>
      </w:r>
      <w:r w:rsidR="00746A1C">
        <w:t xml:space="preserve">  </w:t>
      </w:r>
      <w:r>
        <w:t xml:space="preserve">The </w:t>
      </w:r>
      <w:r w:rsidR="00D94C9C">
        <w:t>Settlement Agreement</w:t>
      </w:r>
      <w:r>
        <w:t xml:space="preserve"> shifts part of the recovery of the Cedar Bay purchase price to base rates</w:t>
      </w:r>
      <w:r w:rsidR="00D94C9C">
        <w:t xml:space="preserve">, specifically, </w:t>
      </w:r>
      <w:r w:rsidR="00D94C9C" w:rsidRPr="00DB2111">
        <w:t>$85 million of the regulatory asset will be recovered through existing base rates until the next test year for a general rate proceeding.</w:t>
      </w:r>
      <w:r w:rsidR="00D94C9C">
        <w:t xml:space="preserve"> </w:t>
      </w:r>
      <w:r w:rsidR="00D94C9C" w:rsidRPr="00DB2111">
        <w:t xml:space="preserve"> At that time, the unamortized amount will be recovered through </w:t>
      </w:r>
      <w:r w:rsidR="00D94C9C">
        <w:t xml:space="preserve">the </w:t>
      </w:r>
      <w:r w:rsidR="00D94C9C" w:rsidRPr="00DB2111">
        <w:t>capacity</w:t>
      </w:r>
      <w:r w:rsidR="00D94C9C">
        <w:t xml:space="preserve"> cost</w:t>
      </w:r>
      <w:r w:rsidR="00D94C9C" w:rsidRPr="00DB2111">
        <w:t xml:space="preserve"> recovery clause</w:t>
      </w:r>
      <w:r w:rsidR="00D94C9C">
        <w:t xml:space="preserve"> which will result in customer savings in 2015 and 2016.  T</w:t>
      </w:r>
      <w:r>
        <w:t xml:space="preserve">he </w:t>
      </w:r>
      <w:r w:rsidR="00746A1C">
        <w:t>Settlement Agreement</w:t>
      </w:r>
      <w:r>
        <w:t xml:space="preserve"> puts limits on FPL's recovery of railcar lease and ground lease payments. This will provide additional protection for customers against unanticipated costs under those leases after the Cedar Bay facility is retired.</w:t>
      </w:r>
    </w:p>
    <w:p w:rsidR="00746A1C" w:rsidRDefault="00746A1C" w:rsidP="00B050A9">
      <w:pPr>
        <w:autoSpaceDE w:val="0"/>
        <w:autoSpaceDN w:val="0"/>
        <w:adjustRightInd w:val="0"/>
        <w:ind w:firstLine="720"/>
        <w:jc w:val="both"/>
      </w:pPr>
    </w:p>
    <w:p w:rsidR="00B050A9" w:rsidRDefault="00D94C9C" w:rsidP="00D94C9C">
      <w:pPr>
        <w:autoSpaceDE w:val="0"/>
        <w:autoSpaceDN w:val="0"/>
        <w:adjustRightInd w:val="0"/>
        <w:jc w:val="both"/>
      </w:pPr>
      <w:r>
        <w:tab/>
        <w:t>We</w:t>
      </w:r>
      <w:r w:rsidR="00CC294B">
        <w:t xml:space="preserve"> also</w:t>
      </w:r>
      <w:r>
        <w:t xml:space="preserve"> find that t</w:t>
      </w:r>
      <w:r w:rsidR="00B050A9">
        <w:t xml:space="preserve">here is an environmental benefit </w:t>
      </w:r>
      <w:r w:rsidR="009E011D">
        <w:t xml:space="preserve">to the transaction </w:t>
      </w:r>
      <w:r w:rsidR="00B050A9">
        <w:t>in that air emissions as a result of the facility's reduced operation and early retirement</w:t>
      </w:r>
      <w:r>
        <w:t xml:space="preserve"> will be reduced</w:t>
      </w:r>
      <w:r w:rsidR="00B050A9">
        <w:t>.</w:t>
      </w:r>
      <w:r>
        <w:t xml:space="preserve">  </w:t>
      </w:r>
      <w:r w:rsidR="00746A1C">
        <w:t xml:space="preserve">Further, to ensure additional protections for customers, </w:t>
      </w:r>
      <w:r>
        <w:t xml:space="preserve">the Settlement Agreement </w:t>
      </w:r>
      <w:r w:rsidR="00746A1C">
        <w:t xml:space="preserve">requires </w:t>
      </w:r>
      <w:r>
        <w:t xml:space="preserve">FPL </w:t>
      </w:r>
      <w:r w:rsidR="00746A1C">
        <w:t>to</w:t>
      </w:r>
      <w:r>
        <w:t xml:space="preserve"> double the amount of additional coverage limits in a longer term for the environmental liability insurance</w:t>
      </w:r>
      <w:r w:rsidR="00746A1C">
        <w:t xml:space="preserve">.  This will serve to mitigate customer risk in the event of environmental liability costs that FPL may be assessed. </w:t>
      </w:r>
    </w:p>
    <w:p w:rsidR="00746A1C" w:rsidRDefault="00746A1C" w:rsidP="00D94C9C">
      <w:pPr>
        <w:autoSpaceDE w:val="0"/>
        <w:autoSpaceDN w:val="0"/>
        <w:adjustRightInd w:val="0"/>
        <w:jc w:val="both"/>
      </w:pPr>
    </w:p>
    <w:p w:rsidR="00FF29EF" w:rsidRDefault="00FF29EF" w:rsidP="00746A1C">
      <w:pPr>
        <w:autoSpaceDE w:val="0"/>
        <w:autoSpaceDN w:val="0"/>
        <w:adjustRightInd w:val="0"/>
        <w:ind w:firstLine="720"/>
        <w:jc w:val="both"/>
      </w:pPr>
      <w:r>
        <w:t xml:space="preserve">Based upon the Petition, our review of the </w:t>
      </w:r>
      <w:r w:rsidR="00746A1C">
        <w:t xml:space="preserve">Settlement </w:t>
      </w:r>
      <w:r>
        <w:t>Agreement, the evidence</w:t>
      </w:r>
      <w:r w:rsidR="00D156A9">
        <w:t xml:space="preserve"> on the record</w:t>
      </w:r>
      <w:r>
        <w:t xml:space="preserve">, </w:t>
      </w:r>
      <w:r w:rsidR="00D156A9">
        <w:t xml:space="preserve">briefs of the parties, </w:t>
      </w:r>
      <w:r>
        <w:t xml:space="preserve">and oral argument at the </w:t>
      </w:r>
      <w:r w:rsidR="00CC294B">
        <w:t>special agenda conference</w:t>
      </w:r>
      <w:r>
        <w:t xml:space="preserve">, and for the reasons stated above, we find </w:t>
      </w:r>
      <w:r w:rsidR="00746A1C">
        <w:t xml:space="preserve">that the Settlement Agreement is reasonable for all parties, creates customer savings, includes additional protections for customers, and avoids the long-term costs of the PPA.  Thus, our </w:t>
      </w:r>
      <w:r>
        <w:t xml:space="preserve">approval of the </w:t>
      </w:r>
      <w:r w:rsidR="00746A1C">
        <w:t>Settlement Agreement</w:t>
      </w:r>
      <w:r>
        <w:t xml:space="preserve"> </w:t>
      </w:r>
      <w:r w:rsidR="00746A1C">
        <w:t>is</w:t>
      </w:r>
      <w:r>
        <w:t xml:space="preserve"> in the public interest.  </w:t>
      </w:r>
      <w:r w:rsidR="009E011D">
        <w:t xml:space="preserve">The Settlement Agreement resolves all the issues in this docket.  </w:t>
      </w:r>
      <w:r>
        <w:t xml:space="preserve">Accordingly, we approve the </w:t>
      </w:r>
      <w:r w:rsidR="00CF4723">
        <w:t xml:space="preserve">Settlement Agreement </w:t>
      </w:r>
      <w:r>
        <w:t xml:space="preserve">which is attached to this Order as Exhibit A and made a part hereof.  </w:t>
      </w:r>
    </w:p>
    <w:p w:rsidR="00FF29EF" w:rsidRDefault="00FF29EF">
      <w:pPr>
        <w:pStyle w:val="OrderBody"/>
      </w:pPr>
      <w:r>
        <w:t xml:space="preserve">  </w:t>
      </w:r>
    </w:p>
    <w:p w:rsidR="00FF29EF" w:rsidRDefault="00FF29EF" w:rsidP="00FF29EF">
      <w:pPr>
        <w:ind w:firstLine="720"/>
        <w:jc w:val="both"/>
      </w:pPr>
      <w:r>
        <w:t>Based on the foregoing, it is</w:t>
      </w:r>
    </w:p>
    <w:p w:rsidR="00FF29EF" w:rsidRDefault="00FF29EF" w:rsidP="00FF29EF">
      <w:pPr>
        <w:tabs>
          <w:tab w:val="left" w:pos="1155"/>
        </w:tabs>
        <w:jc w:val="both"/>
      </w:pPr>
      <w:r>
        <w:tab/>
      </w:r>
    </w:p>
    <w:p w:rsidR="00FF29EF" w:rsidRDefault="00FF29EF" w:rsidP="00FF29EF">
      <w:pPr>
        <w:jc w:val="both"/>
      </w:pPr>
      <w:r>
        <w:tab/>
        <w:t>ORDERED by the Florida Public Service Commission that the attached Settlement Agreement is approved.  It is further</w:t>
      </w:r>
    </w:p>
    <w:p w:rsidR="00FF29EF" w:rsidRDefault="00FF29EF" w:rsidP="00FF29EF">
      <w:pPr>
        <w:jc w:val="both"/>
      </w:pPr>
    </w:p>
    <w:p w:rsidR="00FF29EF" w:rsidRDefault="00FF29EF" w:rsidP="00FF29EF">
      <w:pPr>
        <w:jc w:val="both"/>
      </w:pPr>
      <w:r>
        <w:tab/>
        <w:t>ORDERED that this docket shall be closed if no appeal is timely filed.</w:t>
      </w:r>
    </w:p>
    <w:p w:rsidR="00FF29EF" w:rsidRDefault="00FF29EF" w:rsidP="00FF29EF">
      <w:pPr>
        <w:pStyle w:val="OrderBody"/>
      </w:pPr>
    </w:p>
    <w:p w:rsidR="00FF29EF" w:rsidRDefault="00FF29EF" w:rsidP="0098579D">
      <w:pPr>
        <w:keepNext/>
        <w:keepLines/>
        <w:jc w:val="both"/>
      </w:pPr>
      <w:r>
        <w:lastRenderedPageBreak/>
        <w:tab/>
        <w:t xml:space="preserve">By ORDER of the Florida Public Service Commission this </w:t>
      </w:r>
      <w:bookmarkStart w:id="7" w:name="replaceDate"/>
      <w:bookmarkEnd w:id="7"/>
      <w:r w:rsidR="0098579D">
        <w:rPr>
          <w:u w:val="single"/>
        </w:rPr>
        <w:t>23rd</w:t>
      </w:r>
      <w:r w:rsidR="0098579D">
        <w:t xml:space="preserve"> day of </w:t>
      </w:r>
      <w:r w:rsidR="0098579D">
        <w:rPr>
          <w:u w:val="single"/>
        </w:rPr>
        <w:t>September</w:t>
      </w:r>
      <w:r w:rsidR="0098579D">
        <w:t xml:space="preserve">, </w:t>
      </w:r>
      <w:r w:rsidR="0098579D">
        <w:rPr>
          <w:u w:val="single"/>
        </w:rPr>
        <w:t>2015</w:t>
      </w:r>
      <w:r w:rsidR="0098579D">
        <w:t>.</w:t>
      </w:r>
    </w:p>
    <w:p w:rsidR="0098579D" w:rsidRPr="0098579D" w:rsidRDefault="0098579D" w:rsidP="0098579D">
      <w:pPr>
        <w:keepNext/>
        <w:keepLines/>
        <w:jc w:val="both"/>
      </w:pPr>
    </w:p>
    <w:p w:rsidR="00FF29EF" w:rsidRDefault="00FF29EF" w:rsidP="00FF29EF">
      <w:pPr>
        <w:keepNext/>
        <w:keepLines/>
      </w:pPr>
    </w:p>
    <w:p w:rsidR="00FF29EF" w:rsidRDefault="00FF29EF" w:rsidP="00FF29EF">
      <w:pPr>
        <w:keepNext/>
        <w:keepLines/>
      </w:pPr>
    </w:p>
    <w:p w:rsidR="00FF29EF" w:rsidRDefault="00FF29EF" w:rsidP="00FF29EF">
      <w:pPr>
        <w:keepNext/>
        <w:keepLines/>
      </w:pPr>
    </w:p>
    <w:tbl>
      <w:tblPr>
        <w:tblW w:w="4720" w:type="dxa"/>
        <w:tblInd w:w="3800" w:type="dxa"/>
        <w:tblLayout w:type="fixed"/>
        <w:tblLook w:val="0000" w:firstRow="0" w:lastRow="0" w:firstColumn="0" w:lastColumn="0" w:noHBand="0" w:noVBand="0"/>
      </w:tblPr>
      <w:tblGrid>
        <w:gridCol w:w="686"/>
        <w:gridCol w:w="4034"/>
      </w:tblGrid>
      <w:tr w:rsidR="00FF29EF" w:rsidTr="00FF29EF">
        <w:tc>
          <w:tcPr>
            <w:tcW w:w="720" w:type="dxa"/>
            <w:shd w:val="clear" w:color="auto" w:fill="auto"/>
          </w:tcPr>
          <w:p w:rsidR="00FF29EF" w:rsidRDefault="00FF29EF" w:rsidP="00FF29EF">
            <w:pPr>
              <w:keepNext/>
              <w:keepLines/>
            </w:pPr>
            <w:bookmarkStart w:id="8" w:name="bkmrkSignature" w:colFirst="0" w:colLast="0"/>
          </w:p>
        </w:tc>
        <w:tc>
          <w:tcPr>
            <w:tcW w:w="4320" w:type="dxa"/>
            <w:tcBorders>
              <w:bottom w:val="single" w:sz="4" w:space="0" w:color="auto"/>
            </w:tcBorders>
            <w:shd w:val="clear" w:color="auto" w:fill="auto"/>
          </w:tcPr>
          <w:p w:rsidR="00FF29EF" w:rsidRDefault="00422CF6" w:rsidP="00FF29EF">
            <w:pPr>
              <w:keepNext/>
              <w:keepLines/>
            </w:pPr>
            <w:r>
              <w:t>/s/ Carlotta S. Stauffer</w:t>
            </w:r>
          </w:p>
        </w:tc>
      </w:tr>
      <w:bookmarkEnd w:id="8"/>
      <w:tr w:rsidR="00FF29EF" w:rsidTr="00FF29EF">
        <w:tc>
          <w:tcPr>
            <w:tcW w:w="720" w:type="dxa"/>
            <w:shd w:val="clear" w:color="auto" w:fill="auto"/>
          </w:tcPr>
          <w:p w:rsidR="00FF29EF" w:rsidRDefault="00FF29EF" w:rsidP="00FF29EF">
            <w:pPr>
              <w:keepNext/>
              <w:keepLines/>
            </w:pPr>
          </w:p>
        </w:tc>
        <w:tc>
          <w:tcPr>
            <w:tcW w:w="4320" w:type="dxa"/>
            <w:tcBorders>
              <w:top w:val="single" w:sz="4" w:space="0" w:color="auto"/>
            </w:tcBorders>
            <w:shd w:val="clear" w:color="auto" w:fill="auto"/>
          </w:tcPr>
          <w:p w:rsidR="00FF29EF" w:rsidRDefault="00FF29EF" w:rsidP="00FF29EF">
            <w:pPr>
              <w:keepNext/>
              <w:keepLines/>
            </w:pPr>
            <w:r>
              <w:t>CARLOTTA S. STAUFFER</w:t>
            </w:r>
          </w:p>
          <w:p w:rsidR="00FF29EF" w:rsidRDefault="00FF29EF" w:rsidP="00FF29EF">
            <w:pPr>
              <w:keepNext/>
              <w:keepLines/>
            </w:pPr>
            <w:r>
              <w:t>Commission Clerk</w:t>
            </w:r>
          </w:p>
        </w:tc>
      </w:tr>
    </w:tbl>
    <w:p w:rsidR="00FF29EF" w:rsidRDefault="00FF29EF" w:rsidP="00FF29EF">
      <w:pPr>
        <w:pStyle w:val="OrderSigInfo"/>
        <w:keepNext/>
        <w:keepLines/>
      </w:pPr>
      <w:r>
        <w:t>Florida Public Service Commission</w:t>
      </w:r>
    </w:p>
    <w:p w:rsidR="00FF29EF" w:rsidRDefault="00FF29EF" w:rsidP="00FF29EF">
      <w:pPr>
        <w:pStyle w:val="OrderSigInfo"/>
        <w:keepNext/>
        <w:keepLines/>
      </w:pPr>
      <w:r>
        <w:t>2540 Shumard Oak Boulevard</w:t>
      </w:r>
    </w:p>
    <w:p w:rsidR="00FF29EF" w:rsidRDefault="00FF29EF" w:rsidP="00FF29EF">
      <w:pPr>
        <w:pStyle w:val="OrderSigInfo"/>
        <w:keepNext/>
        <w:keepLines/>
      </w:pPr>
      <w:r>
        <w:t>Tallahassee, Florida  32399</w:t>
      </w:r>
    </w:p>
    <w:p w:rsidR="00FF29EF" w:rsidRDefault="00FF29EF" w:rsidP="00FF29EF">
      <w:pPr>
        <w:pStyle w:val="OrderSigInfo"/>
        <w:keepNext/>
        <w:keepLines/>
      </w:pPr>
      <w:r>
        <w:t>(850) 413</w:t>
      </w:r>
      <w:r>
        <w:noBreakHyphen/>
        <w:t>6770</w:t>
      </w:r>
    </w:p>
    <w:p w:rsidR="00FF29EF" w:rsidRDefault="00FF29EF" w:rsidP="00FF29EF">
      <w:pPr>
        <w:pStyle w:val="OrderSigInfo"/>
        <w:keepNext/>
        <w:keepLines/>
      </w:pPr>
      <w:r>
        <w:t>www.floridapsc.com</w:t>
      </w:r>
    </w:p>
    <w:p w:rsidR="00FF29EF" w:rsidRDefault="00FF29EF" w:rsidP="00FF29EF">
      <w:pPr>
        <w:pStyle w:val="OrderSigInfo"/>
        <w:keepNext/>
        <w:keepLines/>
      </w:pPr>
    </w:p>
    <w:p w:rsidR="00FF29EF" w:rsidRDefault="00FF29EF" w:rsidP="00FF29EF">
      <w:pPr>
        <w:pStyle w:val="OrderSigInfo"/>
        <w:keepNext/>
        <w:keepLines/>
      </w:pPr>
      <w:r>
        <w:t>Copies furnished:  A copy of this document is provided to the parties of record at the time of issuance and, if applicable, interested persons.</w:t>
      </w:r>
    </w:p>
    <w:p w:rsidR="00FF29EF" w:rsidRDefault="00FF29EF" w:rsidP="00FF29EF">
      <w:pPr>
        <w:pStyle w:val="OrderBody"/>
        <w:keepNext/>
        <w:keepLines/>
      </w:pPr>
    </w:p>
    <w:p w:rsidR="00FF29EF" w:rsidRDefault="00FF29EF" w:rsidP="00FF29EF">
      <w:pPr>
        <w:keepNext/>
        <w:keepLines/>
      </w:pPr>
    </w:p>
    <w:p w:rsidR="00FF29EF" w:rsidRDefault="00FF29EF" w:rsidP="00FF29EF">
      <w:pPr>
        <w:keepNext/>
        <w:keepLines/>
      </w:pPr>
      <w:r>
        <w:t>MFB</w:t>
      </w:r>
    </w:p>
    <w:p w:rsidR="00FF29EF" w:rsidRDefault="00FF29EF"/>
    <w:p w:rsidR="00FF29EF" w:rsidRDefault="00FF29EF" w:rsidP="00FF29EF">
      <w:pPr>
        <w:pStyle w:val="CenterUnderline"/>
      </w:pPr>
      <w:r>
        <w:t>NOTICE OF FURTHER PROCEEDINGS OR JUDICIAL REVIEW</w:t>
      </w:r>
    </w:p>
    <w:p w:rsidR="00FF29EF" w:rsidRDefault="00FF29EF" w:rsidP="00FF29EF">
      <w:pPr>
        <w:pStyle w:val="CenterUnderline"/>
      </w:pPr>
    </w:p>
    <w:p w:rsidR="00FF29EF" w:rsidRDefault="00FF29EF" w:rsidP="00FF29EF">
      <w:pPr>
        <w:pStyle w:val="OrderBody"/>
      </w:pPr>
    </w:p>
    <w:p w:rsidR="00FF29EF" w:rsidRDefault="00FF29EF" w:rsidP="00FF29E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FF29EF" w:rsidRDefault="00FF29EF" w:rsidP="00FF29EF">
      <w:pPr>
        <w:pStyle w:val="OrderBody"/>
      </w:pPr>
    </w:p>
    <w:p w:rsidR="00FF29EF" w:rsidRDefault="00FF29EF" w:rsidP="00FF29EF">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FF29EF" w:rsidRDefault="00FF29EF" w:rsidP="00FF29EF">
      <w:pPr>
        <w:pStyle w:val="OrderBody"/>
      </w:pPr>
    </w:p>
    <w:p w:rsidR="00D56362" w:rsidRDefault="00D56362" w:rsidP="00FF29EF">
      <w:pPr>
        <w:pStyle w:val="OrderBody"/>
        <w:sectPr w:rsidR="00D56362">
          <w:headerReference w:type="default" r:id="rId8"/>
          <w:footerReference w:type="first" r:id="rId9"/>
          <w:pgSz w:w="12240" w:h="15840" w:code="1"/>
          <w:pgMar w:top="1440" w:right="1440" w:bottom="1440" w:left="1440" w:header="720" w:footer="720" w:gutter="0"/>
          <w:cols w:space="720"/>
          <w:titlePg/>
          <w:docGrid w:linePitch="360"/>
        </w:sectPr>
      </w:pPr>
    </w:p>
    <w:p w:rsidR="00FF29EF" w:rsidRDefault="00D56362" w:rsidP="00FF29EF">
      <w:pPr>
        <w:pStyle w:val="OrderBody"/>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63-15_Page_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F29EF" w:rsidSect="00D56362">
      <w:headerReference w:type="default" r:id="rId18"/>
      <w:headerReference w:type="firs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9EF" w:rsidRDefault="00FF29EF">
      <w:r>
        <w:separator/>
      </w:r>
    </w:p>
  </w:endnote>
  <w:endnote w:type="continuationSeparator" w:id="0">
    <w:p w:rsidR="00FF29EF" w:rsidRDefault="00FF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9EF" w:rsidRDefault="00FF29EF">
      <w:r>
        <w:separator/>
      </w:r>
    </w:p>
  </w:footnote>
  <w:footnote w:type="continuationSeparator" w:id="0">
    <w:p w:rsidR="00FF29EF" w:rsidRDefault="00FF2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9C4A0A">
      <w:fldChar w:fldCharType="begin"/>
    </w:r>
    <w:r w:rsidR="009C4A0A">
      <w:instrText xml:space="preserve"> REF OrderNo</w:instrText>
    </w:r>
    <w:r w:rsidR="009C4A0A">
      <w:instrText xml:space="preserve">0401 </w:instrText>
    </w:r>
    <w:r w:rsidR="009C4A0A">
      <w:fldChar w:fldCharType="separate"/>
    </w:r>
    <w:r w:rsidR="009C4A0A">
      <w:t>PSC-15-0401-AS-EI</w:t>
    </w:r>
    <w:r w:rsidR="009C4A0A">
      <w:fldChar w:fldCharType="end"/>
    </w:r>
  </w:p>
  <w:p w:rsidR="00FA6EFD" w:rsidRDefault="00FF29EF">
    <w:pPr>
      <w:pStyle w:val="OrderHeader"/>
    </w:pPr>
    <w:bookmarkStart w:id="9" w:name="HeaderDocketNo"/>
    <w:bookmarkEnd w:id="9"/>
    <w:r>
      <w:t>DOCKET NO. 150075-EI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4A0A">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62" w:rsidRDefault="00D56362" w:rsidP="00D56362">
    <w:pPr>
      <w:pStyle w:val="OrderHeader"/>
      <w:tabs>
        <w:tab w:val="clear" w:pos="4320"/>
        <w:tab w:val="clear" w:pos="8640"/>
        <w:tab w:val="right" w:pos="9360"/>
      </w:tabs>
    </w:pPr>
    <w:r>
      <w:t xml:space="preserve">ORDER NO. </w:t>
    </w:r>
    <w:r w:rsidR="0098579D">
      <w:t>PSC-15-0401-AS-EI</w:t>
    </w:r>
    <w:r>
      <w:tab/>
      <w:t>Exhibit A</w:t>
    </w:r>
  </w:p>
  <w:p w:rsidR="00D56362" w:rsidRDefault="00D56362">
    <w:pPr>
      <w:pStyle w:val="OrderHeader"/>
    </w:pPr>
    <w:r>
      <w:t>DOCKET NO. 150075-EI</w:t>
    </w:r>
  </w:p>
  <w:p w:rsidR="00D56362" w:rsidRDefault="00D5636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4A0A">
      <w:rPr>
        <w:rStyle w:val="PageNumber"/>
        <w:noProof/>
      </w:rPr>
      <w:t>11</w:t>
    </w:r>
    <w:r>
      <w:rPr>
        <w:rStyle w:val="PageNumber"/>
      </w:rPr>
      <w:fldChar w:fldCharType="end"/>
    </w:r>
  </w:p>
  <w:p w:rsidR="00D56362" w:rsidRDefault="00D56362">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62" w:rsidRDefault="00D563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239B0"/>
    <w:multiLevelType w:val="hybridMultilevel"/>
    <w:tmpl w:val="95542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5608FD"/>
    <w:multiLevelType w:val="hybridMultilevel"/>
    <w:tmpl w:val="02446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50075-EI"/>
  </w:docVars>
  <w:rsids>
    <w:rsidRoot w:val="00FF29EF"/>
    <w:rsid w:val="000022B8"/>
    <w:rsid w:val="00053AB9"/>
    <w:rsid w:val="00056229"/>
    <w:rsid w:val="00065FC2"/>
    <w:rsid w:val="00090AFC"/>
    <w:rsid w:val="000D06E8"/>
    <w:rsid w:val="000E344D"/>
    <w:rsid w:val="000F3B2C"/>
    <w:rsid w:val="000F7BE3"/>
    <w:rsid w:val="00116AD3"/>
    <w:rsid w:val="00126593"/>
    <w:rsid w:val="00142A96"/>
    <w:rsid w:val="00187E32"/>
    <w:rsid w:val="00194E81"/>
    <w:rsid w:val="001A25C8"/>
    <w:rsid w:val="001A33C9"/>
    <w:rsid w:val="001C78F9"/>
    <w:rsid w:val="001D008A"/>
    <w:rsid w:val="001D40C9"/>
    <w:rsid w:val="002002ED"/>
    <w:rsid w:val="0022721A"/>
    <w:rsid w:val="00230BB9"/>
    <w:rsid w:val="002A11AC"/>
    <w:rsid w:val="002A6F30"/>
    <w:rsid w:val="002D7D15"/>
    <w:rsid w:val="00303FDE"/>
    <w:rsid w:val="003140E8"/>
    <w:rsid w:val="003231C7"/>
    <w:rsid w:val="00331ED0"/>
    <w:rsid w:val="0035495B"/>
    <w:rsid w:val="003744F5"/>
    <w:rsid w:val="00390DD8"/>
    <w:rsid w:val="00394DC6"/>
    <w:rsid w:val="00397C3E"/>
    <w:rsid w:val="003B2F87"/>
    <w:rsid w:val="003D4CCA"/>
    <w:rsid w:val="003D6416"/>
    <w:rsid w:val="003E1D48"/>
    <w:rsid w:val="00422CF6"/>
    <w:rsid w:val="00457DC7"/>
    <w:rsid w:val="00471E78"/>
    <w:rsid w:val="00472BCC"/>
    <w:rsid w:val="004A25CD"/>
    <w:rsid w:val="004A26CC"/>
    <w:rsid w:val="004B2108"/>
    <w:rsid w:val="004B3A2B"/>
    <w:rsid w:val="004D2D1B"/>
    <w:rsid w:val="004F2DDE"/>
    <w:rsid w:val="0050097F"/>
    <w:rsid w:val="00514B1F"/>
    <w:rsid w:val="00556A10"/>
    <w:rsid w:val="005963C2"/>
    <w:rsid w:val="005B0AB9"/>
    <w:rsid w:val="005B40A7"/>
    <w:rsid w:val="005B45F7"/>
    <w:rsid w:val="005B63EA"/>
    <w:rsid w:val="00660774"/>
    <w:rsid w:val="00665CC7"/>
    <w:rsid w:val="006A0BF3"/>
    <w:rsid w:val="006B0DA6"/>
    <w:rsid w:val="006C547E"/>
    <w:rsid w:val="00704C5D"/>
    <w:rsid w:val="00733B6B"/>
    <w:rsid w:val="00746A1C"/>
    <w:rsid w:val="0076170F"/>
    <w:rsid w:val="0076669C"/>
    <w:rsid w:val="007865E9"/>
    <w:rsid w:val="00792383"/>
    <w:rsid w:val="007D3D20"/>
    <w:rsid w:val="007E3AFD"/>
    <w:rsid w:val="00804E7A"/>
    <w:rsid w:val="00805FBB"/>
    <w:rsid w:val="00814310"/>
    <w:rsid w:val="008169A4"/>
    <w:rsid w:val="008278FE"/>
    <w:rsid w:val="00832598"/>
    <w:rsid w:val="0083397E"/>
    <w:rsid w:val="0083534B"/>
    <w:rsid w:val="00863A66"/>
    <w:rsid w:val="00874429"/>
    <w:rsid w:val="00883D9A"/>
    <w:rsid w:val="008919EF"/>
    <w:rsid w:val="008A1859"/>
    <w:rsid w:val="008C6A5B"/>
    <w:rsid w:val="008E26A5"/>
    <w:rsid w:val="008E42D2"/>
    <w:rsid w:val="009025AB"/>
    <w:rsid w:val="009040EE"/>
    <w:rsid w:val="009057FD"/>
    <w:rsid w:val="00922A7F"/>
    <w:rsid w:val="00923A5E"/>
    <w:rsid w:val="0098579D"/>
    <w:rsid w:val="00994100"/>
    <w:rsid w:val="009C4A0A"/>
    <w:rsid w:val="009D4C29"/>
    <w:rsid w:val="009E011D"/>
    <w:rsid w:val="00A02AC2"/>
    <w:rsid w:val="00A62DAB"/>
    <w:rsid w:val="00A726A6"/>
    <w:rsid w:val="00A97535"/>
    <w:rsid w:val="00AA73F1"/>
    <w:rsid w:val="00AB0E1A"/>
    <w:rsid w:val="00AB1A30"/>
    <w:rsid w:val="00AD1ED3"/>
    <w:rsid w:val="00B050A9"/>
    <w:rsid w:val="00B0777D"/>
    <w:rsid w:val="00B4057A"/>
    <w:rsid w:val="00B40894"/>
    <w:rsid w:val="00B45E75"/>
    <w:rsid w:val="00B50876"/>
    <w:rsid w:val="00B52D36"/>
    <w:rsid w:val="00B55EE5"/>
    <w:rsid w:val="00B73DE6"/>
    <w:rsid w:val="00B86EF0"/>
    <w:rsid w:val="00B97900"/>
    <w:rsid w:val="00BA44A8"/>
    <w:rsid w:val="00BC3716"/>
    <w:rsid w:val="00BF6691"/>
    <w:rsid w:val="00C028FC"/>
    <w:rsid w:val="00C66692"/>
    <w:rsid w:val="00C91123"/>
    <w:rsid w:val="00CA71FF"/>
    <w:rsid w:val="00CB5276"/>
    <w:rsid w:val="00CB68D7"/>
    <w:rsid w:val="00CC294B"/>
    <w:rsid w:val="00CC7E68"/>
    <w:rsid w:val="00CD7132"/>
    <w:rsid w:val="00CF4723"/>
    <w:rsid w:val="00D156A9"/>
    <w:rsid w:val="00D30B48"/>
    <w:rsid w:val="00D46FAA"/>
    <w:rsid w:val="00D56362"/>
    <w:rsid w:val="00D57BB2"/>
    <w:rsid w:val="00D8560E"/>
    <w:rsid w:val="00D8758F"/>
    <w:rsid w:val="00D94C9C"/>
    <w:rsid w:val="00DC1D94"/>
    <w:rsid w:val="00DE057F"/>
    <w:rsid w:val="00DE2082"/>
    <w:rsid w:val="00DE2289"/>
    <w:rsid w:val="00E04410"/>
    <w:rsid w:val="00E11351"/>
    <w:rsid w:val="00E1140A"/>
    <w:rsid w:val="00EA172C"/>
    <w:rsid w:val="00EA259B"/>
    <w:rsid w:val="00EA35A3"/>
    <w:rsid w:val="00EA3E6A"/>
    <w:rsid w:val="00EB18EF"/>
    <w:rsid w:val="00EE17DF"/>
    <w:rsid w:val="00EF4621"/>
    <w:rsid w:val="00F277B6"/>
    <w:rsid w:val="00F54380"/>
    <w:rsid w:val="00F54B47"/>
    <w:rsid w:val="00F67986"/>
    <w:rsid w:val="00FA6EFD"/>
    <w:rsid w:val="00FB74EA"/>
    <w:rsid w:val="00FD2C9E"/>
    <w:rsid w:val="00FD4786"/>
    <w:rsid w:val="00FD616C"/>
    <w:rsid w:val="00FF0A00"/>
    <w:rsid w:val="00FF2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1A25C8"/>
    <w:pPr>
      <w:ind w:left="720"/>
      <w:contextualSpacing/>
    </w:pPr>
    <w:rPr>
      <w:rFonts w:asciiTheme="minorHAnsi" w:eastAsiaTheme="minorHAnsi" w:hAnsiTheme="minorHAnsi"/>
    </w:rPr>
  </w:style>
  <w:style w:type="numbering" w:styleId="1ai">
    <w:name w:val="Outline List 1"/>
    <w:basedOn w:val="NoList"/>
    <w:rsid w:val="00B050A9"/>
    <w:pPr>
      <w:numPr>
        <w:numId w:val="3"/>
      </w:numPr>
    </w:pPr>
  </w:style>
  <w:style w:type="paragraph" w:styleId="BalloonText">
    <w:name w:val="Balloon Text"/>
    <w:basedOn w:val="Normal"/>
    <w:link w:val="BalloonTextChar"/>
    <w:rsid w:val="00D56362"/>
    <w:rPr>
      <w:rFonts w:ascii="Tahoma" w:hAnsi="Tahoma" w:cs="Tahoma"/>
      <w:sz w:val="16"/>
      <w:szCs w:val="16"/>
    </w:rPr>
  </w:style>
  <w:style w:type="character" w:customStyle="1" w:styleId="BalloonTextChar">
    <w:name w:val="Balloon Text Char"/>
    <w:basedOn w:val="DefaultParagraphFont"/>
    <w:link w:val="BalloonText"/>
    <w:rsid w:val="00D563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1A25C8"/>
    <w:pPr>
      <w:ind w:left="720"/>
      <w:contextualSpacing/>
    </w:pPr>
    <w:rPr>
      <w:rFonts w:asciiTheme="minorHAnsi" w:eastAsiaTheme="minorHAnsi" w:hAnsiTheme="minorHAnsi"/>
    </w:rPr>
  </w:style>
  <w:style w:type="numbering" w:styleId="1ai">
    <w:name w:val="Outline List 1"/>
    <w:basedOn w:val="NoList"/>
    <w:rsid w:val="00B050A9"/>
    <w:pPr>
      <w:numPr>
        <w:numId w:val="3"/>
      </w:numPr>
    </w:pPr>
  </w:style>
  <w:style w:type="paragraph" w:styleId="BalloonText">
    <w:name w:val="Balloon Text"/>
    <w:basedOn w:val="Normal"/>
    <w:link w:val="BalloonTextChar"/>
    <w:rsid w:val="00D56362"/>
    <w:rPr>
      <w:rFonts w:ascii="Tahoma" w:hAnsi="Tahoma" w:cs="Tahoma"/>
      <w:sz w:val="16"/>
      <w:szCs w:val="16"/>
    </w:rPr>
  </w:style>
  <w:style w:type="character" w:customStyle="1" w:styleId="BalloonTextChar">
    <w:name w:val="Balloon Text Char"/>
    <w:basedOn w:val="DefaultParagraphFont"/>
    <w:link w:val="BalloonText"/>
    <w:rsid w:val="00D56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0</TotalTime>
  <Pages>11</Pages>
  <Words>1043</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2015-09-23T15:05:00Z</dcterms:created>
  <dcterms:modified xsi:type="dcterms:W3CDTF">2015-09-23T16:37:00Z</dcterms:modified>
</cp:coreProperties>
</file>