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865E4B" w:rsidP="00865E4B">
      <w:pPr>
        <w:pStyle w:val="OrderHeading"/>
      </w:pPr>
      <w:r>
        <w:t>BEFORE THE FLORIDA PUBLIC SERVICE COMMISSION</w:t>
      </w:r>
    </w:p>
    <w:p w:rsidR="00865E4B" w:rsidRDefault="00865E4B" w:rsidP="00865E4B">
      <w:pPr>
        <w:pStyle w:val="OrderHeading"/>
      </w:pPr>
    </w:p>
    <w:p w:rsidR="00865E4B" w:rsidRDefault="00865E4B" w:rsidP="00865E4B">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65E4B" w:rsidRPr="00C63FCF" w:rsidTr="00C63FCF">
        <w:trPr>
          <w:trHeight w:val="828"/>
        </w:trPr>
        <w:tc>
          <w:tcPr>
            <w:tcW w:w="4788" w:type="dxa"/>
            <w:tcBorders>
              <w:bottom w:val="nil"/>
              <w:right w:val="double" w:sz="6" w:space="0" w:color="auto"/>
            </w:tcBorders>
            <w:shd w:val="clear" w:color="auto" w:fill="auto"/>
          </w:tcPr>
          <w:p w:rsidR="00865E4B" w:rsidRDefault="00865E4B" w:rsidP="00C63FCF">
            <w:pPr>
              <w:pStyle w:val="OrderBody"/>
              <w:tabs>
                <w:tab w:val="center" w:pos="4320"/>
                <w:tab w:val="right" w:pos="8640"/>
              </w:tabs>
              <w:jc w:val="left"/>
            </w:pPr>
            <w:r>
              <w:t xml:space="preserve">In re: </w:t>
            </w:r>
            <w:bookmarkStart w:id="0" w:name="SMInRe"/>
            <w:bookmarkEnd w:id="0"/>
            <w:r>
              <w:t>Petition for approval to include in base rates the revenue requirement for the CR3 regulatory asset, by Duke Energy Florida, Inc.</w:t>
            </w:r>
          </w:p>
          <w:p w:rsidR="00865E4B" w:rsidRDefault="00865E4B" w:rsidP="00C63FCF">
            <w:pPr>
              <w:pStyle w:val="OrderBody"/>
              <w:tabs>
                <w:tab w:val="center" w:pos="4320"/>
                <w:tab w:val="right" w:pos="8640"/>
              </w:tabs>
              <w:jc w:val="left"/>
            </w:pPr>
          </w:p>
        </w:tc>
        <w:tc>
          <w:tcPr>
            <w:tcW w:w="4788" w:type="dxa"/>
            <w:tcBorders>
              <w:left w:val="double" w:sz="6" w:space="0" w:color="auto"/>
              <w:bottom w:val="nil"/>
            </w:tcBorders>
            <w:shd w:val="clear" w:color="auto" w:fill="auto"/>
          </w:tcPr>
          <w:p w:rsidR="00865E4B" w:rsidRDefault="00865E4B" w:rsidP="00C63FCF">
            <w:pPr>
              <w:pStyle w:val="OrderBody"/>
              <w:tabs>
                <w:tab w:val="center" w:pos="4320"/>
                <w:tab w:val="right" w:pos="8640"/>
              </w:tabs>
              <w:jc w:val="left"/>
            </w:pPr>
            <w:r>
              <w:t xml:space="preserve">DOCKET NO. </w:t>
            </w:r>
            <w:bookmarkStart w:id="1" w:name="SMDocketNo"/>
            <w:bookmarkEnd w:id="1"/>
            <w:r>
              <w:t>150148-EI</w:t>
            </w:r>
          </w:p>
        </w:tc>
      </w:tr>
      <w:tr w:rsidR="00865E4B" w:rsidRPr="00C63FCF" w:rsidTr="00C63FCF">
        <w:trPr>
          <w:trHeight w:val="828"/>
        </w:trPr>
        <w:tc>
          <w:tcPr>
            <w:tcW w:w="4788" w:type="dxa"/>
            <w:tcBorders>
              <w:top w:val="nil"/>
              <w:bottom w:val="single" w:sz="8" w:space="0" w:color="auto"/>
              <w:right w:val="double" w:sz="6" w:space="0" w:color="auto"/>
            </w:tcBorders>
            <w:shd w:val="clear" w:color="auto" w:fill="auto"/>
          </w:tcPr>
          <w:p w:rsidR="00865E4B" w:rsidRDefault="00865E4B" w:rsidP="00C63FCF">
            <w:pPr>
              <w:pStyle w:val="OrderBody"/>
              <w:tabs>
                <w:tab w:val="center" w:pos="4320"/>
                <w:tab w:val="right" w:pos="8640"/>
              </w:tabs>
              <w:jc w:val="left"/>
            </w:pPr>
            <w:r>
              <w:t>In re: Petition for issuance of nuclear asset-recovery financing order, by Duke Energy Florida, Inc. d/b/a Duke Energy.</w:t>
            </w:r>
          </w:p>
        </w:tc>
        <w:tc>
          <w:tcPr>
            <w:tcW w:w="4788" w:type="dxa"/>
            <w:tcBorders>
              <w:left w:val="double" w:sz="6" w:space="0" w:color="auto"/>
            </w:tcBorders>
            <w:shd w:val="clear" w:color="auto" w:fill="auto"/>
          </w:tcPr>
          <w:p w:rsidR="00865E4B" w:rsidRDefault="00865E4B" w:rsidP="00865E4B">
            <w:pPr>
              <w:pStyle w:val="OrderBody"/>
            </w:pPr>
            <w:r>
              <w:t xml:space="preserve">DOCKET NO. </w:t>
            </w:r>
            <w:bookmarkStart w:id="2" w:name="SMDocketNo2"/>
            <w:bookmarkEnd w:id="2"/>
            <w:r>
              <w:t>150171-EI</w:t>
            </w:r>
          </w:p>
          <w:p w:rsidR="00865E4B" w:rsidRDefault="00865E4B" w:rsidP="00C63FCF">
            <w:pPr>
              <w:pStyle w:val="OrderBody"/>
              <w:tabs>
                <w:tab w:val="center" w:pos="4320"/>
                <w:tab w:val="right" w:pos="8640"/>
              </w:tabs>
              <w:jc w:val="left"/>
            </w:pPr>
            <w:r>
              <w:t xml:space="preserve">ORDER NO. </w:t>
            </w:r>
            <w:bookmarkStart w:id="3" w:name="OrderNo0465"/>
            <w:r w:rsidR="009119BA">
              <w:t>PSC-15-0465-S-EI</w:t>
            </w:r>
            <w:bookmarkEnd w:id="3"/>
          </w:p>
          <w:p w:rsidR="00865E4B" w:rsidRDefault="00865E4B" w:rsidP="00C63FCF">
            <w:pPr>
              <w:pStyle w:val="OrderBody"/>
              <w:tabs>
                <w:tab w:val="center" w:pos="4320"/>
                <w:tab w:val="right" w:pos="8640"/>
              </w:tabs>
              <w:jc w:val="left"/>
            </w:pPr>
            <w:r>
              <w:t xml:space="preserve">ISSUED: </w:t>
            </w:r>
            <w:r w:rsidR="009119BA">
              <w:t>October 14, 2015</w:t>
            </w:r>
          </w:p>
          <w:p w:rsidR="00865E4B" w:rsidRDefault="00865E4B" w:rsidP="00C63FCF">
            <w:pPr>
              <w:pStyle w:val="OrderBody"/>
              <w:tabs>
                <w:tab w:val="center" w:pos="4320"/>
                <w:tab w:val="right" w:pos="8640"/>
              </w:tabs>
              <w:jc w:val="left"/>
            </w:pPr>
          </w:p>
        </w:tc>
      </w:tr>
    </w:tbl>
    <w:p w:rsidR="00865E4B" w:rsidRDefault="00865E4B" w:rsidP="00865E4B"/>
    <w:p w:rsidR="00865E4B" w:rsidRPr="00E46E1F" w:rsidRDefault="00865E4B">
      <w:pPr>
        <w:ind w:firstLine="720"/>
        <w:jc w:val="both"/>
      </w:pPr>
      <w:bookmarkStart w:id="4" w:name="Commissioners"/>
      <w:bookmarkEnd w:id="4"/>
      <w:r w:rsidRPr="00E46E1F">
        <w:t>The following Commissioners participated in the disposition of this matter:</w:t>
      </w:r>
    </w:p>
    <w:p w:rsidR="00865E4B" w:rsidRPr="00E46E1F" w:rsidRDefault="00865E4B"/>
    <w:p w:rsidR="00865E4B" w:rsidRDefault="00865E4B">
      <w:pPr>
        <w:jc w:val="center"/>
      </w:pPr>
      <w:r>
        <w:t>ART GRAHAM</w:t>
      </w:r>
      <w:r w:rsidRPr="00E46E1F">
        <w:t>, Chairman</w:t>
      </w:r>
    </w:p>
    <w:p w:rsidR="00865E4B" w:rsidRPr="00E46E1F" w:rsidRDefault="00865E4B">
      <w:pPr>
        <w:jc w:val="center"/>
      </w:pPr>
      <w:r w:rsidRPr="00E46E1F">
        <w:t>LISA POLAK EDGAR</w:t>
      </w:r>
    </w:p>
    <w:p w:rsidR="00865E4B" w:rsidRDefault="00865E4B">
      <w:pPr>
        <w:jc w:val="center"/>
      </w:pPr>
      <w:r>
        <w:t>RONALD A. BRISÉ</w:t>
      </w:r>
    </w:p>
    <w:p w:rsidR="00865E4B" w:rsidRDefault="00865E4B">
      <w:pPr>
        <w:jc w:val="center"/>
      </w:pPr>
      <w:r>
        <w:t>JULIE I. BROWN</w:t>
      </w:r>
    </w:p>
    <w:p w:rsidR="00865E4B" w:rsidRDefault="00865E4B">
      <w:pPr>
        <w:jc w:val="center"/>
      </w:pPr>
      <w:r>
        <w:t>JIMMY PATRONIS</w:t>
      </w:r>
    </w:p>
    <w:p w:rsidR="00CB5276" w:rsidRDefault="00CB5276">
      <w:pPr>
        <w:pStyle w:val="OrderBody"/>
      </w:pPr>
    </w:p>
    <w:p w:rsidR="00531445" w:rsidRDefault="00865E4B" w:rsidP="00865E4B">
      <w:pPr>
        <w:pStyle w:val="CenterUnderline"/>
        <w:rPr>
          <w:caps/>
        </w:rPr>
      </w:pPr>
      <w:bookmarkStart w:id="5" w:name="OrderTitle"/>
      <w:r w:rsidRPr="00865E4B">
        <w:rPr>
          <w:caps/>
        </w:rPr>
        <w:t xml:space="preserve">Final Order Approving Stipulation </w:t>
      </w:r>
      <w:r>
        <w:rPr>
          <w:caps/>
        </w:rPr>
        <w:br/>
      </w:r>
      <w:r w:rsidRPr="00865E4B">
        <w:rPr>
          <w:caps/>
        </w:rPr>
        <w:t xml:space="preserve">and for Relief From Rebuttal Testimony Deadline </w:t>
      </w:r>
    </w:p>
    <w:p w:rsidR="00865E4B" w:rsidRDefault="00865E4B" w:rsidP="00865E4B">
      <w:pPr>
        <w:pStyle w:val="CenterUnderline"/>
      </w:pPr>
      <w:r w:rsidRPr="00865E4B">
        <w:rPr>
          <w:caps/>
        </w:rPr>
        <w:t xml:space="preserve">Set Forth in Order Establishing Procedure  </w:t>
      </w:r>
      <w:bookmarkEnd w:id="5"/>
    </w:p>
    <w:p w:rsidR="00865E4B" w:rsidRDefault="00865E4B" w:rsidP="00865E4B">
      <w:pPr>
        <w:pStyle w:val="CenterUnderline"/>
      </w:pPr>
    </w:p>
    <w:p w:rsidR="00865E4B" w:rsidRDefault="00865E4B" w:rsidP="00865E4B">
      <w:pPr>
        <w:pStyle w:val="OrderBody"/>
      </w:pPr>
      <w:r>
        <w:t>BY THE COMMISSION:</w:t>
      </w:r>
    </w:p>
    <w:p w:rsidR="00865E4B" w:rsidRDefault="00865E4B" w:rsidP="00865E4B">
      <w:pPr>
        <w:pStyle w:val="OrderBody"/>
      </w:pPr>
    </w:p>
    <w:p w:rsidR="00FF7A27" w:rsidRPr="00FF7A27" w:rsidRDefault="00FF7A27" w:rsidP="00FF7A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u w:val="single"/>
        </w:rPr>
      </w:pPr>
      <w:bookmarkStart w:id="6" w:name="OrderText"/>
      <w:bookmarkEnd w:id="6"/>
      <w:r w:rsidRPr="00FF7A27">
        <w:rPr>
          <w:b/>
          <w:u w:val="single"/>
        </w:rPr>
        <w:t>Case Background</w:t>
      </w:r>
    </w:p>
    <w:p w:rsidR="00FF7A27" w:rsidRPr="00FF7A27" w:rsidRDefault="00FF7A27" w:rsidP="00FF7A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u w:val="single"/>
        </w:rPr>
      </w:pPr>
    </w:p>
    <w:p w:rsidR="002A7FBE" w:rsidRPr="00DD4754" w:rsidRDefault="002A7FBE" w:rsidP="00DD47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sidRPr="00DD4754">
        <w:tab/>
        <w:t>In February 2013, Duke Energy Florida, Inc. (DEF) announced its decision to retire its nuclear plant, Crystal River Unit 3 (CR3), in Citrus County, Florida.  The retirement of CR3 was the subject of two settlement agreements.  The first settlement agreement, reached in 2012, was a global settlement that addressed several issues, including issues related to the CR3 retirement.</w:t>
      </w:r>
      <w:r w:rsidRPr="00DD4754">
        <w:rPr>
          <w:rStyle w:val="FootnoteReference"/>
        </w:rPr>
        <w:footnoteReference w:id="1"/>
      </w:r>
      <w:r w:rsidRPr="00DD4754">
        <w:t xml:space="preserve">  The second settlement agreement, reached in 2013, replaced and supplanted the 2012 settlement agreement.  The Commission approved the Revised and Restated Stipulation and Settlement Agreement (RRSSA) by Order No. PSC-13-0598-FOF-EI.</w:t>
      </w:r>
      <w:r w:rsidRPr="00DD4754">
        <w:rPr>
          <w:vertAlign w:val="superscript"/>
        </w:rPr>
        <w:footnoteReference w:id="2"/>
      </w:r>
      <w:r w:rsidRPr="00DD4754">
        <w:t xml:space="preserve"> Among other things, the 2013 RRSSA contemplated that DEF would create a regulatory asset to account for the recovery of costs associated with the retirement of CR3.  The parties to the RRSSA </w:t>
      </w:r>
      <w:r w:rsidR="00FF7A27">
        <w:t>were</w:t>
      </w:r>
      <w:r w:rsidRPr="00DD4754">
        <w:t xml:space="preserve"> DEF, the Office of Public Counsel (OPC), the Florida Industrial Power Users Group (FIPUG), the Florida Retail Federation (FRF), and White Springs Agriculture Chemicals, Inc. d/b/a PCS Phosphate (PCS Phosphate).</w:t>
      </w:r>
    </w:p>
    <w:p w:rsidR="00BE522A" w:rsidRDefault="00BE522A" w:rsidP="00DD4754">
      <w:pPr>
        <w:rPr>
          <w:u w:val="single"/>
        </w:rPr>
      </w:pPr>
    </w:p>
    <w:p w:rsidR="002A7FBE" w:rsidRPr="00DD4754" w:rsidRDefault="002A7FBE" w:rsidP="00DD4754">
      <w:pPr>
        <w:rPr>
          <w:u w:val="single"/>
        </w:rPr>
      </w:pPr>
      <w:r w:rsidRPr="00DD4754">
        <w:rPr>
          <w:u w:val="single"/>
        </w:rPr>
        <w:t>Docket No. 150148-EI – CR3 Regulatory Asset</w:t>
      </w:r>
    </w:p>
    <w:p w:rsidR="002A7FBE" w:rsidRPr="00DD4754" w:rsidRDefault="002A7FBE" w:rsidP="00DD4754"/>
    <w:p w:rsidR="002A7FBE" w:rsidRPr="00DD4754" w:rsidRDefault="002A7FBE" w:rsidP="00DD47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sidRPr="00DD4754">
        <w:tab/>
        <w:t xml:space="preserve">On May 22, 2015, pursuant to Sections 366.04 and 366.05, Florida Statutes (F.S.), DEF filed its Petition for Approval to Include in Base Rates the Revenue Requirement for the Crystal River Unit 3 Regulatory Asset (CR3 Regulatory Asset Petition), along with supporting testimony and exhibits. DEF intended its petition to be the first step in the securitization process, </w:t>
      </w:r>
      <w:r w:rsidR="00324670">
        <w:t>authorized by</w:t>
      </w:r>
      <w:r w:rsidRPr="00DD4754">
        <w:t xml:space="preserve"> Section 366.95, F.S.</w:t>
      </w:r>
      <w:r w:rsidRPr="00DD4754">
        <w:rPr>
          <w:rStyle w:val="FootnoteReference"/>
        </w:rPr>
        <w:footnoteReference w:id="3"/>
      </w:r>
      <w:r w:rsidR="00324670">
        <w:t xml:space="preserve"> Under </w:t>
      </w:r>
      <w:r w:rsidRPr="00DD4754">
        <w:t xml:space="preserve">Section 366.95, F.S., investor-owned electric utilities “subject to a settlement agreement that governs the type and amount of principal costs that could be included in nuclear asset-recovery costs,” </w:t>
      </w:r>
      <w:r w:rsidR="00BA4003">
        <w:t xml:space="preserve">may </w:t>
      </w:r>
      <w:r w:rsidRPr="00DD4754">
        <w:t>seek a financing order to obtain low-cost funds to</w:t>
      </w:r>
      <w:r w:rsidR="00324670">
        <w:t xml:space="preserve"> recover principal costs of </w:t>
      </w:r>
      <w:r w:rsidRPr="00DD4754">
        <w:t>retired nuclear generation assets.  Section 366.95(2)(b), F.S., also provides that before an electric utility can file a petition for a financing order, the utility must file a petition for “review and approval of those principal costs” that could be “included in nuclear asset-recovery costs,” at least 60 days prior to seeking a financing order. DEF’s</w:t>
      </w:r>
      <w:r w:rsidR="00BA4003">
        <w:t xml:space="preserve"> CR3 Regulatory Asset Petition wa</w:t>
      </w:r>
      <w:r w:rsidRPr="00DD4754">
        <w:t xml:space="preserve">s the first step in the </w:t>
      </w:r>
      <w:r w:rsidR="00BA4003">
        <w:t xml:space="preserve">securitization </w:t>
      </w:r>
      <w:r w:rsidRPr="00DD4754">
        <w:t xml:space="preserve">process.   </w:t>
      </w:r>
    </w:p>
    <w:p w:rsidR="002A7FBE" w:rsidRDefault="002A7FBE" w:rsidP="00DD47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BE522A" w:rsidRPr="00DD4754" w:rsidRDefault="00BE522A" w:rsidP="00DD47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2A7FBE" w:rsidRPr="00DD4754" w:rsidRDefault="002A7FBE" w:rsidP="00DD47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u w:val="single"/>
        </w:rPr>
      </w:pPr>
      <w:r w:rsidRPr="00DD4754">
        <w:rPr>
          <w:u w:val="single"/>
        </w:rPr>
        <w:t>Docket No. 150171-EI – Financing Order</w:t>
      </w:r>
    </w:p>
    <w:p w:rsidR="002A7FBE" w:rsidRPr="00DD4754" w:rsidRDefault="002A7FBE" w:rsidP="00DD4754"/>
    <w:p w:rsidR="002A7FBE" w:rsidRPr="00DD4754" w:rsidRDefault="002A7FBE" w:rsidP="00DD4754">
      <w:pPr>
        <w:jc w:val="both"/>
      </w:pPr>
      <w:r w:rsidRPr="00DD4754">
        <w:tab/>
        <w:t xml:space="preserve">On July 27, 2015, pursuant to Sections 366.04, 366.05, and 366.95, F.S., the RRSSA, and its CR3 Regulatory Asset Petition, DEF filed its Petition for Issuance of a Nuclear Asset-Recovery Financing Order (Financing Order Petition), along with supporting testimony and exhibits, requesting that the Commission issue a financing order to permit DEF to securitize certain costs, including the CR3 Regulatory Asset value as outlined in its CR3 Regulatory Asset Petition filed in Docket No. 150148-EI. DEF also filed a Motion to Consolidate, requesting that its CR3 Regulatory Asset Petition and Financing Order Petition be consolidated pursuant to Rule 28-106.108, Florida Administrative Code (F.A.C.).  </w:t>
      </w:r>
    </w:p>
    <w:p w:rsidR="002A7FBE" w:rsidRDefault="002A7FBE" w:rsidP="00DD47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E522A" w:rsidRPr="00DD4754" w:rsidRDefault="00BE522A" w:rsidP="00DD47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2A7FBE" w:rsidRPr="00DD4754" w:rsidRDefault="002A7FBE" w:rsidP="00DD47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Cs/>
          <w:u w:val="single"/>
        </w:rPr>
      </w:pPr>
      <w:r w:rsidRPr="00DD4754">
        <w:rPr>
          <w:bCs/>
          <w:u w:val="single"/>
        </w:rPr>
        <w:t>Consolidation of Dockets and Orders Establishing Procedure</w:t>
      </w:r>
    </w:p>
    <w:p w:rsidR="002A7FBE" w:rsidRPr="00DD4754" w:rsidRDefault="002A7FBE" w:rsidP="00DD47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2A7FBE" w:rsidRPr="00DD4754" w:rsidRDefault="002A7FBE" w:rsidP="00DD4754">
      <w:pPr>
        <w:pStyle w:val="OrderBody"/>
        <w:ind w:firstLine="720"/>
      </w:pPr>
      <w:r w:rsidRPr="00DD4754">
        <w:t xml:space="preserve">By Order No. PSC-15-0238-PCO-EI (Order Establishing Procedure), issued on June 5, 2015, Docket No. 150148-EI was set for hearing and controlling dates were established for filing testimony as well as other procedural matters. By Order No. PSC-15-0327-PCO-EI (Consolidation Order), issued on August 13, 2015, Docket Nos. 150148-EI and 150171-EI were consolidated into Docket No. 150171-EI, pursuant to Rules 28-106.108 and 28-106.211, F.A.C.  The consolidated proceeding was scheduled for a formal evidentiary hearing on October 14-16, 2015. </w:t>
      </w:r>
    </w:p>
    <w:p w:rsidR="00057F8D" w:rsidRDefault="00057F8D">
      <w:pPr>
        <w:rPr>
          <w:u w:val="single"/>
        </w:rPr>
      </w:pPr>
      <w:r>
        <w:rPr>
          <w:u w:val="single"/>
        </w:rPr>
        <w:br w:type="page"/>
      </w:r>
    </w:p>
    <w:p w:rsidR="00BE522A" w:rsidRDefault="00BE522A" w:rsidP="00DD47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u w:val="single"/>
        </w:rPr>
      </w:pPr>
    </w:p>
    <w:p w:rsidR="002A7FBE" w:rsidRPr="00DD4754" w:rsidRDefault="002A7FBE" w:rsidP="00DD47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u w:val="single"/>
        </w:rPr>
      </w:pPr>
      <w:r w:rsidRPr="00DD4754">
        <w:rPr>
          <w:u w:val="single"/>
        </w:rPr>
        <w:t>Stipulation</w:t>
      </w:r>
    </w:p>
    <w:p w:rsidR="002A7FBE" w:rsidRPr="00DD4754" w:rsidRDefault="002A7FBE" w:rsidP="00DD47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2A7FBE" w:rsidRPr="00DD4754" w:rsidRDefault="002A7FBE" w:rsidP="00FF7A27">
      <w:pPr>
        <w:autoSpaceDE w:val="0"/>
        <w:autoSpaceDN w:val="0"/>
        <w:adjustRightInd w:val="0"/>
        <w:jc w:val="both"/>
      </w:pPr>
      <w:r w:rsidRPr="00DD4754">
        <w:tab/>
        <w:t>On August 31, 2015</w:t>
      </w:r>
      <w:r w:rsidR="00324670">
        <w:t>,</w:t>
      </w:r>
      <w:r w:rsidR="00057F8D">
        <w:t xml:space="preserve"> DEF filed its</w:t>
      </w:r>
      <w:r w:rsidRPr="00DD4754">
        <w:t xml:space="preserve"> Motion for Approval of Stipulation and for Relief from Rebuttal Testimony Deadline Set Forth in Order Establishing Procedure (Motion for Approval of Stipulation).</w:t>
      </w:r>
      <w:r w:rsidRPr="00DD4754">
        <w:rPr>
          <w:rStyle w:val="FootnoteReference"/>
        </w:rPr>
        <w:footnoteReference w:id="4"/>
      </w:r>
      <w:r w:rsidRPr="00DD4754">
        <w:t xml:space="preserve"> </w:t>
      </w:r>
      <w:r w:rsidR="00DD4754">
        <w:t xml:space="preserve"> </w:t>
      </w:r>
      <w:r w:rsidR="0012477B">
        <w:t xml:space="preserve">On September 1, 2014, DEF filed revised pages to Attachment A, Exhibit 1 of the proposed Stipulation to correct a scrivener’s error </w:t>
      </w:r>
      <w:r w:rsidR="0012477B" w:rsidRPr="00DD4754">
        <w:t>contained in the proposed Stipulation filed on August 31, 2015</w:t>
      </w:r>
      <w:r w:rsidR="0012477B">
        <w:t>.</w:t>
      </w:r>
      <w:r w:rsidR="0012477B">
        <w:rPr>
          <w:rStyle w:val="FootnoteReference"/>
        </w:rPr>
        <w:footnoteReference w:id="5"/>
      </w:r>
      <w:r w:rsidR="0012477B">
        <w:t xml:space="preserve">  </w:t>
      </w:r>
      <w:r w:rsidRPr="00DD4754">
        <w:t>On September 14, 2015, DEF filed a Motion to Remove and Replace Page 11 of Stipulation to correct a scrivener’s</w:t>
      </w:r>
      <w:r w:rsidR="0012477B">
        <w:t xml:space="preserve"> error contained in the</w:t>
      </w:r>
      <w:r w:rsidRPr="00DD4754">
        <w:t xml:space="preserve"> Stipulation </w:t>
      </w:r>
      <w:r w:rsidR="0012477B">
        <w:t xml:space="preserve">Attachment A Exhibit 1 </w:t>
      </w:r>
      <w:r w:rsidRPr="00DD4754">
        <w:t xml:space="preserve">filed on </w:t>
      </w:r>
      <w:r w:rsidR="0012477B">
        <w:t>September 1</w:t>
      </w:r>
      <w:r w:rsidRPr="00DD4754">
        <w:t>, 2015.</w:t>
      </w:r>
      <w:r w:rsidR="0012477B">
        <w:rPr>
          <w:rStyle w:val="FootnoteReference"/>
        </w:rPr>
        <w:footnoteReference w:id="6"/>
      </w:r>
      <w:r w:rsidRPr="00DD4754">
        <w:t xml:space="preserve">  DEF request</w:t>
      </w:r>
      <w:r w:rsidR="00BA4003">
        <w:t>ed that</w:t>
      </w:r>
      <w:r w:rsidRPr="00DD4754">
        <w:t xml:space="preserve"> we approve </w:t>
      </w:r>
      <w:r w:rsidR="00324670">
        <w:t>the</w:t>
      </w:r>
      <w:r w:rsidRPr="00DD4754">
        <w:t xml:space="preserve"> proposed Stipulation reac</w:t>
      </w:r>
      <w:r w:rsidR="00057F8D">
        <w:t>hed by the parties to the RRSSA</w:t>
      </w:r>
      <w:r w:rsidR="00324670">
        <w:t>,</w:t>
      </w:r>
      <w:r w:rsidR="00057F8D">
        <w:t xml:space="preserve"> </w:t>
      </w:r>
      <w:r w:rsidRPr="00DD4754">
        <w:t>and provide relief from the Order Establishing Procedure</w:t>
      </w:r>
      <w:r w:rsidR="00324670">
        <w:t xml:space="preserve"> that required</w:t>
      </w:r>
      <w:r w:rsidRPr="00DD4754">
        <w:t xml:space="preserve"> DEF to file rebuttal testimony by September 1, 2015.  The proposed Stipulation would resolve the CR3 Regulatory Asset related issues in Docket No. 150148-EI and amend the RRSSA to ensure that if a financing order is is</w:t>
      </w:r>
      <w:r w:rsidR="00324670">
        <w:t>sued in Docket No. 150171-EI, the financing order</w:t>
      </w:r>
      <w:r w:rsidRPr="00DD4754">
        <w:t xml:space="preserve"> would be consistent with the RRSSA.  </w:t>
      </w:r>
    </w:p>
    <w:p w:rsidR="002A7FBE" w:rsidRDefault="002A7FBE" w:rsidP="00DD4754">
      <w:pPr>
        <w:pStyle w:val="OrderBody"/>
        <w:ind w:firstLine="720"/>
      </w:pPr>
    </w:p>
    <w:p w:rsidR="00324670" w:rsidRPr="00DD4754" w:rsidRDefault="00324670" w:rsidP="00324670">
      <w:pPr>
        <w:pStyle w:val="OrderBody"/>
        <w:ind w:firstLine="720"/>
      </w:pPr>
      <w:r w:rsidRPr="00DD4754">
        <w:t xml:space="preserve">During our September 15, 2015, Agenda Conference, we heard comments from our staff and the signatories to the RRSSA regarding the proposed Stipulation.  </w:t>
      </w:r>
    </w:p>
    <w:p w:rsidR="00324670" w:rsidRPr="00DD4754" w:rsidRDefault="00324670" w:rsidP="00DD4754">
      <w:pPr>
        <w:pStyle w:val="OrderBody"/>
        <w:ind w:firstLine="720"/>
      </w:pPr>
    </w:p>
    <w:p w:rsidR="002A7FBE" w:rsidRPr="00DD4754" w:rsidRDefault="002A7FBE" w:rsidP="00DD4754">
      <w:pPr>
        <w:pStyle w:val="OrderBody"/>
        <w:ind w:firstLine="720"/>
      </w:pPr>
      <w:r w:rsidRPr="00DD4754">
        <w:t xml:space="preserve">We have jurisdiction pursuant to Chapter 366, F.S., </w:t>
      </w:r>
      <w:r w:rsidRPr="0012477B">
        <w:t>including Sections 366.04, 366.05, 366.9</w:t>
      </w:r>
      <w:r w:rsidR="0012477B">
        <w:t>5, and 120.57(2) and (4), F.S</w:t>
      </w:r>
      <w:r w:rsidRPr="0012477B">
        <w:t>.</w:t>
      </w:r>
      <w:r w:rsidRPr="00DD4754">
        <w:t xml:space="preserve">  </w:t>
      </w:r>
    </w:p>
    <w:p w:rsidR="002A7FBE" w:rsidRDefault="002A7FBE" w:rsidP="00DD4754">
      <w:pPr>
        <w:autoSpaceDE w:val="0"/>
        <w:autoSpaceDN w:val="0"/>
        <w:adjustRightInd w:val="0"/>
        <w:jc w:val="both"/>
      </w:pPr>
    </w:p>
    <w:p w:rsidR="00BE522A" w:rsidRPr="00DD4754" w:rsidRDefault="00BE522A" w:rsidP="00DD4754">
      <w:pPr>
        <w:autoSpaceDE w:val="0"/>
        <w:autoSpaceDN w:val="0"/>
        <w:adjustRightInd w:val="0"/>
        <w:jc w:val="both"/>
      </w:pPr>
    </w:p>
    <w:p w:rsidR="00FF7A27" w:rsidRPr="00FF7A27" w:rsidRDefault="00FF7A27" w:rsidP="00FF7A27">
      <w:pPr>
        <w:autoSpaceDE w:val="0"/>
        <w:autoSpaceDN w:val="0"/>
        <w:adjustRightInd w:val="0"/>
        <w:jc w:val="center"/>
        <w:rPr>
          <w:b/>
          <w:u w:val="single"/>
        </w:rPr>
      </w:pPr>
      <w:r w:rsidRPr="00FF7A27">
        <w:rPr>
          <w:b/>
          <w:u w:val="single"/>
        </w:rPr>
        <w:t>Decision</w:t>
      </w:r>
    </w:p>
    <w:p w:rsidR="00FF7A27" w:rsidRDefault="00FF7A27" w:rsidP="00DD4754">
      <w:pPr>
        <w:autoSpaceDE w:val="0"/>
        <w:autoSpaceDN w:val="0"/>
        <w:adjustRightInd w:val="0"/>
        <w:jc w:val="both"/>
        <w:rPr>
          <w:u w:val="single"/>
        </w:rPr>
      </w:pPr>
    </w:p>
    <w:p w:rsidR="00FF7A27" w:rsidRPr="00DD4754" w:rsidRDefault="00FF7A27" w:rsidP="00FF7A27">
      <w:pPr>
        <w:autoSpaceDE w:val="0"/>
        <w:autoSpaceDN w:val="0"/>
        <w:adjustRightInd w:val="0"/>
        <w:ind w:firstLine="720"/>
        <w:jc w:val="both"/>
      </w:pPr>
      <w:r w:rsidRPr="00DD4754">
        <w:t xml:space="preserve">The terms of the proposed, amended Stipulation attached as </w:t>
      </w:r>
      <w:r>
        <w:t>Attachment I</w:t>
      </w:r>
      <w:r w:rsidRPr="00DD4754">
        <w:t xml:space="preserve"> to this Order include:</w:t>
      </w:r>
    </w:p>
    <w:p w:rsidR="00FF7A27" w:rsidRPr="00DD4754" w:rsidRDefault="00FF7A27" w:rsidP="00FF7A27">
      <w:pPr>
        <w:autoSpaceDE w:val="0"/>
        <w:autoSpaceDN w:val="0"/>
        <w:adjustRightInd w:val="0"/>
        <w:jc w:val="both"/>
      </w:pPr>
    </w:p>
    <w:p w:rsidR="00FF7A27" w:rsidRPr="00DD4754" w:rsidRDefault="006C451A" w:rsidP="00FF7A27">
      <w:pPr>
        <w:pStyle w:val="ListParagraph"/>
        <w:numPr>
          <w:ilvl w:val="0"/>
          <w:numId w:val="1"/>
        </w:numPr>
        <w:autoSpaceDE w:val="0"/>
        <w:autoSpaceDN w:val="0"/>
        <w:adjustRightInd w:val="0"/>
        <w:ind w:left="1080"/>
        <w:jc w:val="both"/>
        <w:rPr>
          <w:rFonts w:ascii="Times New Roman" w:hAnsi="Times New Roman"/>
        </w:rPr>
      </w:pPr>
      <w:r>
        <w:rPr>
          <w:rFonts w:ascii="Times New Roman" w:hAnsi="Times New Roman"/>
        </w:rPr>
        <w:t>T</w:t>
      </w:r>
      <w:r w:rsidR="00FF7A27" w:rsidRPr="00DD4754">
        <w:rPr>
          <w:rFonts w:ascii="Times New Roman" w:hAnsi="Times New Roman"/>
        </w:rPr>
        <w:t xml:space="preserve">he value of the CR3 Regulatory Asset </w:t>
      </w:r>
      <w:r>
        <w:rPr>
          <w:rFonts w:ascii="Times New Roman" w:hAnsi="Times New Roman"/>
        </w:rPr>
        <w:t xml:space="preserve">is reduced </w:t>
      </w:r>
      <w:r w:rsidR="00FF7A27" w:rsidRPr="00DD4754">
        <w:rPr>
          <w:rFonts w:ascii="Times New Roman" w:hAnsi="Times New Roman"/>
        </w:rPr>
        <w:t xml:space="preserve">by $15 million, from $1,298,012,000 to $1,283,012,000; </w:t>
      </w:r>
    </w:p>
    <w:p w:rsidR="00FF7A27" w:rsidRPr="00DD4754" w:rsidRDefault="00FF7A27" w:rsidP="00FF7A27">
      <w:pPr>
        <w:pStyle w:val="ListParagraph"/>
        <w:autoSpaceDE w:val="0"/>
        <w:autoSpaceDN w:val="0"/>
        <w:adjustRightInd w:val="0"/>
        <w:ind w:left="1080"/>
        <w:jc w:val="both"/>
        <w:rPr>
          <w:rFonts w:ascii="Times New Roman" w:hAnsi="Times New Roman"/>
        </w:rPr>
      </w:pPr>
    </w:p>
    <w:p w:rsidR="00FF7A27" w:rsidRPr="00DD4754" w:rsidRDefault="006C451A" w:rsidP="00FF7A27">
      <w:pPr>
        <w:pStyle w:val="ListParagraph"/>
        <w:numPr>
          <w:ilvl w:val="0"/>
          <w:numId w:val="1"/>
        </w:numPr>
        <w:autoSpaceDE w:val="0"/>
        <w:autoSpaceDN w:val="0"/>
        <w:adjustRightInd w:val="0"/>
        <w:ind w:left="1080"/>
        <w:jc w:val="both"/>
        <w:rPr>
          <w:rFonts w:ascii="Times New Roman" w:hAnsi="Times New Roman"/>
        </w:rPr>
      </w:pPr>
      <w:r>
        <w:rPr>
          <w:rFonts w:ascii="Times New Roman" w:hAnsi="Times New Roman"/>
        </w:rPr>
        <w:t>A</w:t>
      </w:r>
      <w:r w:rsidR="00FF7A27" w:rsidRPr="00DD4754">
        <w:rPr>
          <w:rFonts w:ascii="Times New Roman" w:hAnsi="Times New Roman"/>
        </w:rPr>
        <w:t xml:space="preserve">ll issues raised by the Intervenors with respect to the CR3 Regulatory Asset in Docket 150148-EI </w:t>
      </w:r>
      <w:r>
        <w:rPr>
          <w:rFonts w:ascii="Times New Roman" w:hAnsi="Times New Roman"/>
        </w:rPr>
        <w:t>are resolved</w:t>
      </w:r>
      <w:r w:rsidR="00FF7A27" w:rsidRPr="00DD4754">
        <w:rPr>
          <w:rFonts w:ascii="Times New Roman" w:hAnsi="Times New Roman"/>
        </w:rPr>
        <w:t xml:space="preserve">; </w:t>
      </w:r>
    </w:p>
    <w:p w:rsidR="00FF7A27" w:rsidRPr="00DD4754" w:rsidRDefault="00FF7A27" w:rsidP="00FF7A27">
      <w:pPr>
        <w:autoSpaceDE w:val="0"/>
        <w:autoSpaceDN w:val="0"/>
        <w:adjustRightInd w:val="0"/>
        <w:jc w:val="both"/>
      </w:pPr>
    </w:p>
    <w:p w:rsidR="00FF7A27" w:rsidRPr="00DD4754" w:rsidRDefault="00FF7A27" w:rsidP="00FF7A27">
      <w:pPr>
        <w:pStyle w:val="ListParagraph"/>
        <w:numPr>
          <w:ilvl w:val="0"/>
          <w:numId w:val="1"/>
        </w:numPr>
        <w:autoSpaceDE w:val="0"/>
        <w:autoSpaceDN w:val="0"/>
        <w:adjustRightInd w:val="0"/>
        <w:ind w:left="1080"/>
        <w:jc w:val="both"/>
        <w:rPr>
          <w:rFonts w:ascii="Times New Roman" w:hAnsi="Times New Roman"/>
        </w:rPr>
      </w:pPr>
      <w:r w:rsidRPr="00DD4754">
        <w:rPr>
          <w:rFonts w:ascii="Times New Roman" w:hAnsi="Times New Roman"/>
        </w:rPr>
        <w:t xml:space="preserve">DEF and </w:t>
      </w:r>
      <w:r w:rsidR="00BA4003">
        <w:rPr>
          <w:rFonts w:ascii="Times New Roman" w:hAnsi="Times New Roman"/>
        </w:rPr>
        <w:t xml:space="preserve">the </w:t>
      </w:r>
      <w:r w:rsidRPr="00DD4754">
        <w:rPr>
          <w:rFonts w:ascii="Times New Roman" w:hAnsi="Times New Roman"/>
        </w:rPr>
        <w:t xml:space="preserve">Intervenors </w:t>
      </w:r>
      <w:r w:rsidR="00BA4003">
        <w:rPr>
          <w:rFonts w:ascii="Times New Roman" w:hAnsi="Times New Roman"/>
        </w:rPr>
        <w:t xml:space="preserve">stipulated positions on </w:t>
      </w:r>
      <w:r w:rsidRPr="00DD4754">
        <w:rPr>
          <w:rFonts w:ascii="Times New Roman" w:hAnsi="Times New Roman"/>
        </w:rPr>
        <w:t>Issues 2 through 13</w:t>
      </w:r>
      <w:r w:rsidR="00D92F8C">
        <w:rPr>
          <w:rFonts w:ascii="Times New Roman" w:hAnsi="Times New Roman"/>
        </w:rPr>
        <w:t>,</w:t>
      </w:r>
      <w:r w:rsidRPr="00DD4754">
        <w:rPr>
          <w:rFonts w:ascii="Times New Roman" w:hAnsi="Times New Roman"/>
        </w:rPr>
        <w:t xml:space="preserve"> </w:t>
      </w:r>
      <w:r w:rsidR="00D92F8C">
        <w:rPr>
          <w:rFonts w:ascii="Times New Roman" w:hAnsi="Times New Roman"/>
        </w:rPr>
        <w:t xml:space="preserve">regarding the value of the Regulatory Asset, </w:t>
      </w:r>
      <w:r w:rsidRPr="00DD4754">
        <w:rPr>
          <w:rFonts w:ascii="Times New Roman" w:hAnsi="Times New Roman"/>
        </w:rPr>
        <w:t>with Intervenors taking “No Position” on Issue 1, in Docket 150148-EI;</w:t>
      </w:r>
      <w:r w:rsidR="00D92F8C">
        <w:rPr>
          <w:rStyle w:val="FootnoteReference"/>
          <w:rFonts w:ascii="Times New Roman" w:hAnsi="Times New Roman"/>
        </w:rPr>
        <w:footnoteReference w:id="7"/>
      </w:r>
      <w:r w:rsidRPr="00DD4754">
        <w:rPr>
          <w:rFonts w:ascii="Times New Roman" w:hAnsi="Times New Roman"/>
        </w:rPr>
        <w:t xml:space="preserve"> </w:t>
      </w:r>
    </w:p>
    <w:p w:rsidR="00D92F8C" w:rsidRDefault="00D92F8C">
      <w:r>
        <w:br w:type="page"/>
      </w:r>
    </w:p>
    <w:p w:rsidR="00BE522A" w:rsidRDefault="00BE522A" w:rsidP="00BE522A">
      <w:pPr>
        <w:pStyle w:val="ListParagraph"/>
        <w:autoSpaceDE w:val="0"/>
        <w:autoSpaceDN w:val="0"/>
        <w:adjustRightInd w:val="0"/>
        <w:ind w:left="1080"/>
        <w:jc w:val="both"/>
        <w:rPr>
          <w:rFonts w:ascii="Times New Roman" w:hAnsi="Times New Roman"/>
        </w:rPr>
      </w:pPr>
    </w:p>
    <w:p w:rsidR="00FF7A27" w:rsidRPr="00DD4754" w:rsidRDefault="00FF7A27" w:rsidP="00FF7A27">
      <w:pPr>
        <w:pStyle w:val="ListParagraph"/>
        <w:numPr>
          <w:ilvl w:val="0"/>
          <w:numId w:val="1"/>
        </w:numPr>
        <w:autoSpaceDE w:val="0"/>
        <w:autoSpaceDN w:val="0"/>
        <w:adjustRightInd w:val="0"/>
        <w:ind w:left="1080"/>
        <w:jc w:val="both"/>
        <w:rPr>
          <w:rFonts w:ascii="Times New Roman" w:hAnsi="Times New Roman"/>
        </w:rPr>
      </w:pPr>
      <w:r w:rsidRPr="00DD4754">
        <w:rPr>
          <w:rFonts w:ascii="Times New Roman" w:hAnsi="Times New Roman"/>
        </w:rPr>
        <w:t>DEF will terminate recovery of the CR3 Regulatory Asset carrying cost through the fuel clause with the last billing cycle in 2015 and will not implement the scheduled 2016 fuel clause recovery of the $1.50 per megawatt hour rate increase related to the CR3 Regulatory Asset carrying cost;</w:t>
      </w:r>
    </w:p>
    <w:p w:rsidR="00FF7A27" w:rsidRPr="00DD4754" w:rsidRDefault="00FF7A27" w:rsidP="00FF7A27">
      <w:pPr>
        <w:autoSpaceDE w:val="0"/>
        <w:autoSpaceDN w:val="0"/>
        <w:adjustRightInd w:val="0"/>
        <w:jc w:val="both"/>
      </w:pPr>
    </w:p>
    <w:p w:rsidR="00FF7A27" w:rsidRPr="00057F8D" w:rsidRDefault="006C451A" w:rsidP="00057F8D">
      <w:pPr>
        <w:pStyle w:val="ListParagraph"/>
        <w:numPr>
          <w:ilvl w:val="0"/>
          <w:numId w:val="1"/>
        </w:numPr>
        <w:autoSpaceDE w:val="0"/>
        <w:autoSpaceDN w:val="0"/>
        <w:adjustRightInd w:val="0"/>
        <w:ind w:left="1080"/>
        <w:jc w:val="both"/>
        <w:rPr>
          <w:rFonts w:ascii="Times New Roman" w:hAnsi="Times New Roman"/>
        </w:rPr>
      </w:pPr>
      <w:r>
        <w:rPr>
          <w:rFonts w:ascii="Times New Roman" w:hAnsi="Times New Roman"/>
        </w:rPr>
        <w:t>T</w:t>
      </w:r>
      <w:r w:rsidR="00FF7A27" w:rsidRPr="00DD4754">
        <w:rPr>
          <w:rFonts w:ascii="Times New Roman" w:hAnsi="Times New Roman"/>
        </w:rPr>
        <w:t xml:space="preserve">he signatories to the RRSSA </w:t>
      </w:r>
      <w:r>
        <w:rPr>
          <w:rFonts w:ascii="Times New Roman" w:hAnsi="Times New Roman"/>
        </w:rPr>
        <w:t>agreed to amend</w:t>
      </w:r>
      <w:r w:rsidR="00FF7A27" w:rsidRPr="00DD4754">
        <w:rPr>
          <w:rFonts w:ascii="Times New Roman" w:hAnsi="Times New Roman"/>
        </w:rPr>
        <w:t xml:space="preserve"> the RRSSA to clarify the appropriate recovery period should nuclear asset-recovery bonds be issued pu</w:t>
      </w:r>
      <w:r w:rsidR="00057F8D">
        <w:rPr>
          <w:rFonts w:ascii="Times New Roman" w:hAnsi="Times New Roman"/>
        </w:rPr>
        <w:t xml:space="preserve">rsuant to Section 366.95, F.S.  </w:t>
      </w:r>
      <w:r w:rsidR="00D92F8C">
        <w:rPr>
          <w:rFonts w:ascii="Times New Roman" w:hAnsi="Times New Roman"/>
        </w:rPr>
        <w:t xml:space="preserve">The </w:t>
      </w:r>
      <w:r w:rsidR="00FF7A27" w:rsidRPr="00057F8D">
        <w:rPr>
          <w:rFonts w:ascii="Times New Roman" w:hAnsi="Times New Roman"/>
        </w:rPr>
        <w:t>RRSSA Amendment revises the recovery per</w:t>
      </w:r>
      <w:r w:rsidR="00BE522A">
        <w:rPr>
          <w:rFonts w:ascii="Times New Roman" w:hAnsi="Times New Roman"/>
        </w:rPr>
        <w:t>iod</w:t>
      </w:r>
      <w:r w:rsidR="00FF7A27" w:rsidRPr="00057F8D">
        <w:rPr>
          <w:rFonts w:ascii="Times New Roman" w:hAnsi="Times New Roman"/>
        </w:rPr>
        <w:t xml:space="preserve"> from 240 months to no longer than 276 months, in order to allow for a 20-year bond maturity period plus an additional period for implementing a true-up mechanism should recovery be through nuclear asset-recovery bonds issued pu</w:t>
      </w:r>
      <w:r w:rsidRPr="00057F8D">
        <w:rPr>
          <w:rFonts w:ascii="Times New Roman" w:hAnsi="Times New Roman"/>
        </w:rPr>
        <w:t>rsuant to Section 366.95, F.S.</w:t>
      </w:r>
      <w:r w:rsidR="00FF7A27" w:rsidRPr="00057F8D">
        <w:rPr>
          <w:rFonts w:ascii="Times New Roman" w:hAnsi="Times New Roman"/>
        </w:rPr>
        <w:t>;  and</w:t>
      </w:r>
    </w:p>
    <w:p w:rsidR="00FF7A27" w:rsidRPr="00DD4754" w:rsidRDefault="00FF7A27" w:rsidP="00FF7A27">
      <w:pPr>
        <w:autoSpaceDE w:val="0"/>
        <w:autoSpaceDN w:val="0"/>
        <w:adjustRightInd w:val="0"/>
        <w:jc w:val="both"/>
      </w:pPr>
    </w:p>
    <w:p w:rsidR="00FF7A27" w:rsidRPr="00DD4754" w:rsidRDefault="00D92F8C" w:rsidP="00FF7A27">
      <w:pPr>
        <w:pStyle w:val="ListParagraph"/>
        <w:numPr>
          <w:ilvl w:val="0"/>
          <w:numId w:val="1"/>
        </w:numPr>
        <w:autoSpaceDE w:val="0"/>
        <w:autoSpaceDN w:val="0"/>
        <w:adjustRightInd w:val="0"/>
        <w:ind w:left="1080"/>
        <w:jc w:val="both"/>
        <w:rPr>
          <w:rFonts w:ascii="Times New Roman" w:hAnsi="Times New Roman"/>
        </w:rPr>
      </w:pPr>
      <w:r>
        <w:rPr>
          <w:rFonts w:ascii="Times New Roman" w:hAnsi="Times New Roman"/>
        </w:rPr>
        <w:t xml:space="preserve">DEF reserved the </w:t>
      </w:r>
      <w:r w:rsidR="00FF7A27" w:rsidRPr="00DD4754">
        <w:rPr>
          <w:rFonts w:ascii="Times New Roman" w:hAnsi="Times New Roman"/>
        </w:rPr>
        <w:t xml:space="preserve">right to file rebuttal testimony should the </w:t>
      </w:r>
      <w:r>
        <w:rPr>
          <w:rFonts w:ascii="Times New Roman" w:hAnsi="Times New Roman"/>
        </w:rPr>
        <w:t xml:space="preserve">Proposed </w:t>
      </w:r>
      <w:r w:rsidR="00FF7A27" w:rsidRPr="00DD4754">
        <w:rPr>
          <w:rFonts w:ascii="Times New Roman" w:hAnsi="Times New Roman"/>
        </w:rPr>
        <w:t xml:space="preserve">Stipulation not be approved by the Commission. </w:t>
      </w:r>
    </w:p>
    <w:p w:rsidR="00FF7A27" w:rsidRPr="00DD4754" w:rsidRDefault="00FF7A27" w:rsidP="00FF7A27">
      <w:pPr>
        <w:pStyle w:val="ListParagraph"/>
        <w:autoSpaceDE w:val="0"/>
        <w:autoSpaceDN w:val="0"/>
        <w:adjustRightInd w:val="0"/>
        <w:ind w:left="1080"/>
        <w:jc w:val="both"/>
        <w:rPr>
          <w:rFonts w:ascii="Times New Roman" w:hAnsi="Times New Roman"/>
        </w:rPr>
      </w:pPr>
    </w:p>
    <w:p w:rsidR="00FF7A27" w:rsidRPr="00DD4754" w:rsidRDefault="00FF7A27" w:rsidP="00FF7A27">
      <w:pPr>
        <w:pStyle w:val="OrderBody"/>
        <w:ind w:firstLine="720"/>
      </w:pPr>
      <w:r w:rsidRPr="00DD4754">
        <w:t xml:space="preserve">DEF’s amended Motion for Approval of Stipulation and for Relief from Rebuttal Testimony Deadline Set Forth in Order Establishing Procedure was noticed for consideration and public comment at our September 15, 2015 Agenda Conference.  </w:t>
      </w:r>
    </w:p>
    <w:p w:rsidR="00FF7A27" w:rsidRDefault="00FF7A27" w:rsidP="00DD4754">
      <w:pPr>
        <w:autoSpaceDE w:val="0"/>
        <w:autoSpaceDN w:val="0"/>
        <w:adjustRightInd w:val="0"/>
        <w:jc w:val="both"/>
        <w:rPr>
          <w:u w:val="single"/>
        </w:rPr>
      </w:pPr>
    </w:p>
    <w:p w:rsidR="00BE522A" w:rsidRDefault="00BE522A" w:rsidP="00DD4754">
      <w:pPr>
        <w:autoSpaceDE w:val="0"/>
        <w:autoSpaceDN w:val="0"/>
        <w:adjustRightInd w:val="0"/>
        <w:jc w:val="both"/>
        <w:rPr>
          <w:u w:val="single"/>
        </w:rPr>
      </w:pPr>
    </w:p>
    <w:p w:rsidR="002A7FBE" w:rsidRPr="00DD4754" w:rsidRDefault="002A7FBE" w:rsidP="00DD4754">
      <w:pPr>
        <w:autoSpaceDE w:val="0"/>
        <w:autoSpaceDN w:val="0"/>
        <w:adjustRightInd w:val="0"/>
        <w:jc w:val="both"/>
        <w:rPr>
          <w:u w:val="single"/>
        </w:rPr>
      </w:pPr>
      <w:r w:rsidRPr="00DD4754">
        <w:rPr>
          <w:u w:val="single"/>
        </w:rPr>
        <w:t>Ruling</w:t>
      </w:r>
    </w:p>
    <w:p w:rsidR="002A7FBE" w:rsidRPr="00DD4754" w:rsidRDefault="002A7FBE" w:rsidP="00DD4754">
      <w:pPr>
        <w:autoSpaceDE w:val="0"/>
        <w:autoSpaceDN w:val="0"/>
        <w:adjustRightInd w:val="0"/>
        <w:jc w:val="both"/>
      </w:pPr>
    </w:p>
    <w:p w:rsidR="002A7FBE" w:rsidRPr="00DD4754" w:rsidRDefault="006C451A" w:rsidP="00DD4754">
      <w:pPr>
        <w:autoSpaceDE w:val="0"/>
        <w:autoSpaceDN w:val="0"/>
        <w:adjustRightInd w:val="0"/>
        <w:ind w:firstLine="720"/>
        <w:jc w:val="both"/>
      </w:pPr>
      <w:r>
        <w:t>We</w:t>
      </w:r>
      <w:r w:rsidRPr="00DD4754">
        <w:t xml:space="preserve"> find that the Stipulation is in the public interest.  </w:t>
      </w:r>
      <w:r w:rsidR="00C55B99">
        <w:t>The Stipulation</w:t>
      </w:r>
      <w:r w:rsidRPr="00DD4754">
        <w:t xml:space="preserve"> provides a positive impact to </w:t>
      </w:r>
      <w:r w:rsidR="00C55B99">
        <w:t>DEF</w:t>
      </w:r>
      <w:r w:rsidRPr="00DD4754">
        <w:t xml:space="preserve"> customers and </w:t>
      </w:r>
      <w:r w:rsidR="00C55B99">
        <w:t>c</w:t>
      </w:r>
      <w:r w:rsidRPr="00DD4754">
        <w:t>onclu</w:t>
      </w:r>
      <w:r w:rsidR="00C55B99">
        <w:t>des</w:t>
      </w:r>
      <w:r w:rsidRPr="00DD4754">
        <w:t xml:space="preserve"> a very complex and technical matter that has lasted six years.</w:t>
      </w:r>
      <w:r w:rsidR="00C55B99">
        <w:t xml:space="preserve">  </w:t>
      </w:r>
      <w:r w:rsidR="002A7FBE" w:rsidRPr="00DD4754">
        <w:t>Because Section 366.95, F.S., was not enacted at the time the parties executed the RRSSA, the RRSSA did not contain provisions that would apply to a proposed securitization of the CR3 Regulatory Asset.  Accordingly, we find that it is necessary to amend certain provisions of the RRSSA to ensure that a financing order, if issued, will be consistent with the RRSSA.  The Stipulation, as amended, appears to accomplish</w:t>
      </w:r>
      <w:r>
        <w:t xml:space="preserve"> such consistency</w:t>
      </w:r>
      <w:r w:rsidR="00D92F8C">
        <w:t xml:space="preserve">, and </w:t>
      </w:r>
      <w:r w:rsidR="002A7FBE" w:rsidRPr="00DD4754">
        <w:t>shall be approved in its entirety</w:t>
      </w:r>
      <w:r w:rsidR="00D92F8C">
        <w:t xml:space="preserve">, as </w:t>
      </w:r>
      <w:r w:rsidR="00D92F8C" w:rsidRPr="00DD4754">
        <w:t xml:space="preserve">attached hereto as </w:t>
      </w:r>
      <w:r w:rsidR="00D92F8C">
        <w:t>Attachment I</w:t>
      </w:r>
      <w:r w:rsidR="002A7FBE" w:rsidRPr="00DD4754">
        <w:t xml:space="preserve">. </w:t>
      </w:r>
    </w:p>
    <w:p w:rsidR="002A7FBE" w:rsidRPr="00DD4754" w:rsidRDefault="002A7FBE" w:rsidP="00DD4754">
      <w:pPr>
        <w:autoSpaceDE w:val="0"/>
        <w:autoSpaceDN w:val="0"/>
        <w:adjustRightInd w:val="0"/>
        <w:ind w:firstLine="720"/>
        <w:jc w:val="both"/>
      </w:pPr>
    </w:p>
    <w:p w:rsidR="002A7FBE" w:rsidRPr="00DD4754" w:rsidRDefault="00D92F8C" w:rsidP="00DD4754">
      <w:pPr>
        <w:autoSpaceDE w:val="0"/>
        <w:autoSpaceDN w:val="0"/>
        <w:adjustRightInd w:val="0"/>
        <w:ind w:firstLine="720"/>
        <w:jc w:val="both"/>
      </w:pPr>
      <w:r>
        <w:t>The Intervenors took no position on</w:t>
      </w:r>
      <w:r w:rsidR="002A7FBE" w:rsidRPr="00DD4754">
        <w:t xml:space="preserve"> Issue 1 in Docket No. 150148-EI, wh</w:t>
      </w:r>
      <w:r>
        <w:t>ich asked wh</w:t>
      </w:r>
      <w:r w:rsidR="002A7FBE" w:rsidRPr="00DD4754">
        <w:t>ether DEF “has provided adequate internal controls and management oversight of its CR3 investment recovery procedures and plan</w:t>
      </w:r>
      <w:r w:rsidR="0012395B">
        <w:t>.</w:t>
      </w:r>
      <w:r w:rsidR="002A7FBE" w:rsidRPr="00DD4754">
        <w:t xml:space="preserve">”  At our September 15, 2015 Agenda Conference, our staff and DEF proposed </w:t>
      </w:r>
      <w:r w:rsidR="0012395B">
        <w:t>the following Stipulation</w:t>
      </w:r>
      <w:r w:rsidR="00BE522A">
        <w:t xml:space="preserve"> on Issue 1</w:t>
      </w:r>
      <w:r w:rsidR="0012395B">
        <w:t>:</w:t>
      </w:r>
      <w:r w:rsidR="002A7FBE" w:rsidRPr="00DD4754">
        <w:t xml:space="preserve"> “Yes, DEF has provided adequate internal controls and management oversight of its CR3 investment recovery procedures and plan.” In addition, </w:t>
      </w:r>
      <w:r w:rsidR="00FF7A27">
        <w:t xml:space="preserve">our staff and </w:t>
      </w:r>
      <w:r w:rsidR="002A7FBE" w:rsidRPr="00DD4754">
        <w:t xml:space="preserve">DEF stipulated </w:t>
      </w:r>
      <w:r w:rsidR="0012395B">
        <w:t xml:space="preserve">that </w:t>
      </w:r>
      <w:r w:rsidR="002A7FBE" w:rsidRPr="00DD4754">
        <w:t>our staff’s witnesses’ testimony and exhibits regarding the CR3 Regulatory Asset</w:t>
      </w:r>
      <w:r w:rsidR="0012395B">
        <w:t xml:space="preserve"> be entered</w:t>
      </w:r>
      <w:r w:rsidR="002A7FBE" w:rsidRPr="00DD4754">
        <w:t xml:space="preserve"> into the record </w:t>
      </w:r>
      <w:r w:rsidR="0012395B">
        <w:t>during the</w:t>
      </w:r>
      <w:r w:rsidR="002A7FBE" w:rsidRPr="00DD4754">
        <w:t xml:space="preserve"> October 14, 2015, </w:t>
      </w:r>
      <w:r w:rsidR="0012395B">
        <w:t xml:space="preserve">hearing </w:t>
      </w:r>
      <w:r w:rsidR="002A7FBE" w:rsidRPr="00DD4754">
        <w:t xml:space="preserve">and our staff’s witnesses </w:t>
      </w:r>
      <w:r w:rsidR="0012395B">
        <w:t>be excused</w:t>
      </w:r>
      <w:r w:rsidR="002A7FBE" w:rsidRPr="00DD4754">
        <w:t xml:space="preserve">. </w:t>
      </w:r>
      <w:r w:rsidR="002A7FBE" w:rsidRPr="00F11019">
        <w:t xml:space="preserve">Upon examination </w:t>
      </w:r>
      <w:r w:rsidR="002A7FBE" w:rsidRPr="00DD4754">
        <w:t xml:space="preserve">and having heard no objection from the Intervenors on Issue, we approve the </w:t>
      </w:r>
      <w:r w:rsidR="00057F8D">
        <w:t xml:space="preserve">Proposed Type II </w:t>
      </w:r>
      <w:r w:rsidR="002A7FBE" w:rsidRPr="00DD4754">
        <w:t>Stipulation</w:t>
      </w:r>
      <w:r w:rsidR="0012395B">
        <w:rPr>
          <w:rStyle w:val="FootnoteReference"/>
        </w:rPr>
        <w:footnoteReference w:id="8"/>
      </w:r>
      <w:r w:rsidR="002A7FBE" w:rsidRPr="00DD4754">
        <w:t xml:space="preserve"> on Issue 1, attached hereto as </w:t>
      </w:r>
      <w:r w:rsidR="00C76BD8">
        <w:t>Attachment II</w:t>
      </w:r>
      <w:r w:rsidR="002A7FBE" w:rsidRPr="00DD4754">
        <w:t>.</w:t>
      </w:r>
    </w:p>
    <w:p w:rsidR="00BE522A" w:rsidRDefault="00BE522A">
      <w:r>
        <w:br w:type="page"/>
      </w:r>
    </w:p>
    <w:p w:rsidR="00BE522A" w:rsidRDefault="00BE522A" w:rsidP="00DD4754">
      <w:pPr>
        <w:ind w:firstLine="720"/>
        <w:jc w:val="both"/>
      </w:pPr>
    </w:p>
    <w:p w:rsidR="00BE522A" w:rsidRDefault="00BE522A" w:rsidP="00DD4754">
      <w:pPr>
        <w:ind w:firstLine="720"/>
        <w:jc w:val="both"/>
      </w:pPr>
    </w:p>
    <w:p w:rsidR="002A7FBE" w:rsidRPr="00DD4754" w:rsidRDefault="002A7FBE" w:rsidP="00DD4754">
      <w:pPr>
        <w:ind w:firstLine="720"/>
        <w:jc w:val="both"/>
      </w:pPr>
      <w:r w:rsidRPr="00DD4754">
        <w:t>Based on the foregoing, it is</w:t>
      </w:r>
    </w:p>
    <w:p w:rsidR="002A7FBE" w:rsidRPr="00DD4754" w:rsidRDefault="002A7FBE" w:rsidP="00DD4754">
      <w:pPr>
        <w:jc w:val="both"/>
      </w:pPr>
    </w:p>
    <w:p w:rsidR="002A7FBE" w:rsidRPr="00DD4754" w:rsidRDefault="002A7FBE" w:rsidP="00DD4754">
      <w:pPr>
        <w:jc w:val="both"/>
      </w:pPr>
      <w:r w:rsidRPr="00DD4754">
        <w:tab/>
        <w:t>ORDERED by the Florida Public Service Commission that Duke Energy Florida, LLC’s Motion for Approval of Stipulation and Relief from Rebuttal Testimony Deadline Set Forth in Order Establishing Procedure, as amended, is hereby granted. It is further</w:t>
      </w:r>
    </w:p>
    <w:p w:rsidR="002A7FBE" w:rsidRPr="00DD4754" w:rsidRDefault="002A7FBE" w:rsidP="00DD4754">
      <w:pPr>
        <w:jc w:val="both"/>
      </w:pPr>
    </w:p>
    <w:p w:rsidR="002A7FBE" w:rsidRPr="00DD4754" w:rsidRDefault="002A7FBE" w:rsidP="00C55B99">
      <w:pPr>
        <w:autoSpaceDE w:val="0"/>
        <w:autoSpaceDN w:val="0"/>
        <w:adjustRightInd w:val="0"/>
        <w:ind w:firstLine="720"/>
        <w:jc w:val="both"/>
      </w:pPr>
      <w:r w:rsidRPr="00DD4754">
        <w:t>ORDERED that</w:t>
      </w:r>
      <w:r w:rsidR="00C55B99">
        <w:t xml:space="preserve"> </w:t>
      </w:r>
      <w:r w:rsidR="00BE522A">
        <w:t xml:space="preserve">the </w:t>
      </w:r>
      <w:r w:rsidR="00C55B99">
        <w:t xml:space="preserve">Proposed Stipulation for CR3 Regulatory Asset Issues </w:t>
      </w:r>
      <w:r w:rsidRPr="00DD4754">
        <w:t>and the Revised and Restated Stipulation and Settlement Agreement Amendment</w:t>
      </w:r>
      <w:r w:rsidR="00C55B99">
        <w:t>, as amended,</w:t>
      </w:r>
      <w:r w:rsidRPr="00DD4754">
        <w:t xml:space="preserve"> are </w:t>
      </w:r>
      <w:r w:rsidR="00C55B99">
        <w:t xml:space="preserve">in the public interest and are </w:t>
      </w:r>
      <w:r w:rsidRPr="00DD4754">
        <w:t xml:space="preserve">approved in their entirety as attached hereto as </w:t>
      </w:r>
      <w:r w:rsidR="00C76BD8">
        <w:t>Attachment I</w:t>
      </w:r>
      <w:r w:rsidRPr="00DD4754">
        <w:t>.  It is further</w:t>
      </w:r>
    </w:p>
    <w:p w:rsidR="002A7FBE" w:rsidRPr="00DD4754" w:rsidRDefault="002A7FBE" w:rsidP="00DD4754">
      <w:pPr>
        <w:ind w:firstLine="720"/>
        <w:jc w:val="both"/>
      </w:pPr>
    </w:p>
    <w:p w:rsidR="002A7FBE" w:rsidRPr="00DD4754" w:rsidRDefault="002A7FBE" w:rsidP="00DD4754">
      <w:pPr>
        <w:ind w:firstLine="720"/>
        <w:jc w:val="both"/>
      </w:pPr>
      <w:r w:rsidRPr="00DD4754">
        <w:t xml:space="preserve">ORDERED that the Proposed Type II Stipulation of Docket No. 150148-EI Issue 1 is approved as attached hereto as </w:t>
      </w:r>
      <w:r w:rsidR="00C76BD8">
        <w:t>Attachment II</w:t>
      </w:r>
      <w:r w:rsidRPr="00DD4754">
        <w:t>.  It is further</w:t>
      </w:r>
    </w:p>
    <w:p w:rsidR="002A7FBE" w:rsidRPr="00DD4754" w:rsidRDefault="002A7FBE" w:rsidP="00DD4754">
      <w:pPr>
        <w:ind w:firstLine="720"/>
        <w:jc w:val="both"/>
      </w:pPr>
    </w:p>
    <w:p w:rsidR="002A7FBE" w:rsidRPr="00DD4754" w:rsidRDefault="002A7FBE" w:rsidP="00DD4754">
      <w:pPr>
        <w:autoSpaceDE w:val="0"/>
        <w:autoSpaceDN w:val="0"/>
        <w:adjustRightInd w:val="0"/>
        <w:ind w:firstLine="720"/>
        <w:jc w:val="both"/>
      </w:pPr>
      <w:r w:rsidRPr="00DD4754">
        <w:t xml:space="preserve">ORDERED that the pre-filed witness testimony and exhibits of DEF, OPC and Commission staff regarding the CR3 Regulatory Asset shall be moved into the record at the hearing on the Financing Order Petition in this consolidated proceeding, and </w:t>
      </w:r>
      <w:r w:rsidR="00F11019">
        <w:t xml:space="preserve">DEF and </w:t>
      </w:r>
      <w:r w:rsidRPr="00DD4754">
        <w:t>staff’s witnesses are excused from the hearing. It is further</w:t>
      </w:r>
    </w:p>
    <w:p w:rsidR="002A7FBE" w:rsidRPr="00DD4754" w:rsidRDefault="002A7FBE" w:rsidP="00DD4754">
      <w:pPr>
        <w:autoSpaceDE w:val="0"/>
        <w:autoSpaceDN w:val="0"/>
        <w:adjustRightInd w:val="0"/>
        <w:ind w:firstLine="720"/>
        <w:jc w:val="both"/>
      </w:pPr>
    </w:p>
    <w:p w:rsidR="002A7FBE" w:rsidRPr="00DD4754" w:rsidRDefault="002A7FBE" w:rsidP="00DD4754">
      <w:pPr>
        <w:autoSpaceDE w:val="0"/>
        <w:autoSpaceDN w:val="0"/>
        <w:adjustRightInd w:val="0"/>
        <w:ind w:firstLine="720"/>
        <w:jc w:val="both"/>
      </w:pPr>
      <w:r w:rsidRPr="00DD4754">
        <w:t>ORDERED that opening statements, cross-examination of witnesses, closing statements, and post-hearing briefs have been waived on the issues relat</w:t>
      </w:r>
      <w:r w:rsidR="000360E4">
        <w:t>ed</w:t>
      </w:r>
      <w:r w:rsidRPr="00DD4754">
        <w:t xml:space="preserve"> to the CR3 Regulatory Asset.  It is further</w:t>
      </w:r>
    </w:p>
    <w:p w:rsidR="002A7FBE" w:rsidRPr="00DD4754" w:rsidRDefault="002A7FBE" w:rsidP="00DD4754">
      <w:pPr>
        <w:autoSpaceDE w:val="0"/>
        <w:autoSpaceDN w:val="0"/>
        <w:adjustRightInd w:val="0"/>
        <w:ind w:firstLine="720"/>
        <w:jc w:val="both"/>
      </w:pPr>
    </w:p>
    <w:p w:rsidR="002A7FBE" w:rsidRPr="00DD4754" w:rsidRDefault="002A7FBE" w:rsidP="00DD4754">
      <w:pPr>
        <w:ind w:firstLine="720"/>
        <w:jc w:val="both"/>
      </w:pPr>
      <w:r w:rsidRPr="00DD4754">
        <w:t>ORDERED that each of the findings made in the body of this Order are hereby approved in every respect.  It is further</w:t>
      </w:r>
    </w:p>
    <w:p w:rsidR="002A7FBE" w:rsidRPr="00DD4754" w:rsidRDefault="002A7FBE" w:rsidP="00DD4754">
      <w:pPr>
        <w:jc w:val="both"/>
      </w:pPr>
    </w:p>
    <w:p w:rsidR="002A7FBE" w:rsidRPr="00DD4754" w:rsidRDefault="002A7FBE" w:rsidP="00DD4754">
      <w:pPr>
        <w:ind w:firstLine="720"/>
        <w:jc w:val="both"/>
      </w:pPr>
      <w:r w:rsidRPr="00DD4754">
        <w:t>ORDERED that all matters contained in the attachments and schedules appended hereto are incorporated herein by reference.  It is further</w:t>
      </w:r>
    </w:p>
    <w:p w:rsidR="002A7FBE" w:rsidRPr="00DD4754" w:rsidRDefault="002A7FBE" w:rsidP="00DD4754">
      <w:pPr>
        <w:jc w:val="both"/>
      </w:pPr>
    </w:p>
    <w:p w:rsidR="00BE522A" w:rsidRDefault="002A7FBE" w:rsidP="00DD4754">
      <w:pPr>
        <w:jc w:val="both"/>
      </w:pPr>
      <w:r w:rsidRPr="00DD4754">
        <w:tab/>
        <w:t>ORDERED that the consolidated dockets shall remain open pending the resolution of Docket No. 150171-EI.</w:t>
      </w:r>
    </w:p>
    <w:p w:rsidR="00BE522A" w:rsidRDefault="00BE522A">
      <w:r>
        <w:br w:type="page"/>
      </w:r>
    </w:p>
    <w:p w:rsidR="002A7FBE" w:rsidRDefault="002A7FBE" w:rsidP="00DD4754">
      <w:pPr>
        <w:jc w:val="both"/>
      </w:pPr>
    </w:p>
    <w:p w:rsidR="00BE522A" w:rsidRPr="00DD4754" w:rsidRDefault="00BE522A" w:rsidP="00DD4754">
      <w:pPr>
        <w:jc w:val="both"/>
      </w:pPr>
    </w:p>
    <w:p w:rsidR="00BE522A" w:rsidRDefault="00050FDF" w:rsidP="00050FDF">
      <w:pPr>
        <w:pStyle w:val="OrderBody"/>
        <w:keepNext/>
        <w:keepLines/>
      </w:pPr>
      <w:r>
        <w:tab/>
        <w:t xml:space="preserve">By ORDER of the Florida Public Service Commission this </w:t>
      </w:r>
      <w:bookmarkStart w:id="7" w:name="replaceDate"/>
      <w:bookmarkEnd w:id="7"/>
      <w:r w:rsidR="009119BA">
        <w:rPr>
          <w:u w:val="single"/>
        </w:rPr>
        <w:t>14th</w:t>
      </w:r>
      <w:r w:rsidR="009119BA">
        <w:t xml:space="preserve"> day of </w:t>
      </w:r>
      <w:r w:rsidR="009119BA">
        <w:rPr>
          <w:u w:val="single"/>
        </w:rPr>
        <w:t>October</w:t>
      </w:r>
      <w:r w:rsidR="009119BA">
        <w:t xml:space="preserve">, </w:t>
      </w:r>
      <w:r w:rsidR="009119BA">
        <w:rPr>
          <w:u w:val="single"/>
        </w:rPr>
        <w:t>2015</w:t>
      </w:r>
      <w:r w:rsidR="009119BA">
        <w:t>.</w:t>
      </w:r>
    </w:p>
    <w:p w:rsidR="009119BA" w:rsidRPr="009119BA" w:rsidRDefault="009119BA" w:rsidP="00050FDF">
      <w:pPr>
        <w:pStyle w:val="OrderBody"/>
        <w:keepNext/>
        <w:keepLines/>
      </w:pPr>
    </w:p>
    <w:p w:rsidR="00BE522A" w:rsidRDefault="00BE522A" w:rsidP="00050FDF">
      <w:pPr>
        <w:pStyle w:val="OrderBody"/>
        <w:keepNext/>
        <w:keepLines/>
      </w:pPr>
    </w:p>
    <w:p w:rsidR="00BE522A" w:rsidRDefault="00BE522A" w:rsidP="00050FDF">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050FDF" w:rsidTr="00BE522A">
        <w:tc>
          <w:tcPr>
            <w:tcW w:w="686" w:type="dxa"/>
            <w:shd w:val="clear" w:color="auto" w:fill="auto"/>
          </w:tcPr>
          <w:p w:rsidR="00050FDF" w:rsidRDefault="00050FDF" w:rsidP="00050FDF">
            <w:pPr>
              <w:pStyle w:val="OrderBody"/>
              <w:keepNext/>
              <w:keepLines/>
            </w:pPr>
            <w:bookmarkStart w:id="8" w:name="bkmrkSignature" w:colFirst="0" w:colLast="0"/>
          </w:p>
        </w:tc>
        <w:tc>
          <w:tcPr>
            <w:tcW w:w="4034" w:type="dxa"/>
            <w:tcBorders>
              <w:bottom w:val="single" w:sz="4" w:space="0" w:color="auto"/>
            </w:tcBorders>
            <w:shd w:val="clear" w:color="auto" w:fill="auto"/>
          </w:tcPr>
          <w:p w:rsidR="00050FDF" w:rsidRDefault="00D12875" w:rsidP="00050FDF">
            <w:pPr>
              <w:pStyle w:val="OrderBody"/>
              <w:keepNext/>
              <w:keepLines/>
            </w:pPr>
            <w:r>
              <w:t>/s/ Carlotta S. Stauffer</w:t>
            </w:r>
            <w:bookmarkStart w:id="9" w:name="_GoBack"/>
            <w:bookmarkEnd w:id="9"/>
          </w:p>
        </w:tc>
      </w:tr>
      <w:bookmarkEnd w:id="8"/>
      <w:tr w:rsidR="00050FDF" w:rsidTr="00BE522A">
        <w:tc>
          <w:tcPr>
            <w:tcW w:w="686" w:type="dxa"/>
            <w:shd w:val="clear" w:color="auto" w:fill="auto"/>
          </w:tcPr>
          <w:p w:rsidR="00050FDF" w:rsidRDefault="00050FDF" w:rsidP="00050FDF">
            <w:pPr>
              <w:pStyle w:val="OrderBody"/>
              <w:keepNext/>
              <w:keepLines/>
            </w:pPr>
          </w:p>
        </w:tc>
        <w:tc>
          <w:tcPr>
            <w:tcW w:w="4034" w:type="dxa"/>
            <w:tcBorders>
              <w:top w:val="single" w:sz="4" w:space="0" w:color="auto"/>
            </w:tcBorders>
            <w:shd w:val="clear" w:color="auto" w:fill="auto"/>
          </w:tcPr>
          <w:p w:rsidR="00050FDF" w:rsidRDefault="00050FDF" w:rsidP="00050FDF">
            <w:pPr>
              <w:pStyle w:val="OrderBody"/>
              <w:keepNext/>
              <w:keepLines/>
            </w:pPr>
            <w:r>
              <w:t>CARLOTTA S. STAUFFER</w:t>
            </w:r>
          </w:p>
          <w:p w:rsidR="00050FDF" w:rsidRDefault="00050FDF" w:rsidP="00050FDF">
            <w:pPr>
              <w:pStyle w:val="OrderBody"/>
              <w:keepNext/>
              <w:keepLines/>
            </w:pPr>
            <w:r>
              <w:t>Commission Clerk</w:t>
            </w:r>
          </w:p>
        </w:tc>
      </w:tr>
    </w:tbl>
    <w:p w:rsidR="00050FDF" w:rsidRDefault="00050FDF" w:rsidP="00BE522A">
      <w:pPr>
        <w:pStyle w:val="OrderSigInfo"/>
        <w:keepNext/>
        <w:keepLines/>
      </w:pPr>
      <w:r>
        <w:t>Florida Public Service Commission</w:t>
      </w:r>
    </w:p>
    <w:p w:rsidR="00050FDF" w:rsidRDefault="00050FDF" w:rsidP="00BE522A">
      <w:pPr>
        <w:pStyle w:val="OrderSigInfo"/>
        <w:keepNext/>
        <w:keepLines/>
      </w:pPr>
      <w:r>
        <w:t>2540 Shumard Oak Boulevard</w:t>
      </w:r>
    </w:p>
    <w:p w:rsidR="00050FDF" w:rsidRDefault="00050FDF" w:rsidP="00BE522A">
      <w:pPr>
        <w:pStyle w:val="OrderSigInfo"/>
        <w:keepNext/>
        <w:keepLines/>
      </w:pPr>
      <w:r>
        <w:t>Tallahassee, Florida  32399</w:t>
      </w:r>
    </w:p>
    <w:p w:rsidR="00050FDF" w:rsidRDefault="00050FDF" w:rsidP="00BE522A">
      <w:pPr>
        <w:pStyle w:val="OrderSigInfo"/>
        <w:keepNext/>
        <w:keepLines/>
      </w:pPr>
      <w:r>
        <w:t>(850) 413</w:t>
      </w:r>
      <w:r>
        <w:noBreakHyphen/>
        <w:t>6770</w:t>
      </w:r>
    </w:p>
    <w:p w:rsidR="00050FDF" w:rsidRDefault="00050FDF" w:rsidP="00BE522A">
      <w:pPr>
        <w:pStyle w:val="OrderSigInfo"/>
        <w:keepNext/>
        <w:keepLines/>
      </w:pPr>
      <w:r>
        <w:t>www.floridapsc.com</w:t>
      </w:r>
    </w:p>
    <w:p w:rsidR="00050FDF" w:rsidRDefault="00050FDF" w:rsidP="00BE522A">
      <w:pPr>
        <w:pStyle w:val="OrderSigInfo"/>
        <w:keepNext/>
        <w:keepLines/>
      </w:pPr>
    </w:p>
    <w:p w:rsidR="00050FDF" w:rsidRDefault="00050FDF" w:rsidP="00050FDF">
      <w:pPr>
        <w:pStyle w:val="OrderSigInfo"/>
        <w:keepNext/>
        <w:keepLines/>
      </w:pPr>
      <w:r>
        <w:t>Copies furnished:  A copy of this document is provided to the parties of record at the time of issuance and, if applicable, interested persons.</w:t>
      </w:r>
    </w:p>
    <w:p w:rsidR="00050FDF" w:rsidRDefault="00050FDF" w:rsidP="00050FDF">
      <w:pPr>
        <w:pStyle w:val="OrderBody"/>
        <w:keepNext/>
        <w:keepLines/>
      </w:pPr>
    </w:p>
    <w:p w:rsidR="00050FDF" w:rsidRDefault="00050FDF" w:rsidP="00050FDF">
      <w:pPr>
        <w:pStyle w:val="OrderBody"/>
        <w:keepNext/>
        <w:keepLines/>
      </w:pPr>
      <w:r>
        <w:t>KFC</w:t>
      </w:r>
    </w:p>
    <w:p w:rsidR="00050FDF" w:rsidRDefault="00050FDF" w:rsidP="00BE522A"/>
    <w:p w:rsidR="00BE522A" w:rsidRDefault="00BE522A" w:rsidP="00BE522A"/>
    <w:p w:rsidR="00050FDF" w:rsidRDefault="00050FDF" w:rsidP="00050FDF">
      <w:pPr>
        <w:pStyle w:val="CenterUnderline"/>
      </w:pPr>
      <w:r>
        <w:t>NOTICE OF FURTHER PROCEEDINGS OR JUDICIAL REVIEW</w:t>
      </w:r>
    </w:p>
    <w:p w:rsidR="00865E4B" w:rsidRDefault="00865E4B" w:rsidP="00050FDF">
      <w:pPr>
        <w:pStyle w:val="CenterUnderline"/>
        <w:rPr>
          <w:u w:val="none"/>
        </w:rPr>
      </w:pPr>
    </w:p>
    <w:p w:rsidR="00050FDF" w:rsidRDefault="00050FDF" w:rsidP="00050FDF">
      <w:pPr>
        <w:pStyle w:val="OrderBody"/>
      </w:pPr>
    </w:p>
    <w:p w:rsidR="00050FDF" w:rsidRDefault="00050FDF" w:rsidP="00050FDF">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050FDF" w:rsidRDefault="00050FDF" w:rsidP="00050FDF">
      <w:pPr>
        <w:pStyle w:val="OrderBody"/>
      </w:pPr>
    </w:p>
    <w:p w:rsidR="00050FDF" w:rsidRDefault="00050FDF" w:rsidP="00050FDF">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050FDF" w:rsidRDefault="00050FDF" w:rsidP="00050FDF">
      <w:pPr>
        <w:pStyle w:val="OrderBody"/>
      </w:pPr>
    </w:p>
    <w:p w:rsidR="00865E4B" w:rsidRDefault="00865E4B">
      <w:pPr>
        <w:pStyle w:val="OrderBody"/>
        <w:sectPr w:rsidR="00865E4B">
          <w:headerReference w:type="default" r:id="rId9"/>
          <w:footerReference w:type="first" r:id="rId10"/>
          <w:pgSz w:w="12240" w:h="15840" w:code="1"/>
          <w:pgMar w:top="1440" w:right="1440" w:bottom="1440" w:left="1440" w:header="720" w:footer="720" w:gutter="0"/>
          <w:cols w:space="720"/>
          <w:titlePg/>
          <w:docGrid w:linePitch="360"/>
        </w:sectPr>
      </w:pPr>
    </w:p>
    <w:p w:rsidR="002A7FBE" w:rsidRDefault="00865E4B">
      <w:pPr>
        <w:pStyle w:val="OrderBody"/>
      </w:pPr>
      <w:r>
        <w:rPr>
          <w:noProof/>
        </w:rPr>
        <w:lastRenderedPageBreak/>
        <w:drawing>
          <wp:inline distT="0" distB="0" distL="0" distR="0">
            <wp:extent cx="5934075" cy="7686675"/>
            <wp:effectExtent l="0" t="0" r="9525" b="9525"/>
            <wp:docPr id="6" name="Picture 6" descr="C:\Users\aeller\Desktop\150148 attachments\150148-EI  Vote Sheet (09-15-15)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eller\Desktop\150148 attachments\150148-EI  Vote Sheet (09-15-15)_Page_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extent cx="5934075" cy="7686675"/>
            <wp:effectExtent l="0" t="0" r="9525" b="9525"/>
            <wp:docPr id="7" name="Picture 7" descr="C:\Users\aeller\Desktop\150148 attachments\150148-EI  Vote Sheet (09-15-15)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eller\Desktop\150148 attachments\150148-EI  Vote Sheet (09-15-15)_Page_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extent cx="5934075" cy="7686675"/>
            <wp:effectExtent l="0" t="0" r="9525" b="9525"/>
            <wp:docPr id="8" name="Picture 8" descr="C:\Users\aeller\Desktop\150148 attachments\150148-EI  Vote Sheet (09-15-15)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eller\Desktop\150148 attachments\150148-EI  Vote Sheet (09-15-15)_Page_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extent cx="5943600" cy="7724775"/>
            <wp:effectExtent l="0" t="0" r="0" b="9525"/>
            <wp:docPr id="9" name="Picture 9" descr="C:\Users\aeller\Desktop\150148 attachments\150148-EI  Vote Sheet (09-15-15)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eller\Desktop\150148 attachments\150148-EI  Vote Sheet (09-15-15)_Page_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724775"/>
                    </a:xfrm>
                    <a:prstGeom prst="rect">
                      <a:avLst/>
                    </a:prstGeom>
                    <a:noFill/>
                    <a:ln>
                      <a:noFill/>
                    </a:ln>
                  </pic:spPr>
                </pic:pic>
              </a:graphicData>
            </a:graphic>
          </wp:inline>
        </w:drawing>
      </w:r>
      <w:r>
        <w:rPr>
          <w:noProof/>
        </w:rPr>
        <w:lastRenderedPageBreak/>
        <w:drawing>
          <wp:inline distT="0" distB="0" distL="0" distR="0">
            <wp:extent cx="5934075" cy="7667625"/>
            <wp:effectExtent l="0" t="0" r="9525" b="9525"/>
            <wp:docPr id="10" name="Picture 10" descr="C:\Users\aeller\Desktop\150148 attachments\150148-EI  Vote Sheet (09-15-15)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eller\Desktop\150148 attachments\150148-EI  Vote Sheet (09-15-15)_Page_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7667625"/>
                    </a:xfrm>
                    <a:prstGeom prst="rect">
                      <a:avLst/>
                    </a:prstGeom>
                    <a:noFill/>
                    <a:ln>
                      <a:noFill/>
                    </a:ln>
                  </pic:spPr>
                </pic:pic>
              </a:graphicData>
            </a:graphic>
          </wp:inline>
        </w:drawing>
      </w:r>
      <w:r>
        <w:rPr>
          <w:noProof/>
        </w:rPr>
        <w:lastRenderedPageBreak/>
        <w:drawing>
          <wp:inline distT="0" distB="0" distL="0" distR="0">
            <wp:extent cx="5934075" cy="7686675"/>
            <wp:effectExtent l="0" t="0" r="9525" b="9525"/>
            <wp:docPr id="11" name="Picture 11" descr="C:\Users\aeller\Desktop\150148 attachments\150148-EI  Vote Sheet (09-15-15)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eller\Desktop\150148 attachments\150148-EI  Vote Sheet (09-15-15)_Page_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extent cx="5934075" cy="7686675"/>
            <wp:effectExtent l="0" t="0" r="9525" b="9525"/>
            <wp:docPr id="12" name="Picture 12" descr="C:\Users\aeller\Desktop\150148 attachments\150148-EI  Vote Sheet (09-15-15)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eller\Desktop\150148 attachments\150148-EI  Vote Sheet (09-15-15)_Page_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extent cx="5934075" cy="7686675"/>
            <wp:effectExtent l="0" t="0" r="9525" b="9525"/>
            <wp:docPr id="13" name="Picture 13" descr="C:\Users\aeller\Desktop\150148 attachments\150148-EI  Vote Sheet (09-15-15)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eller\Desktop\150148 attachments\150148-EI  Vote Sheet (09-15-15)_Page_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extent cx="5934075" cy="7686675"/>
            <wp:effectExtent l="0" t="0" r="9525" b="9525"/>
            <wp:docPr id="14" name="Picture 14" descr="C:\Users\aeller\Desktop\150148 attachments\150148-EI  Vote Sheet (09-15-15)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eller\Desktop\150148 attachments\150148-EI  Vote Sheet (09-15-15)_Page_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extent cx="5934075" cy="7686675"/>
            <wp:effectExtent l="0" t="0" r="9525" b="9525"/>
            <wp:docPr id="15" name="Picture 15" descr="C:\Users\aeller\Desktop\150148 attachments\150148-EI  Vote Sheet (09-15-15)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eller\Desktop\150148 attachments\150148-EI  Vote Sheet (09-15-15)_Page_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2A7FBE" w:rsidRDefault="002A7FBE">
      <w:r>
        <w:br w:type="page"/>
      </w:r>
      <w:r w:rsidR="00FB150C">
        <w:rPr>
          <w:noProof/>
        </w:rPr>
        <w:lastRenderedPageBreak/>
        <w:drawing>
          <wp:inline distT="0" distB="0" distL="0" distR="0" wp14:anchorId="270BA175" wp14:editId="043DCABE">
            <wp:extent cx="5934075" cy="7686675"/>
            <wp:effectExtent l="0" t="0" r="9525" b="9525"/>
            <wp:docPr id="39" name="Picture 39" descr="C:\Users\aeller\Desktop\150148 attachments\150148-EI  Vote Sheet (09-15-15)_Page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eller\Desktop\150148 attachments\150148-EI  Vote Sheet (09-15-15)_Page_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2A7FBE" w:rsidRDefault="002A7FBE"/>
    <w:p w:rsidR="00FB150C" w:rsidRDefault="00865E4B" w:rsidP="00FB150C">
      <w:pPr>
        <w:pStyle w:val="OrderBody"/>
      </w:pPr>
      <w:r>
        <w:rPr>
          <w:noProof/>
        </w:rPr>
        <w:lastRenderedPageBreak/>
        <w:drawing>
          <wp:inline distT="0" distB="0" distL="0" distR="0" wp14:anchorId="7C586449" wp14:editId="660C4086">
            <wp:extent cx="5934075" cy="7686675"/>
            <wp:effectExtent l="0" t="0" r="9525" b="9525"/>
            <wp:docPr id="29" name="Picture 29" descr="C:\Users\aeller\Desktop\150148 attachments\150148-EI  Vote Sheet (09-15-15)_P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eller\Desktop\150148 attachments\150148-EI  Vote Sheet (09-15-15)_Page_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extent cx="5934075" cy="7686675"/>
            <wp:effectExtent l="0" t="0" r="9525" b="9525"/>
            <wp:docPr id="30" name="Picture 30" descr="C:\Users\aeller\Desktop\150148 attachments\150148-EI  Vote Sheet (09-15-15)_Page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eller\Desktop\150148 attachments\150148-EI  Vote Sheet (09-15-15)_Page_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extent cx="5934075" cy="7686675"/>
            <wp:effectExtent l="0" t="0" r="9525" b="9525"/>
            <wp:docPr id="31" name="Picture 31" descr="C:\Users\aeller\Desktop\150148 attachments\150148-EI  Vote Sheet (09-15-15)_Pag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eller\Desktop\150148 attachments\150148-EI  Vote Sheet (09-15-15)_Page_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extent cx="5934075" cy="7686675"/>
            <wp:effectExtent l="0" t="0" r="9525" b="9525"/>
            <wp:docPr id="32" name="Picture 32" descr="C:\Users\aeller\Desktop\150148 attachments\150148-EI  Vote Sheet (09-15-15)_Pag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eller\Desktop\150148 attachments\150148-EI  Vote Sheet (09-15-15)_Page_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extent cx="5934075" cy="7686675"/>
            <wp:effectExtent l="0" t="0" r="9525" b="9525"/>
            <wp:docPr id="33" name="Picture 33" descr="C:\Users\aeller\Desktop\150148 attachments\150148-EI  Vote Sheet (09-15-15)_Pag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eller\Desktop\150148 attachments\150148-EI  Vote Sheet (09-15-15)_Page_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noProof/>
        </w:rPr>
        <w:lastRenderedPageBreak/>
        <w:drawing>
          <wp:inline distT="0" distB="0" distL="0" distR="0">
            <wp:extent cx="5934075" cy="7686675"/>
            <wp:effectExtent l="0" t="0" r="9525" b="9525"/>
            <wp:docPr id="34" name="Picture 34" descr="C:\Users\aeller\Desktop\150148 attachments\150148-EI  Vote Sheet (09-15-15)_Page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eller\Desktop\150148 attachments\150148-EI  Vote Sheet (09-15-15)_Page_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FB150C" w:rsidRDefault="00FB150C" w:rsidP="00FB150C">
      <w:pPr>
        <w:pStyle w:val="OrderBody"/>
      </w:pPr>
      <w:r>
        <w:rPr>
          <w:noProof/>
        </w:rPr>
        <w:lastRenderedPageBreak/>
        <w:drawing>
          <wp:inline distT="0" distB="0" distL="0" distR="0">
            <wp:extent cx="5943600" cy="803865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8038655"/>
                    </a:xfrm>
                    <a:prstGeom prst="rect">
                      <a:avLst/>
                    </a:prstGeom>
                    <a:noFill/>
                    <a:ln>
                      <a:noFill/>
                    </a:ln>
                  </pic:spPr>
                </pic:pic>
              </a:graphicData>
            </a:graphic>
          </wp:inline>
        </w:drawing>
      </w:r>
    </w:p>
    <w:p w:rsidR="00FB150C" w:rsidRDefault="00FB150C">
      <w:pPr>
        <w:sectPr w:rsidR="00FB150C" w:rsidSect="00865E4B">
          <w:headerReference w:type="default" r:id="rId29"/>
          <w:headerReference w:type="first" r:id="rId30"/>
          <w:pgSz w:w="12240" w:h="15840" w:code="1"/>
          <w:pgMar w:top="1440" w:right="1440" w:bottom="1440" w:left="1440" w:header="720" w:footer="720" w:gutter="0"/>
          <w:cols w:space="720"/>
          <w:docGrid w:linePitch="360"/>
        </w:sectPr>
      </w:pPr>
    </w:p>
    <w:p w:rsidR="00050FDF" w:rsidRDefault="00FB150C">
      <w:pPr>
        <w:sectPr w:rsidR="00050FDF" w:rsidSect="00865E4B">
          <w:pgSz w:w="12240" w:h="15840" w:code="1"/>
          <w:pgMar w:top="1440" w:right="1440" w:bottom="1440" w:left="1440" w:header="720" w:footer="720" w:gutter="0"/>
          <w:cols w:space="720"/>
          <w:docGrid w:linePitch="360"/>
        </w:sectPr>
      </w:pPr>
      <w:r>
        <w:rPr>
          <w:noProof/>
        </w:rPr>
        <w:lastRenderedPageBreak/>
        <w:drawing>
          <wp:inline distT="0" distB="0" distL="0" distR="0" wp14:anchorId="4552C208" wp14:editId="12EA84CD">
            <wp:extent cx="5937662" cy="7540831"/>
            <wp:effectExtent l="0" t="0" r="6350" b="3175"/>
            <wp:docPr id="24" name="Picture 24" descr="C:\Users\aeller\Desktop\150148 attachments\150148-EI  Vote Sheet (09-15-15)_Page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eller\Desktop\150148 attachments\150148-EI  Vote Sheet (09-15-15)_Page_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243" cy="7544109"/>
                    </a:xfrm>
                    <a:prstGeom prst="rect">
                      <a:avLst/>
                    </a:prstGeom>
                    <a:noFill/>
                    <a:ln>
                      <a:noFill/>
                    </a:ln>
                  </pic:spPr>
                </pic:pic>
              </a:graphicData>
            </a:graphic>
          </wp:inline>
        </w:drawing>
      </w:r>
    </w:p>
    <w:p w:rsidR="00CB5276" w:rsidRDefault="00FB150C">
      <w:r>
        <w:rPr>
          <w:noProof/>
        </w:rPr>
        <w:lastRenderedPageBreak/>
        <w:drawing>
          <wp:inline distT="0" distB="0" distL="0" distR="0" wp14:anchorId="3F3F2CF1" wp14:editId="75ABE06E">
            <wp:extent cx="5934075" cy="7686675"/>
            <wp:effectExtent l="0" t="0" r="9525" b="9525"/>
            <wp:docPr id="26" name="Picture 26" descr="C:\Users\aeller\Desktop\150148 attachments\150148-EI  Vote Sheet (09-15-15)_Pag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eller\Desktop\150148 attachments\150148-EI  Vote Sheet (09-15-15)_Page_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FB150C" w:rsidRDefault="00FB150C"/>
    <w:sectPr w:rsidR="00FB150C" w:rsidSect="00050FDF">
      <w:headerReference w:type="default" r:id="rId33"/>
      <w:headerReference w:type="first" r:id="rId3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E4B" w:rsidRDefault="00865E4B">
      <w:r>
        <w:separator/>
      </w:r>
    </w:p>
  </w:endnote>
  <w:endnote w:type="continuationSeparator" w:id="0">
    <w:p w:rsidR="00865E4B" w:rsidRDefault="00865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E4B" w:rsidRDefault="00865E4B">
      <w:r>
        <w:separator/>
      </w:r>
    </w:p>
  </w:footnote>
  <w:footnote w:type="continuationSeparator" w:id="0">
    <w:p w:rsidR="00865E4B" w:rsidRDefault="00865E4B">
      <w:r>
        <w:continuationSeparator/>
      </w:r>
    </w:p>
  </w:footnote>
  <w:footnote w:id="1">
    <w:p w:rsidR="002A7FBE" w:rsidRDefault="002A7FBE" w:rsidP="002A7FBE">
      <w:pPr>
        <w:pStyle w:val="FootnoteText"/>
        <w:ind w:left="180" w:hanging="180"/>
      </w:pPr>
      <w:r>
        <w:rPr>
          <w:rStyle w:val="FootnoteReference"/>
        </w:rPr>
        <w:footnoteRef/>
      </w:r>
      <w:r>
        <w:t xml:space="preserve"> </w:t>
      </w:r>
      <w:r>
        <w:tab/>
      </w:r>
      <w:r w:rsidRPr="005C5C91">
        <w:t xml:space="preserve">Order No. PSC-12-0104-FOF-EI, issued March 8, 2012, as amended by Order No. PSC-12-0104A-FOF-EI, issued March 15, 2012, in Docket No. 120022-EI, </w:t>
      </w:r>
      <w:r w:rsidRPr="00091674">
        <w:rPr>
          <w:u w:val="single"/>
        </w:rPr>
        <w:t>In re:  Petition for limited proceeding to approve stipulation and settlement agreement by Progress Energy Florida, Inc.</w:t>
      </w:r>
      <w:r>
        <w:t xml:space="preserve"> (a</w:t>
      </w:r>
      <w:r w:rsidRPr="005C5C91">
        <w:t>pprov</w:t>
      </w:r>
      <w:r>
        <w:t>ing the</w:t>
      </w:r>
      <w:r w:rsidRPr="005C5C91">
        <w:t xml:space="preserve"> 2012 settlement agreement</w:t>
      </w:r>
      <w:r>
        <w:t>)</w:t>
      </w:r>
      <w:r w:rsidRPr="005C5C91">
        <w:t>.</w:t>
      </w:r>
    </w:p>
  </w:footnote>
  <w:footnote w:id="2">
    <w:p w:rsidR="002A7FBE" w:rsidRPr="00042DEC" w:rsidRDefault="002A7FBE" w:rsidP="002A7FBE">
      <w:pPr>
        <w:pStyle w:val="FootnoteText"/>
        <w:ind w:left="180" w:hanging="180"/>
      </w:pPr>
      <w:r>
        <w:rPr>
          <w:rStyle w:val="FootnoteReference"/>
        </w:rPr>
        <w:footnoteRef/>
      </w:r>
      <w:r>
        <w:t xml:space="preserve"> </w:t>
      </w:r>
      <w:r>
        <w:tab/>
      </w:r>
      <w:r w:rsidRPr="00A52A20">
        <w:t>Order No. PSC-</w:t>
      </w:r>
      <w:r>
        <w:t>13</w:t>
      </w:r>
      <w:r w:rsidRPr="00A52A20">
        <w:t>-0</w:t>
      </w:r>
      <w:r>
        <w:t>598</w:t>
      </w:r>
      <w:r w:rsidRPr="00A52A20">
        <w:t>-FOF-</w:t>
      </w:r>
      <w:r>
        <w:t>EI</w:t>
      </w:r>
      <w:r w:rsidRPr="00A52A20">
        <w:t xml:space="preserve">, issued </w:t>
      </w:r>
      <w:r>
        <w:t>November 12, 2013</w:t>
      </w:r>
      <w:r w:rsidRPr="00A52A20">
        <w:t>, in Docket No. 1</w:t>
      </w:r>
      <w:r>
        <w:t>30208-EI</w:t>
      </w:r>
      <w:r w:rsidRPr="00A52A20">
        <w:t xml:space="preserve">, </w:t>
      </w:r>
      <w:r>
        <w:t>as amended by Order No. PSC-13-0598A-FOF-EI, issued November 13, 2013</w:t>
      </w:r>
      <w:r w:rsidRPr="00091674">
        <w:t xml:space="preserve">, </w:t>
      </w:r>
      <w:r w:rsidRPr="00091674">
        <w:rPr>
          <w:u w:val="single"/>
        </w:rPr>
        <w:t>In re: Petition for limited proceeding to approve revised and restated stipulation and settlement agreement by Duke Energy Florida, Inc. d/b/a Duke Energy.</w:t>
      </w:r>
    </w:p>
  </w:footnote>
  <w:footnote w:id="3">
    <w:p w:rsidR="002A7FBE" w:rsidRPr="00071B56" w:rsidRDefault="002A7FBE" w:rsidP="002A7FBE">
      <w:pPr>
        <w:pStyle w:val="FootnoteText"/>
        <w:ind w:left="180" w:hanging="180"/>
      </w:pPr>
      <w:r>
        <w:rPr>
          <w:rStyle w:val="FootnoteReference"/>
        </w:rPr>
        <w:footnoteRef/>
      </w:r>
      <w:r>
        <w:t xml:space="preserve">  “DEF’s Petition for Approval to Include in Base Rates the Revenue Requirement for the Crystal River Unit 3 Regulatory Asset,” pgs. 8-10, filed on May 22, 2015, in Docket No. 150148-EI. </w:t>
      </w:r>
    </w:p>
  </w:footnote>
  <w:footnote w:id="4">
    <w:p w:rsidR="002A7FBE" w:rsidRDefault="002A7FBE" w:rsidP="002A7FBE">
      <w:pPr>
        <w:pStyle w:val="FootnoteText"/>
      </w:pPr>
      <w:r>
        <w:rPr>
          <w:rStyle w:val="FootnoteReference"/>
        </w:rPr>
        <w:footnoteRef/>
      </w:r>
      <w:r w:rsidR="0012477B">
        <w:t xml:space="preserve"> </w:t>
      </w:r>
      <w:r>
        <w:t>The stipulation addresses only the CR3 regulatory asset-related issues that are the subject of Docket No. 150148-EI (CR3 Regulatory Asset Petition) and does not address the issues raised in Docket No. 150171-EI (Financing Order Petition). The issues related to Docket No. 150171-EI are still set for hearing beginning October 14, 2015.</w:t>
      </w:r>
    </w:p>
  </w:footnote>
  <w:footnote w:id="5">
    <w:p w:rsidR="0012477B" w:rsidRDefault="0012477B">
      <w:pPr>
        <w:pStyle w:val="FootnoteText"/>
      </w:pPr>
      <w:r>
        <w:rPr>
          <w:rStyle w:val="FootnoteReference"/>
        </w:rPr>
        <w:footnoteRef/>
      </w:r>
      <w:r>
        <w:t xml:space="preserve"> See Document No. 05443-15, filed in Docket 150171-EI.</w:t>
      </w:r>
    </w:p>
  </w:footnote>
  <w:footnote w:id="6">
    <w:p w:rsidR="0012477B" w:rsidRDefault="0012477B">
      <w:pPr>
        <w:pStyle w:val="FootnoteText"/>
      </w:pPr>
      <w:r>
        <w:rPr>
          <w:rStyle w:val="FootnoteReference"/>
        </w:rPr>
        <w:footnoteRef/>
      </w:r>
      <w:r>
        <w:t xml:space="preserve"> See Document No. 05690-15, filed in Docket 150171-EI.</w:t>
      </w:r>
    </w:p>
  </w:footnote>
  <w:footnote w:id="7">
    <w:p w:rsidR="00D92F8C" w:rsidRDefault="00D92F8C" w:rsidP="00D92F8C">
      <w:pPr>
        <w:pStyle w:val="FootnoteText"/>
      </w:pPr>
      <w:r>
        <w:rPr>
          <w:rStyle w:val="FootnoteReference"/>
        </w:rPr>
        <w:footnoteRef/>
      </w:r>
      <w:r>
        <w:t xml:space="preserve"> The </w:t>
      </w:r>
      <w:r w:rsidR="00257AE4">
        <w:t>s</w:t>
      </w:r>
      <w:r>
        <w:t>tipulated positions on Issues 2 through 13 are included as Exhibit 1 to the Proposed Stipulation attached hereto as Attachment I.</w:t>
      </w:r>
    </w:p>
  </w:footnote>
  <w:footnote w:id="8">
    <w:p w:rsidR="0012395B" w:rsidRDefault="0012395B">
      <w:pPr>
        <w:pStyle w:val="FootnoteText"/>
      </w:pPr>
      <w:r>
        <w:rPr>
          <w:rStyle w:val="FootnoteReference"/>
        </w:rPr>
        <w:footnoteRef/>
      </w:r>
      <w:r>
        <w:t xml:space="preserve"> Type II Stipulation is </w:t>
      </w:r>
      <w:r w:rsidR="00BE522A">
        <w:t>a stipulation in which all the parties do not join but do not object to the stipulation.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D12875">
      <w:fldChar w:fldCharType="begin"/>
    </w:r>
    <w:r w:rsidR="00D12875">
      <w:instrText xml:space="preserve"> REF OrderNo0465 </w:instrText>
    </w:r>
    <w:r w:rsidR="00D12875">
      <w:fldChar w:fldCharType="separate"/>
    </w:r>
    <w:r w:rsidR="00D12875">
      <w:t>PSC-15-0465-S-EI</w:t>
    </w:r>
    <w:r w:rsidR="00D12875">
      <w:fldChar w:fldCharType="end"/>
    </w:r>
  </w:p>
  <w:p w:rsidR="00FA6EFD" w:rsidRDefault="00865E4B">
    <w:pPr>
      <w:pStyle w:val="OrderHeader"/>
    </w:pPr>
    <w:bookmarkStart w:id="10" w:name="HeaderDocketNo"/>
    <w:bookmarkEnd w:id="10"/>
    <w:r>
      <w:t>DOCKET NOS. 150148-EI, 150171-EI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12875">
      <w:rPr>
        <w:rStyle w:val="PageNumber"/>
        <w:noProof/>
      </w:rPr>
      <w:t>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E4B" w:rsidRDefault="00865E4B" w:rsidP="00865E4B">
    <w:pPr>
      <w:pStyle w:val="OrderHeader"/>
      <w:tabs>
        <w:tab w:val="clear" w:pos="4320"/>
        <w:tab w:val="clear" w:pos="8640"/>
        <w:tab w:val="right" w:pos="9360"/>
      </w:tabs>
    </w:pPr>
    <w:r>
      <w:t xml:space="preserve">ORDER NO. </w:t>
    </w:r>
    <w:fldSimple w:instr=" REF OrderNo0465 ">
      <w:r w:rsidR="00D12875">
        <w:t>PSC-15-0465-S-EI</w:t>
      </w:r>
    </w:fldSimple>
    <w:r>
      <w:tab/>
      <w:t xml:space="preserve">Attachment </w:t>
    </w:r>
    <w:r w:rsidR="00050FDF">
      <w:t>I</w:t>
    </w:r>
  </w:p>
  <w:p w:rsidR="00865E4B" w:rsidRDefault="00865E4B">
    <w:pPr>
      <w:pStyle w:val="OrderHeader"/>
    </w:pPr>
    <w:r>
      <w:t>DOCKET NOS. 150148-EI, 150171-EI</w:t>
    </w:r>
  </w:p>
  <w:p w:rsidR="00865E4B" w:rsidRDefault="00865E4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12875">
      <w:rPr>
        <w:rStyle w:val="PageNumber"/>
        <w:noProof/>
      </w:rPr>
      <w:t>25</w:t>
    </w:r>
    <w:r>
      <w:rPr>
        <w:rStyle w:val="PageNumber"/>
      </w:rPr>
      <w:fldChar w:fldCharType="end"/>
    </w:r>
  </w:p>
  <w:p w:rsidR="00865E4B" w:rsidRDefault="00865E4B">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E4B" w:rsidRDefault="00865E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FDF" w:rsidRDefault="00050FDF" w:rsidP="00865E4B">
    <w:pPr>
      <w:pStyle w:val="OrderHeader"/>
      <w:tabs>
        <w:tab w:val="clear" w:pos="4320"/>
        <w:tab w:val="clear" w:pos="8640"/>
        <w:tab w:val="right" w:pos="9360"/>
      </w:tabs>
    </w:pPr>
    <w:r>
      <w:t xml:space="preserve">ORDER NO. </w:t>
    </w:r>
    <w:fldSimple w:instr=" REF OrderNo0465 ">
      <w:r w:rsidR="00D12875">
        <w:t>PSC-15-0465-S-EI</w:t>
      </w:r>
    </w:fldSimple>
    <w:r>
      <w:tab/>
      <w:t>Attachment II</w:t>
    </w:r>
  </w:p>
  <w:p w:rsidR="00050FDF" w:rsidRDefault="00050FDF">
    <w:pPr>
      <w:pStyle w:val="OrderHeader"/>
    </w:pPr>
    <w:r>
      <w:t>DOCKET NOS. 150148-EI, 150171-EI</w:t>
    </w:r>
  </w:p>
  <w:p w:rsidR="00050FDF" w:rsidRDefault="00050FD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12875">
      <w:rPr>
        <w:rStyle w:val="PageNumber"/>
        <w:noProof/>
      </w:rPr>
      <w:t>26</w:t>
    </w:r>
    <w:r>
      <w:rPr>
        <w:rStyle w:val="PageNumber"/>
      </w:rPr>
      <w:fldChar w:fldCharType="end"/>
    </w:r>
  </w:p>
  <w:p w:rsidR="00050FDF" w:rsidRDefault="00050FDF">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FDF" w:rsidRDefault="00050F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93FB1"/>
    <w:multiLevelType w:val="hybridMultilevel"/>
    <w:tmpl w:val="032873B6"/>
    <w:lvl w:ilvl="0" w:tplc="23061BBA">
      <w:numFmt w:val="bullet"/>
      <w:lvlText w:val=""/>
      <w:lvlJc w:val="left"/>
      <w:pPr>
        <w:ind w:left="144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E1EC170-EA76-470D-BB59-A4BF6144E0C2}"/>
    <w:docVar w:name="dgnword-eventsink" w:val="19458032"/>
    <w:docVar w:name="Dockets" w:val="150148-EI, 150171-EI"/>
  </w:docVars>
  <w:rsids>
    <w:rsidRoot w:val="00865E4B"/>
    <w:rsid w:val="000022B8"/>
    <w:rsid w:val="000360E4"/>
    <w:rsid w:val="00050FDF"/>
    <w:rsid w:val="00053AB9"/>
    <w:rsid w:val="00056229"/>
    <w:rsid w:val="00057F8D"/>
    <w:rsid w:val="00065FC2"/>
    <w:rsid w:val="00090AFC"/>
    <w:rsid w:val="000D06E8"/>
    <w:rsid w:val="000E344D"/>
    <w:rsid w:val="000E5E1A"/>
    <w:rsid w:val="000F3B2C"/>
    <w:rsid w:val="000F7BE3"/>
    <w:rsid w:val="00116AD3"/>
    <w:rsid w:val="0012395B"/>
    <w:rsid w:val="0012477B"/>
    <w:rsid w:val="00126593"/>
    <w:rsid w:val="00142A96"/>
    <w:rsid w:val="00187E32"/>
    <w:rsid w:val="00194E81"/>
    <w:rsid w:val="001A33C9"/>
    <w:rsid w:val="001D008A"/>
    <w:rsid w:val="002002ED"/>
    <w:rsid w:val="0022721A"/>
    <w:rsid w:val="00230BB9"/>
    <w:rsid w:val="00257AE4"/>
    <w:rsid w:val="002A11AC"/>
    <w:rsid w:val="002A6F30"/>
    <w:rsid w:val="002A7FBE"/>
    <w:rsid w:val="002D7D15"/>
    <w:rsid w:val="002F1972"/>
    <w:rsid w:val="00303FDE"/>
    <w:rsid w:val="003140E8"/>
    <w:rsid w:val="003231C7"/>
    <w:rsid w:val="00324670"/>
    <w:rsid w:val="00331ED0"/>
    <w:rsid w:val="0035495B"/>
    <w:rsid w:val="003744F5"/>
    <w:rsid w:val="00390DD8"/>
    <w:rsid w:val="00394DC6"/>
    <w:rsid w:val="00397C3E"/>
    <w:rsid w:val="003D4CCA"/>
    <w:rsid w:val="003D6416"/>
    <w:rsid w:val="003E1D48"/>
    <w:rsid w:val="00457DC7"/>
    <w:rsid w:val="00472BCC"/>
    <w:rsid w:val="004A25CD"/>
    <w:rsid w:val="004A26CC"/>
    <w:rsid w:val="004B2108"/>
    <w:rsid w:val="004B3A2B"/>
    <w:rsid w:val="004D2D1B"/>
    <w:rsid w:val="004F2DDE"/>
    <w:rsid w:val="0050097F"/>
    <w:rsid w:val="00514B1F"/>
    <w:rsid w:val="00531445"/>
    <w:rsid w:val="00556A10"/>
    <w:rsid w:val="005963C2"/>
    <w:rsid w:val="005B45F7"/>
    <w:rsid w:val="005B63EA"/>
    <w:rsid w:val="00660774"/>
    <w:rsid w:val="00665CC7"/>
    <w:rsid w:val="006A0BF3"/>
    <w:rsid w:val="006B0DA6"/>
    <w:rsid w:val="006C451A"/>
    <w:rsid w:val="006C547E"/>
    <w:rsid w:val="00704C5D"/>
    <w:rsid w:val="00733B6B"/>
    <w:rsid w:val="0076170F"/>
    <w:rsid w:val="0076669C"/>
    <w:rsid w:val="007865E9"/>
    <w:rsid w:val="00792383"/>
    <w:rsid w:val="007D3D20"/>
    <w:rsid w:val="007E3AFD"/>
    <w:rsid w:val="00804E7A"/>
    <w:rsid w:val="00805FBB"/>
    <w:rsid w:val="008116ED"/>
    <w:rsid w:val="008169A4"/>
    <w:rsid w:val="008278FE"/>
    <w:rsid w:val="00832598"/>
    <w:rsid w:val="0083397E"/>
    <w:rsid w:val="0083534B"/>
    <w:rsid w:val="00863A66"/>
    <w:rsid w:val="00865E4B"/>
    <w:rsid w:val="00874429"/>
    <w:rsid w:val="00883D9A"/>
    <w:rsid w:val="008919EF"/>
    <w:rsid w:val="008C6A5B"/>
    <w:rsid w:val="008E26A5"/>
    <w:rsid w:val="008E42D2"/>
    <w:rsid w:val="009040EE"/>
    <w:rsid w:val="009057FD"/>
    <w:rsid w:val="009119BA"/>
    <w:rsid w:val="00922A7F"/>
    <w:rsid w:val="00923A5E"/>
    <w:rsid w:val="00994100"/>
    <w:rsid w:val="009D4C29"/>
    <w:rsid w:val="00A62DAB"/>
    <w:rsid w:val="00A726A6"/>
    <w:rsid w:val="00A76D47"/>
    <w:rsid w:val="00A97535"/>
    <w:rsid w:val="00AA73F1"/>
    <w:rsid w:val="00AB0E1A"/>
    <w:rsid w:val="00AB1A30"/>
    <w:rsid w:val="00AD1ED3"/>
    <w:rsid w:val="00B0777D"/>
    <w:rsid w:val="00B4057A"/>
    <w:rsid w:val="00B40894"/>
    <w:rsid w:val="00B45E75"/>
    <w:rsid w:val="00B50876"/>
    <w:rsid w:val="00B55EE5"/>
    <w:rsid w:val="00B73DE6"/>
    <w:rsid w:val="00B86EF0"/>
    <w:rsid w:val="00B97900"/>
    <w:rsid w:val="00BA4003"/>
    <w:rsid w:val="00BA44A8"/>
    <w:rsid w:val="00BE522A"/>
    <w:rsid w:val="00BF6691"/>
    <w:rsid w:val="00C028FC"/>
    <w:rsid w:val="00C55B99"/>
    <w:rsid w:val="00C66692"/>
    <w:rsid w:val="00C76BD8"/>
    <w:rsid w:val="00C91123"/>
    <w:rsid w:val="00CA71FF"/>
    <w:rsid w:val="00CB5276"/>
    <w:rsid w:val="00CB68D7"/>
    <w:rsid w:val="00CC7E68"/>
    <w:rsid w:val="00CD7132"/>
    <w:rsid w:val="00D12875"/>
    <w:rsid w:val="00D30B48"/>
    <w:rsid w:val="00D46FAA"/>
    <w:rsid w:val="00D57BB2"/>
    <w:rsid w:val="00D8560E"/>
    <w:rsid w:val="00D8758F"/>
    <w:rsid w:val="00D92F8C"/>
    <w:rsid w:val="00DC1D94"/>
    <w:rsid w:val="00DD4754"/>
    <w:rsid w:val="00DE057F"/>
    <w:rsid w:val="00DE2082"/>
    <w:rsid w:val="00DE2289"/>
    <w:rsid w:val="00E04410"/>
    <w:rsid w:val="00E11351"/>
    <w:rsid w:val="00EA172C"/>
    <w:rsid w:val="00EA259B"/>
    <w:rsid w:val="00EA35A3"/>
    <w:rsid w:val="00EA3E6A"/>
    <w:rsid w:val="00EB18EF"/>
    <w:rsid w:val="00EE17DF"/>
    <w:rsid w:val="00EF4621"/>
    <w:rsid w:val="00F11019"/>
    <w:rsid w:val="00F277B6"/>
    <w:rsid w:val="00F54380"/>
    <w:rsid w:val="00F54B47"/>
    <w:rsid w:val="00FA6EFD"/>
    <w:rsid w:val="00FB150C"/>
    <w:rsid w:val="00FB74EA"/>
    <w:rsid w:val="00FD2C9E"/>
    <w:rsid w:val="00FD4786"/>
    <w:rsid w:val="00FD616C"/>
    <w:rsid w:val="00FF0A00"/>
    <w:rsid w:val="00FF7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531445"/>
    <w:rPr>
      <w:rFonts w:ascii="Tahoma" w:hAnsi="Tahoma" w:cs="Tahoma"/>
      <w:sz w:val="16"/>
      <w:szCs w:val="16"/>
    </w:rPr>
  </w:style>
  <w:style w:type="character" w:customStyle="1" w:styleId="BalloonTextChar">
    <w:name w:val="Balloon Text Char"/>
    <w:basedOn w:val="DefaultParagraphFont"/>
    <w:link w:val="BalloonText"/>
    <w:rsid w:val="00531445"/>
    <w:rPr>
      <w:rFonts w:ascii="Tahoma" w:hAnsi="Tahoma" w:cs="Tahoma"/>
      <w:sz w:val="16"/>
      <w:szCs w:val="16"/>
    </w:rPr>
  </w:style>
  <w:style w:type="paragraph" w:styleId="ListParagraph">
    <w:name w:val="List Paragraph"/>
    <w:basedOn w:val="Normal"/>
    <w:uiPriority w:val="34"/>
    <w:qFormat/>
    <w:rsid w:val="002A7FBE"/>
    <w:pPr>
      <w:ind w:left="720"/>
      <w:contextualSpacing/>
    </w:pPr>
    <w:rPr>
      <w:rFonts w:asciiTheme="minorHAnsi" w:eastAsiaTheme="minorHAnsi" w:hAnsiTheme="minorHAnsi"/>
    </w:rPr>
  </w:style>
  <w:style w:type="character" w:customStyle="1" w:styleId="FootnoteTextChar">
    <w:name w:val="Footnote Text Char"/>
    <w:link w:val="FootnoteText"/>
    <w:rsid w:val="002A7FBE"/>
  </w:style>
  <w:style w:type="character" w:styleId="CommentReference">
    <w:name w:val="annotation reference"/>
    <w:basedOn w:val="DefaultParagraphFont"/>
    <w:rsid w:val="00324670"/>
    <w:rPr>
      <w:sz w:val="16"/>
      <w:szCs w:val="16"/>
    </w:rPr>
  </w:style>
  <w:style w:type="paragraph" w:styleId="CommentText">
    <w:name w:val="annotation text"/>
    <w:basedOn w:val="Normal"/>
    <w:link w:val="CommentTextChar"/>
    <w:rsid w:val="00324670"/>
    <w:rPr>
      <w:sz w:val="20"/>
      <w:szCs w:val="20"/>
    </w:rPr>
  </w:style>
  <w:style w:type="character" w:customStyle="1" w:styleId="CommentTextChar">
    <w:name w:val="Comment Text Char"/>
    <w:basedOn w:val="DefaultParagraphFont"/>
    <w:link w:val="CommentText"/>
    <w:rsid w:val="00324670"/>
  </w:style>
  <w:style w:type="paragraph" w:styleId="CommentSubject">
    <w:name w:val="annotation subject"/>
    <w:basedOn w:val="CommentText"/>
    <w:next w:val="CommentText"/>
    <w:link w:val="CommentSubjectChar"/>
    <w:rsid w:val="00324670"/>
    <w:rPr>
      <w:b/>
      <w:bCs/>
    </w:rPr>
  </w:style>
  <w:style w:type="character" w:customStyle="1" w:styleId="CommentSubjectChar">
    <w:name w:val="Comment Subject Char"/>
    <w:basedOn w:val="CommentTextChar"/>
    <w:link w:val="CommentSubject"/>
    <w:rsid w:val="0032467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531445"/>
    <w:rPr>
      <w:rFonts w:ascii="Tahoma" w:hAnsi="Tahoma" w:cs="Tahoma"/>
      <w:sz w:val="16"/>
      <w:szCs w:val="16"/>
    </w:rPr>
  </w:style>
  <w:style w:type="character" w:customStyle="1" w:styleId="BalloonTextChar">
    <w:name w:val="Balloon Text Char"/>
    <w:basedOn w:val="DefaultParagraphFont"/>
    <w:link w:val="BalloonText"/>
    <w:rsid w:val="00531445"/>
    <w:rPr>
      <w:rFonts w:ascii="Tahoma" w:hAnsi="Tahoma" w:cs="Tahoma"/>
      <w:sz w:val="16"/>
      <w:szCs w:val="16"/>
    </w:rPr>
  </w:style>
  <w:style w:type="paragraph" w:styleId="ListParagraph">
    <w:name w:val="List Paragraph"/>
    <w:basedOn w:val="Normal"/>
    <w:uiPriority w:val="34"/>
    <w:qFormat/>
    <w:rsid w:val="002A7FBE"/>
    <w:pPr>
      <w:ind w:left="720"/>
      <w:contextualSpacing/>
    </w:pPr>
    <w:rPr>
      <w:rFonts w:asciiTheme="minorHAnsi" w:eastAsiaTheme="minorHAnsi" w:hAnsiTheme="minorHAnsi"/>
    </w:rPr>
  </w:style>
  <w:style w:type="character" w:customStyle="1" w:styleId="FootnoteTextChar">
    <w:name w:val="Footnote Text Char"/>
    <w:link w:val="FootnoteText"/>
    <w:rsid w:val="002A7FBE"/>
  </w:style>
  <w:style w:type="character" w:styleId="CommentReference">
    <w:name w:val="annotation reference"/>
    <w:basedOn w:val="DefaultParagraphFont"/>
    <w:rsid w:val="00324670"/>
    <w:rPr>
      <w:sz w:val="16"/>
      <w:szCs w:val="16"/>
    </w:rPr>
  </w:style>
  <w:style w:type="paragraph" w:styleId="CommentText">
    <w:name w:val="annotation text"/>
    <w:basedOn w:val="Normal"/>
    <w:link w:val="CommentTextChar"/>
    <w:rsid w:val="00324670"/>
    <w:rPr>
      <w:sz w:val="20"/>
      <w:szCs w:val="20"/>
    </w:rPr>
  </w:style>
  <w:style w:type="character" w:customStyle="1" w:styleId="CommentTextChar">
    <w:name w:val="Comment Text Char"/>
    <w:basedOn w:val="DefaultParagraphFont"/>
    <w:link w:val="CommentText"/>
    <w:rsid w:val="00324670"/>
  </w:style>
  <w:style w:type="paragraph" w:styleId="CommentSubject">
    <w:name w:val="annotation subject"/>
    <w:basedOn w:val="CommentText"/>
    <w:next w:val="CommentText"/>
    <w:link w:val="CommentSubjectChar"/>
    <w:rsid w:val="00324670"/>
    <w:rPr>
      <w:b/>
      <w:bCs/>
    </w:rPr>
  </w:style>
  <w:style w:type="character" w:customStyle="1" w:styleId="CommentSubjectChar">
    <w:name w:val="Comment Subject Char"/>
    <w:basedOn w:val="CommentTextChar"/>
    <w:link w:val="CommentSubject"/>
    <w:rsid w:val="003246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3.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Edgar,%20Bris&#233;,%20Brown%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D352E-90DA-4E48-A980-1B1FC5B33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Edgar, Brisé, Brown and Patronis.dot</Template>
  <TotalTime>0</TotalTime>
  <Pages>26</Pages>
  <Words>1850</Words>
  <Characters>10550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2015-10-14T14:39:00Z</dcterms:created>
  <dcterms:modified xsi:type="dcterms:W3CDTF">2015-10-14T16:42:00Z</dcterms:modified>
</cp:coreProperties>
</file>