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751522" w:rsidP="00CF7905">
      <w:pPr>
        <w:pStyle w:val="OrderHeading"/>
      </w:pPr>
      <w:bookmarkStart w:id="0" w:name="_GoBack"/>
      <w:bookmarkEnd w:id="0"/>
      <w:r>
        <w:t>BEFORE THE FLORIDA PUBLIC SERVICE COMMISSION</w:t>
      </w:r>
    </w:p>
    <w:p w:rsidR="00751522" w:rsidRDefault="00751522" w:rsidP="00CF7905">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751522" w:rsidRPr="00C63FCF" w:rsidTr="00C63FCF">
        <w:trPr>
          <w:trHeight w:val="828"/>
        </w:trPr>
        <w:tc>
          <w:tcPr>
            <w:tcW w:w="4788" w:type="dxa"/>
            <w:tcBorders>
              <w:bottom w:val="single" w:sz="8" w:space="0" w:color="auto"/>
              <w:right w:val="double" w:sz="6" w:space="0" w:color="auto"/>
            </w:tcBorders>
            <w:shd w:val="clear" w:color="auto" w:fill="auto"/>
          </w:tcPr>
          <w:p w:rsidR="00751522" w:rsidRDefault="00751522" w:rsidP="00CF7905">
            <w:pPr>
              <w:pStyle w:val="OrderBody"/>
              <w:tabs>
                <w:tab w:val="center" w:pos="4320"/>
                <w:tab w:val="right" w:pos="8640"/>
              </w:tabs>
            </w:pPr>
            <w:r>
              <w:t xml:space="preserve">In re: </w:t>
            </w:r>
            <w:bookmarkStart w:id="1" w:name="SSInRe"/>
            <w:bookmarkEnd w:id="1"/>
            <w:r>
              <w:t>Petition for determination of need for Okeechobee Clean Energy Center Unit 1, by Florida Power &amp; Light Company.</w:t>
            </w:r>
          </w:p>
        </w:tc>
        <w:tc>
          <w:tcPr>
            <w:tcW w:w="4788" w:type="dxa"/>
            <w:tcBorders>
              <w:left w:val="double" w:sz="6" w:space="0" w:color="auto"/>
            </w:tcBorders>
            <w:shd w:val="clear" w:color="auto" w:fill="auto"/>
          </w:tcPr>
          <w:p w:rsidR="00751522" w:rsidRDefault="00751522" w:rsidP="00CF7905">
            <w:pPr>
              <w:pStyle w:val="OrderBody"/>
            </w:pPr>
            <w:r>
              <w:t xml:space="preserve">DOCKET NO. </w:t>
            </w:r>
            <w:bookmarkStart w:id="2" w:name="SSDocketNo"/>
            <w:bookmarkEnd w:id="2"/>
            <w:r>
              <w:t>150196-EI</w:t>
            </w:r>
          </w:p>
          <w:p w:rsidR="00751522" w:rsidRDefault="00751522" w:rsidP="00CF7905">
            <w:pPr>
              <w:pStyle w:val="OrderBody"/>
              <w:tabs>
                <w:tab w:val="center" w:pos="4320"/>
                <w:tab w:val="right" w:pos="8640"/>
              </w:tabs>
            </w:pPr>
            <w:r>
              <w:t xml:space="preserve">ORDER NO. </w:t>
            </w:r>
            <w:bookmarkStart w:id="3" w:name="OrderNo0546"/>
            <w:r w:rsidR="00C737D9">
              <w:t>PSC-15-0546-PCO-EI</w:t>
            </w:r>
            <w:bookmarkEnd w:id="3"/>
          </w:p>
          <w:p w:rsidR="00751522" w:rsidRDefault="00751522" w:rsidP="00CF7905">
            <w:pPr>
              <w:pStyle w:val="OrderBody"/>
              <w:tabs>
                <w:tab w:val="center" w:pos="4320"/>
                <w:tab w:val="right" w:pos="8640"/>
              </w:tabs>
            </w:pPr>
            <w:r>
              <w:t xml:space="preserve">ISSUED: </w:t>
            </w:r>
            <w:r w:rsidR="00C737D9">
              <w:t>November 24, 2015</w:t>
            </w:r>
          </w:p>
        </w:tc>
      </w:tr>
    </w:tbl>
    <w:p w:rsidR="00751522" w:rsidRDefault="00751522" w:rsidP="00CF7905">
      <w:pPr>
        <w:jc w:val="both"/>
      </w:pPr>
    </w:p>
    <w:p w:rsidR="00481BC5" w:rsidRDefault="00751522" w:rsidP="00CF7905">
      <w:pPr>
        <w:pStyle w:val="CenterUnderline"/>
      </w:pPr>
      <w:bookmarkStart w:id="4" w:name="Commissioners"/>
      <w:bookmarkEnd w:id="4"/>
      <w:r>
        <w:t>ORDER</w:t>
      </w:r>
      <w:bookmarkStart w:id="5" w:name="OrderTitle"/>
      <w:r w:rsidR="00212864">
        <w:t xml:space="preserve"> GRANTING IN PART</w:t>
      </w:r>
      <w:r w:rsidR="00481BC5">
        <w:t>, AND DENYING IN PART,</w:t>
      </w:r>
      <w:r>
        <w:t xml:space="preserve"> </w:t>
      </w:r>
      <w:r w:rsidR="006A5EEA">
        <w:t>F</w:t>
      </w:r>
      <w:r w:rsidR="00C95E74">
        <w:t xml:space="preserve">LORIDA POWER </w:t>
      </w:r>
    </w:p>
    <w:p w:rsidR="00481BC5" w:rsidRDefault="00C95E74" w:rsidP="00CF7905">
      <w:pPr>
        <w:pStyle w:val="CenterUnderline"/>
      </w:pPr>
      <w:r>
        <w:t>&amp; LIGHT</w:t>
      </w:r>
      <w:r w:rsidR="00751522">
        <w:t xml:space="preserve"> </w:t>
      </w:r>
      <w:r w:rsidR="00DB4A0E">
        <w:t>COMPANY’S</w:t>
      </w:r>
      <w:r w:rsidR="00481BC5">
        <w:t xml:space="preserve"> </w:t>
      </w:r>
      <w:r w:rsidR="00DB4A0E">
        <w:t>MOTION T</w:t>
      </w:r>
      <w:r w:rsidR="00751522">
        <w:t>O</w:t>
      </w:r>
      <w:r w:rsidR="00212864">
        <w:t xml:space="preserve"> </w:t>
      </w:r>
      <w:r w:rsidR="00751522">
        <w:t>STRIKE OR</w:t>
      </w:r>
      <w:r w:rsidR="00DB4A0E">
        <w:t xml:space="preserve"> </w:t>
      </w:r>
      <w:r w:rsidR="00751522">
        <w:t>EXCLUDE PORTIONS</w:t>
      </w:r>
      <w:r>
        <w:t xml:space="preserve"> </w:t>
      </w:r>
      <w:r w:rsidR="00751522">
        <w:t xml:space="preserve">OF </w:t>
      </w:r>
    </w:p>
    <w:p w:rsidR="00481BC5" w:rsidRDefault="00481BC5" w:rsidP="00DB4A0E">
      <w:pPr>
        <w:pStyle w:val="CenterUnderline"/>
      </w:pPr>
      <w:r>
        <w:t>T</w:t>
      </w:r>
      <w:r w:rsidR="00751522">
        <w:t>HE</w:t>
      </w:r>
      <w:r w:rsidR="006A5EEA">
        <w:t xml:space="preserve"> </w:t>
      </w:r>
      <w:r w:rsidR="00DB4A0E">
        <w:t xml:space="preserve">DIRECT </w:t>
      </w:r>
      <w:r>
        <w:t xml:space="preserve"> </w:t>
      </w:r>
      <w:r w:rsidR="00DB4A0E">
        <w:t xml:space="preserve">TESTIMONY </w:t>
      </w:r>
      <w:r w:rsidR="00751522">
        <w:t>OF NATALIE A. MIMS</w:t>
      </w:r>
      <w:r w:rsidR="00DB4A0E">
        <w:t xml:space="preserve"> </w:t>
      </w:r>
      <w:r w:rsidR="00751522">
        <w:t xml:space="preserve">FILED ON BEHALF OF </w:t>
      </w:r>
    </w:p>
    <w:p w:rsidR="00CB5276" w:rsidRDefault="00C95E74" w:rsidP="00DB4A0E">
      <w:pPr>
        <w:pStyle w:val="CenterUnderline"/>
      </w:pPr>
      <w:r>
        <w:t xml:space="preserve">THE </w:t>
      </w:r>
      <w:r w:rsidR="00481BC5">
        <w:t xml:space="preserve"> </w:t>
      </w:r>
      <w:r>
        <w:t>SOUTHERN ALLIANCE FOR CLEAN ENERGY</w:t>
      </w:r>
      <w:bookmarkEnd w:id="5"/>
    </w:p>
    <w:p w:rsidR="00751522" w:rsidRDefault="00751522" w:rsidP="00CF7905">
      <w:pPr>
        <w:pStyle w:val="CenterUnderline"/>
      </w:pPr>
    </w:p>
    <w:p w:rsidR="006A5EEA" w:rsidRPr="00BB05A0" w:rsidRDefault="000B78E2" w:rsidP="00CF79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bookmarkStart w:id="6" w:name="OrderText"/>
      <w:bookmarkEnd w:id="6"/>
      <w:r>
        <w:tab/>
      </w:r>
      <w:r w:rsidR="006A5EEA" w:rsidRPr="00BB05A0">
        <w:t xml:space="preserve">On September 3, 2015, Florida Power &amp; Light </w:t>
      </w:r>
      <w:r w:rsidR="002D3BC6">
        <w:t xml:space="preserve">Company </w:t>
      </w:r>
      <w:r w:rsidR="006A5EEA" w:rsidRPr="00BB05A0">
        <w:t>(FPL) filed a Petiti</w:t>
      </w:r>
      <w:r w:rsidR="006A5EEA">
        <w:t>on and supporting testimony to determine n</w:t>
      </w:r>
      <w:r w:rsidR="006A5EEA" w:rsidRPr="00BB05A0">
        <w:t xml:space="preserve">eed for the construction of a combined cycle generating unit in Okeechobee County, together with the associated facilities, including transmission lines and substation facilities, pursuant to Sections 366.04 and 403.519, Florida Statutes (F.S.), and Rules 25-22.080, 25-22.081, 25-22.082, and 28-106.201, Florida Administrative Code (F.A.C.).  </w:t>
      </w:r>
      <w:r w:rsidR="006A5EEA">
        <w:t xml:space="preserve">In its Petition, </w:t>
      </w:r>
      <w:r w:rsidR="006A5EEA" w:rsidRPr="00BB05A0">
        <w:t>FPL propose</w:t>
      </w:r>
      <w:r w:rsidR="006A5EEA">
        <w:t>d</w:t>
      </w:r>
      <w:r w:rsidR="006A5EEA" w:rsidRPr="00BB05A0">
        <w:t xml:space="preserve"> to construct a natural gas, combined cycle power plant, with an expected summer peak rating of about 1,622 megawatts (MW), at a greenfield site in northeast Okeechobee County owned by FPL.  According to FPL’s petition, the Okeechobee Clean Energy Center Unit 1 will enable FPL to meet a projected need for additional generation resources that begins in 2019, continues into 2020, and increases each year thereafter. </w:t>
      </w:r>
    </w:p>
    <w:p w:rsidR="006A5EEA" w:rsidRPr="00BB05A0" w:rsidRDefault="006A5EEA" w:rsidP="00CF7905">
      <w:pPr>
        <w:ind w:firstLine="720"/>
        <w:jc w:val="both"/>
      </w:pPr>
    </w:p>
    <w:p w:rsidR="00DC4122" w:rsidRDefault="006A5EEA" w:rsidP="00CF7905">
      <w:pPr>
        <w:ind w:firstLine="720"/>
        <w:jc w:val="both"/>
      </w:pPr>
      <w:r w:rsidRPr="00BB05A0">
        <w:t>On September 16, 2015, Order No. PSC-15-0394-PCO-EI (Order Establishing Procedure) was issued, scheduling the matter for an admin</w:t>
      </w:r>
      <w:r>
        <w:t>istrative hearing on December 1</w:t>
      </w:r>
      <w:r w:rsidRPr="00BB05A0">
        <w:t xml:space="preserve">–2, 2015. </w:t>
      </w:r>
      <w:r>
        <w:t xml:space="preserve">On September 23, 2015, the </w:t>
      </w:r>
      <w:r w:rsidR="008343AD">
        <w:t xml:space="preserve">Southern Alliance for Clean Energy (SACE) </w:t>
      </w:r>
      <w:r>
        <w:t xml:space="preserve">filed a Petition for Intervention, which was granted </w:t>
      </w:r>
      <w:r w:rsidR="00566D8E">
        <w:t xml:space="preserve">by Order No. </w:t>
      </w:r>
      <w:r w:rsidR="00566D8E" w:rsidRPr="006A5EEA">
        <w:t>PSC-15-0424-PCO-EI</w:t>
      </w:r>
      <w:r w:rsidR="00566D8E">
        <w:t>.</w:t>
      </w:r>
      <w:r>
        <w:rPr>
          <w:rStyle w:val="FootnoteReference"/>
        </w:rPr>
        <w:footnoteReference w:id="1"/>
      </w:r>
      <w:r w:rsidR="008343AD">
        <w:t xml:space="preserve"> </w:t>
      </w:r>
      <w:r>
        <w:t xml:space="preserve"> </w:t>
      </w:r>
      <w:r w:rsidR="00566D8E">
        <w:t xml:space="preserve"> On October 14, 2015, </w:t>
      </w:r>
      <w:r>
        <w:t xml:space="preserve">SACE filed testimony </w:t>
      </w:r>
      <w:r w:rsidR="00566D8E">
        <w:t xml:space="preserve">and supporting exhibits </w:t>
      </w:r>
      <w:r>
        <w:t>of two witnesses, Natalie A. Mims</w:t>
      </w:r>
      <w:r w:rsidR="001712B8">
        <w:rPr>
          <w:rStyle w:val="FootnoteReference"/>
        </w:rPr>
        <w:footnoteReference w:id="2"/>
      </w:r>
      <w:r>
        <w:t xml:space="preserve"> and John D. Wilson</w:t>
      </w:r>
      <w:r w:rsidR="002D3BC6">
        <w:t>.</w:t>
      </w:r>
      <w:r w:rsidR="001712B8">
        <w:rPr>
          <w:rStyle w:val="FootnoteReference"/>
        </w:rPr>
        <w:footnoteReference w:id="3"/>
      </w:r>
      <w:r w:rsidR="00566D8E">
        <w:t xml:space="preserve">  O</w:t>
      </w:r>
      <w:r>
        <w:t xml:space="preserve">n October </w:t>
      </w:r>
      <w:r w:rsidR="00566D8E">
        <w:t>26</w:t>
      </w:r>
      <w:r>
        <w:t>, 2015</w:t>
      </w:r>
      <w:r w:rsidR="00566D8E">
        <w:t xml:space="preserve">, </w:t>
      </w:r>
      <w:r>
        <w:t xml:space="preserve">FPL filed </w:t>
      </w:r>
      <w:r w:rsidR="00566D8E">
        <w:t>rebuttal t</w:t>
      </w:r>
      <w:r>
        <w:t xml:space="preserve">estimony </w:t>
      </w:r>
      <w:r w:rsidR="00566D8E">
        <w:t xml:space="preserve">and supporting exhibits </w:t>
      </w:r>
      <w:r>
        <w:t>of Dr. Steve</w:t>
      </w:r>
      <w:r w:rsidR="001712B8">
        <w:t>n</w:t>
      </w:r>
      <w:r>
        <w:t xml:space="preserve"> R. Sim</w:t>
      </w:r>
      <w:r w:rsidR="00566D8E">
        <w:t xml:space="preserve"> and Richard Feldman.</w:t>
      </w:r>
      <w:r w:rsidR="001712B8">
        <w:rPr>
          <w:rStyle w:val="FootnoteReference"/>
        </w:rPr>
        <w:footnoteReference w:id="4"/>
      </w:r>
      <w:r w:rsidR="00566D8E">
        <w:t xml:space="preserve">  </w:t>
      </w:r>
      <w:r w:rsidR="000B78E2">
        <w:t>On November 6, 2015</w:t>
      </w:r>
      <w:r w:rsidR="00566D8E">
        <w:t>,</w:t>
      </w:r>
      <w:r w:rsidR="000B78E2">
        <w:t xml:space="preserve"> FPL filed a Motion to Strike or Exclude Portions of the Direct Testimony of Natalie A. Mims Filed on Behalf of SACE.</w:t>
      </w:r>
      <w:r w:rsidR="007B09A1">
        <w:rPr>
          <w:rStyle w:val="FootnoteReference"/>
        </w:rPr>
        <w:footnoteReference w:id="5"/>
      </w:r>
      <w:r w:rsidR="007B09A1">
        <w:t xml:space="preserve"> </w:t>
      </w:r>
      <w:r w:rsidR="008343AD">
        <w:t xml:space="preserve"> On November 16, 2015, SACE filed </w:t>
      </w:r>
      <w:r w:rsidR="00566D8E">
        <w:t>a</w:t>
      </w:r>
      <w:r w:rsidR="008343AD">
        <w:t xml:space="preserve"> Response in Opposition</w:t>
      </w:r>
      <w:r w:rsidR="00566D8E">
        <w:t xml:space="preserve"> to FPL’s motion</w:t>
      </w:r>
      <w:r w:rsidR="008343AD">
        <w:t>.</w:t>
      </w:r>
      <w:r w:rsidR="007B09A1">
        <w:rPr>
          <w:rStyle w:val="FootnoteReference"/>
        </w:rPr>
        <w:footnoteReference w:id="6"/>
      </w:r>
      <w:r w:rsidR="00DC4122">
        <w:t xml:space="preserve"> The parties presented oral argument on the motion and response at the Prehearing Conference held on November 17, 2015.  </w:t>
      </w:r>
    </w:p>
    <w:p w:rsidR="001712B8" w:rsidRDefault="001712B8"/>
    <w:p w:rsidR="008343AD" w:rsidRDefault="00DC4122" w:rsidP="00CF7905">
      <w:pPr>
        <w:ind w:firstLine="720"/>
        <w:jc w:val="both"/>
      </w:pPr>
      <w:r w:rsidRPr="00DC4122">
        <w:t xml:space="preserve">Pursuant to Rule 28-106.211, F.A.C., as Prehearing Officer in this proceeding, I am </w:t>
      </w:r>
      <w:r>
        <w:t xml:space="preserve">tasked </w:t>
      </w:r>
      <w:r w:rsidRPr="00DC4122">
        <w:t>with the dut</w:t>
      </w:r>
      <w:r>
        <w:t xml:space="preserve">y </w:t>
      </w:r>
      <w:r w:rsidRPr="00DC4122">
        <w:t xml:space="preserve">of issuing </w:t>
      </w:r>
      <w:r>
        <w:t xml:space="preserve">rulings on prehearing motions.  I have carefully considered </w:t>
      </w:r>
      <w:r w:rsidR="001712B8">
        <w:t>FPL’s</w:t>
      </w:r>
      <w:r>
        <w:t xml:space="preserve"> motion and </w:t>
      </w:r>
      <w:r w:rsidR="001712B8">
        <w:t xml:space="preserve">SACE’s </w:t>
      </w:r>
      <w:r>
        <w:t>respo</w:t>
      </w:r>
      <w:r w:rsidR="001712B8">
        <w:t>nse, reviewed the testimony of SACE W</w:t>
      </w:r>
      <w:r>
        <w:t xml:space="preserve">itness Mims, and heard the argument of counsel for the parties.    </w:t>
      </w:r>
    </w:p>
    <w:p w:rsidR="00481BC5" w:rsidRDefault="00481BC5" w:rsidP="00CF7905">
      <w:pPr>
        <w:pStyle w:val="OrderBody"/>
        <w:rPr>
          <w:u w:val="single"/>
        </w:rPr>
      </w:pPr>
    </w:p>
    <w:p w:rsidR="008343AD" w:rsidRDefault="007B09A1" w:rsidP="00CF7905">
      <w:pPr>
        <w:pStyle w:val="OrderBody"/>
        <w:rPr>
          <w:u w:val="single"/>
        </w:rPr>
      </w:pPr>
      <w:r>
        <w:rPr>
          <w:u w:val="single"/>
        </w:rPr>
        <w:t xml:space="preserve">FPL’s </w:t>
      </w:r>
      <w:r w:rsidR="008343AD">
        <w:rPr>
          <w:u w:val="single"/>
        </w:rPr>
        <w:t xml:space="preserve">Motion to Strike </w:t>
      </w:r>
    </w:p>
    <w:p w:rsidR="008343AD" w:rsidRDefault="008343AD" w:rsidP="00CF7905">
      <w:pPr>
        <w:pStyle w:val="OrderBody"/>
      </w:pPr>
    </w:p>
    <w:p w:rsidR="007B09A1" w:rsidRDefault="008343AD" w:rsidP="00CF7905">
      <w:pPr>
        <w:pStyle w:val="OrderBody"/>
      </w:pPr>
      <w:r>
        <w:tab/>
        <w:t>In its motion, FPL seeks to strike or exclude from inclusion in the record page 5, line 9 (starting at “In the FEECA docket…”) through page 17, line 18</w:t>
      </w:r>
      <w:r w:rsidR="001712B8">
        <w:t xml:space="preserve"> of Witness Mims’ Direct Testimony</w:t>
      </w:r>
      <w:r>
        <w:t xml:space="preserve">. </w:t>
      </w:r>
      <w:r w:rsidR="006C3945">
        <w:t xml:space="preserve"> </w:t>
      </w:r>
      <w:r>
        <w:t>FPL asserts th</w:t>
      </w:r>
      <w:r w:rsidR="004442B9">
        <w:t>ese</w:t>
      </w:r>
      <w:r>
        <w:t xml:space="preserve"> portion</w:t>
      </w:r>
      <w:r w:rsidR="004442B9">
        <w:t>s</w:t>
      </w:r>
      <w:r>
        <w:t xml:space="preserve"> of Ms. Mims’ testimony </w:t>
      </w:r>
      <w:r w:rsidR="007B09A1">
        <w:t>attempt to re-litigate and/or seek</w:t>
      </w:r>
      <w:r w:rsidR="00361485">
        <w:t xml:space="preserve"> reconsideration of</w:t>
      </w:r>
      <w:r w:rsidR="007B09A1">
        <w:t xml:space="preserve"> Commission Order No. PSC-14-0696-FOF-EU,</w:t>
      </w:r>
      <w:r w:rsidR="00361485">
        <w:t xml:space="preserve"> </w:t>
      </w:r>
      <w:r w:rsidR="002D3BC6">
        <w:t xml:space="preserve">which </w:t>
      </w:r>
      <w:r w:rsidR="00361485">
        <w:t>set numeric conservation goals for FPL</w:t>
      </w:r>
      <w:r w:rsidR="007B09A1">
        <w:t>.</w:t>
      </w:r>
      <w:r w:rsidR="007B09A1">
        <w:rPr>
          <w:rStyle w:val="FootnoteReference"/>
        </w:rPr>
        <w:footnoteReference w:id="7"/>
      </w:r>
    </w:p>
    <w:p w:rsidR="007B09A1" w:rsidRDefault="007B09A1" w:rsidP="00CF7905">
      <w:pPr>
        <w:pStyle w:val="OrderBody"/>
      </w:pPr>
    </w:p>
    <w:p w:rsidR="007B09A1" w:rsidRDefault="004442B9" w:rsidP="001712B8">
      <w:pPr>
        <w:pStyle w:val="OrderBody"/>
        <w:ind w:firstLine="720"/>
      </w:pPr>
      <w:r>
        <w:t xml:space="preserve">FPL argues it is untimely for SACE to seek reconsideration of </w:t>
      </w:r>
      <w:r w:rsidR="00771B36">
        <w:t>Order No. PSC-14-0696-FOF-EU,</w:t>
      </w:r>
      <w:r>
        <w:t xml:space="preserve"> which was issued December 16, 2014.  Further, FPL contends reintroduction of the same evidence that </w:t>
      </w:r>
      <w:r w:rsidR="00771B36">
        <w:t>we previously</w:t>
      </w:r>
      <w:r>
        <w:t xml:space="preserve"> considered, and determined</w:t>
      </w:r>
      <w:r w:rsidR="001712B8">
        <w:t xml:space="preserve"> not</w:t>
      </w:r>
      <w:r>
        <w:t xml:space="preserve"> </w:t>
      </w:r>
      <w:r w:rsidR="00771B36">
        <w:t xml:space="preserve">to be </w:t>
      </w:r>
      <w:r>
        <w:t xml:space="preserve">persuasive is improper and inconsistent with the doctrines of administrative finality, collateral estoppel, and </w:t>
      </w:r>
      <w:r w:rsidRPr="001712B8">
        <w:rPr>
          <w:i/>
        </w:rPr>
        <w:t>res judicata</w:t>
      </w:r>
      <w:r>
        <w:t xml:space="preserve">.  </w:t>
      </w:r>
      <w:r w:rsidR="00A229F0">
        <w:t xml:space="preserve">FPL also argues it would be an inefficient use of </w:t>
      </w:r>
      <w:r w:rsidR="001712B8">
        <w:t xml:space="preserve">the Commission’s </w:t>
      </w:r>
      <w:r w:rsidR="00A229F0">
        <w:t>time and resource</w:t>
      </w:r>
      <w:r w:rsidR="001712B8">
        <w:t>s</w:t>
      </w:r>
      <w:r w:rsidR="00A229F0">
        <w:t xml:space="preserve"> to consider, for a second time, evidence that it previously considered and declined to adopt.</w:t>
      </w:r>
      <w:r w:rsidR="00DC4122">
        <w:t xml:space="preserve">  Further, </w:t>
      </w:r>
      <w:r w:rsidR="007B09A1">
        <w:t xml:space="preserve">FPL argues that SACE, through Ms. Mims’ testimony, attempts to re-litigate our final order where we set the most recent numeric conservation goals for FPL and that administrative finality prohibits further review.  </w:t>
      </w:r>
      <w:r w:rsidR="00DC4122">
        <w:t>FPL asserts that should its motion be granted, it</w:t>
      </w:r>
      <w:r w:rsidR="001712B8">
        <w:t xml:space="preserve"> will withdraw the portions of FPL W</w:t>
      </w:r>
      <w:r w:rsidR="00DC4122">
        <w:t>itness Sim’s rebuttal testimony that address</w:t>
      </w:r>
      <w:r w:rsidR="001712B8">
        <w:t>es</w:t>
      </w:r>
      <w:r w:rsidR="00DC4122">
        <w:t xml:space="preserve"> the challenged </w:t>
      </w:r>
      <w:r w:rsidR="001712B8">
        <w:t xml:space="preserve">portions of Witness Mims’ </w:t>
      </w:r>
      <w:r w:rsidR="00DC4122">
        <w:t xml:space="preserve">testimony.  </w:t>
      </w:r>
    </w:p>
    <w:p w:rsidR="00C95E74" w:rsidRDefault="00C95E74" w:rsidP="00CF7905">
      <w:pPr>
        <w:ind w:firstLine="720"/>
        <w:jc w:val="both"/>
      </w:pPr>
    </w:p>
    <w:p w:rsidR="00A229F0" w:rsidRDefault="007B09A1" w:rsidP="00CF7905">
      <w:pPr>
        <w:pStyle w:val="OrderBody"/>
        <w:rPr>
          <w:u w:val="single"/>
        </w:rPr>
      </w:pPr>
      <w:r>
        <w:rPr>
          <w:u w:val="single"/>
        </w:rPr>
        <w:t xml:space="preserve">SACE’s </w:t>
      </w:r>
      <w:r w:rsidR="00A229F0" w:rsidRPr="00A229F0">
        <w:rPr>
          <w:u w:val="single"/>
        </w:rPr>
        <w:t>Response in Opposition</w:t>
      </w:r>
    </w:p>
    <w:p w:rsidR="00A229F0" w:rsidRDefault="00A229F0" w:rsidP="00CF7905">
      <w:pPr>
        <w:pStyle w:val="OrderBody"/>
        <w:rPr>
          <w:u w:val="single"/>
        </w:rPr>
      </w:pPr>
    </w:p>
    <w:p w:rsidR="00A229F0" w:rsidRDefault="00A229F0" w:rsidP="00CF7905">
      <w:pPr>
        <w:pStyle w:val="OrderBody"/>
      </w:pPr>
      <w:r>
        <w:tab/>
        <w:t xml:space="preserve">In its response, SACE requests </w:t>
      </w:r>
      <w:r w:rsidR="002A34AC">
        <w:t xml:space="preserve">that </w:t>
      </w:r>
      <w:r>
        <w:t>FPL’s motion to strike</w:t>
      </w:r>
      <w:r w:rsidR="002A34AC">
        <w:t xml:space="preserve"> be denied</w:t>
      </w:r>
      <w:r>
        <w:t xml:space="preserve">. SACE asserts </w:t>
      </w:r>
      <w:r w:rsidR="00F5528C">
        <w:t xml:space="preserve">that </w:t>
      </w:r>
      <w:r>
        <w:t xml:space="preserve">it is not, through </w:t>
      </w:r>
      <w:r w:rsidR="002A34AC">
        <w:t>W</w:t>
      </w:r>
      <w:r w:rsidR="00DC4122">
        <w:t xml:space="preserve">itness </w:t>
      </w:r>
      <w:r>
        <w:t xml:space="preserve">Mims’ testimony, requesting reconsideration of, or attempting to re-litigate, </w:t>
      </w:r>
      <w:r w:rsidR="002D3BC6">
        <w:t>the Commission’s F</w:t>
      </w:r>
      <w:r w:rsidR="002A34AC">
        <w:t xml:space="preserve">inal </w:t>
      </w:r>
      <w:r>
        <w:t xml:space="preserve">Order No. PSC-14-0696-FOF-EU.  </w:t>
      </w:r>
      <w:r w:rsidR="002A34AC">
        <w:t>SACE contends the purpose of Witness Mims’</w:t>
      </w:r>
      <w:r w:rsidR="00777AE3">
        <w:t xml:space="preserve"> testimony at issue is to demonstrate that there are additional conservation measures “reasonably available” to FPL </w:t>
      </w:r>
      <w:r w:rsidR="002A34AC">
        <w:t>that</w:t>
      </w:r>
      <w:r w:rsidR="00777AE3">
        <w:t xml:space="preserve"> might mitigate the need for the OCEC Unit 1.  </w:t>
      </w:r>
      <w:r w:rsidR="006C3945">
        <w:t xml:space="preserve">SACE acknowledges that </w:t>
      </w:r>
      <w:r w:rsidR="002A34AC">
        <w:t>the Commission was</w:t>
      </w:r>
      <w:r w:rsidR="006C3945">
        <w:t xml:space="preserve"> required</w:t>
      </w:r>
      <w:r w:rsidR="002A34AC">
        <w:t xml:space="preserve"> </w:t>
      </w:r>
      <w:r w:rsidR="0031515A">
        <w:t>to</w:t>
      </w:r>
      <w:r w:rsidR="006C3945">
        <w:t xml:space="preserve"> set </w:t>
      </w:r>
      <w:r w:rsidR="00771B36">
        <w:t>“</w:t>
      </w:r>
      <w:r w:rsidR="006C3945">
        <w:t>appropriate</w:t>
      </w:r>
      <w:r w:rsidR="00771B36">
        <w:t>”</w:t>
      </w:r>
      <w:r w:rsidR="006C3945">
        <w:t xml:space="preserve"> or </w:t>
      </w:r>
      <w:r w:rsidR="00771B36">
        <w:t>“</w:t>
      </w:r>
      <w:r w:rsidR="006C3945">
        <w:t>reasonably achievable</w:t>
      </w:r>
      <w:r w:rsidR="00771B36">
        <w:t>”</w:t>
      </w:r>
      <w:r w:rsidR="006C3945">
        <w:t xml:space="preserve"> </w:t>
      </w:r>
      <w:r w:rsidR="00771B36">
        <w:t>conservation goals</w:t>
      </w:r>
      <w:r w:rsidR="002A34AC">
        <w:t xml:space="preserve"> in Docket No. 130199-EI</w:t>
      </w:r>
      <w:r w:rsidR="00777AE3">
        <w:t xml:space="preserve">. </w:t>
      </w:r>
      <w:r w:rsidR="002A34AC">
        <w:t xml:space="preserve"> </w:t>
      </w:r>
      <w:r w:rsidR="00777AE3">
        <w:t>However, SACE argues th</w:t>
      </w:r>
      <w:r w:rsidR="002A34AC">
        <w:t>at th</w:t>
      </w:r>
      <w:r w:rsidR="00777AE3">
        <w:t xml:space="preserve">e issue in this docket, pursuant to Section 403.519, F.S., </w:t>
      </w:r>
      <w:r w:rsidR="002A34AC">
        <w:t xml:space="preserve">is </w:t>
      </w:r>
      <w:r w:rsidR="00777AE3">
        <w:t xml:space="preserve">whether there are </w:t>
      </w:r>
      <w:r w:rsidR="002A34AC">
        <w:t xml:space="preserve">additional </w:t>
      </w:r>
      <w:r w:rsidR="00777AE3">
        <w:t>“reasonably available” conservation measures that may mitigate FPL’s need for the OCEC Unit 1</w:t>
      </w:r>
      <w:r w:rsidR="002A34AC">
        <w:t>, which</w:t>
      </w:r>
      <w:r w:rsidR="00777AE3">
        <w:t xml:space="preserve"> is distinct from the issue of “appropriate” or “reasonably achievable” conservation measures.</w:t>
      </w:r>
      <w:r w:rsidR="00771B36">
        <w:t xml:space="preserve"> </w:t>
      </w:r>
      <w:r w:rsidR="00777AE3">
        <w:t>Therefore, SACE asserts</w:t>
      </w:r>
      <w:r>
        <w:t xml:space="preserve"> </w:t>
      </w:r>
      <w:r w:rsidR="00777AE3">
        <w:t>because the issue in th</w:t>
      </w:r>
      <w:r w:rsidR="00996C0E">
        <w:t>is</w:t>
      </w:r>
      <w:r w:rsidR="00777AE3">
        <w:t xml:space="preserve"> docket and Docket No. 130199-EI</w:t>
      </w:r>
      <w:r w:rsidR="00996C0E">
        <w:t xml:space="preserve"> are separate and distinct,</w:t>
      </w:r>
      <w:r w:rsidR="00777AE3">
        <w:t xml:space="preserve"> </w:t>
      </w:r>
      <w:r>
        <w:t xml:space="preserve">administrative finality, collateral estoppel, and </w:t>
      </w:r>
      <w:r w:rsidRPr="002A34AC">
        <w:rPr>
          <w:i/>
        </w:rPr>
        <w:t>res judicata</w:t>
      </w:r>
      <w:r>
        <w:t xml:space="preserve"> are not applicable</w:t>
      </w:r>
      <w:r w:rsidR="00996C0E">
        <w:t>.</w:t>
      </w:r>
      <w:r w:rsidR="00123929">
        <w:t xml:space="preserve">  </w:t>
      </w:r>
      <w:r w:rsidR="00996C0E">
        <w:t>B</w:t>
      </w:r>
      <w:r w:rsidR="00123929">
        <w:t xml:space="preserve">ecause there is no legal basis for striking or excluding </w:t>
      </w:r>
      <w:r w:rsidR="002A34AC">
        <w:t>Witness</w:t>
      </w:r>
      <w:r w:rsidR="00123929">
        <w:t xml:space="preserve"> Mims’ testimony, SACE further argues that to strike</w:t>
      </w:r>
      <w:r w:rsidR="00996C0E">
        <w:t xml:space="preserve"> testimony</w:t>
      </w:r>
      <w:r w:rsidR="00123929">
        <w:t xml:space="preserve"> based on administrative efficiency would be erroneous as a matter of law. </w:t>
      </w:r>
    </w:p>
    <w:p w:rsidR="00DB4A0E" w:rsidRDefault="00DB4A0E" w:rsidP="00CF7905">
      <w:pPr>
        <w:pStyle w:val="OrderBody"/>
        <w:rPr>
          <w:u w:val="single"/>
        </w:rPr>
      </w:pPr>
    </w:p>
    <w:p w:rsidR="00481BC5" w:rsidRDefault="00481BC5">
      <w:pPr>
        <w:rPr>
          <w:u w:val="single"/>
        </w:rPr>
      </w:pPr>
      <w:r>
        <w:rPr>
          <w:u w:val="single"/>
        </w:rPr>
        <w:br w:type="page"/>
      </w:r>
    </w:p>
    <w:p w:rsidR="00481BC5" w:rsidRDefault="00481BC5" w:rsidP="00CF7905">
      <w:pPr>
        <w:pStyle w:val="OrderBody"/>
        <w:rPr>
          <w:u w:val="single"/>
        </w:rPr>
      </w:pPr>
    </w:p>
    <w:p w:rsidR="00481BC5" w:rsidRDefault="00481BC5" w:rsidP="00CF7905">
      <w:pPr>
        <w:pStyle w:val="OrderBody"/>
        <w:rPr>
          <w:u w:val="single"/>
        </w:rPr>
      </w:pPr>
    </w:p>
    <w:p w:rsidR="0041351D" w:rsidRDefault="00C95E74" w:rsidP="00CF7905">
      <w:pPr>
        <w:pStyle w:val="OrderBody"/>
        <w:rPr>
          <w:u w:val="single"/>
        </w:rPr>
      </w:pPr>
      <w:r>
        <w:rPr>
          <w:u w:val="single"/>
        </w:rPr>
        <w:t>Ruling</w:t>
      </w:r>
    </w:p>
    <w:p w:rsidR="00F47AE8" w:rsidRDefault="00F47AE8" w:rsidP="00CF7905">
      <w:pPr>
        <w:pStyle w:val="OrderBody"/>
        <w:rPr>
          <w:u w:val="single"/>
        </w:rPr>
      </w:pPr>
    </w:p>
    <w:p w:rsidR="00586800" w:rsidRDefault="00586800" w:rsidP="00CF7905">
      <w:pPr>
        <w:ind w:firstLine="720"/>
        <w:jc w:val="both"/>
      </w:pPr>
      <w:r>
        <w:t>FPL argues that SACE attempts to challenge the</w:t>
      </w:r>
      <w:r w:rsidR="002A34AC">
        <w:t xml:space="preserve"> Commission’s final order in D</w:t>
      </w:r>
      <w:r>
        <w:t xml:space="preserve">ocket </w:t>
      </w:r>
      <w:r w:rsidR="002A34AC">
        <w:t>No. 130199-EI, through W</w:t>
      </w:r>
      <w:r>
        <w:t xml:space="preserve">itness Mims’ testimony, is barred by the doctrine of administrative finality.   </w:t>
      </w:r>
      <w:r w:rsidR="005C5C3C">
        <w:t>The doctrine of adm</w:t>
      </w:r>
      <w:r w:rsidR="002A34AC">
        <w:t>inistrative finality applies to</w:t>
      </w:r>
      <w:r w:rsidR="005C5C3C">
        <w:t xml:space="preserve"> final orders</w:t>
      </w:r>
      <w:r w:rsidR="002A34AC">
        <w:t xml:space="preserve"> of the Commission</w:t>
      </w:r>
      <w:r w:rsidR="005C5C3C">
        <w:t xml:space="preserve">, and both the parties and the public are entitled to final agency orders they can rely upon. </w:t>
      </w:r>
      <w:r w:rsidR="005C5C3C" w:rsidRPr="0028723A">
        <w:t xml:space="preserve"> </w:t>
      </w:r>
      <w:r w:rsidRPr="0028723A">
        <w:t xml:space="preserve">While </w:t>
      </w:r>
      <w:r>
        <w:t>an agency’s po</w:t>
      </w:r>
      <w:r w:rsidRPr="0028723A">
        <w:t xml:space="preserve">wer to modify </w:t>
      </w:r>
      <w:r>
        <w:t>its</w:t>
      </w:r>
      <w:r w:rsidRPr="0028723A">
        <w:t xml:space="preserve"> orders is "inherent by reason of the nature of the agency and the functions it is empowered to perform," this power is not without limitation.</w:t>
      </w:r>
      <w:r w:rsidR="002A34AC">
        <w:rPr>
          <w:rStyle w:val="FootnoteReference"/>
        </w:rPr>
        <w:footnoteReference w:id="8"/>
      </w:r>
      <w:r>
        <w:t xml:space="preserve">   FPL </w:t>
      </w:r>
      <w:r w:rsidRPr="0028723A">
        <w:t xml:space="preserve">correctly describes the doctrine of administrative finality, which limits such power as stated </w:t>
      </w:r>
      <w:r w:rsidR="002A34AC">
        <w:t xml:space="preserve">by the Florida Supreme Court </w:t>
      </w:r>
      <w:r w:rsidRPr="0028723A">
        <w:t xml:space="preserve">in </w:t>
      </w:r>
      <w:r w:rsidRPr="0028723A">
        <w:rPr>
          <w:u w:val="single"/>
        </w:rPr>
        <w:t>Peoples Gas v. Mason</w:t>
      </w:r>
      <w:r>
        <w:t xml:space="preserve">: </w:t>
      </w:r>
    </w:p>
    <w:p w:rsidR="00586800" w:rsidRDefault="00586800" w:rsidP="00CF7905">
      <w:pPr>
        <w:jc w:val="both"/>
      </w:pPr>
    </w:p>
    <w:p w:rsidR="00586800" w:rsidRDefault="008112F1" w:rsidP="002A34AC">
      <w:pPr>
        <w:ind w:left="720" w:right="810"/>
        <w:jc w:val="both"/>
      </w:pPr>
      <w:r>
        <w:t>[</w:t>
      </w:r>
      <w:r w:rsidR="00586800" w:rsidRPr="0028723A">
        <w:t>O</w:t>
      </w:r>
      <w:r>
        <w:t>]</w:t>
      </w:r>
      <w:r w:rsidR="00586800" w:rsidRPr="0028723A">
        <w:t xml:space="preserve">rders of administrative agencies must eventually pass out of the agency's control and become final and no longer subject to modification. This rule assures that there will be a terminal point in every proceeding at which the parties and the public may rely on a decision of such an agency as being final and dispositive of the rights and issues involved therein. This is, of course, the same rule that governs the finality of decisions of courts. It is as essential with respect to orders of administrative bodies as with those of courts. </w:t>
      </w:r>
    </w:p>
    <w:p w:rsidR="00586800" w:rsidRDefault="00586800" w:rsidP="00CF7905">
      <w:pPr>
        <w:ind w:left="720"/>
        <w:jc w:val="both"/>
      </w:pPr>
    </w:p>
    <w:p w:rsidR="005C5C3C" w:rsidRDefault="002A34AC" w:rsidP="00CF7905">
      <w:pPr>
        <w:jc w:val="both"/>
      </w:pPr>
      <w:r w:rsidRPr="0028723A">
        <w:rPr>
          <w:u w:val="single"/>
        </w:rPr>
        <w:t>Peoples Gas v. Mason,</w:t>
      </w:r>
      <w:r>
        <w:t xml:space="preserve"> 187 So. 2d 335, 339 (Fla. 1966).</w:t>
      </w:r>
      <w:r>
        <w:rPr>
          <w:rStyle w:val="FootnoteReference"/>
        </w:rPr>
        <w:footnoteReference w:id="9"/>
      </w:r>
    </w:p>
    <w:p w:rsidR="002A34AC" w:rsidRDefault="002A34AC" w:rsidP="00CF7905">
      <w:pPr>
        <w:ind w:firstLine="720"/>
        <w:jc w:val="both"/>
      </w:pPr>
    </w:p>
    <w:p w:rsidR="00CA4697" w:rsidRDefault="005C5C3C" w:rsidP="00CF7905">
      <w:pPr>
        <w:ind w:firstLine="720"/>
        <w:jc w:val="both"/>
      </w:pPr>
      <w:r>
        <w:t>E</w:t>
      </w:r>
      <w:r w:rsidR="005C2C58">
        <w:t>ven when finali</w:t>
      </w:r>
      <w:r w:rsidR="007E1E26">
        <w:t xml:space="preserve">ty has attached to an order, </w:t>
      </w:r>
      <w:r w:rsidR="003B03B1">
        <w:t>the Commission has</w:t>
      </w:r>
      <w:r w:rsidR="007E1E26">
        <w:t xml:space="preserve"> limited authority to modify prior orders where </w:t>
      </w:r>
      <w:r w:rsidR="005B4C9C">
        <w:t xml:space="preserve">public interest warrants </w:t>
      </w:r>
      <w:r w:rsidR="007E1E26">
        <w:t xml:space="preserve">such modification because of changes in </w:t>
      </w:r>
      <w:r w:rsidR="005B4C9C">
        <w:t>conditions</w:t>
      </w:r>
      <w:r w:rsidR="007E1E26">
        <w:t xml:space="preserve"> or </w:t>
      </w:r>
      <w:r w:rsidR="005B4C9C">
        <w:t>circumstances</w:t>
      </w:r>
      <w:r w:rsidR="007E1E26">
        <w:t xml:space="preserve"> not present in </w:t>
      </w:r>
      <w:r w:rsidR="005B4C9C">
        <w:t>the previous proceedings.</w:t>
      </w:r>
      <w:r w:rsidR="005B4C9C">
        <w:rPr>
          <w:rStyle w:val="FootnoteReference"/>
        </w:rPr>
        <w:footnoteReference w:id="10"/>
      </w:r>
      <w:r w:rsidR="00CA4697">
        <w:t xml:space="preserve"> </w:t>
      </w:r>
      <w:r>
        <w:t xml:space="preserve"> However, that is not the case here.  </w:t>
      </w:r>
    </w:p>
    <w:p w:rsidR="00C12B08" w:rsidRDefault="00C12B08" w:rsidP="00CF7905">
      <w:pPr>
        <w:jc w:val="both"/>
      </w:pPr>
    </w:p>
    <w:p w:rsidR="00151918" w:rsidRDefault="002D3BC6" w:rsidP="00CF7905">
      <w:pPr>
        <w:ind w:firstLine="720"/>
        <w:jc w:val="both"/>
      </w:pPr>
      <w:r>
        <w:t>The Commission’s F</w:t>
      </w:r>
      <w:r w:rsidR="00151918">
        <w:t xml:space="preserve">inal </w:t>
      </w:r>
      <w:r>
        <w:t>O</w:t>
      </w:r>
      <w:r w:rsidR="00151918">
        <w:t xml:space="preserve">rder in Docket No. 130199-EI sets numeric conservation goals for FPL. </w:t>
      </w:r>
      <w:r w:rsidR="003B03B1">
        <w:t xml:space="preserve"> </w:t>
      </w:r>
      <w:r>
        <w:t>I</w:t>
      </w:r>
      <w:r w:rsidR="003B03B1">
        <w:t>n that proceeding, the Commission</w:t>
      </w:r>
      <w:r w:rsidR="00151918">
        <w:t xml:space="preserve"> took into consideration evidence proffered by SACE regarding the methodology used by FPL to set conservation goals.  The issues already resolved in Order No. PSC-14-0696-FOF-EU, issued in Docket No. 130199-EI, are not appropriate issues to be raised in this docket.</w:t>
      </w:r>
    </w:p>
    <w:p w:rsidR="00151918" w:rsidRDefault="00151918" w:rsidP="00CF7905">
      <w:pPr>
        <w:ind w:firstLine="720"/>
        <w:jc w:val="both"/>
      </w:pPr>
    </w:p>
    <w:p w:rsidR="000F5E64" w:rsidRDefault="00151918" w:rsidP="00CF7905">
      <w:pPr>
        <w:ind w:firstLine="720"/>
        <w:jc w:val="both"/>
      </w:pPr>
      <w:r>
        <w:t xml:space="preserve"> SACE’s argument  that </w:t>
      </w:r>
      <w:r w:rsidR="003B03B1">
        <w:t>W</w:t>
      </w:r>
      <w:r>
        <w:t>itness Mims’ testimony does not challenge Final Order No.</w:t>
      </w:r>
      <w:r w:rsidRPr="00CF74DC">
        <w:t xml:space="preserve"> PSC-</w:t>
      </w:r>
      <w:r>
        <w:t>14-0696-FOF-EU is incorrec</w:t>
      </w:r>
      <w:r w:rsidR="003B03B1">
        <w:t>t given the sum and content of W</w:t>
      </w:r>
      <w:r>
        <w:t xml:space="preserve">itness Mims’ testimony.  </w:t>
      </w:r>
      <w:r w:rsidR="002D3BC6">
        <w:t>U</w:t>
      </w:r>
      <w:r w:rsidR="003B03B1">
        <w:t>nlike the testimony of SACE W</w:t>
      </w:r>
      <w:r w:rsidR="005C5C3C">
        <w:t xml:space="preserve">itness Wilson, a review of witness Mims’ testimony shows that the issue of whether reasonably available alternative conservation measures, in addition to the </w:t>
      </w:r>
      <w:r w:rsidR="005C5C3C">
        <w:lastRenderedPageBreak/>
        <w:t xml:space="preserve">DSM reasonably achievable goals, is not addressed.  In fact, </w:t>
      </w:r>
      <w:r w:rsidR="003B03B1">
        <w:t>W</w:t>
      </w:r>
      <w:r>
        <w:t>itness Mims’</w:t>
      </w:r>
      <w:r w:rsidR="005C5C3C">
        <w:t xml:space="preserve"> testimony </w:t>
      </w:r>
      <w:r w:rsidR="00F5528C">
        <w:t>contradicts</w:t>
      </w:r>
      <w:r w:rsidR="005C5C3C">
        <w:t xml:space="preserve"> SACE’s arguments</w:t>
      </w:r>
      <w:r w:rsidR="009F5D87">
        <w:t xml:space="preserve"> in </w:t>
      </w:r>
      <w:r w:rsidR="00F5528C">
        <w:t>opposition</w:t>
      </w:r>
      <w:r w:rsidR="009F5D87">
        <w:t xml:space="preserve"> to FPL’s motion that SACE</w:t>
      </w:r>
      <w:r w:rsidR="005C5C3C">
        <w:t xml:space="preserve"> does not seek to challenge </w:t>
      </w:r>
      <w:r w:rsidR="009F5D87">
        <w:t>the Commission’s</w:t>
      </w:r>
      <w:r w:rsidR="005C5C3C">
        <w:t xml:space="preserve"> final order in Docket 130199-EI. </w:t>
      </w:r>
    </w:p>
    <w:p w:rsidR="000F5E64" w:rsidRDefault="000F5E64" w:rsidP="00CF7905">
      <w:pPr>
        <w:ind w:firstLine="720"/>
        <w:jc w:val="both"/>
      </w:pPr>
    </w:p>
    <w:p w:rsidR="009F5D87" w:rsidRDefault="000F5E64" w:rsidP="00CF7905">
      <w:pPr>
        <w:ind w:firstLine="720"/>
        <w:jc w:val="both"/>
      </w:pPr>
      <w:r>
        <w:t xml:space="preserve"> </w:t>
      </w:r>
      <w:r w:rsidR="009F5D87">
        <w:t>As outlined in a</w:t>
      </w:r>
      <w:r>
        <w:t>ttachment A to FPL’s</w:t>
      </w:r>
      <w:r w:rsidR="009F5D87">
        <w:t xml:space="preserve"> motion, the arguments made by W</w:t>
      </w:r>
      <w:r>
        <w:t xml:space="preserve">itness Mims’ testimony in this docket  </w:t>
      </w:r>
      <w:r w:rsidR="009F5D87">
        <w:t>are</w:t>
      </w:r>
      <w:r>
        <w:t xml:space="preserve"> virtually identical to her testimony filed in Docket 130199-EI.</w:t>
      </w:r>
      <w:r w:rsidR="009F5D87">
        <w:rPr>
          <w:rStyle w:val="FootnoteReference"/>
        </w:rPr>
        <w:footnoteReference w:id="11"/>
      </w:r>
      <w:r>
        <w:t xml:space="preserve"> </w:t>
      </w:r>
      <w:r w:rsidR="005C5C3C">
        <w:t xml:space="preserve"> </w:t>
      </w:r>
      <w:r w:rsidR="009F5D87">
        <w:t>In the 18 page Direct T</w:t>
      </w:r>
      <w:r w:rsidR="005C5C3C" w:rsidRPr="00CF74DC">
        <w:t>estimony filed by Witness Mims in this docket on behalf of SACE, there are</w:t>
      </w:r>
      <w:r w:rsidR="009F5D87">
        <w:t xml:space="preserve"> over</w:t>
      </w:r>
      <w:r w:rsidR="005C5C3C" w:rsidRPr="00CF74DC">
        <w:t xml:space="preserve"> 2</w:t>
      </w:r>
      <w:r w:rsidR="009F5D87">
        <w:t>0</w:t>
      </w:r>
      <w:r w:rsidR="005C5C3C" w:rsidRPr="00CF74DC">
        <w:t xml:space="preserve"> references to </w:t>
      </w:r>
      <w:r w:rsidR="005C5C3C">
        <w:t>D</w:t>
      </w:r>
      <w:r w:rsidR="005C5C3C" w:rsidRPr="00CF74DC">
        <w:t xml:space="preserve">ocket No. 130199-EI. </w:t>
      </w:r>
      <w:r w:rsidR="005C5C3C">
        <w:t xml:space="preserve">Tellingly, </w:t>
      </w:r>
      <w:r w:rsidR="009F5D87">
        <w:t>Witness Mims’</w:t>
      </w:r>
      <w:r w:rsidR="005C5C3C">
        <w:t xml:space="preserve"> testimony does not address FPL’s witnesses’ testimony filed in the instant docket</w:t>
      </w:r>
      <w:r w:rsidR="009F5D87">
        <w:t>.  Instead, Witness Mims’ testimony</w:t>
      </w:r>
      <w:r w:rsidR="005C5C3C">
        <w:t xml:space="preserve"> </w:t>
      </w:r>
      <w:r w:rsidR="005C5C3C" w:rsidRPr="00CF74DC">
        <w:t>challenges the direct testimony of FPL’s witnesses in Docket 130199-EI</w:t>
      </w:r>
      <w:r w:rsidR="005C5C3C">
        <w:t>, inc</w:t>
      </w:r>
      <w:r w:rsidR="009F5D87">
        <w:t>luding the testimony of  FPL’s W</w:t>
      </w:r>
      <w:r w:rsidR="005C5C3C">
        <w:t xml:space="preserve">itness Koch, who is not a witness in this proceeding.  </w:t>
      </w:r>
    </w:p>
    <w:p w:rsidR="009F5D87" w:rsidRDefault="009F5D87" w:rsidP="00CF7905">
      <w:pPr>
        <w:ind w:firstLine="720"/>
        <w:jc w:val="both"/>
      </w:pPr>
    </w:p>
    <w:p w:rsidR="00E541A4" w:rsidRDefault="005C5C3C" w:rsidP="00CF7905">
      <w:pPr>
        <w:ind w:firstLine="720"/>
        <w:jc w:val="both"/>
      </w:pPr>
      <w:r>
        <w:t>T</w:t>
      </w:r>
      <w:r w:rsidRPr="00CF74DC">
        <w:t xml:space="preserve">he testimony clearly challenges </w:t>
      </w:r>
      <w:r w:rsidR="00F5528C">
        <w:t xml:space="preserve">the Commission’s </w:t>
      </w:r>
      <w:r w:rsidRPr="00CF74DC">
        <w:t xml:space="preserve">findings in </w:t>
      </w:r>
      <w:r w:rsidR="00F5528C">
        <w:t xml:space="preserve">the </w:t>
      </w:r>
      <w:r>
        <w:t>final o</w:t>
      </w:r>
      <w:r w:rsidRPr="00CF74DC">
        <w:t xml:space="preserve">rder </w:t>
      </w:r>
      <w:r w:rsidR="009F5D87">
        <w:t xml:space="preserve">in Docket No. 130199-EI </w:t>
      </w:r>
      <w:r w:rsidRPr="00CF74DC">
        <w:t>by stating that FPL</w:t>
      </w:r>
      <w:r>
        <w:t xml:space="preserve">’s calculations are flawed because it </w:t>
      </w:r>
      <w:r w:rsidRPr="00CF74DC">
        <w:t xml:space="preserve">used erroneous methodology in </w:t>
      </w:r>
      <w:r w:rsidR="009F5D87">
        <w:t>that d</w:t>
      </w:r>
      <w:r w:rsidRPr="00CF74DC">
        <w:t>ocket</w:t>
      </w:r>
      <w:r>
        <w:t xml:space="preserve">.  </w:t>
      </w:r>
      <w:r w:rsidR="009F5D87">
        <w:t xml:space="preserve">Witness Mims’ </w:t>
      </w:r>
      <w:r w:rsidRPr="00CF74DC">
        <w:t xml:space="preserve">testimony </w:t>
      </w:r>
      <w:r>
        <w:t xml:space="preserve">attempts to </w:t>
      </w:r>
      <w:r w:rsidRPr="00CF74DC">
        <w:t xml:space="preserve">advance SACE’s arguments rejected by </w:t>
      </w:r>
      <w:r>
        <w:t xml:space="preserve">Final </w:t>
      </w:r>
      <w:r w:rsidRPr="00CF74DC">
        <w:t>Order PSC-</w:t>
      </w:r>
      <w:r>
        <w:t xml:space="preserve">14-0696-FOF-EU, by </w:t>
      </w:r>
      <w:r w:rsidRPr="00CF74DC">
        <w:t xml:space="preserve">stating that </w:t>
      </w:r>
      <w:r>
        <w:t xml:space="preserve">the energy efficiency goals proposed by </w:t>
      </w:r>
      <w:r w:rsidRPr="00CF74DC">
        <w:t>SACE</w:t>
      </w:r>
      <w:r>
        <w:t xml:space="preserve"> would have</w:t>
      </w:r>
      <w:r w:rsidR="00007BFC">
        <w:t xml:space="preserve"> resulted in more savings than </w:t>
      </w:r>
      <w:r>
        <w:t>what the</w:t>
      </w:r>
      <w:r w:rsidR="002D3BC6">
        <w:t xml:space="preserve"> Commission ultimately approved.</w:t>
      </w:r>
      <w:r>
        <w:t xml:space="preserve">   </w:t>
      </w:r>
      <w:r w:rsidR="00007BFC">
        <w:t xml:space="preserve">Furthermore, Witness Mims’ Direct Testimony </w:t>
      </w:r>
      <w:r w:rsidR="00BC7B1B">
        <w:t>Exhibit NAM-2 is the same exhibit</w:t>
      </w:r>
      <w:r w:rsidR="00007BFC">
        <w:t xml:space="preserve"> that was attached to her </w:t>
      </w:r>
      <w:r w:rsidR="00BC7B1B">
        <w:t xml:space="preserve">testimony </w:t>
      </w:r>
      <w:r w:rsidR="00007BFC">
        <w:t xml:space="preserve">filed </w:t>
      </w:r>
      <w:r w:rsidR="00BC7B1B">
        <w:t xml:space="preserve">in Docket No. 130199-EI.  </w:t>
      </w:r>
      <w:r w:rsidR="00E541A4" w:rsidRPr="00BC7B1B">
        <w:t>Thus</w:t>
      </w:r>
      <w:r w:rsidR="00E541A4">
        <w:t xml:space="preserve">, I find </w:t>
      </w:r>
      <w:r w:rsidR="00007BFC">
        <w:t>Witness Mims</w:t>
      </w:r>
      <w:r w:rsidR="00481BC5">
        <w:t>’ testimony</w:t>
      </w:r>
      <w:r w:rsidR="00E541A4">
        <w:t xml:space="preserve"> to be an attempt to inappropriately revisit the evidence and findings </w:t>
      </w:r>
      <w:r w:rsidR="00007BFC">
        <w:t xml:space="preserve">of this Commission </w:t>
      </w:r>
      <w:r w:rsidR="00E541A4">
        <w:t xml:space="preserve">in Docket 130199-EI and </w:t>
      </w:r>
      <w:r w:rsidR="00007BFC">
        <w:t>an</w:t>
      </w:r>
      <w:r w:rsidR="00E541A4">
        <w:t xml:space="preserve"> untimely</w:t>
      </w:r>
      <w:r w:rsidR="00481BC5">
        <w:t xml:space="preserve"> </w:t>
      </w:r>
      <w:r w:rsidR="00E541A4">
        <w:t xml:space="preserve">challenge </w:t>
      </w:r>
      <w:r w:rsidR="00481BC5">
        <w:t xml:space="preserve">to </w:t>
      </w:r>
      <w:r w:rsidR="00E541A4">
        <w:t xml:space="preserve">Final Order </w:t>
      </w:r>
      <w:r w:rsidR="00E541A4" w:rsidRPr="00CF74DC">
        <w:t>PSC-</w:t>
      </w:r>
      <w:r w:rsidR="00E541A4">
        <w:t xml:space="preserve">14-0696-FOF-EU.  </w:t>
      </w:r>
    </w:p>
    <w:p w:rsidR="00151918" w:rsidRDefault="00151918" w:rsidP="00CF7905">
      <w:pPr>
        <w:ind w:firstLine="720"/>
        <w:jc w:val="both"/>
      </w:pPr>
    </w:p>
    <w:p w:rsidR="00E541A4" w:rsidRDefault="00151918" w:rsidP="00CF7905">
      <w:pPr>
        <w:ind w:firstLine="720"/>
        <w:jc w:val="both"/>
      </w:pPr>
      <w:r>
        <w:t>I</w:t>
      </w:r>
      <w:r w:rsidR="007E4FFC">
        <w:t xml:space="preserve"> agree </w:t>
      </w:r>
      <w:r w:rsidR="00664F28">
        <w:t xml:space="preserve">that, </w:t>
      </w:r>
      <w:r w:rsidR="007E4FFC">
        <w:t xml:space="preserve">pursuant to </w:t>
      </w:r>
      <w:r w:rsidR="00664F28">
        <w:t>S</w:t>
      </w:r>
      <w:r w:rsidR="007E4FFC">
        <w:t xml:space="preserve">ection 403.519, F.S., </w:t>
      </w:r>
      <w:r w:rsidR="00664F28">
        <w:t xml:space="preserve">SACE </w:t>
      </w:r>
      <w:r w:rsidR="007E4FFC">
        <w:t xml:space="preserve">may offer testimony and provide evidence of </w:t>
      </w:r>
      <w:r w:rsidR="00007BFC">
        <w:rPr>
          <w:u w:val="single"/>
        </w:rPr>
        <w:t>additional</w:t>
      </w:r>
      <w:r w:rsidR="00007BFC" w:rsidRPr="00007BFC">
        <w:t xml:space="preserve"> </w:t>
      </w:r>
      <w:r w:rsidR="007E4FFC">
        <w:t xml:space="preserve">conservation measures that are reasonably available to FPL </w:t>
      </w:r>
      <w:r w:rsidR="00007BFC">
        <w:t>that</w:t>
      </w:r>
      <w:r w:rsidR="007E4FFC">
        <w:t xml:space="preserve"> may mitigate the need for the proposed power plant.   </w:t>
      </w:r>
      <w:r w:rsidR="00007BFC">
        <w:t>Witness Mims’</w:t>
      </w:r>
      <w:r w:rsidR="007E4FFC">
        <w:t xml:space="preserve"> testimony </w:t>
      </w:r>
      <w:r w:rsidR="002D3BC6">
        <w:t xml:space="preserve">does not </w:t>
      </w:r>
      <w:r w:rsidR="007E4FFC">
        <w:t xml:space="preserve">accomplish what it is purported to do in </w:t>
      </w:r>
      <w:r w:rsidR="0097767D">
        <w:t>SACE’s response</w:t>
      </w:r>
      <w:r w:rsidR="00007BFC">
        <w:t xml:space="preserve"> to FPL’s motion (</w:t>
      </w:r>
      <w:r w:rsidR="00664F28">
        <w:t>i.e.</w:t>
      </w:r>
      <w:r w:rsidR="00007BFC">
        <w:t>,</w:t>
      </w:r>
      <w:r w:rsidR="00664F28">
        <w:t xml:space="preserve"> </w:t>
      </w:r>
      <w:r w:rsidR="007E4FFC">
        <w:t>proffer evidence of additional reasonably ava</w:t>
      </w:r>
      <w:r w:rsidR="00007BFC">
        <w:t>ilable conservation measures)</w:t>
      </w:r>
      <w:r w:rsidR="007E4FFC">
        <w:t xml:space="preserve">. </w:t>
      </w:r>
      <w:r w:rsidR="002D3BC6">
        <w:t>U</w:t>
      </w:r>
      <w:r w:rsidR="007E4FFC">
        <w:t>pon review of</w:t>
      </w:r>
      <w:r w:rsidR="0097767D">
        <w:t xml:space="preserve"> the portions of</w:t>
      </w:r>
      <w:r w:rsidR="007E4FFC">
        <w:t xml:space="preserve"> </w:t>
      </w:r>
      <w:r w:rsidR="00994141">
        <w:t>Witness</w:t>
      </w:r>
      <w:r w:rsidR="007E4FFC">
        <w:t xml:space="preserve"> Mims’ testimo</w:t>
      </w:r>
      <w:r>
        <w:t xml:space="preserve">ny that FPL moves to strike, I </w:t>
      </w:r>
      <w:r w:rsidR="007E4FFC">
        <w:t xml:space="preserve">find that </w:t>
      </w:r>
      <w:r w:rsidR="00664F28">
        <w:t>the effect of allowing it in the record would be al</w:t>
      </w:r>
      <w:r w:rsidR="00994141">
        <w:t xml:space="preserve">lowing SACE to re-litigate </w:t>
      </w:r>
      <w:r w:rsidR="00F5528C">
        <w:t>the Commission’s</w:t>
      </w:r>
      <w:r w:rsidR="00994141">
        <w:t xml:space="preserve"> </w:t>
      </w:r>
      <w:r w:rsidR="002D3BC6">
        <w:t>F</w:t>
      </w:r>
      <w:r w:rsidR="00664F28">
        <w:t xml:space="preserve">inal </w:t>
      </w:r>
      <w:r w:rsidR="002D3BC6">
        <w:t>O</w:t>
      </w:r>
      <w:r w:rsidR="007E4FFC">
        <w:t xml:space="preserve">rder </w:t>
      </w:r>
      <w:r w:rsidR="00994141">
        <w:t>in Docket No. 130199-EI</w:t>
      </w:r>
      <w:r w:rsidR="0097767D">
        <w:t xml:space="preserve">.  </w:t>
      </w:r>
      <w:r w:rsidR="00E541A4">
        <w:t xml:space="preserve"> </w:t>
      </w:r>
      <w:r w:rsidR="00994141">
        <w:t>Moreover</w:t>
      </w:r>
      <w:r w:rsidR="005055C4">
        <w:t xml:space="preserve">, </w:t>
      </w:r>
      <w:r w:rsidR="00E541A4">
        <w:t xml:space="preserve">I </w:t>
      </w:r>
      <w:r w:rsidR="005055C4">
        <w:t xml:space="preserve">find no change in circumstances or conditions that would require us, in the public interest, to modify </w:t>
      </w:r>
      <w:r w:rsidR="00994141">
        <w:t xml:space="preserve">Final </w:t>
      </w:r>
      <w:r w:rsidR="005055C4">
        <w:t>Order No. PSC-14-0696-FOF-EU.</w:t>
      </w:r>
      <w:r w:rsidR="00E541A4">
        <w:t xml:space="preserve">  </w:t>
      </w:r>
      <w:r w:rsidR="002D3BC6">
        <w:t xml:space="preserve">Finally, in making this ruling, I do not need to address the arguments regarding collateral estoppel, </w:t>
      </w:r>
      <w:r w:rsidR="002D3BC6" w:rsidRPr="002A34AC">
        <w:rPr>
          <w:i/>
        </w:rPr>
        <w:t>res judicata</w:t>
      </w:r>
      <w:r w:rsidR="002D3BC6">
        <w:t xml:space="preserve">, or administrative efficiency.  </w:t>
      </w:r>
    </w:p>
    <w:p w:rsidR="000B4075" w:rsidRDefault="000B4075" w:rsidP="00CF7905">
      <w:pPr>
        <w:ind w:firstLine="720"/>
        <w:jc w:val="both"/>
      </w:pPr>
    </w:p>
    <w:p w:rsidR="00994141" w:rsidRDefault="005055C4" w:rsidP="00994141">
      <w:pPr>
        <w:ind w:firstLine="720"/>
        <w:jc w:val="both"/>
      </w:pPr>
      <w:r>
        <w:t>For the reasons state</w:t>
      </w:r>
      <w:r w:rsidR="00E541A4">
        <w:t>d</w:t>
      </w:r>
      <w:r>
        <w:t xml:space="preserve"> above, </w:t>
      </w:r>
      <w:r w:rsidR="00994141">
        <w:t>the portions of W</w:t>
      </w:r>
      <w:r w:rsidR="00E541A4">
        <w:t xml:space="preserve">itness Mims’ testimony, </w:t>
      </w:r>
      <w:r>
        <w:t xml:space="preserve"> </w:t>
      </w:r>
      <w:r w:rsidR="00425310">
        <w:t xml:space="preserve">Page 2, Line 6, </w:t>
      </w:r>
      <w:r w:rsidR="00994141">
        <w:t>P</w:t>
      </w:r>
      <w:r>
        <w:t xml:space="preserve">age 5, </w:t>
      </w:r>
      <w:r w:rsidR="00994141">
        <w:t>L</w:t>
      </w:r>
      <w:r>
        <w:t>ine 9 (starting at “in the FE</w:t>
      </w:r>
      <w:r w:rsidR="00994141">
        <w:t>ECA docket…”) through Page 16, L</w:t>
      </w:r>
      <w:r>
        <w:t xml:space="preserve">ine 19, and Page 17, </w:t>
      </w:r>
      <w:r w:rsidR="00994141">
        <w:t>L</w:t>
      </w:r>
      <w:r>
        <w:t xml:space="preserve">ine 7 (starting </w:t>
      </w:r>
      <w:r w:rsidR="00994141">
        <w:t>with “FPL continues…”) through L</w:t>
      </w:r>
      <w:r>
        <w:t>ine 18</w:t>
      </w:r>
      <w:r w:rsidR="00E541A4">
        <w:t xml:space="preserve">, as shown in Attachment </w:t>
      </w:r>
      <w:r w:rsidR="00481BC5">
        <w:t>“</w:t>
      </w:r>
      <w:r w:rsidR="00E541A4">
        <w:t>A</w:t>
      </w:r>
      <w:r w:rsidR="00481BC5">
        <w:t>”</w:t>
      </w:r>
      <w:r w:rsidR="00E541A4">
        <w:t xml:space="preserve"> to this Order, shall be stricken</w:t>
      </w:r>
      <w:r>
        <w:t xml:space="preserve">.  </w:t>
      </w:r>
      <w:r w:rsidR="00BC7B1B">
        <w:t xml:space="preserve">Exhibit NAM-2 to </w:t>
      </w:r>
      <w:r w:rsidR="00994141">
        <w:t>Witness Mims’</w:t>
      </w:r>
      <w:r w:rsidR="00BC7B1B">
        <w:t xml:space="preserve"> testimony shall also be stricken.  </w:t>
      </w:r>
      <w:r>
        <w:t xml:space="preserve">Page 17, </w:t>
      </w:r>
      <w:r w:rsidR="00994141">
        <w:t>L</w:t>
      </w:r>
      <w:r>
        <w:t xml:space="preserve">ines 3-7 (ending “…efficiency than with less.”) </w:t>
      </w:r>
      <w:r w:rsidR="00994141">
        <w:t xml:space="preserve">of Witness Mims’ testimony </w:t>
      </w:r>
      <w:r>
        <w:t xml:space="preserve">shall not be stricken as it addresses how FPL determines the best generation option in this present proceeding. </w:t>
      </w:r>
      <w:r w:rsidR="00994141">
        <w:t xml:space="preserve"> </w:t>
      </w:r>
    </w:p>
    <w:p w:rsidR="002D3BC6" w:rsidRDefault="002D3BC6"/>
    <w:p w:rsidR="00994141" w:rsidRPr="00481BC5" w:rsidRDefault="002D3BC6" w:rsidP="00994141">
      <w:pPr>
        <w:ind w:firstLine="720"/>
        <w:jc w:val="both"/>
      </w:pPr>
      <w:r>
        <w:t>P</w:t>
      </w:r>
      <w:r w:rsidR="00994141">
        <w:t xml:space="preserve">ursuant to its motion, FPL shall withdraw the portions of FPL Witness Sim’s Rebuttal </w:t>
      </w:r>
      <w:r w:rsidR="00994141" w:rsidRPr="00481BC5">
        <w:t>Testimony discussing the stri</w:t>
      </w:r>
      <w:r w:rsidR="007962C3" w:rsidRPr="00481BC5">
        <w:t>c</w:t>
      </w:r>
      <w:r w:rsidR="00994141" w:rsidRPr="00481BC5">
        <w:t xml:space="preserve">ken portions of Witness Mims’ Direct Testimony, which include:  Page 4, Lines 4-6; Page 6, Line 14; Page 8, Lines 17-23; Page 51, Line 8; Page 51, Lines 10-13; Page 53, Line 19 – Page 58, Line 12; Page 58, Line 17; Page 62, Line 20; Page 62, Line 22 – Page 63, Line 7; Page 63, Lines 8-9; Page 64, Lines 20-22; Exhibit SRS-6: Pages 10-14; and Exhibit SRS-12 in its entirety. </w:t>
      </w:r>
    </w:p>
    <w:p w:rsidR="00994141" w:rsidRDefault="00994141"/>
    <w:p w:rsidR="00751522" w:rsidRDefault="00751522" w:rsidP="00994141">
      <w:pPr>
        <w:pStyle w:val="OrderBody"/>
        <w:ind w:firstLine="720"/>
      </w:pPr>
      <w:r>
        <w:t>Based on the foregoing, it is</w:t>
      </w:r>
    </w:p>
    <w:p w:rsidR="00751522" w:rsidRDefault="00751522" w:rsidP="00CF7905">
      <w:pPr>
        <w:pStyle w:val="OrderBody"/>
      </w:pPr>
    </w:p>
    <w:p w:rsidR="00751522" w:rsidRDefault="00751522" w:rsidP="00CF7905">
      <w:pPr>
        <w:pStyle w:val="OrderBody"/>
      </w:pPr>
      <w:r>
        <w:tab/>
        <w:t>ORDERED by the Florida Public Service Commission that</w:t>
      </w:r>
      <w:r w:rsidR="00BF6FF4">
        <w:t xml:space="preserve"> Florida Power &amp; Light Company’s Motion to Strike or Exclude Portions of the Direct Testimony of Natalie A. Mims, filed on behalf the Southern Alliance for Clean Energy is granted in part and denied in part</w:t>
      </w:r>
      <w:r w:rsidR="00994141">
        <w:t>, as described herein</w:t>
      </w:r>
      <w:r w:rsidR="00BF6FF4">
        <w:t xml:space="preserve">. </w:t>
      </w:r>
      <w:r w:rsidR="00E541A4">
        <w:t xml:space="preserve"> It is further</w:t>
      </w:r>
      <w:r w:rsidR="00994141">
        <w:t>,</w:t>
      </w:r>
      <w:r w:rsidR="00E541A4">
        <w:t xml:space="preserve"> </w:t>
      </w:r>
    </w:p>
    <w:p w:rsidR="00994141" w:rsidRDefault="00994141" w:rsidP="00CF7905">
      <w:pPr>
        <w:pStyle w:val="OrderBody"/>
      </w:pPr>
    </w:p>
    <w:p w:rsidR="00994141" w:rsidRDefault="00994141" w:rsidP="00CF7905">
      <w:pPr>
        <w:pStyle w:val="OrderBody"/>
      </w:pPr>
      <w:r>
        <w:tab/>
        <w:t xml:space="preserve">ORDERED that the Direct Testimony of Natalie A. Mims, filed on behalf the Southern Alliance for Clean Energy shall be </w:t>
      </w:r>
      <w:r w:rsidR="00D55DDC">
        <w:t>stricken</w:t>
      </w:r>
      <w:r>
        <w:t xml:space="preserve"> </w:t>
      </w:r>
      <w:r w:rsidR="00DB4A0E">
        <w:t xml:space="preserve">as </w:t>
      </w:r>
      <w:r>
        <w:t>attached hereto as Attachment “A.”  It is further,</w:t>
      </w:r>
    </w:p>
    <w:p w:rsidR="00E541A4" w:rsidRDefault="00E541A4" w:rsidP="00CF7905">
      <w:pPr>
        <w:pStyle w:val="OrderBody"/>
      </w:pPr>
    </w:p>
    <w:p w:rsidR="00E541A4" w:rsidRDefault="00E541A4" w:rsidP="00CF7905">
      <w:pPr>
        <w:pStyle w:val="OrderBody"/>
      </w:pPr>
      <w:r>
        <w:tab/>
        <w:t xml:space="preserve">ORDERED that </w:t>
      </w:r>
      <w:r w:rsidR="006470A2">
        <w:t>F</w:t>
      </w:r>
      <w:r>
        <w:t xml:space="preserve">lorida </w:t>
      </w:r>
      <w:r w:rsidR="006470A2">
        <w:t>P</w:t>
      </w:r>
      <w:r>
        <w:t>ower &amp; Light Company shall withdraw the portions</w:t>
      </w:r>
      <w:r w:rsidR="00DB4A0E">
        <w:t xml:space="preserve"> of</w:t>
      </w:r>
      <w:r w:rsidR="00D55DDC">
        <w:t xml:space="preserve"> the Rebuttal Testimony of </w:t>
      </w:r>
      <w:r w:rsidR="00DB4A0E">
        <w:t>Dr. Steven R. Sim</w:t>
      </w:r>
      <w:r w:rsidR="007962C3">
        <w:t xml:space="preserve"> </w:t>
      </w:r>
      <w:r w:rsidR="00DB4A0E">
        <w:t xml:space="preserve">outlined herein </w:t>
      </w:r>
      <w:r w:rsidR="00D55DDC">
        <w:t>that address the stricken</w:t>
      </w:r>
      <w:r w:rsidR="00994141">
        <w:t xml:space="preserve"> portions of Witness Mims’ Direct Testimony</w:t>
      </w:r>
      <w:r w:rsidR="00481BC5">
        <w:t xml:space="preserve"> and </w:t>
      </w:r>
      <w:r w:rsidR="00F5528C">
        <w:t xml:space="preserve">shall file </w:t>
      </w:r>
      <w:r w:rsidR="00D55DDC">
        <w:t xml:space="preserve">Amended Rebuttal Testimony of Dr. Steven R. Sim by </w:t>
      </w:r>
      <w:r w:rsidR="00DB4A0E">
        <w:t xml:space="preserve">12:00 </w:t>
      </w:r>
      <w:r w:rsidR="00481BC5">
        <w:t>p</w:t>
      </w:r>
      <w:r w:rsidR="00D55DDC">
        <w:t xml:space="preserve">.m. on </w:t>
      </w:r>
      <w:r w:rsidR="00DB4A0E">
        <w:t>Wednesday, November 25</w:t>
      </w:r>
      <w:r w:rsidR="00D55DDC">
        <w:t>, 2015.</w:t>
      </w:r>
      <w:r w:rsidR="00F5528C">
        <w:t xml:space="preserve">  </w:t>
      </w:r>
      <w:r>
        <w:t xml:space="preserve">  </w:t>
      </w:r>
    </w:p>
    <w:p w:rsidR="00DB4A0E" w:rsidRDefault="00DB4A0E" w:rsidP="00CF7905">
      <w:pPr>
        <w:pStyle w:val="OrderBody"/>
        <w:keepNext/>
        <w:keepLines/>
      </w:pPr>
    </w:p>
    <w:p w:rsidR="00751522" w:rsidRDefault="00751522" w:rsidP="00CF7905">
      <w:pPr>
        <w:pStyle w:val="OrderBody"/>
        <w:keepNext/>
        <w:keepLines/>
      </w:pPr>
      <w:r>
        <w:tab/>
        <w:t xml:space="preserve">By ORDER of Commissioner Ronald A. Brisé, as Prehearing Officer, this </w:t>
      </w:r>
      <w:bookmarkStart w:id="7" w:name="replaceDate"/>
      <w:bookmarkEnd w:id="7"/>
      <w:r w:rsidR="00C737D9">
        <w:rPr>
          <w:u w:val="single"/>
        </w:rPr>
        <w:t>24th</w:t>
      </w:r>
      <w:r w:rsidR="00C737D9">
        <w:t xml:space="preserve"> day of </w:t>
      </w:r>
      <w:r w:rsidR="00C737D9">
        <w:rPr>
          <w:u w:val="single"/>
        </w:rPr>
        <w:t>November</w:t>
      </w:r>
      <w:r w:rsidR="00C737D9">
        <w:t xml:space="preserve">, </w:t>
      </w:r>
      <w:r w:rsidR="00C737D9">
        <w:rPr>
          <w:u w:val="single"/>
        </w:rPr>
        <w:t>2015</w:t>
      </w:r>
      <w:r w:rsidR="00C737D9">
        <w:t>.</w:t>
      </w:r>
    </w:p>
    <w:p w:rsidR="00C737D9" w:rsidRPr="00C737D9" w:rsidRDefault="00C737D9" w:rsidP="00CF7905">
      <w:pPr>
        <w:pStyle w:val="OrderBody"/>
        <w:keepNext/>
        <w:keepLines/>
      </w:pPr>
    </w:p>
    <w:p w:rsidR="00751522" w:rsidRDefault="00751522" w:rsidP="00CF7905">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751522" w:rsidTr="00751522">
        <w:tc>
          <w:tcPr>
            <w:tcW w:w="720" w:type="dxa"/>
            <w:shd w:val="clear" w:color="auto" w:fill="auto"/>
          </w:tcPr>
          <w:p w:rsidR="00751522" w:rsidRDefault="00751522" w:rsidP="00CF7905">
            <w:pPr>
              <w:pStyle w:val="OrderBody"/>
              <w:keepNext/>
              <w:keepLines/>
            </w:pPr>
            <w:bookmarkStart w:id="8" w:name="bkmrkSignature" w:colFirst="0" w:colLast="0"/>
          </w:p>
        </w:tc>
        <w:tc>
          <w:tcPr>
            <w:tcW w:w="4320" w:type="dxa"/>
            <w:tcBorders>
              <w:bottom w:val="single" w:sz="4" w:space="0" w:color="auto"/>
            </w:tcBorders>
            <w:shd w:val="clear" w:color="auto" w:fill="auto"/>
          </w:tcPr>
          <w:p w:rsidR="00751522" w:rsidRDefault="00C737D9" w:rsidP="00CF7905">
            <w:pPr>
              <w:pStyle w:val="OrderBody"/>
              <w:keepNext/>
              <w:keepLines/>
            </w:pPr>
            <w:r>
              <w:t>/s/ Ronald A. Brisé</w:t>
            </w:r>
          </w:p>
        </w:tc>
      </w:tr>
      <w:bookmarkEnd w:id="8"/>
      <w:tr w:rsidR="00751522" w:rsidTr="00751522">
        <w:tc>
          <w:tcPr>
            <w:tcW w:w="720" w:type="dxa"/>
            <w:shd w:val="clear" w:color="auto" w:fill="auto"/>
          </w:tcPr>
          <w:p w:rsidR="00751522" w:rsidRDefault="00751522" w:rsidP="00CF7905">
            <w:pPr>
              <w:pStyle w:val="OrderBody"/>
              <w:keepNext/>
              <w:keepLines/>
            </w:pPr>
          </w:p>
        </w:tc>
        <w:tc>
          <w:tcPr>
            <w:tcW w:w="4320" w:type="dxa"/>
            <w:tcBorders>
              <w:top w:val="single" w:sz="4" w:space="0" w:color="auto"/>
            </w:tcBorders>
            <w:shd w:val="clear" w:color="auto" w:fill="auto"/>
          </w:tcPr>
          <w:p w:rsidR="00751522" w:rsidRDefault="00751522" w:rsidP="00CF7905">
            <w:pPr>
              <w:pStyle w:val="OrderBody"/>
              <w:keepNext/>
              <w:keepLines/>
            </w:pPr>
            <w:r>
              <w:t>RONALD A. BRISÉ</w:t>
            </w:r>
          </w:p>
          <w:p w:rsidR="00751522" w:rsidRDefault="00751522" w:rsidP="00CF7905">
            <w:pPr>
              <w:pStyle w:val="OrderBody"/>
              <w:keepNext/>
              <w:keepLines/>
            </w:pPr>
            <w:r>
              <w:t>Commissioner and Prehearing Officer</w:t>
            </w:r>
          </w:p>
        </w:tc>
      </w:tr>
    </w:tbl>
    <w:p w:rsidR="00751522" w:rsidRDefault="00751522" w:rsidP="00CF7905">
      <w:pPr>
        <w:pStyle w:val="OrderSigInfo"/>
        <w:keepNext/>
        <w:keepLines/>
      </w:pPr>
      <w:r>
        <w:t>Florida Public Service Commission</w:t>
      </w:r>
    </w:p>
    <w:p w:rsidR="00751522" w:rsidRDefault="00751522" w:rsidP="00CF7905">
      <w:pPr>
        <w:pStyle w:val="OrderSigInfo"/>
        <w:keepNext/>
        <w:keepLines/>
      </w:pPr>
      <w:r>
        <w:t>2540 Shumard Oak Boulevard</w:t>
      </w:r>
    </w:p>
    <w:p w:rsidR="00751522" w:rsidRDefault="00751522" w:rsidP="00CF7905">
      <w:pPr>
        <w:pStyle w:val="OrderSigInfo"/>
        <w:keepNext/>
        <w:keepLines/>
      </w:pPr>
      <w:r>
        <w:t>Tallahassee, Florida  32399</w:t>
      </w:r>
    </w:p>
    <w:p w:rsidR="00751522" w:rsidRDefault="00751522" w:rsidP="00CF7905">
      <w:pPr>
        <w:pStyle w:val="OrderSigInfo"/>
        <w:keepNext/>
        <w:keepLines/>
      </w:pPr>
      <w:r>
        <w:t>(850) 413</w:t>
      </w:r>
      <w:r>
        <w:noBreakHyphen/>
        <w:t>6770</w:t>
      </w:r>
    </w:p>
    <w:p w:rsidR="00751522" w:rsidRDefault="00751522" w:rsidP="00CF7905">
      <w:pPr>
        <w:pStyle w:val="OrderSigInfo"/>
        <w:keepNext/>
        <w:keepLines/>
      </w:pPr>
      <w:r>
        <w:t>www.floridapsc.com</w:t>
      </w:r>
    </w:p>
    <w:p w:rsidR="00751522" w:rsidRDefault="00751522" w:rsidP="00CF7905">
      <w:pPr>
        <w:pStyle w:val="OrderSigInfo"/>
        <w:keepNext/>
        <w:keepLines/>
      </w:pPr>
    </w:p>
    <w:p w:rsidR="00751522" w:rsidRDefault="00751522" w:rsidP="00CF7905">
      <w:pPr>
        <w:pStyle w:val="OrderSigInfo"/>
        <w:keepNext/>
        <w:keepLines/>
      </w:pPr>
      <w:r>
        <w:t>Copies furnished:  A copy of this document is provided to the parties of record at the time of issuance and, if applicable, interested persons.</w:t>
      </w:r>
    </w:p>
    <w:p w:rsidR="00751522" w:rsidRDefault="00751522" w:rsidP="00CF7905">
      <w:pPr>
        <w:pStyle w:val="OrderBody"/>
        <w:keepNext/>
        <w:keepLines/>
      </w:pPr>
    </w:p>
    <w:p w:rsidR="00751522" w:rsidRDefault="00751522" w:rsidP="00CF7905">
      <w:pPr>
        <w:pStyle w:val="OrderBody"/>
        <w:keepNext/>
        <w:keepLines/>
      </w:pPr>
    </w:p>
    <w:p w:rsidR="00751522" w:rsidRDefault="006A5EEA" w:rsidP="00CF7905">
      <w:pPr>
        <w:pStyle w:val="OrderBody"/>
        <w:keepNext/>
        <w:keepLines/>
      </w:pPr>
      <w:r>
        <w:t>KFC</w:t>
      </w:r>
      <w:r w:rsidR="00D55DDC">
        <w:t>-LAA</w:t>
      </w:r>
    </w:p>
    <w:p w:rsidR="00D55DDC" w:rsidRDefault="00D55DDC">
      <w:r>
        <w:br w:type="page"/>
      </w:r>
    </w:p>
    <w:p w:rsidR="00751522" w:rsidRDefault="00751522" w:rsidP="00CF7905">
      <w:pPr>
        <w:pStyle w:val="OrderBody"/>
      </w:pPr>
    </w:p>
    <w:p w:rsidR="00751522" w:rsidRDefault="00751522" w:rsidP="00CF7905">
      <w:pPr>
        <w:pStyle w:val="OrderBody"/>
      </w:pPr>
    </w:p>
    <w:p w:rsidR="00751522" w:rsidRDefault="00077009" w:rsidP="00CF7905">
      <w:pPr>
        <w:pStyle w:val="CenterUnderline"/>
      </w:pPr>
      <w:r>
        <w:t>N</w:t>
      </w:r>
      <w:r w:rsidR="00751522">
        <w:t>OTICE OF FURTHER PROCEEDINGS OR JUDICIAL REVIEW</w:t>
      </w:r>
    </w:p>
    <w:p w:rsidR="00751522" w:rsidRDefault="00751522" w:rsidP="00CF7905">
      <w:pPr>
        <w:pStyle w:val="CenterUnderline"/>
        <w:jc w:val="both"/>
        <w:rPr>
          <w:u w:val="none"/>
        </w:rPr>
      </w:pPr>
    </w:p>
    <w:p w:rsidR="00751522" w:rsidRDefault="00751522" w:rsidP="00CF7905">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751522" w:rsidRDefault="00751522" w:rsidP="00CF7905">
      <w:pPr>
        <w:pStyle w:val="OrderBody"/>
      </w:pPr>
    </w:p>
    <w:p w:rsidR="00751522" w:rsidRDefault="00751522" w:rsidP="00CF7905">
      <w:pPr>
        <w:pStyle w:val="OrderBody"/>
      </w:pPr>
      <w:r>
        <w:tab/>
        <w:t>Mediation may be available on a case-by-case basis.  If mediation is conducted, it does not affect a substantially interested person's right to a hearing.</w:t>
      </w:r>
    </w:p>
    <w:p w:rsidR="00751522" w:rsidRDefault="00751522" w:rsidP="00CF7905">
      <w:pPr>
        <w:pStyle w:val="OrderBody"/>
      </w:pPr>
    </w:p>
    <w:p w:rsidR="00751522" w:rsidRDefault="00751522" w:rsidP="00CF7905">
      <w:pPr>
        <w:pStyle w:val="OrderBody"/>
      </w:pPr>
      <w:r>
        <w:tab/>
        <w:t>Any party adversely affected by this order, which is preliminary, procedural or intermediate in nature, may request: (1) reconsideration within 10 days pursuant to Rule 25-22.0376, Florida Administrative Code; or (2) judicial review by the Florida Supreme Court, in the case of an electric, gas or telephone utility, or the First District Court of Appeal, in the case of a water or wastewater utility.  A motion for reconsideration shall be filed with the Office of Commission Clerk, in the form prescribed by Rule 25-22.0376, Florida Administrative Code.  Judicial review of a preliminary, procedural or intermediate ruling or order is available if review of the final action will not provide an adequate remedy.  Such review may be requested from the appropriate court, as described above, pursuant to Rule 9.100, Florida Rules of Appellate Procedure.</w:t>
      </w:r>
    </w:p>
    <w:p w:rsidR="00481BC5" w:rsidRDefault="00481BC5" w:rsidP="00CF7905">
      <w:pPr>
        <w:pStyle w:val="OrderBody"/>
      </w:pPr>
    </w:p>
    <w:p w:rsidR="00481BC5" w:rsidRDefault="00481BC5" w:rsidP="00CF7905">
      <w:pPr>
        <w:pStyle w:val="OrderBody"/>
        <w:sectPr w:rsidR="00481BC5" w:rsidSect="00A94428">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cols w:space="720"/>
          <w:titlePg/>
          <w:docGrid w:linePitch="360"/>
        </w:sectPr>
      </w:pPr>
    </w:p>
    <w:p w:rsidR="00425310" w:rsidRDefault="006239D4" w:rsidP="006239D4">
      <w:pPr>
        <w:jc w:val="center"/>
      </w:pPr>
      <w:r>
        <w:rPr>
          <w:noProof/>
        </w:rPr>
        <w:lastRenderedPageBreak/>
        <w:drawing>
          <wp:inline distT="0" distB="0" distL="0" distR="0">
            <wp:extent cx="5943600" cy="76840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684039"/>
                    </a:xfrm>
                    <a:prstGeom prst="rect">
                      <a:avLst/>
                    </a:prstGeom>
                    <a:noFill/>
                    <a:ln>
                      <a:noFill/>
                    </a:ln>
                  </pic:spPr>
                </pic:pic>
              </a:graphicData>
            </a:graphic>
          </wp:inline>
        </w:drawing>
      </w:r>
      <w:r w:rsidR="00425310">
        <w:br w:type="page"/>
      </w:r>
    </w:p>
    <w:p w:rsidR="006239D4" w:rsidRDefault="006239D4" w:rsidP="00425310">
      <w:pPr>
        <w:pStyle w:val="OrderBody"/>
        <w:jc w:val="center"/>
      </w:pPr>
      <w:r>
        <w:rPr>
          <w:noProof/>
        </w:rPr>
        <w:lastRenderedPageBreak/>
        <w:drawing>
          <wp:inline distT="0" distB="0" distL="0" distR="0">
            <wp:extent cx="5943600" cy="76840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684039"/>
                    </a:xfrm>
                    <a:prstGeom prst="rect">
                      <a:avLst/>
                    </a:prstGeom>
                    <a:noFill/>
                    <a:ln>
                      <a:noFill/>
                    </a:ln>
                  </pic:spPr>
                </pic:pic>
              </a:graphicData>
            </a:graphic>
          </wp:inline>
        </w:drawing>
      </w:r>
    </w:p>
    <w:p w:rsidR="006239D4" w:rsidRDefault="006239D4">
      <w:r>
        <w:br w:type="page"/>
      </w:r>
    </w:p>
    <w:p w:rsidR="006239D4" w:rsidRDefault="006239D4" w:rsidP="00425310">
      <w:pPr>
        <w:pStyle w:val="OrderBody"/>
        <w:jc w:val="center"/>
      </w:pPr>
      <w:r>
        <w:rPr>
          <w:noProof/>
        </w:rPr>
        <w:lastRenderedPageBreak/>
        <w:drawing>
          <wp:inline distT="0" distB="0" distL="0" distR="0">
            <wp:extent cx="5943600" cy="7688782"/>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88782"/>
                    </a:xfrm>
                    <a:prstGeom prst="rect">
                      <a:avLst/>
                    </a:prstGeom>
                    <a:noFill/>
                    <a:ln>
                      <a:noFill/>
                    </a:ln>
                  </pic:spPr>
                </pic:pic>
              </a:graphicData>
            </a:graphic>
          </wp:inline>
        </w:drawing>
      </w:r>
    </w:p>
    <w:p w:rsidR="006239D4" w:rsidRDefault="006239D4">
      <w:r>
        <w:br w:type="page"/>
      </w:r>
    </w:p>
    <w:p w:rsidR="006239D4" w:rsidRDefault="006239D4" w:rsidP="00425310">
      <w:pPr>
        <w:pStyle w:val="OrderBody"/>
        <w:jc w:val="center"/>
      </w:pPr>
      <w:r>
        <w:rPr>
          <w:noProof/>
        </w:rPr>
        <w:lastRenderedPageBreak/>
        <w:drawing>
          <wp:inline distT="0" distB="0" distL="0" distR="0">
            <wp:extent cx="5943600" cy="7688782"/>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688782"/>
                    </a:xfrm>
                    <a:prstGeom prst="rect">
                      <a:avLst/>
                    </a:prstGeom>
                    <a:noFill/>
                    <a:ln>
                      <a:noFill/>
                    </a:ln>
                  </pic:spPr>
                </pic:pic>
              </a:graphicData>
            </a:graphic>
          </wp:inline>
        </w:drawing>
      </w:r>
    </w:p>
    <w:p w:rsidR="006239D4" w:rsidRDefault="006239D4">
      <w:r>
        <w:br w:type="page"/>
      </w:r>
    </w:p>
    <w:p w:rsidR="006239D4" w:rsidRDefault="006239D4" w:rsidP="00425310">
      <w:pPr>
        <w:pStyle w:val="OrderBody"/>
        <w:jc w:val="center"/>
      </w:pPr>
      <w:r>
        <w:rPr>
          <w:noProof/>
        </w:rPr>
        <w:lastRenderedPageBreak/>
        <w:drawing>
          <wp:inline distT="0" distB="0" distL="0" distR="0">
            <wp:extent cx="5943600" cy="7688782"/>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688782"/>
                    </a:xfrm>
                    <a:prstGeom prst="rect">
                      <a:avLst/>
                    </a:prstGeom>
                    <a:noFill/>
                    <a:ln>
                      <a:noFill/>
                    </a:ln>
                  </pic:spPr>
                </pic:pic>
              </a:graphicData>
            </a:graphic>
          </wp:inline>
        </w:drawing>
      </w:r>
    </w:p>
    <w:p w:rsidR="006239D4" w:rsidRDefault="006239D4">
      <w:r>
        <w:br w:type="page"/>
      </w:r>
    </w:p>
    <w:p w:rsidR="006239D4" w:rsidRDefault="006239D4" w:rsidP="00425310">
      <w:pPr>
        <w:pStyle w:val="OrderBody"/>
        <w:jc w:val="center"/>
      </w:pPr>
      <w:r>
        <w:rPr>
          <w:noProof/>
        </w:rPr>
        <w:lastRenderedPageBreak/>
        <w:drawing>
          <wp:inline distT="0" distB="0" distL="0" distR="0">
            <wp:extent cx="5943600" cy="7688782"/>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688782"/>
                    </a:xfrm>
                    <a:prstGeom prst="rect">
                      <a:avLst/>
                    </a:prstGeom>
                    <a:noFill/>
                    <a:ln>
                      <a:noFill/>
                    </a:ln>
                  </pic:spPr>
                </pic:pic>
              </a:graphicData>
            </a:graphic>
          </wp:inline>
        </w:drawing>
      </w:r>
    </w:p>
    <w:p w:rsidR="006239D4" w:rsidRDefault="006239D4">
      <w:r>
        <w:br w:type="page"/>
      </w:r>
    </w:p>
    <w:p w:rsidR="006239D4" w:rsidRDefault="006239D4" w:rsidP="00425310">
      <w:pPr>
        <w:pStyle w:val="OrderBody"/>
        <w:jc w:val="center"/>
      </w:pPr>
      <w:r>
        <w:rPr>
          <w:noProof/>
        </w:rPr>
        <w:lastRenderedPageBreak/>
        <w:drawing>
          <wp:inline distT="0" distB="0" distL="0" distR="0">
            <wp:extent cx="5943600" cy="7688782"/>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688782"/>
                    </a:xfrm>
                    <a:prstGeom prst="rect">
                      <a:avLst/>
                    </a:prstGeom>
                    <a:noFill/>
                    <a:ln>
                      <a:noFill/>
                    </a:ln>
                  </pic:spPr>
                </pic:pic>
              </a:graphicData>
            </a:graphic>
          </wp:inline>
        </w:drawing>
      </w:r>
    </w:p>
    <w:p w:rsidR="00FF45C4" w:rsidRDefault="006239D4">
      <w:r>
        <w:br w:type="page"/>
      </w:r>
      <w:r w:rsidR="00FF45C4">
        <w:rPr>
          <w:noProof/>
        </w:rPr>
        <w:lastRenderedPageBreak/>
        <w:drawing>
          <wp:inline distT="0" distB="0" distL="0" distR="0" wp14:anchorId="350446D1" wp14:editId="001D8E9B">
            <wp:extent cx="5943600" cy="75482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548245"/>
                    </a:xfrm>
                    <a:prstGeom prst="rect">
                      <a:avLst/>
                    </a:prstGeom>
                    <a:noFill/>
                    <a:ln>
                      <a:noFill/>
                    </a:ln>
                  </pic:spPr>
                </pic:pic>
              </a:graphicData>
            </a:graphic>
          </wp:inline>
        </w:drawing>
      </w:r>
      <w:r w:rsidR="00FF45C4">
        <w:br w:type="page"/>
      </w:r>
    </w:p>
    <w:p w:rsidR="006239D4" w:rsidRDefault="006239D4"/>
    <w:p w:rsidR="001B787B" w:rsidRDefault="00FF45C4">
      <w:r>
        <w:rPr>
          <w:noProof/>
        </w:rPr>
        <w:drawing>
          <wp:inline distT="0" distB="0" distL="0" distR="0">
            <wp:extent cx="5943600" cy="7688782"/>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688782"/>
                    </a:xfrm>
                    <a:prstGeom prst="rect">
                      <a:avLst/>
                    </a:prstGeom>
                    <a:noFill/>
                    <a:ln>
                      <a:noFill/>
                    </a:ln>
                  </pic:spPr>
                </pic:pic>
              </a:graphicData>
            </a:graphic>
          </wp:inline>
        </w:drawing>
      </w:r>
    </w:p>
    <w:p w:rsidR="001B787B" w:rsidRDefault="001B787B">
      <w:r>
        <w:br w:type="page"/>
      </w:r>
      <w:r>
        <w:rPr>
          <w:noProof/>
        </w:rPr>
        <w:lastRenderedPageBreak/>
        <w:drawing>
          <wp:inline distT="0" distB="0" distL="0" distR="0">
            <wp:extent cx="5943600" cy="7688782"/>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688782"/>
                    </a:xfrm>
                    <a:prstGeom prst="rect">
                      <a:avLst/>
                    </a:prstGeom>
                    <a:noFill/>
                    <a:ln>
                      <a:noFill/>
                    </a:ln>
                  </pic:spPr>
                </pic:pic>
              </a:graphicData>
            </a:graphic>
          </wp:inline>
        </w:drawing>
      </w:r>
    </w:p>
    <w:p w:rsidR="001B787B" w:rsidRDefault="001B787B">
      <w:r>
        <w:br w:type="page"/>
      </w:r>
    </w:p>
    <w:p w:rsidR="001B787B" w:rsidRDefault="001B787B">
      <w:r>
        <w:rPr>
          <w:noProof/>
        </w:rPr>
        <w:lastRenderedPageBreak/>
        <w:drawing>
          <wp:inline distT="0" distB="0" distL="0" distR="0">
            <wp:extent cx="5943600" cy="7688782"/>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688782"/>
                    </a:xfrm>
                    <a:prstGeom prst="rect">
                      <a:avLst/>
                    </a:prstGeom>
                    <a:noFill/>
                    <a:ln>
                      <a:noFill/>
                    </a:ln>
                  </pic:spPr>
                </pic:pic>
              </a:graphicData>
            </a:graphic>
          </wp:inline>
        </w:drawing>
      </w:r>
    </w:p>
    <w:p w:rsidR="001B787B" w:rsidRDefault="001B787B">
      <w:r>
        <w:br w:type="page"/>
      </w:r>
    </w:p>
    <w:p w:rsidR="001B787B" w:rsidRDefault="00FF45C4">
      <w:r>
        <w:rPr>
          <w:noProof/>
        </w:rPr>
        <w:lastRenderedPageBreak/>
        <w:drawing>
          <wp:inline distT="0" distB="0" distL="0" distR="0">
            <wp:extent cx="5943600" cy="7688782"/>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688782"/>
                    </a:xfrm>
                    <a:prstGeom prst="rect">
                      <a:avLst/>
                    </a:prstGeom>
                    <a:noFill/>
                    <a:ln>
                      <a:noFill/>
                    </a:ln>
                  </pic:spPr>
                </pic:pic>
              </a:graphicData>
            </a:graphic>
          </wp:inline>
        </w:drawing>
      </w:r>
    </w:p>
    <w:p w:rsidR="001B787B" w:rsidRDefault="001B787B">
      <w:r>
        <w:br w:type="page"/>
      </w:r>
    </w:p>
    <w:p w:rsidR="001B787B" w:rsidRDefault="00FF45C4">
      <w:r>
        <w:rPr>
          <w:noProof/>
        </w:rPr>
        <w:lastRenderedPageBreak/>
        <w:drawing>
          <wp:inline distT="0" distB="0" distL="0" distR="0">
            <wp:extent cx="5943600" cy="7688782"/>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688782"/>
                    </a:xfrm>
                    <a:prstGeom prst="rect">
                      <a:avLst/>
                    </a:prstGeom>
                    <a:noFill/>
                    <a:ln>
                      <a:noFill/>
                    </a:ln>
                  </pic:spPr>
                </pic:pic>
              </a:graphicData>
            </a:graphic>
          </wp:inline>
        </w:drawing>
      </w:r>
    </w:p>
    <w:p w:rsidR="001B787B" w:rsidRDefault="001B787B">
      <w:r>
        <w:br w:type="page"/>
      </w:r>
    </w:p>
    <w:p w:rsidR="001B787B" w:rsidRDefault="00FF45C4">
      <w:r>
        <w:rPr>
          <w:noProof/>
        </w:rPr>
        <w:lastRenderedPageBreak/>
        <w:drawing>
          <wp:inline distT="0" distB="0" distL="0" distR="0">
            <wp:extent cx="5943600" cy="7688782"/>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688782"/>
                    </a:xfrm>
                    <a:prstGeom prst="rect">
                      <a:avLst/>
                    </a:prstGeom>
                    <a:noFill/>
                    <a:ln>
                      <a:noFill/>
                    </a:ln>
                  </pic:spPr>
                </pic:pic>
              </a:graphicData>
            </a:graphic>
          </wp:inline>
        </w:drawing>
      </w:r>
    </w:p>
    <w:p w:rsidR="001B787B" w:rsidRDefault="001B787B">
      <w:r>
        <w:br w:type="page"/>
      </w:r>
    </w:p>
    <w:p w:rsidR="001B787B" w:rsidRDefault="00FF45C4">
      <w:r>
        <w:rPr>
          <w:noProof/>
        </w:rPr>
        <w:lastRenderedPageBreak/>
        <w:drawing>
          <wp:inline distT="0" distB="0" distL="0" distR="0">
            <wp:extent cx="5943600" cy="7688782"/>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688782"/>
                    </a:xfrm>
                    <a:prstGeom prst="rect">
                      <a:avLst/>
                    </a:prstGeom>
                    <a:noFill/>
                    <a:ln>
                      <a:noFill/>
                    </a:ln>
                  </pic:spPr>
                </pic:pic>
              </a:graphicData>
            </a:graphic>
          </wp:inline>
        </w:drawing>
      </w:r>
    </w:p>
    <w:p w:rsidR="001B787B" w:rsidRDefault="001B787B">
      <w:r>
        <w:br w:type="page"/>
      </w:r>
    </w:p>
    <w:p w:rsidR="001B787B" w:rsidRDefault="001B787B">
      <w:r>
        <w:rPr>
          <w:noProof/>
        </w:rPr>
        <w:lastRenderedPageBreak/>
        <w:drawing>
          <wp:inline distT="0" distB="0" distL="0" distR="0">
            <wp:extent cx="5943600" cy="7688782"/>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688782"/>
                    </a:xfrm>
                    <a:prstGeom prst="rect">
                      <a:avLst/>
                    </a:prstGeom>
                    <a:noFill/>
                    <a:ln>
                      <a:noFill/>
                    </a:ln>
                  </pic:spPr>
                </pic:pic>
              </a:graphicData>
            </a:graphic>
          </wp:inline>
        </w:drawing>
      </w:r>
    </w:p>
    <w:p w:rsidR="001B787B" w:rsidRDefault="001B787B">
      <w:r>
        <w:br w:type="page"/>
      </w:r>
    </w:p>
    <w:p w:rsidR="001B787B" w:rsidRDefault="00FF45C4">
      <w:r>
        <w:rPr>
          <w:noProof/>
        </w:rPr>
        <w:lastRenderedPageBreak/>
        <w:drawing>
          <wp:inline distT="0" distB="0" distL="0" distR="0">
            <wp:extent cx="5943600" cy="7688782"/>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688782"/>
                    </a:xfrm>
                    <a:prstGeom prst="rect">
                      <a:avLst/>
                    </a:prstGeom>
                    <a:noFill/>
                    <a:ln>
                      <a:noFill/>
                    </a:ln>
                  </pic:spPr>
                </pic:pic>
              </a:graphicData>
            </a:graphic>
          </wp:inline>
        </w:drawing>
      </w:r>
    </w:p>
    <w:p w:rsidR="006239D4" w:rsidRDefault="006239D4"/>
    <w:p w:rsidR="001B787B" w:rsidRDefault="006239D4" w:rsidP="00425310">
      <w:pPr>
        <w:pStyle w:val="OrderBody"/>
        <w:jc w:val="center"/>
      </w:pPr>
      <w:r>
        <w:rPr>
          <w:noProof/>
        </w:rPr>
        <w:lastRenderedPageBreak/>
        <w:drawing>
          <wp:inline distT="0" distB="0" distL="0" distR="0">
            <wp:extent cx="5943600" cy="7688782"/>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688782"/>
                    </a:xfrm>
                    <a:prstGeom prst="rect">
                      <a:avLst/>
                    </a:prstGeom>
                    <a:noFill/>
                    <a:ln>
                      <a:noFill/>
                    </a:ln>
                  </pic:spPr>
                </pic:pic>
              </a:graphicData>
            </a:graphic>
          </wp:inline>
        </w:drawing>
      </w:r>
    </w:p>
    <w:p w:rsidR="001B787B" w:rsidRDefault="001B787B">
      <w:r>
        <w:br w:type="page"/>
      </w:r>
    </w:p>
    <w:p w:rsidR="001B787B" w:rsidRDefault="001B787B" w:rsidP="00425310">
      <w:pPr>
        <w:pStyle w:val="OrderBody"/>
        <w:jc w:val="center"/>
      </w:pPr>
      <w:r>
        <w:rPr>
          <w:noProof/>
        </w:rPr>
        <w:lastRenderedPageBreak/>
        <w:drawing>
          <wp:inline distT="0" distB="0" distL="0" distR="0">
            <wp:extent cx="5943600" cy="7688782"/>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688782"/>
                    </a:xfrm>
                    <a:prstGeom prst="rect">
                      <a:avLst/>
                    </a:prstGeom>
                    <a:noFill/>
                    <a:ln>
                      <a:noFill/>
                    </a:ln>
                  </pic:spPr>
                </pic:pic>
              </a:graphicData>
            </a:graphic>
          </wp:inline>
        </w:drawing>
      </w:r>
    </w:p>
    <w:p w:rsidR="001B787B" w:rsidRDefault="001B787B">
      <w:r>
        <w:br w:type="page"/>
      </w:r>
    </w:p>
    <w:p w:rsidR="001B787B" w:rsidRDefault="001B787B" w:rsidP="00425310">
      <w:pPr>
        <w:pStyle w:val="OrderBody"/>
        <w:jc w:val="center"/>
      </w:pPr>
      <w:r>
        <w:rPr>
          <w:noProof/>
        </w:rPr>
        <w:lastRenderedPageBreak/>
        <w:drawing>
          <wp:inline distT="0" distB="0" distL="0" distR="0">
            <wp:extent cx="5943600" cy="7688782"/>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688782"/>
                    </a:xfrm>
                    <a:prstGeom prst="rect">
                      <a:avLst/>
                    </a:prstGeom>
                    <a:noFill/>
                    <a:ln>
                      <a:noFill/>
                    </a:ln>
                  </pic:spPr>
                </pic:pic>
              </a:graphicData>
            </a:graphic>
          </wp:inline>
        </w:drawing>
      </w:r>
    </w:p>
    <w:p w:rsidR="001B787B" w:rsidRDefault="001B787B">
      <w:r>
        <w:br w:type="page"/>
      </w:r>
    </w:p>
    <w:p w:rsidR="00FF45C4" w:rsidRDefault="001B787B" w:rsidP="00425310">
      <w:pPr>
        <w:pStyle w:val="OrderBody"/>
        <w:jc w:val="center"/>
      </w:pPr>
      <w:r>
        <w:rPr>
          <w:noProof/>
        </w:rPr>
        <w:lastRenderedPageBreak/>
        <w:drawing>
          <wp:inline distT="0" distB="0" distL="0" distR="0">
            <wp:extent cx="5943600" cy="7688782"/>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688782"/>
                    </a:xfrm>
                    <a:prstGeom prst="rect">
                      <a:avLst/>
                    </a:prstGeom>
                    <a:noFill/>
                    <a:ln>
                      <a:noFill/>
                    </a:ln>
                  </pic:spPr>
                </pic:pic>
              </a:graphicData>
            </a:graphic>
          </wp:inline>
        </w:drawing>
      </w:r>
    </w:p>
    <w:p w:rsidR="00FF45C4" w:rsidRDefault="00FF45C4">
      <w:r>
        <w:br w:type="page"/>
      </w:r>
    </w:p>
    <w:p w:rsidR="00FF45C4" w:rsidRDefault="00FF45C4" w:rsidP="00FF45C4">
      <w:pPr>
        <w:pStyle w:val="OrderBody"/>
      </w:pPr>
      <w:r>
        <w:rPr>
          <w:noProof/>
        </w:rPr>
        <w:lastRenderedPageBreak/>
        <w:drawing>
          <wp:inline distT="0" distB="0" distL="0" distR="0">
            <wp:extent cx="5943600" cy="7689942"/>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689942"/>
                    </a:xfrm>
                    <a:prstGeom prst="rect">
                      <a:avLst/>
                    </a:prstGeom>
                    <a:noFill/>
                    <a:ln>
                      <a:noFill/>
                    </a:ln>
                  </pic:spPr>
                </pic:pic>
              </a:graphicData>
            </a:graphic>
          </wp:inline>
        </w:drawing>
      </w:r>
    </w:p>
    <w:p w:rsidR="00FF45C4" w:rsidRDefault="00FF45C4">
      <w:r>
        <w:br w:type="page"/>
      </w:r>
    </w:p>
    <w:p w:rsidR="00381913" w:rsidRDefault="00381913" w:rsidP="00FF45C4">
      <w:pPr>
        <w:pStyle w:val="OrderBody"/>
      </w:pPr>
      <w:r>
        <w:rPr>
          <w:noProof/>
        </w:rPr>
        <w:lastRenderedPageBreak/>
        <w:drawing>
          <wp:inline distT="0" distB="0" distL="0" distR="0">
            <wp:extent cx="5943600" cy="7689942"/>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689942"/>
                    </a:xfrm>
                    <a:prstGeom prst="rect">
                      <a:avLst/>
                    </a:prstGeom>
                    <a:noFill/>
                    <a:ln>
                      <a:noFill/>
                    </a:ln>
                  </pic:spPr>
                </pic:pic>
              </a:graphicData>
            </a:graphic>
          </wp:inline>
        </w:drawing>
      </w:r>
    </w:p>
    <w:p w:rsidR="00381913" w:rsidRDefault="00381913">
      <w:r>
        <w:br w:type="page"/>
      </w:r>
    </w:p>
    <w:p w:rsidR="00381913" w:rsidRDefault="00381913" w:rsidP="00FF45C4">
      <w:pPr>
        <w:pStyle w:val="OrderBody"/>
      </w:pPr>
      <w:r>
        <w:rPr>
          <w:noProof/>
        </w:rPr>
        <w:lastRenderedPageBreak/>
        <w:drawing>
          <wp:inline distT="0" distB="0" distL="0" distR="0">
            <wp:extent cx="5943600" cy="7689942"/>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689942"/>
                    </a:xfrm>
                    <a:prstGeom prst="rect">
                      <a:avLst/>
                    </a:prstGeom>
                    <a:noFill/>
                    <a:ln>
                      <a:noFill/>
                    </a:ln>
                  </pic:spPr>
                </pic:pic>
              </a:graphicData>
            </a:graphic>
          </wp:inline>
        </w:drawing>
      </w:r>
    </w:p>
    <w:p w:rsidR="00381913" w:rsidRDefault="00381913">
      <w:r>
        <w:br w:type="page"/>
      </w:r>
    </w:p>
    <w:p w:rsidR="00381913" w:rsidRDefault="00381913" w:rsidP="00FF45C4">
      <w:pPr>
        <w:pStyle w:val="OrderBody"/>
      </w:pPr>
      <w:r>
        <w:rPr>
          <w:noProof/>
        </w:rPr>
        <w:lastRenderedPageBreak/>
        <w:drawing>
          <wp:inline distT="0" distB="0" distL="0" distR="0">
            <wp:extent cx="5943600" cy="7689942"/>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689942"/>
                    </a:xfrm>
                    <a:prstGeom prst="rect">
                      <a:avLst/>
                    </a:prstGeom>
                    <a:noFill/>
                    <a:ln>
                      <a:noFill/>
                    </a:ln>
                  </pic:spPr>
                </pic:pic>
              </a:graphicData>
            </a:graphic>
          </wp:inline>
        </w:drawing>
      </w:r>
    </w:p>
    <w:p w:rsidR="00381913" w:rsidRDefault="00381913">
      <w:r>
        <w:br w:type="page"/>
      </w:r>
    </w:p>
    <w:p w:rsidR="00381913" w:rsidRDefault="00381913" w:rsidP="00FF45C4">
      <w:pPr>
        <w:pStyle w:val="OrderBody"/>
      </w:pPr>
      <w:r>
        <w:rPr>
          <w:noProof/>
        </w:rPr>
        <w:lastRenderedPageBreak/>
        <w:drawing>
          <wp:inline distT="0" distB="0" distL="0" distR="0">
            <wp:extent cx="5943600" cy="7689942"/>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7689942"/>
                    </a:xfrm>
                    <a:prstGeom prst="rect">
                      <a:avLst/>
                    </a:prstGeom>
                    <a:noFill/>
                    <a:ln>
                      <a:noFill/>
                    </a:ln>
                  </pic:spPr>
                </pic:pic>
              </a:graphicData>
            </a:graphic>
          </wp:inline>
        </w:drawing>
      </w:r>
    </w:p>
    <w:p w:rsidR="00381913" w:rsidRDefault="00381913">
      <w:r>
        <w:br w:type="page"/>
      </w:r>
    </w:p>
    <w:p w:rsidR="00751522" w:rsidRDefault="00381913" w:rsidP="00FF45C4">
      <w:pPr>
        <w:pStyle w:val="OrderBody"/>
      </w:pPr>
      <w:r>
        <w:rPr>
          <w:noProof/>
        </w:rPr>
        <w:lastRenderedPageBreak/>
        <w:drawing>
          <wp:inline distT="0" distB="0" distL="0" distR="0">
            <wp:extent cx="5943600" cy="7689942"/>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7689942"/>
                    </a:xfrm>
                    <a:prstGeom prst="rect">
                      <a:avLst/>
                    </a:prstGeom>
                    <a:noFill/>
                    <a:ln>
                      <a:noFill/>
                    </a:ln>
                  </pic:spPr>
                </pic:pic>
              </a:graphicData>
            </a:graphic>
          </wp:inline>
        </w:drawing>
      </w:r>
    </w:p>
    <w:sectPr w:rsidR="00751522" w:rsidSect="00481BC5">
      <w:headerReference w:type="default" r:id="rId4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61A" w:rsidRDefault="0002761A">
      <w:r>
        <w:separator/>
      </w:r>
    </w:p>
  </w:endnote>
  <w:endnote w:type="continuationSeparator" w:id="0">
    <w:p w:rsidR="0002761A" w:rsidRDefault="0002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7D9" w:rsidRDefault="00C737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7D9" w:rsidRDefault="00C737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61A" w:rsidRDefault="0002761A">
      <w:r>
        <w:separator/>
      </w:r>
    </w:p>
  </w:footnote>
  <w:footnote w:type="continuationSeparator" w:id="0">
    <w:p w:rsidR="0002761A" w:rsidRDefault="0002761A">
      <w:r>
        <w:continuationSeparator/>
      </w:r>
    </w:p>
  </w:footnote>
  <w:footnote w:id="1">
    <w:p w:rsidR="006A5EEA" w:rsidRDefault="006A5EEA" w:rsidP="006A5EEA">
      <w:pPr>
        <w:pStyle w:val="FootnoteText"/>
        <w:tabs>
          <w:tab w:val="left" w:pos="180"/>
        </w:tabs>
      </w:pPr>
      <w:r>
        <w:rPr>
          <w:rStyle w:val="FootnoteReference"/>
        </w:rPr>
        <w:footnoteRef/>
      </w:r>
      <w:r>
        <w:t xml:space="preserve"> </w:t>
      </w:r>
      <w:r>
        <w:tab/>
        <w:t xml:space="preserve">Order No. </w:t>
      </w:r>
      <w:r w:rsidRPr="006A5EEA">
        <w:t>PSC-15-0424-PCO-EI</w:t>
      </w:r>
      <w:r>
        <w:t>, issued October 8, 2015, granting SACE intervention</w:t>
      </w:r>
      <w:r w:rsidR="00361485">
        <w:t xml:space="preserve"> in Docket 150196-EI</w:t>
      </w:r>
      <w:r>
        <w:t>.</w:t>
      </w:r>
    </w:p>
  </w:footnote>
  <w:footnote w:id="2">
    <w:p w:rsidR="001712B8" w:rsidRDefault="001712B8" w:rsidP="001712B8">
      <w:pPr>
        <w:pStyle w:val="FootnoteText"/>
        <w:tabs>
          <w:tab w:val="left" w:pos="180"/>
        </w:tabs>
      </w:pPr>
      <w:r>
        <w:rPr>
          <w:rStyle w:val="FootnoteReference"/>
        </w:rPr>
        <w:footnoteRef/>
      </w:r>
      <w:r>
        <w:t xml:space="preserve"> </w:t>
      </w:r>
      <w:r>
        <w:tab/>
        <w:t>Document No.  06559-15, Direct Testimony of Natalie A. Mims, filed on October 14, 2015, in Docket 150196-EI.</w:t>
      </w:r>
    </w:p>
  </w:footnote>
  <w:footnote w:id="3">
    <w:p w:rsidR="001712B8" w:rsidRDefault="001712B8" w:rsidP="001712B8">
      <w:pPr>
        <w:pStyle w:val="FootnoteText"/>
        <w:tabs>
          <w:tab w:val="left" w:pos="180"/>
        </w:tabs>
      </w:pPr>
      <w:r>
        <w:rPr>
          <w:rStyle w:val="FootnoteReference"/>
        </w:rPr>
        <w:footnoteRef/>
      </w:r>
      <w:r>
        <w:t xml:space="preserve"> </w:t>
      </w:r>
      <w:r>
        <w:tab/>
        <w:t>Document No.  06557-15, Direct Testimony of John D. Wilson, filed on October 14, 2015, in Docket 150196-EI.</w:t>
      </w:r>
    </w:p>
  </w:footnote>
  <w:footnote w:id="4">
    <w:p w:rsidR="001712B8" w:rsidRDefault="001712B8" w:rsidP="001712B8">
      <w:pPr>
        <w:pStyle w:val="FootnoteText"/>
        <w:tabs>
          <w:tab w:val="left" w:pos="180"/>
        </w:tabs>
      </w:pPr>
      <w:r>
        <w:rPr>
          <w:rStyle w:val="FootnoteReference"/>
        </w:rPr>
        <w:footnoteRef/>
      </w:r>
      <w:r>
        <w:t xml:space="preserve"> </w:t>
      </w:r>
      <w:r>
        <w:tab/>
        <w:t>Document No.  06842-15, Rebuttal Testimony of Dr. Steven R. Sim and Richard Feldman, filed on October 26, 2015, in Docket 150196-EI.</w:t>
      </w:r>
    </w:p>
  </w:footnote>
  <w:footnote w:id="5">
    <w:p w:rsidR="007B09A1" w:rsidRPr="007B09A1" w:rsidRDefault="007B09A1" w:rsidP="007B09A1">
      <w:pPr>
        <w:pStyle w:val="FootnoteText"/>
        <w:tabs>
          <w:tab w:val="left" w:pos="180"/>
        </w:tabs>
      </w:pPr>
      <w:r>
        <w:rPr>
          <w:rStyle w:val="FootnoteReference"/>
        </w:rPr>
        <w:footnoteRef/>
      </w:r>
      <w:r>
        <w:t xml:space="preserve"> </w:t>
      </w:r>
      <w:r>
        <w:tab/>
        <w:t xml:space="preserve">Document No.  07094-15, FPL’s Motion to Strike or Exclude Portions of the Direct Testimony of Natalie A. Mims Filed on Behalf of SACE, filed in Docket 150196-EI. </w:t>
      </w:r>
    </w:p>
  </w:footnote>
  <w:footnote w:id="6">
    <w:p w:rsidR="007B09A1" w:rsidRDefault="007B09A1" w:rsidP="007B09A1">
      <w:pPr>
        <w:pStyle w:val="FootnoteText"/>
        <w:tabs>
          <w:tab w:val="left" w:pos="180"/>
        </w:tabs>
      </w:pPr>
      <w:r>
        <w:rPr>
          <w:rStyle w:val="FootnoteReference"/>
        </w:rPr>
        <w:footnoteRef/>
      </w:r>
      <w:r>
        <w:t xml:space="preserve"> </w:t>
      </w:r>
      <w:r>
        <w:tab/>
        <w:t>Document No.  07258-15, SACE’s Response in Opposition to FPL’s Motion to Strike or Exclude Portions of the Direct Testimony of Natalie A. Mims, filed in Docket 150196-EI.</w:t>
      </w:r>
    </w:p>
  </w:footnote>
  <w:footnote w:id="7">
    <w:p w:rsidR="007B09A1" w:rsidRDefault="007B09A1" w:rsidP="007B09A1">
      <w:pPr>
        <w:pStyle w:val="FootnoteText"/>
        <w:tabs>
          <w:tab w:val="left" w:pos="180"/>
        </w:tabs>
      </w:pPr>
      <w:r>
        <w:rPr>
          <w:rStyle w:val="FootnoteReference"/>
        </w:rPr>
        <w:footnoteRef/>
      </w:r>
      <w:r>
        <w:t xml:space="preserve"> </w:t>
      </w:r>
      <w:r>
        <w:tab/>
        <w:t xml:space="preserve">Order No. PSC-14-0696-FOF-EU, </w:t>
      </w:r>
      <w:r w:rsidR="002D3BC6">
        <w:t xml:space="preserve">“Final Order Approving Numeric Conservation Goals,” </w:t>
      </w:r>
      <w:r>
        <w:t xml:space="preserve">issued on December 16, 2014, in Docket 130199-EI, </w:t>
      </w:r>
      <w:r w:rsidRPr="00361485">
        <w:rPr>
          <w:u w:val="single"/>
        </w:rPr>
        <w:t xml:space="preserve">In Re: </w:t>
      </w:r>
      <w:r w:rsidR="00361485" w:rsidRPr="00361485">
        <w:rPr>
          <w:u w:val="single"/>
        </w:rPr>
        <w:t>Commission review of numeric conservation goals (Florida Power &amp; Light Company)</w:t>
      </w:r>
      <w:r>
        <w:t>.</w:t>
      </w:r>
    </w:p>
  </w:footnote>
  <w:footnote w:id="8">
    <w:p w:rsidR="002A34AC" w:rsidRDefault="002A34AC" w:rsidP="002A34AC">
      <w:pPr>
        <w:pStyle w:val="FootnoteText"/>
        <w:tabs>
          <w:tab w:val="left" w:pos="180"/>
        </w:tabs>
      </w:pPr>
      <w:r>
        <w:rPr>
          <w:rStyle w:val="FootnoteReference"/>
        </w:rPr>
        <w:footnoteRef/>
      </w:r>
      <w:r>
        <w:t xml:space="preserve"> </w:t>
      </w:r>
      <w:r>
        <w:tab/>
      </w:r>
      <w:r w:rsidR="003B03B1">
        <w:rPr>
          <w:u w:val="single"/>
        </w:rPr>
        <w:t>Reedy Creek v. Fl</w:t>
      </w:r>
      <w:r w:rsidRPr="0028723A">
        <w:rPr>
          <w:u w:val="single"/>
        </w:rPr>
        <w:t>a. Public Serv. Com</w:t>
      </w:r>
      <w:r w:rsidRPr="0028723A">
        <w:t>, 418 So.</w:t>
      </w:r>
      <w:r>
        <w:t xml:space="preserve"> </w:t>
      </w:r>
      <w:r w:rsidRPr="0028723A">
        <w:t>2d 249, 253, (</w:t>
      </w:r>
      <w:r>
        <w:t>Fla.</w:t>
      </w:r>
      <w:r w:rsidRPr="0028723A">
        <w:t xml:space="preserve"> 1982); </w:t>
      </w:r>
      <w:r w:rsidR="003B03B1">
        <w:rPr>
          <w:u w:val="single"/>
        </w:rPr>
        <w:t>Richter v Fla.</w:t>
      </w:r>
      <w:r w:rsidRPr="0028723A">
        <w:rPr>
          <w:u w:val="single"/>
        </w:rPr>
        <w:t xml:space="preserve"> Power Corp.</w:t>
      </w:r>
      <w:r>
        <w:rPr>
          <w:u w:val="single"/>
        </w:rPr>
        <w:t xml:space="preserve">, </w:t>
      </w:r>
      <w:r w:rsidRPr="0028723A">
        <w:t xml:space="preserve"> 366 So.</w:t>
      </w:r>
      <w:r>
        <w:t xml:space="preserve"> </w:t>
      </w:r>
      <w:r w:rsidRPr="0028723A">
        <w:t>2d 798</w:t>
      </w:r>
      <w:r w:rsidR="003B03B1">
        <w:t>, 800</w:t>
      </w:r>
      <w:r w:rsidRPr="0028723A">
        <w:t xml:space="preserve"> (Fla. 3rd DCA 1979).</w:t>
      </w:r>
    </w:p>
  </w:footnote>
  <w:footnote w:id="9">
    <w:p w:rsidR="002A34AC" w:rsidRPr="003B03B1" w:rsidRDefault="002A34AC" w:rsidP="002A34AC">
      <w:pPr>
        <w:jc w:val="both"/>
        <w:rPr>
          <w:sz w:val="20"/>
          <w:szCs w:val="20"/>
        </w:rPr>
      </w:pPr>
      <w:r w:rsidRPr="003B03B1">
        <w:rPr>
          <w:rStyle w:val="FootnoteReference"/>
          <w:sz w:val="20"/>
          <w:szCs w:val="20"/>
        </w:rPr>
        <w:footnoteRef/>
      </w:r>
      <w:r w:rsidRPr="003B03B1">
        <w:rPr>
          <w:sz w:val="20"/>
          <w:szCs w:val="20"/>
        </w:rPr>
        <w:t xml:space="preserve"> </w:t>
      </w:r>
      <w:r w:rsidRPr="003B03B1">
        <w:rPr>
          <w:sz w:val="20"/>
          <w:szCs w:val="20"/>
          <w:u w:val="single"/>
        </w:rPr>
        <w:t>See also</w:t>
      </w:r>
      <w:r w:rsidRPr="003B03B1">
        <w:rPr>
          <w:sz w:val="20"/>
          <w:szCs w:val="20"/>
        </w:rPr>
        <w:t xml:space="preserve">, </w:t>
      </w:r>
      <w:r w:rsidRPr="003B03B1">
        <w:rPr>
          <w:sz w:val="20"/>
          <w:szCs w:val="20"/>
          <w:u w:val="single"/>
        </w:rPr>
        <w:t>Austin Tupler Trucking v. Hawkins</w:t>
      </w:r>
      <w:r w:rsidRPr="003B03B1">
        <w:rPr>
          <w:sz w:val="20"/>
          <w:szCs w:val="20"/>
        </w:rPr>
        <w:t xml:space="preserve">, 377 So. 2d 679 (Fla. 1979) (finding that the Commission could not reopen dormant trucking certificate case after time for reconsideration had passed); </w:t>
      </w:r>
      <w:r w:rsidR="003B03B1" w:rsidRPr="003B03B1">
        <w:rPr>
          <w:sz w:val="20"/>
          <w:szCs w:val="20"/>
          <w:u w:val="single"/>
        </w:rPr>
        <w:t>Fla. Power Corp. v. Garcia</w:t>
      </w:r>
      <w:r w:rsidRPr="003B03B1">
        <w:rPr>
          <w:sz w:val="20"/>
          <w:szCs w:val="20"/>
        </w:rPr>
        <w:t xml:space="preserve">, 780 So. 2d 34, 44 (Fla. 2001) (citing with approval </w:t>
      </w:r>
      <w:r w:rsidRPr="003B03B1">
        <w:rPr>
          <w:sz w:val="20"/>
          <w:szCs w:val="20"/>
          <w:u w:val="single"/>
        </w:rPr>
        <w:t>Austin Tupler</w:t>
      </w:r>
      <w:r w:rsidRPr="003B03B1">
        <w:rPr>
          <w:sz w:val="20"/>
          <w:szCs w:val="20"/>
        </w:rPr>
        <w:t xml:space="preserve">). </w:t>
      </w:r>
    </w:p>
  </w:footnote>
  <w:footnote w:id="10">
    <w:p w:rsidR="005B4C9C" w:rsidRPr="00551073" w:rsidRDefault="005B4C9C">
      <w:pPr>
        <w:pStyle w:val="FootnoteText"/>
      </w:pPr>
      <w:r w:rsidRPr="003B03B1">
        <w:rPr>
          <w:rStyle w:val="FootnoteReference"/>
        </w:rPr>
        <w:footnoteRef/>
      </w:r>
      <w:r>
        <w:t xml:space="preserve"> </w:t>
      </w:r>
      <w:r w:rsidR="00551073">
        <w:rPr>
          <w:u w:val="single"/>
        </w:rPr>
        <w:t>See</w:t>
      </w:r>
      <w:r w:rsidR="00551073">
        <w:t xml:space="preserve">, </w:t>
      </w:r>
      <w:r w:rsidR="00551073">
        <w:rPr>
          <w:u w:val="single"/>
        </w:rPr>
        <w:t>Peoples Gas</w:t>
      </w:r>
      <w:r w:rsidR="003B03B1">
        <w:rPr>
          <w:u w:val="single"/>
        </w:rPr>
        <w:t xml:space="preserve"> v. Mason</w:t>
      </w:r>
      <w:r w:rsidR="008112F1">
        <w:t>, 187 So. 2d at 339</w:t>
      </w:r>
      <w:r w:rsidR="00551073">
        <w:t xml:space="preserve">; </w:t>
      </w:r>
      <w:r w:rsidR="00551073">
        <w:rPr>
          <w:u w:val="single"/>
        </w:rPr>
        <w:t>Austin Tupler</w:t>
      </w:r>
      <w:r w:rsidR="003B03B1">
        <w:rPr>
          <w:u w:val="single"/>
        </w:rPr>
        <w:t xml:space="preserve"> Trucking v. Hawkins</w:t>
      </w:r>
      <w:r w:rsidR="003B03B1">
        <w:t xml:space="preserve">, </w:t>
      </w:r>
      <w:r w:rsidR="003B03B1" w:rsidRPr="002A34AC">
        <w:t>377 So.</w:t>
      </w:r>
      <w:r w:rsidR="003B03B1">
        <w:t xml:space="preserve"> </w:t>
      </w:r>
      <w:r w:rsidR="003B03B1" w:rsidRPr="002A34AC">
        <w:t>2d</w:t>
      </w:r>
      <w:r w:rsidR="003B03B1">
        <w:t xml:space="preserve"> 681; </w:t>
      </w:r>
      <w:r w:rsidR="003B03B1">
        <w:rPr>
          <w:u w:val="single"/>
        </w:rPr>
        <w:t>Fla. Power Corp.</w:t>
      </w:r>
      <w:r w:rsidR="003B03B1" w:rsidRPr="002A34AC">
        <w:rPr>
          <w:u w:val="single"/>
        </w:rPr>
        <w:t xml:space="preserve"> v. Garcia</w:t>
      </w:r>
      <w:r w:rsidR="003B03B1" w:rsidRPr="003B03B1">
        <w:t>,</w:t>
      </w:r>
      <w:r w:rsidR="003B03B1">
        <w:t xml:space="preserve"> 80 So. 2d at</w:t>
      </w:r>
      <w:r w:rsidR="003B03B1" w:rsidRPr="002A34AC">
        <w:t xml:space="preserve"> 44</w:t>
      </w:r>
      <w:r w:rsidR="003B03B1">
        <w:t>.</w:t>
      </w:r>
    </w:p>
  </w:footnote>
  <w:footnote w:id="11">
    <w:p w:rsidR="009F5D87" w:rsidRDefault="009F5D87" w:rsidP="009F5D87">
      <w:pPr>
        <w:pStyle w:val="FootnoteText"/>
        <w:tabs>
          <w:tab w:val="left" w:pos="180"/>
        </w:tabs>
      </w:pPr>
      <w:r>
        <w:rPr>
          <w:rStyle w:val="FootnoteReference"/>
        </w:rPr>
        <w:footnoteRef/>
      </w:r>
      <w:r>
        <w:tab/>
        <w:t>Document No.  07094-15, Attachment A to FPL’s Motion to Strike or Exclude Portions of the Direct Testimony of Natalie A. Mims Filed on Behalf of SACE, filed in Docket 150196-EI.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7D9" w:rsidRDefault="00C737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5A397F">
      <w:fldChar w:fldCharType="begin"/>
    </w:r>
    <w:r w:rsidR="005A397F">
      <w:instrText xml:space="preserve"> REF OrderNo0546 </w:instrText>
    </w:r>
    <w:r w:rsidR="005A397F">
      <w:fldChar w:fldCharType="separate"/>
    </w:r>
    <w:r w:rsidR="005A397F">
      <w:t>PSC-15-0546-PCO-EI</w:t>
    </w:r>
    <w:r w:rsidR="005A397F">
      <w:fldChar w:fldCharType="end"/>
    </w:r>
  </w:p>
  <w:p w:rsidR="00FA6EFD" w:rsidRDefault="00751522">
    <w:pPr>
      <w:pStyle w:val="OrderHeader"/>
    </w:pPr>
    <w:bookmarkStart w:id="9" w:name="HeaderDocketNo"/>
    <w:bookmarkEnd w:id="9"/>
    <w:r>
      <w:t>DOCKET NO. 150196-EI</w:t>
    </w:r>
  </w:p>
  <w:p w:rsidR="00FA6EFD" w:rsidRDefault="00FA6EFD">
    <w:pPr>
      <w:pStyle w:val="OrderHeader"/>
      <w:rPr>
        <w:rStyle w:val="PageNumber"/>
      </w:rPr>
    </w:pPr>
    <w:r>
      <w:t xml:space="preserve">PAGE </w:t>
    </w:r>
    <w:r w:rsidR="000674D8">
      <w:rPr>
        <w:rStyle w:val="PageNumber"/>
      </w:rPr>
      <w:fldChar w:fldCharType="begin"/>
    </w:r>
    <w:r>
      <w:rPr>
        <w:rStyle w:val="PageNumber"/>
      </w:rPr>
      <w:instrText xml:space="preserve"> PAGE </w:instrText>
    </w:r>
    <w:r w:rsidR="000674D8">
      <w:rPr>
        <w:rStyle w:val="PageNumber"/>
      </w:rPr>
      <w:fldChar w:fldCharType="separate"/>
    </w:r>
    <w:r w:rsidR="005A397F">
      <w:rPr>
        <w:rStyle w:val="PageNumber"/>
        <w:noProof/>
      </w:rPr>
      <w:t>2</w:t>
    </w:r>
    <w:r w:rsidR="000674D8">
      <w:rPr>
        <w:rStyle w:val="PageNumber"/>
      </w:rPr>
      <w:fldChar w:fldCharType="end"/>
    </w:r>
  </w:p>
  <w:p w:rsidR="00FA6EFD" w:rsidRDefault="00FA6EFD">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7D9" w:rsidRDefault="00C737D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BC5" w:rsidRDefault="00481BC5">
    <w:pPr>
      <w:pStyle w:val="OrderHeader"/>
    </w:pPr>
    <w:r>
      <w:t xml:space="preserve">ORDER NO. </w:t>
    </w:r>
    <w:fldSimple w:instr=" REF OrderNo0546 ">
      <w:r w:rsidR="005A397F">
        <w:t>PSC-15-0546-PCO-EI</w:t>
      </w:r>
    </w:fldSimple>
    <w:r>
      <w:tab/>
    </w:r>
    <w:r>
      <w:tab/>
      <w:t>ATTACHMENT “A”</w:t>
    </w:r>
  </w:p>
  <w:p w:rsidR="00481BC5" w:rsidRDefault="00481BC5">
    <w:pPr>
      <w:pStyle w:val="OrderHeader"/>
    </w:pPr>
    <w:r>
      <w:t>DOCKET NO. 150196-EI</w:t>
    </w:r>
  </w:p>
  <w:p w:rsidR="00481BC5" w:rsidRDefault="00481BC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A397F">
      <w:rPr>
        <w:rStyle w:val="PageNumber"/>
        <w:noProof/>
      </w:rPr>
      <w:t>33</w:t>
    </w:r>
    <w:r>
      <w:rPr>
        <w:rStyle w:val="PageNumber"/>
      </w:rPr>
      <w:fldChar w:fldCharType="end"/>
    </w:r>
  </w:p>
  <w:p w:rsidR="00481BC5" w:rsidRDefault="00481BC5">
    <w:pPr>
      <w:pStyle w:val="Order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F535CB"/>
    <w:multiLevelType w:val="hybridMultilevel"/>
    <w:tmpl w:val="E8C218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EDA0494C-FE52-4EE1-ABE6-BC3EAC097893}"/>
    <w:docVar w:name="dgnword-eventsink" w:val="353834584"/>
    <w:docVar w:name="Dockets" w:val="150196-EI"/>
  </w:docVars>
  <w:rsids>
    <w:rsidRoot w:val="00751522"/>
    <w:rsid w:val="000022B8"/>
    <w:rsid w:val="00007BFC"/>
    <w:rsid w:val="000144C0"/>
    <w:rsid w:val="0002761A"/>
    <w:rsid w:val="00053AB9"/>
    <w:rsid w:val="00056229"/>
    <w:rsid w:val="00065FC2"/>
    <w:rsid w:val="000674D8"/>
    <w:rsid w:val="00077009"/>
    <w:rsid w:val="00090AFC"/>
    <w:rsid w:val="000B4075"/>
    <w:rsid w:val="000B78E2"/>
    <w:rsid w:val="000B7B62"/>
    <w:rsid w:val="000D06E8"/>
    <w:rsid w:val="000E2E11"/>
    <w:rsid w:val="000E344D"/>
    <w:rsid w:val="000F3B2C"/>
    <w:rsid w:val="000F5E64"/>
    <w:rsid w:val="000F7BE3"/>
    <w:rsid w:val="00116AD3"/>
    <w:rsid w:val="00123929"/>
    <w:rsid w:val="00126593"/>
    <w:rsid w:val="00142A96"/>
    <w:rsid w:val="00151918"/>
    <w:rsid w:val="001641A9"/>
    <w:rsid w:val="001712B8"/>
    <w:rsid w:val="00187576"/>
    <w:rsid w:val="00187E32"/>
    <w:rsid w:val="00194E81"/>
    <w:rsid w:val="001A33C9"/>
    <w:rsid w:val="001B787B"/>
    <w:rsid w:val="001D008A"/>
    <w:rsid w:val="002002ED"/>
    <w:rsid w:val="00212864"/>
    <w:rsid w:val="0022721A"/>
    <w:rsid w:val="00230BB9"/>
    <w:rsid w:val="00252B30"/>
    <w:rsid w:val="00280EC9"/>
    <w:rsid w:val="002A11AC"/>
    <w:rsid w:val="002A34AC"/>
    <w:rsid w:val="002A6F30"/>
    <w:rsid w:val="002C0D36"/>
    <w:rsid w:val="002D3BC6"/>
    <w:rsid w:val="002D7D15"/>
    <w:rsid w:val="00303FDE"/>
    <w:rsid w:val="003140E8"/>
    <w:rsid w:val="0031515A"/>
    <w:rsid w:val="003231C7"/>
    <w:rsid w:val="00331ED0"/>
    <w:rsid w:val="0035495B"/>
    <w:rsid w:val="00361485"/>
    <w:rsid w:val="003744F5"/>
    <w:rsid w:val="00374FD7"/>
    <w:rsid w:val="00381913"/>
    <w:rsid w:val="00390DD8"/>
    <w:rsid w:val="00394DC6"/>
    <w:rsid w:val="00397C3E"/>
    <w:rsid w:val="003A0569"/>
    <w:rsid w:val="003A246A"/>
    <w:rsid w:val="003B03B1"/>
    <w:rsid w:val="003D4CCA"/>
    <w:rsid w:val="003D6416"/>
    <w:rsid w:val="003E1D48"/>
    <w:rsid w:val="0041351D"/>
    <w:rsid w:val="0042527B"/>
    <w:rsid w:val="00425310"/>
    <w:rsid w:val="004442B9"/>
    <w:rsid w:val="00457DC7"/>
    <w:rsid w:val="00472BCC"/>
    <w:rsid w:val="00481BC5"/>
    <w:rsid w:val="004A25CD"/>
    <w:rsid w:val="004A26CC"/>
    <w:rsid w:val="004B2108"/>
    <w:rsid w:val="004B3A2B"/>
    <w:rsid w:val="004D2D1B"/>
    <w:rsid w:val="004F2DDE"/>
    <w:rsid w:val="0050097F"/>
    <w:rsid w:val="005055C4"/>
    <w:rsid w:val="0051304A"/>
    <w:rsid w:val="00514B1F"/>
    <w:rsid w:val="00551073"/>
    <w:rsid w:val="00556A10"/>
    <w:rsid w:val="005601EF"/>
    <w:rsid w:val="00560D82"/>
    <w:rsid w:val="00566D8E"/>
    <w:rsid w:val="00586800"/>
    <w:rsid w:val="005963C2"/>
    <w:rsid w:val="005A397F"/>
    <w:rsid w:val="005B45F7"/>
    <w:rsid w:val="005B4C9C"/>
    <w:rsid w:val="005B63EA"/>
    <w:rsid w:val="005C2C58"/>
    <w:rsid w:val="005C5C3C"/>
    <w:rsid w:val="00615D46"/>
    <w:rsid w:val="006239D4"/>
    <w:rsid w:val="00624A68"/>
    <w:rsid w:val="006470A2"/>
    <w:rsid w:val="00660774"/>
    <w:rsid w:val="00664F28"/>
    <w:rsid w:val="00665CC7"/>
    <w:rsid w:val="0068162B"/>
    <w:rsid w:val="006A0BF3"/>
    <w:rsid w:val="006A5EEA"/>
    <w:rsid w:val="006B0DA6"/>
    <w:rsid w:val="006C3945"/>
    <w:rsid w:val="006C547E"/>
    <w:rsid w:val="006D1126"/>
    <w:rsid w:val="00704C5D"/>
    <w:rsid w:val="00733B6B"/>
    <w:rsid w:val="00751522"/>
    <w:rsid w:val="0076170F"/>
    <w:rsid w:val="0076669C"/>
    <w:rsid w:val="00771B36"/>
    <w:rsid w:val="00777AE3"/>
    <w:rsid w:val="007865E9"/>
    <w:rsid w:val="00792383"/>
    <w:rsid w:val="007962C3"/>
    <w:rsid w:val="007B09A1"/>
    <w:rsid w:val="007D3D20"/>
    <w:rsid w:val="007E1E26"/>
    <w:rsid w:val="007E3AFD"/>
    <w:rsid w:val="007E4FFC"/>
    <w:rsid w:val="00803189"/>
    <w:rsid w:val="00804E7A"/>
    <w:rsid w:val="00805FBB"/>
    <w:rsid w:val="008112F1"/>
    <w:rsid w:val="008169A4"/>
    <w:rsid w:val="00820DE8"/>
    <w:rsid w:val="008278FE"/>
    <w:rsid w:val="00832598"/>
    <w:rsid w:val="0083397E"/>
    <w:rsid w:val="008343AD"/>
    <w:rsid w:val="0083534B"/>
    <w:rsid w:val="00863A66"/>
    <w:rsid w:val="00874429"/>
    <w:rsid w:val="00883D9A"/>
    <w:rsid w:val="008919EF"/>
    <w:rsid w:val="008C6A5B"/>
    <w:rsid w:val="008E26A5"/>
    <w:rsid w:val="008E42D2"/>
    <w:rsid w:val="008E7F1A"/>
    <w:rsid w:val="008F1CC1"/>
    <w:rsid w:val="009040EE"/>
    <w:rsid w:val="009057FD"/>
    <w:rsid w:val="00922A7F"/>
    <w:rsid w:val="00922CFF"/>
    <w:rsid w:val="00923A5E"/>
    <w:rsid w:val="0097767D"/>
    <w:rsid w:val="00994100"/>
    <w:rsid w:val="00994141"/>
    <w:rsid w:val="00996C0E"/>
    <w:rsid w:val="009D4C29"/>
    <w:rsid w:val="009E6303"/>
    <w:rsid w:val="009F5D87"/>
    <w:rsid w:val="00A229F0"/>
    <w:rsid w:val="00A45BC1"/>
    <w:rsid w:val="00A62DAB"/>
    <w:rsid w:val="00A726A6"/>
    <w:rsid w:val="00A94428"/>
    <w:rsid w:val="00A97535"/>
    <w:rsid w:val="00AA73F1"/>
    <w:rsid w:val="00AB0E1A"/>
    <w:rsid w:val="00AB1A30"/>
    <w:rsid w:val="00AC5F68"/>
    <w:rsid w:val="00AD1ED3"/>
    <w:rsid w:val="00AD5EE7"/>
    <w:rsid w:val="00AE02D2"/>
    <w:rsid w:val="00AE397A"/>
    <w:rsid w:val="00B0197D"/>
    <w:rsid w:val="00B0777D"/>
    <w:rsid w:val="00B205E1"/>
    <w:rsid w:val="00B4057A"/>
    <w:rsid w:val="00B40894"/>
    <w:rsid w:val="00B45E75"/>
    <w:rsid w:val="00B50876"/>
    <w:rsid w:val="00B55EE5"/>
    <w:rsid w:val="00B660DD"/>
    <w:rsid w:val="00B73DE6"/>
    <w:rsid w:val="00B86EF0"/>
    <w:rsid w:val="00B97900"/>
    <w:rsid w:val="00BA44A8"/>
    <w:rsid w:val="00BB6F4A"/>
    <w:rsid w:val="00BC7B1B"/>
    <w:rsid w:val="00BD1C55"/>
    <w:rsid w:val="00BE51C9"/>
    <w:rsid w:val="00BF6691"/>
    <w:rsid w:val="00BF6FF4"/>
    <w:rsid w:val="00BF72EB"/>
    <w:rsid w:val="00C028FC"/>
    <w:rsid w:val="00C12B08"/>
    <w:rsid w:val="00C66692"/>
    <w:rsid w:val="00C737D9"/>
    <w:rsid w:val="00C76DE5"/>
    <w:rsid w:val="00C91123"/>
    <w:rsid w:val="00C95E74"/>
    <w:rsid w:val="00CA4697"/>
    <w:rsid w:val="00CA71FF"/>
    <w:rsid w:val="00CB5276"/>
    <w:rsid w:val="00CB68D7"/>
    <w:rsid w:val="00CC7E68"/>
    <w:rsid w:val="00CD7132"/>
    <w:rsid w:val="00CF7905"/>
    <w:rsid w:val="00D30B48"/>
    <w:rsid w:val="00D46FAA"/>
    <w:rsid w:val="00D53008"/>
    <w:rsid w:val="00D55DDC"/>
    <w:rsid w:val="00D57BB2"/>
    <w:rsid w:val="00D66DF6"/>
    <w:rsid w:val="00D8560E"/>
    <w:rsid w:val="00D8758F"/>
    <w:rsid w:val="00DB4A0E"/>
    <w:rsid w:val="00DC1D94"/>
    <w:rsid w:val="00DC4122"/>
    <w:rsid w:val="00DE057F"/>
    <w:rsid w:val="00DE2082"/>
    <w:rsid w:val="00DE2289"/>
    <w:rsid w:val="00E04410"/>
    <w:rsid w:val="00E11351"/>
    <w:rsid w:val="00E541A4"/>
    <w:rsid w:val="00E81E14"/>
    <w:rsid w:val="00EA172C"/>
    <w:rsid w:val="00EA259B"/>
    <w:rsid w:val="00EA35A3"/>
    <w:rsid w:val="00EA3E6A"/>
    <w:rsid w:val="00EB18EF"/>
    <w:rsid w:val="00EC106F"/>
    <w:rsid w:val="00EE17DF"/>
    <w:rsid w:val="00EF4621"/>
    <w:rsid w:val="00F277B6"/>
    <w:rsid w:val="00F47AE8"/>
    <w:rsid w:val="00F54380"/>
    <w:rsid w:val="00F54B47"/>
    <w:rsid w:val="00F5528C"/>
    <w:rsid w:val="00F70E84"/>
    <w:rsid w:val="00FA6E45"/>
    <w:rsid w:val="00FA6EFD"/>
    <w:rsid w:val="00FB74EA"/>
    <w:rsid w:val="00FD2C9E"/>
    <w:rsid w:val="00FD4786"/>
    <w:rsid w:val="00FD616C"/>
    <w:rsid w:val="00FF0A00"/>
    <w:rsid w:val="00FF45C4"/>
    <w:rsid w:val="00FF7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ListParagraph">
    <w:name w:val="List Paragraph"/>
    <w:basedOn w:val="Normal"/>
    <w:uiPriority w:val="34"/>
    <w:qFormat/>
    <w:rsid w:val="00751522"/>
    <w:pPr>
      <w:ind w:left="720"/>
    </w:pPr>
    <w:rPr>
      <w:rFonts w:ascii="Calibri" w:eastAsia="Calibri" w:hAnsi="Calibri"/>
      <w:sz w:val="22"/>
      <w:szCs w:val="22"/>
    </w:rPr>
  </w:style>
  <w:style w:type="paragraph" w:styleId="BalloonText">
    <w:name w:val="Balloon Text"/>
    <w:basedOn w:val="Normal"/>
    <w:link w:val="BalloonTextChar"/>
    <w:rsid w:val="00212864"/>
    <w:rPr>
      <w:rFonts w:ascii="Tahoma" w:hAnsi="Tahoma" w:cs="Tahoma"/>
      <w:sz w:val="16"/>
      <w:szCs w:val="16"/>
    </w:rPr>
  </w:style>
  <w:style w:type="character" w:customStyle="1" w:styleId="BalloonTextChar">
    <w:name w:val="Balloon Text Char"/>
    <w:basedOn w:val="DefaultParagraphFont"/>
    <w:link w:val="BalloonText"/>
    <w:rsid w:val="00212864"/>
    <w:rPr>
      <w:rFonts w:ascii="Tahoma" w:hAnsi="Tahoma" w:cs="Tahoma"/>
      <w:sz w:val="16"/>
      <w:szCs w:val="16"/>
    </w:rPr>
  </w:style>
  <w:style w:type="paragraph" w:customStyle="1" w:styleId="Default">
    <w:name w:val="Default"/>
    <w:rsid w:val="00994141"/>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ListParagraph">
    <w:name w:val="List Paragraph"/>
    <w:basedOn w:val="Normal"/>
    <w:uiPriority w:val="34"/>
    <w:qFormat/>
    <w:rsid w:val="00751522"/>
    <w:pPr>
      <w:ind w:left="720"/>
    </w:pPr>
    <w:rPr>
      <w:rFonts w:ascii="Calibri" w:eastAsia="Calibri" w:hAnsi="Calibri"/>
      <w:sz w:val="22"/>
      <w:szCs w:val="22"/>
    </w:rPr>
  </w:style>
  <w:style w:type="paragraph" w:styleId="BalloonText">
    <w:name w:val="Balloon Text"/>
    <w:basedOn w:val="Normal"/>
    <w:link w:val="BalloonTextChar"/>
    <w:rsid w:val="00212864"/>
    <w:rPr>
      <w:rFonts w:ascii="Tahoma" w:hAnsi="Tahoma" w:cs="Tahoma"/>
      <w:sz w:val="16"/>
      <w:szCs w:val="16"/>
    </w:rPr>
  </w:style>
  <w:style w:type="character" w:customStyle="1" w:styleId="BalloonTextChar">
    <w:name w:val="Balloon Text Char"/>
    <w:basedOn w:val="DefaultParagraphFont"/>
    <w:link w:val="BalloonText"/>
    <w:rsid w:val="00212864"/>
    <w:rPr>
      <w:rFonts w:ascii="Tahoma" w:hAnsi="Tahoma" w:cs="Tahoma"/>
      <w:sz w:val="16"/>
      <w:szCs w:val="16"/>
    </w:rPr>
  </w:style>
  <w:style w:type="paragraph" w:customStyle="1" w:styleId="Default">
    <w:name w:val="Default"/>
    <w:rsid w:val="00994141"/>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2095">
      <w:bodyDiv w:val="1"/>
      <w:marLeft w:val="0"/>
      <w:marRight w:val="0"/>
      <w:marTop w:val="0"/>
      <w:marBottom w:val="0"/>
      <w:divBdr>
        <w:top w:val="none" w:sz="0" w:space="0" w:color="auto"/>
        <w:left w:val="none" w:sz="0" w:space="0" w:color="auto"/>
        <w:bottom w:val="none" w:sz="0" w:space="0" w:color="auto"/>
        <w:right w:val="none" w:sz="0" w:space="0" w:color="auto"/>
      </w:divBdr>
      <w:divsChild>
        <w:div w:id="286860928">
          <w:marLeft w:val="0"/>
          <w:marRight w:val="0"/>
          <w:marTop w:val="0"/>
          <w:marBottom w:val="0"/>
          <w:divBdr>
            <w:top w:val="none" w:sz="0" w:space="0" w:color="auto"/>
            <w:left w:val="none" w:sz="0" w:space="0" w:color="auto"/>
            <w:bottom w:val="none" w:sz="0" w:space="0" w:color="auto"/>
            <w:right w:val="none" w:sz="0" w:space="0" w:color="auto"/>
          </w:divBdr>
          <w:divsChild>
            <w:div w:id="71699994">
              <w:marLeft w:val="0"/>
              <w:marRight w:val="0"/>
              <w:marTop w:val="0"/>
              <w:marBottom w:val="0"/>
              <w:divBdr>
                <w:top w:val="none" w:sz="0" w:space="0" w:color="auto"/>
                <w:left w:val="none" w:sz="0" w:space="0" w:color="auto"/>
                <w:bottom w:val="none" w:sz="0" w:space="0" w:color="auto"/>
                <w:right w:val="none" w:sz="0" w:space="0" w:color="auto"/>
              </w:divBdr>
              <w:divsChild>
                <w:div w:id="325205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7393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Edgar,%20Bris&#233;,%20Brown%20and%20Patron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57DFB-19EF-4061-8709-E26E16A99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Edgar, Brisé, Brown and Patronis.dot</Template>
  <TotalTime>22</TotalTime>
  <Pages>33</Pages>
  <Words>2188</Words>
  <Characters>12053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Florida Public Service Commission</Company>
  <LinksUpToDate>false</LinksUpToDate>
  <CharactersWithSpaces>14213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Diamond Lynn</dc:creator>
  <cp:lastModifiedBy>Christoper Cooney</cp:lastModifiedBy>
  <cp:revision>4</cp:revision>
  <cp:lastPrinted>2015-11-24T18:51:00Z</cp:lastPrinted>
  <dcterms:created xsi:type="dcterms:W3CDTF">2015-11-24T17:31:00Z</dcterms:created>
  <dcterms:modified xsi:type="dcterms:W3CDTF">2015-11-24T18:51:00Z</dcterms:modified>
</cp:coreProperties>
</file>