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3408FB" w:rsidP="003408FB">
      <w:pPr>
        <w:pStyle w:val="OrderHeading"/>
      </w:pPr>
      <w:bookmarkStart w:id="0" w:name="_GoBack"/>
      <w:bookmarkEnd w:id="0"/>
      <w:r>
        <w:t>BEFORE THE FLORIDA PUBLIC SERVICE COMMISSION</w:t>
      </w:r>
    </w:p>
    <w:p w:rsidR="003408FB" w:rsidRDefault="003408FB" w:rsidP="003408FB">
      <w:pPr>
        <w:pStyle w:val="OrderHeading"/>
      </w:pPr>
    </w:p>
    <w:p w:rsidR="003408FB" w:rsidRDefault="003408FB" w:rsidP="003408FB">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3408FB" w:rsidRPr="00C63FCF" w:rsidTr="00C63FCF">
        <w:trPr>
          <w:trHeight w:val="828"/>
        </w:trPr>
        <w:tc>
          <w:tcPr>
            <w:tcW w:w="4788" w:type="dxa"/>
            <w:tcBorders>
              <w:bottom w:val="single" w:sz="8" w:space="0" w:color="auto"/>
              <w:right w:val="double" w:sz="6" w:space="0" w:color="auto"/>
            </w:tcBorders>
            <w:shd w:val="clear" w:color="auto" w:fill="auto"/>
          </w:tcPr>
          <w:p w:rsidR="003408FB" w:rsidRDefault="003408FB" w:rsidP="00C63FCF">
            <w:pPr>
              <w:pStyle w:val="OrderBody"/>
              <w:tabs>
                <w:tab w:val="center" w:pos="4320"/>
                <w:tab w:val="right" w:pos="8640"/>
              </w:tabs>
              <w:jc w:val="left"/>
            </w:pPr>
            <w:r>
              <w:t xml:space="preserve">In re: </w:t>
            </w:r>
            <w:bookmarkStart w:id="1" w:name="SSInRe"/>
            <w:bookmarkEnd w:id="1"/>
            <w:r>
              <w:t>Joint petition for approval of amendment to territorial agreement in Pasco County, by Peoples Gas System and the City of Clearwater, d/b/a Clearwater Gas System.</w:t>
            </w:r>
          </w:p>
        </w:tc>
        <w:tc>
          <w:tcPr>
            <w:tcW w:w="4788" w:type="dxa"/>
            <w:tcBorders>
              <w:left w:val="double" w:sz="6" w:space="0" w:color="auto"/>
            </w:tcBorders>
            <w:shd w:val="clear" w:color="auto" w:fill="auto"/>
          </w:tcPr>
          <w:p w:rsidR="003408FB" w:rsidRDefault="003408FB" w:rsidP="003408FB">
            <w:pPr>
              <w:pStyle w:val="OrderBody"/>
            </w:pPr>
            <w:r>
              <w:t xml:space="preserve">DOCKET NO. </w:t>
            </w:r>
            <w:bookmarkStart w:id="2" w:name="SSDocketNo"/>
            <w:bookmarkEnd w:id="2"/>
            <w:r>
              <w:t>160050-GU</w:t>
            </w:r>
          </w:p>
          <w:p w:rsidR="003408FB" w:rsidRDefault="003408FB" w:rsidP="00C63FCF">
            <w:pPr>
              <w:pStyle w:val="OrderBody"/>
              <w:tabs>
                <w:tab w:val="center" w:pos="4320"/>
                <w:tab w:val="right" w:pos="8640"/>
              </w:tabs>
              <w:jc w:val="left"/>
            </w:pPr>
            <w:r>
              <w:t xml:space="preserve">ORDER NO. </w:t>
            </w:r>
            <w:bookmarkStart w:id="3" w:name="OrderNo0201"/>
            <w:r w:rsidR="00890D4E">
              <w:t>PSC-16-0201-PAA-GU</w:t>
            </w:r>
            <w:bookmarkEnd w:id="3"/>
          </w:p>
          <w:p w:rsidR="003408FB" w:rsidRDefault="003408FB" w:rsidP="00C63FCF">
            <w:pPr>
              <w:pStyle w:val="OrderBody"/>
              <w:tabs>
                <w:tab w:val="center" w:pos="4320"/>
                <w:tab w:val="right" w:pos="8640"/>
              </w:tabs>
              <w:jc w:val="left"/>
            </w:pPr>
            <w:r>
              <w:t xml:space="preserve">ISSUED: </w:t>
            </w:r>
            <w:r w:rsidR="00890D4E">
              <w:t>May 19, 2016</w:t>
            </w:r>
          </w:p>
        </w:tc>
      </w:tr>
    </w:tbl>
    <w:p w:rsidR="003408FB" w:rsidRDefault="003408FB" w:rsidP="003408FB"/>
    <w:p w:rsidR="003408FB" w:rsidRDefault="003408FB" w:rsidP="003408FB"/>
    <w:p w:rsidR="003408FB" w:rsidRPr="00E46E1F" w:rsidRDefault="003408FB">
      <w:pPr>
        <w:ind w:firstLine="720"/>
        <w:jc w:val="both"/>
      </w:pPr>
      <w:bookmarkStart w:id="4" w:name="Commissioners"/>
      <w:bookmarkEnd w:id="4"/>
      <w:r w:rsidRPr="00E46E1F">
        <w:t>The following Commissioners participated in the disposition of this matter:</w:t>
      </w:r>
    </w:p>
    <w:p w:rsidR="003408FB" w:rsidRPr="00E46E1F" w:rsidRDefault="003408FB"/>
    <w:p w:rsidR="003408FB" w:rsidRDefault="003408FB">
      <w:pPr>
        <w:jc w:val="center"/>
      </w:pPr>
      <w:r>
        <w:t>JULIE I. BROWN</w:t>
      </w:r>
      <w:r w:rsidRPr="00E46E1F">
        <w:t>, Chairman</w:t>
      </w:r>
    </w:p>
    <w:p w:rsidR="003408FB" w:rsidRPr="00E46E1F" w:rsidRDefault="003408FB">
      <w:pPr>
        <w:jc w:val="center"/>
      </w:pPr>
      <w:r w:rsidRPr="00E46E1F">
        <w:t>LISA POLAK EDGAR</w:t>
      </w:r>
    </w:p>
    <w:p w:rsidR="003408FB" w:rsidRDefault="003408FB">
      <w:pPr>
        <w:jc w:val="center"/>
      </w:pPr>
      <w:r>
        <w:t>ART GRAHAM</w:t>
      </w:r>
    </w:p>
    <w:p w:rsidR="003408FB" w:rsidRDefault="003408FB">
      <w:pPr>
        <w:jc w:val="center"/>
      </w:pPr>
      <w:r>
        <w:t>RONALD A. BRISÉ</w:t>
      </w:r>
    </w:p>
    <w:p w:rsidR="003408FB" w:rsidRDefault="003408FB">
      <w:pPr>
        <w:jc w:val="center"/>
      </w:pPr>
      <w:r>
        <w:t>JIMMY PATRONIS</w:t>
      </w:r>
    </w:p>
    <w:p w:rsidR="00CB5276" w:rsidRDefault="00CB5276">
      <w:pPr>
        <w:pStyle w:val="OrderBody"/>
      </w:pPr>
    </w:p>
    <w:bookmarkStart w:id="5" w:name="OrderText"/>
    <w:bookmarkEnd w:id="5"/>
    <w:p w:rsidR="003408FB" w:rsidRPr="003E4B2D" w:rsidRDefault="003408FB">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3408FB" w:rsidRPr="003E4B2D" w:rsidRDefault="003408FB">
      <w:pPr>
        <w:pStyle w:val="OrderBody"/>
        <w:jc w:val="center"/>
        <w:rPr>
          <w:u w:val="single"/>
        </w:rPr>
      </w:pPr>
      <w:r w:rsidRPr="003E4B2D">
        <w:rPr>
          <w:u w:val="single"/>
        </w:rPr>
        <w:t>ORDER</w:t>
      </w:r>
      <w:bookmarkStart w:id="6" w:name="OrderTitle"/>
      <w:r w:rsidR="0040291F">
        <w:rPr>
          <w:u w:val="single"/>
        </w:rPr>
        <w:t xml:space="preserve"> APPROVING TERRITORIAL AGREEMENT</w:t>
      </w:r>
      <w:r w:rsidR="000D197D">
        <w:rPr>
          <w:u w:val="single"/>
        </w:rPr>
        <w:t xml:space="preserve"> AMENDMENT </w:t>
      </w:r>
      <w:bookmarkEnd w:id="6"/>
    </w:p>
    <w:p w:rsidR="003408FB" w:rsidRPr="003E4B2D" w:rsidRDefault="003408FB">
      <w:pPr>
        <w:pStyle w:val="OrderBody"/>
      </w:pPr>
    </w:p>
    <w:p w:rsidR="003408FB" w:rsidRPr="003E4B2D" w:rsidRDefault="003408FB">
      <w:pPr>
        <w:pStyle w:val="OrderBody"/>
      </w:pPr>
    </w:p>
    <w:p w:rsidR="003408FB" w:rsidRPr="003E4B2D" w:rsidRDefault="003408FB">
      <w:pPr>
        <w:pStyle w:val="OrderBody"/>
      </w:pPr>
      <w:r w:rsidRPr="003E4B2D">
        <w:t>BY THE COMMISSION:</w:t>
      </w:r>
    </w:p>
    <w:p w:rsidR="003408FB" w:rsidRPr="003E4B2D" w:rsidRDefault="003408FB">
      <w:pPr>
        <w:pStyle w:val="OrderBody"/>
      </w:pPr>
    </w:p>
    <w:p w:rsidR="003408FB" w:rsidRDefault="003408FB">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3408FB"/>
    <w:p w:rsidR="00CB5276" w:rsidRPr="003408FB" w:rsidRDefault="003408FB" w:rsidP="003408FB">
      <w:pPr>
        <w:jc w:val="center"/>
        <w:rPr>
          <w:b/>
        </w:rPr>
      </w:pPr>
      <w:r w:rsidRPr="003408FB">
        <w:rPr>
          <w:b/>
        </w:rPr>
        <w:t>Background</w:t>
      </w:r>
    </w:p>
    <w:p w:rsidR="003408FB" w:rsidRDefault="003408FB"/>
    <w:p w:rsidR="003408FB" w:rsidRPr="003408FB" w:rsidRDefault="003408FB" w:rsidP="003408FB">
      <w:pPr>
        <w:spacing w:after="240"/>
        <w:ind w:firstLine="720"/>
        <w:jc w:val="both"/>
      </w:pPr>
      <w:r w:rsidRPr="003408FB">
        <w:t xml:space="preserve">On March 4, 2016, Peoples Gas System (Peoples) and the City of Clearwater, d/b/a/ Clearwater Gas System (Clearwater) filed a joint petition for approval of a third amendment to their territorial agreement in Pasco County. </w:t>
      </w:r>
      <w:r w:rsidR="0040291F">
        <w:t xml:space="preserve"> </w:t>
      </w:r>
      <w:r w:rsidRPr="003408FB">
        <w:t>The territorial agreement was originally approved in 1995.</w:t>
      </w:r>
      <w:r w:rsidRPr="003408FB">
        <w:rPr>
          <w:vertAlign w:val="superscript"/>
        </w:rPr>
        <w:footnoteReference w:id="1"/>
      </w:r>
      <w:r w:rsidRPr="003408FB">
        <w:t xml:space="preserve"> </w:t>
      </w:r>
      <w:r w:rsidR="0040291F">
        <w:t xml:space="preserve"> </w:t>
      </w:r>
      <w:r w:rsidRPr="003408FB">
        <w:t>The first amendment, approved in 2005, allowed Clearwater to provide natural gas service to proposed developments adjacent to its territory in Pasco County.</w:t>
      </w:r>
      <w:r w:rsidRPr="003408FB">
        <w:rPr>
          <w:vertAlign w:val="superscript"/>
        </w:rPr>
        <w:footnoteReference w:id="2"/>
      </w:r>
      <w:r w:rsidRPr="003408FB">
        <w:t xml:space="preserve"> </w:t>
      </w:r>
      <w:r w:rsidR="0040291F">
        <w:t xml:space="preserve"> </w:t>
      </w:r>
      <w:r w:rsidRPr="003408FB">
        <w:t>The second amendment, approved in 2006, permitted Clearwater to provide service to a new development (Lakeshore Ranch and surrounding areas).</w:t>
      </w:r>
      <w:r w:rsidRPr="003408FB">
        <w:rPr>
          <w:vertAlign w:val="superscript"/>
        </w:rPr>
        <w:footnoteReference w:id="3"/>
      </w:r>
      <w:r w:rsidRPr="003408FB">
        <w:t xml:space="preserve"> </w:t>
      </w:r>
      <w:r w:rsidR="0040291F">
        <w:t xml:space="preserve"> </w:t>
      </w:r>
      <w:r w:rsidRPr="003408FB">
        <w:t xml:space="preserve">The </w:t>
      </w:r>
      <w:r w:rsidR="007222D0">
        <w:t xml:space="preserve">proposed </w:t>
      </w:r>
      <w:r w:rsidRPr="003408FB">
        <w:t xml:space="preserve">third amendment would permit Clearwater to provide service to </w:t>
      </w:r>
      <w:proofErr w:type="spellStart"/>
      <w:r w:rsidRPr="003408FB">
        <w:t>Asturia</w:t>
      </w:r>
      <w:proofErr w:type="spellEnd"/>
      <w:r w:rsidRPr="003408FB">
        <w:t xml:space="preserve">, a new mixed use development in Pasco County. </w:t>
      </w:r>
    </w:p>
    <w:p w:rsidR="003408FB" w:rsidRDefault="003408FB" w:rsidP="003408FB">
      <w:pPr>
        <w:spacing w:after="240"/>
        <w:ind w:firstLine="720"/>
        <w:jc w:val="both"/>
      </w:pPr>
      <w:r w:rsidRPr="003408FB">
        <w:lastRenderedPageBreak/>
        <w:t xml:space="preserve">The third amendment is contained in Attachment 1. </w:t>
      </w:r>
      <w:r w:rsidR="0040291F">
        <w:t xml:space="preserve"> We have</w:t>
      </w:r>
      <w:r w:rsidRPr="003408FB">
        <w:t xml:space="preserve"> jurisdiction over this matter pursuant to Section 366.04, Florida Statutes (F.S.).</w:t>
      </w:r>
    </w:p>
    <w:p w:rsidR="003408FB" w:rsidRPr="003408FB" w:rsidRDefault="003408FB" w:rsidP="003408FB">
      <w:pPr>
        <w:jc w:val="center"/>
        <w:rPr>
          <w:b/>
        </w:rPr>
      </w:pPr>
      <w:r w:rsidRPr="003408FB">
        <w:rPr>
          <w:b/>
        </w:rPr>
        <w:t>Decision</w:t>
      </w:r>
    </w:p>
    <w:p w:rsidR="003408FB" w:rsidRDefault="003408FB"/>
    <w:p w:rsidR="003408FB" w:rsidRDefault="003408FB" w:rsidP="003408FB">
      <w:pPr>
        <w:spacing w:after="240"/>
        <w:ind w:firstLine="720"/>
        <w:jc w:val="both"/>
      </w:pPr>
      <w:r w:rsidRPr="003408FB">
        <w:t xml:space="preserve">Pursuant to Section 366.04(3)(a), F.S., </w:t>
      </w:r>
      <w:r w:rsidR="0040291F">
        <w:t>this</w:t>
      </w:r>
      <w:r w:rsidRPr="003408FB">
        <w:t xml:space="preserve"> Commission has the jurisdiction to approve territorial agreements between and among natural gas utilities. Rule 25-7.0471(2), </w:t>
      </w:r>
      <w:r w:rsidR="00E6728B">
        <w:t>F.A.C.</w:t>
      </w:r>
      <w:r w:rsidRPr="003408FB">
        <w:t>, states that in app</w:t>
      </w:r>
      <w:r w:rsidR="0040291F">
        <w:t>roving territorial agreements, this Commission</w:t>
      </w:r>
      <w:r w:rsidRPr="003408FB">
        <w:t xml:space="preserve"> shall consider:</w:t>
      </w:r>
    </w:p>
    <w:p w:rsidR="003408FB" w:rsidRDefault="003408FB" w:rsidP="003408FB">
      <w:pPr>
        <w:pStyle w:val="BodyText"/>
        <w:numPr>
          <w:ilvl w:val="0"/>
          <w:numId w:val="1"/>
        </w:numPr>
        <w:spacing w:after="240"/>
        <w:ind w:left="1080"/>
        <w:jc w:val="both"/>
      </w:pPr>
      <w:r>
        <w:t>The reasonableness of the purchase price of any facilities being transferred;</w:t>
      </w:r>
    </w:p>
    <w:p w:rsidR="003408FB" w:rsidRDefault="003408FB" w:rsidP="003408FB">
      <w:pPr>
        <w:pStyle w:val="BodyText"/>
        <w:numPr>
          <w:ilvl w:val="0"/>
          <w:numId w:val="1"/>
        </w:numPr>
        <w:spacing w:after="240"/>
        <w:ind w:left="1080"/>
        <w:jc w:val="both"/>
      </w:pPr>
      <w:r>
        <w:t>The reasonable likelihood that the agreement, in and of itself, will not cause a decrease in the reliability of natural gas service to the existing or future ratepayers of any utility party to the agreement; and</w:t>
      </w:r>
    </w:p>
    <w:p w:rsidR="003408FB" w:rsidRDefault="003408FB" w:rsidP="003408FB">
      <w:pPr>
        <w:pStyle w:val="BodyText"/>
        <w:numPr>
          <w:ilvl w:val="0"/>
          <w:numId w:val="1"/>
        </w:numPr>
        <w:spacing w:after="240"/>
        <w:ind w:left="1080"/>
        <w:jc w:val="both"/>
      </w:pPr>
      <w:r>
        <w:t>The reasonable likelihood that the agreement will eliminate existing or potential uneconomic duplication of facilities.</w:t>
      </w:r>
    </w:p>
    <w:p w:rsidR="003408FB" w:rsidRDefault="003408FB" w:rsidP="003408FB">
      <w:pPr>
        <w:pStyle w:val="BodyText"/>
        <w:numPr>
          <w:ilvl w:val="0"/>
          <w:numId w:val="1"/>
        </w:numPr>
        <w:spacing w:after="240"/>
        <w:ind w:left="1080"/>
        <w:jc w:val="both"/>
      </w:pPr>
      <w:r>
        <w:t>Other relevant factors that may arise from the circumstances of a particular case.</w:t>
      </w:r>
    </w:p>
    <w:p w:rsidR="003408FB" w:rsidRDefault="003408FB" w:rsidP="002E139C">
      <w:pPr>
        <w:pStyle w:val="BodyText"/>
        <w:spacing w:after="240"/>
        <w:jc w:val="both"/>
      </w:pPr>
      <w:r>
        <w:t xml:space="preserve">Unless </w:t>
      </w:r>
      <w:r w:rsidR="007222D0">
        <w:t>this</w:t>
      </w:r>
      <w:r>
        <w:t xml:space="preserve"> Commission determines that the agreement will cause a detriment to the public interest, the agreement should be approved.</w:t>
      </w:r>
      <w:r>
        <w:rPr>
          <w:rStyle w:val="FootnoteReference"/>
        </w:rPr>
        <w:footnoteReference w:id="4"/>
      </w:r>
    </w:p>
    <w:p w:rsidR="003408FB" w:rsidRDefault="003408FB" w:rsidP="003408FB">
      <w:pPr>
        <w:pStyle w:val="IssueHeading"/>
        <w:ind w:firstLine="720"/>
        <w:rPr>
          <w:rFonts w:ascii="Times New Roman" w:hAnsi="Times New Roman" w:cs="Times New Roman"/>
          <w:b w:val="0"/>
          <w:i w:val="0"/>
        </w:rPr>
      </w:pPr>
      <w:r>
        <w:rPr>
          <w:rFonts w:ascii="Times New Roman" w:hAnsi="Times New Roman" w:cs="Times New Roman"/>
          <w:b w:val="0"/>
          <w:i w:val="0"/>
        </w:rPr>
        <w:t xml:space="preserve">In September 2014, Clearwater entered into an agreement with a developer, pursuant to which Clearwater agreed to install natural gas distribution facilities to provide natural gas service to </w:t>
      </w:r>
      <w:proofErr w:type="spellStart"/>
      <w:r>
        <w:rPr>
          <w:rFonts w:ascii="Times New Roman" w:hAnsi="Times New Roman" w:cs="Times New Roman"/>
          <w:b w:val="0"/>
          <w:i w:val="0"/>
        </w:rPr>
        <w:t>Asturia</w:t>
      </w:r>
      <w:proofErr w:type="spellEnd"/>
      <w:r>
        <w:rPr>
          <w:rFonts w:ascii="Times New Roman" w:hAnsi="Times New Roman" w:cs="Times New Roman"/>
          <w:b w:val="0"/>
          <w:i w:val="0"/>
        </w:rPr>
        <w:t xml:space="preserve">. </w:t>
      </w:r>
      <w:r w:rsidR="007222D0">
        <w:rPr>
          <w:rFonts w:ascii="Times New Roman" w:hAnsi="Times New Roman" w:cs="Times New Roman"/>
          <w:b w:val="0"/>
          <w:i w:val="0"/>
        </w:rPr>
        <w:t xml:space="preserve"> </w:t>
      </w:r>
      <w:r>
        <w:rPr>
          <w:rFonts w:ascii="Times New Roman" w:hAnsi="Times New Roman" w:cs="Times New Roman"/>
          <w:b w:val="0"/>
          <w:i w:val="0"/>
        </w:rPr>
        <w:t xml:space="preserve">A portion of the </w:t>
      </w:r>
      <w:proofErr w:type="spellStart"/>
      <w:r>
        <w:rPr>
          <w:rFonts w:ascii="Times New Roman" w:hAnsi="Times New Roman" w:cs="Times New Roman"/>
          <w:b w:val="0"/>
          <w:i w:val="0"/>
        </w:rPr>
        <w:t>Asturia</w:t>
      </w:r>
      <w:proofErr w:type="spellEnd"/>
      <w:r>
        <w:rPr>
          <w:rFonts w:ascii="Times New Roman" w:hAnsi="Times New Roman" w:cs="Times New Roman"/>
          <w:b w:val="0"/>
          <w:i w:val="0"/>
        </w:rPr>
        <w:t xml:space="preserve"> development lies within an area reserved to Peoples under the original 1995 agreement, thus, according to the petitioners, creating a potential territorial dispute. </w:t>
      </w:r>
      <w:r w:rsidR="007222D0">
        <w:rPr>
          <w:rFonts w:ascii="Times New Roman" w:hAnsi="Times New Roman" w:cs="Times New Roman"/>
          <w:b w:val="0"/>
          <w:i w:val="0"/>
        </w:rPr>
        <w:t xml:space="preserve"> </w:t>
      </w:r>
      <w:r>
        <w:rPr>
          <w:rFonts w:ascii="Times New Roman" w:hAnsi="Times New Roman" w:cs="Times New Roman"/>
          <w:b w:val="0"/>
          <w:i w:val="0"/>
        </w:rPr>
        <w:t xml:space="preserve">The third amendment would permit Clearwater to provide service to </w:t>
      </w:r>
      <w:proofErr w:type="spellStart"/>
      <w:r>
        <w:rPr>
          <w:rFonts w:ascii="Times New Roman" w:hAnsi="Times New Roman" w:cs="Times New Roman"/>
          <w:b w:val="0"/>
          <w:i w:val="0"/>
        </w:rPr>
        <w:t>Asturia</w:t>
      </w:r>
      <w:proofErr w:type="spellEnd"/>
      <w:r>
        <w:rPr>
          <w:rFonts w:ascii="Times New Roman" w:hAnsi="Times New Roman" w:cs="Times New Roman"/>
          <w:b w:val="0"/>
          <w:i w:val="0"/>
        </w:rPr>
        <w:t xml:space="preserve"> and resolve the potential territorial dispute. </w:t>
      </w:r>
      <w:r w:rsidR="007222D0">
        <w:rPr>
          <w:rFonts w:ascii="Times New Roman" w:hAnsi="Times New Roman" w:cs="Times New Roman"/>
          <w:b w:val="0"/>
          <w:i w:val="0"/>
        </w:rPr>
        <w:t xml:space="preserve"> </w:t>
      </w:r>
      <w:r>
        <w:rPr>
          <w:rFonts w:ascii="Times New Roman" w:hAnsi="Times New Roman" w:cs="Times New Roman"/>
          <w:b w:val="0"/>
          <w:i w:val="0"/>
        </w:rPr>
        <w:t xml:space="preserve">There are no customers or facilities to be transferred as a result of the third amendment, as the </w:t>
      </w:r>
      <w:proofErr w:type="spellStart"/>
      <w:r>
        <w:rPr>
          <w:rFonts w:ascii="Times New Roman" w:hAnsi="Times New Roman" w:cs="Times New Roman"/>
          <w:b w:val="0"/>
          <w:i w:val="0"/>
        </w:rPr>
        <w:t>Asturia</w:t>
      </w:r>
      <w:proofErr w:type="spellEnd"/>
      <w:r>
        <w:rPr>
          <w:rFonts w:ascii="Times New Roman" w:hAnsi="Times New Roman" w:cs="Times New Roman"/>
          <w:b w:val="0"/>
          <w:i w:val="0"/>
        </w:rPr>
        <w:t xml:space="preserve"> subdivision is still under development. </w:t>
      </w:r>
    </w:p>
    <w:p w:rsidR="003408FB" w:rsidRDefault="003408FB" w:rsidP="007222D0">
      <w:pPr>
        <w:pStyle w:val="IssueHeading"/>
        <w:ind w:firstLine="720"/>
        <w:rPr>
          <w:rFonts w:ascii="Times New Roman" w:hAnsi="Times New Roman" w:cs="Times New Roman"/>
          <w:b w:val="0"/>
          <w:i w:val="0"/>
        </w:rPr>
      </w:pPr>
      <w:r>
        <w:rPr>
          <w:rFonts w:ascii="Times New Roman" w:hAnsi="Times New Roman" w:cs="Times New Roman"/>
          <w:b w:val="0"/>
          <w:i w:val="0"/>
        </w:rPr>
        <w:t xml:space="preserve">The petitioners represent that approval and implementation of the third amendment will not cause a decrease in the availability or reliability of natural gas service to existing or future ratepayers of Peoples or Clearwater. </w:t>
      </w:r>
      <w:r w:rsidR="007222D0">
        <w:rPr>
          <w:rFonts w:ascii="Times New Roman" w:hAnsi="Times New Roman" w:cs="Times New Roman"/>
          <w:b w:val="0"/>
          <w:i w:val="0"/>
        </w:rPr>
        <w:t xml:space="preserve"> </w:t>
      </w:r>
      <w:r>
        <w:rPr>
          <w:rFonts w:ascii="Times New Roman" w:hAnsi="Times New Roman" w:cs="Times New Roman"/>
          <w:b w:val="0"/>
          <w:i w:val="0"/>
        </w:rPr>
        <w:t xml:space="preserve">According to the petitioners, approval of the third amendment will permit Peoples and Clearwater to continue to avoid future uneconomic duplication of facilities, will permit the party best suited to provide service to </w:t>
      </w:r>
      <w:proofErr w:type="spellStart"/>
      <w:r>
        <w:rPr>
          <w:rFonts w:ascii="Times New Roman" w:hAnsi="Times New Roman" w:cs="Times New Roman"/>
          <w:b w:val="0"/>
          <w:i w:val="0"/>
        </w:rPr>
        <w:t>Asturia</w:t>
      </w:r>
      <w:proofErr w:type="spellEnd"/>
      <w:r>
        <w:rPr>
          <w:rFonts w:ascii="Times New Roman" w:hAnsi="Times New Roman" w:cs="Times New Roman"/>
          <w:b w:val="0"/>
          <w:i w:val="0"/>
        </w:rPr>
        <w:t>, and, thus is in the public interest.</w:t>
      </w:r>
    </w:p>
    <w:p w:rsidR="003408FB" w:rsidRDefault="007222D0" w:rsidP="003408FB">
      <w:pPr>
        <w:spacing w:after="240"/>
        <w:ind w:firstLine="720"/>
        <w:jc w:val="both"/>
      </w:pPr>
      <w:r>
        <w:t xml:space="preserve">After review of the petition, we find </w:t>
      </w:r>
      <w:r w:rsidR="003408FB">
        <w:t xml:space="preserve">that the third amendment will enable Peoples and Clearwater to better serve their current and future customers. </w:t>
      </w:r>
      <w:r>
        <w:t xml:space="preserve"> </w:t>
      </w:r>
      <w:r w:rsidR="003408FB">
        <w:t xml:space="preserve">It appears that the </w:t>
      </w:r>
      <w:r>
        <w:t xml:space="preserve">third </w:t>
      </w:r>
      <w:r w:rsidR="003408FB">
        <w:t xml:space="preserve">amendment will serve to eliminate any potential uneconomic duplication of facilities and will not cause a decrease in reliability of gas service. </w:t>
      </w:r>
      <w:r>
        <w:t xml:space="preserve"> </w:t>
      </w:r>
      <w:r w:rsidR="003408FB">
        <w:t xml:space="preserve">As such, </w:t>
      </w:r>
      <w:r>
        <w:t>we find</w:t>
      </w:r>
      <w:r w:rsidR="003408FB">
        <w:t xml:space="preserve"> that the third amendment between Peoples and Clearwater will not cause a detriment to the public interest and </w:t>
      </w:r>
      <w:r>
        <w:t xml:space="preserve">therefore </w:t>
      </w:r>
      <w:r w:rsidR="003408FB">
        <w:t>approve it.</w:t>
      </w:r>
    </w:p>
    <w:p w:rsidR="003408FB" w:rsidRDefault="003408FB" w:rsidP="003408FB">
      <w:pPr>
        <w:pStyle w:val="OrderBody"/>
      </w:pPr>
      <w:r>
        <w:lastRenderedPageBreak/>
        <w:tab/>
        <w:t>Based on the foregoing, it is</w:t>
      </w:r>
    </w:p>
    <w:p w:rsidR="003408FB" w:rsidRDefault="003408FB" w:rsidP="003408FB">
      <w:pPr>
        <w:pStyle w:val="OrderBody"/>
      </w:pPr>
    </w:p>
    <w:p w:rsidR="0040291F" w:rsidRDefault="003408FB" w:rsidP="003408FB">
      <w:pPr>
        <w:pStyle w:val="OrderBody"/>
      </w:pPr>
      <w:r>
        <w:tab/>
        <w:t>ORDERED by the Florida Public Service Commission that</w:t>
      </w:r>
      <w:r w:rsidR="0040291F">
        <w:t xml:space="preserve"> </w:t>
      </w:r>
      <w:r w:rsidR="0040291F" w:rsidRPr="003408FB">
        <w:t xml:space="preserve">the third amendment to the territorial agreement between </w:t>
      </w:r>
      <w:r w:rsidR="00E6728B">
        <w:t>Peoples Gas System</w:t>
      </w:r>
      <w:r w:rsidR="00E6728B" w:rsidRPr="003408FB">
        <w:t xml:space="preserve"> and the City of Clearwater, d/b/a/ Clearwater Gas System</w:t>
      </w:r>
      <w:r w:rsidR="00E6728B">
        <w:t>.</w:t>
      </w:r>
      <w:r w:rsidR="0040291F">
        <w:t xml:space="preserve"> </w:t>
      </w:r>
      <w:r w:rsidR="007222D0">
        <w:t xml:space="preserve">shall </w:t>
      </w:r>
      <w:r w:rsidR="0040291F">
        <w:t>be approved.</w:t>
      </w:r>
    </w:p>
    <w:p w:rsidR="003408FB" w:rsidRDefault="003408FB" w:rsidP="003408FB">
      <w:pPr>
        <w:pStyle w:val="OrderBody"/>
      </w:pPr>
    </w:p>
    <w:p w:rsidR="003408FB" w:rsidRDefault="003408FB" w:rsidP="003408FB">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3408FB" w:rsidRDefault="003408FB" w:rsidP="003408FB">
      <w:pPr>
        <w:pStyle w:val="OrderBody"/>
      </w:pPr>
    </w:p>
    <w:p w:rsidR="003408FB" w:rsidRDefault="003408FB" w:rsidP="003408FB">
      <w:pPr>
        <w:pStyle w:val="OrderBody"/>
      </w:pPr>
      <w:r>
        <w:tab/>
        <w:t>ORDERED that in the event this Order becomes final, this docket shall be closed.</w:t>
      </w:r>
    </w:p>
    <w:p w:rsidR="003408FB" w:rsidRDefault="003408FB" w:rsidP="003408FB">
      <w:pPr>
        <w:pStyle w:val="OrderBody"/>
      </w:pPr>
    </w:p>
    <w:p w:rsidR="003408FB" w:rsidRDefault="003408FB" w:rsidP="003408FB">
      <w:pPr>
        <w:pStyle w:val="OrderBody"/>
        <w:keepNext/>
        <w:keepLines/>
      </w:pPr>
      <w:r>
        <w:tab/>
        <w:t xml:space="preserve">By ORDER of the Florida Public Service Commission this </w:t>
      </w:r>
      <w:bookmarkStart w:id="7" w:name="replaceDate"/>
      <w:bookmarkEnd w:id="7"/>
      <w:r w:rsidR="00890D4E">
        <w:rPr>
          <w:u w:val="single"/>
        </w:rPr>
        <w:t>19th</w:t>
      </w:r>
      <w:r w:rsidR="00890D4E">
        <w:t xml:space="preserve"> day of </w:t>
      </w:r>
      <w:r w:rsidR="00890D4E">
        <w:rPr>
          <w:u w:val="single"/>
        </w:rPr>
        <w:t>May</w:t>
      </w:r>
      <w:r w:rsidR="00890D4E">
        <w:t xml:space="preserve">, </w:t>
      </w:r>
      <w:r w:rsidR="00890D4E">
        <w:rPr>
          <w:u w:val="single"/>
        </w:rPr>
        <w:t>2016</w:t>
      </w:r>
      <w:r w:rsidR="00890D4E">
        <w:t>.</w:t>
      </w:r>
    </w:p>
    <w:p w:rsidR="00890D4E" w:rsidRDefault="00890D4E" w:rsidP="003408FB">
      <w:pPr>
        <w:pStyle w:val="OrderBody"/>
        <w:keepNext/>
        <w:keepLines/>
      </w:pPr>
    </w:p>
    <w:p w:rsidR="00783441" w:rsidRPr="00890D4E" w:rsidRDefault="00783441" w:rsidP="003408FB">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3408FB" w:rsidTr="003408FB">
        <w:tc>
          <w:tcPr>
            <w:tcW w:w="686" w:type="dxa"/>
            <w:shd w:val="clear" w:color="auto" w:fill="auto"/>
          </w:tcPr>
          <w:p w:rsidR="003408FB" w:rsidRDefault="003408FB" w:rsidP="003408FB">
            <w:pPr>
              <w:pStyle w:val="OrderBody"/>
              <w:keepNext/>
              <w:keepLines/>
            </w:pPr>
            <w:bookmarkStart w:id="8" w:name="bkmrkSignature" w:colFirst="0" w:colLast="0"/>
          </w:p>
        </w:tc>
        <w:tc>
          <w:tcPr>
            <w:tcW w:w="4034" w:type="dxa"/>
            <w:tcBorders>
              <w:bottom w:val="single" w:sz="4" w:space="0" w:color="auto"/>
            </w:tcBorders>
            <w:shd w:val="clear" w:color="auto" w:fill="auto"/>
          </w:tcPr>
          <w:p w:rsidR="003408FB" w:rsidRDefault="00856DAA" w:rsidP="003408FB">
            <w:pPr>
              <w:pStyle w:val="OrderBody"/>
              <w:keepNext/>
              <w:keepLines/>
            </w:pPr>
            <w:r>
              <w:t>/s/ Hong Wang</w:t>
            </w:r>
          </w:p>
        </w:tc>
      </w:tr>
      <w:bookmarkEnd w:id="8"/>
      <w:tr w:rsidR="003408FB" w:rsidTr="003408FB">
        <w:tc>
          <w:tcPr>
            <w:tcW w:w="686" w:type="dxa"/>
            <w:shd w:val="clear" w:color="auto" w:fill="auto"/>
          </w:tcPr>
          <w:p w:rsidR="003408FB" w:rsidRDefault="003408FB" w:rsidP="003408FB">
            <w:pPr>
              <w:pStyle w:val="OrderBody"/>
              <w:keepNext/>
              <w:keepLines/>
            </w:pPr>
          </w:p>
        </w:tc>
        <w:tc>
          <w:tcPr>
            <w:tcW w:w="4034" w:type="dxa"/>
            <w:tcBorders>
              <w:top w:val="single" w:sz="4" w:space="0" w:color="auto"/>
            </w:tcBorders>
            <w:shd w:val="clear" w:color="auto" w:fill="auto"/>
          </w:tcPr>
          <w:p w:rsidR="00890D4E" w:rsidRDefault="00890D4E" w:rsidP="003408FB">
            <w:pPr>
              <w:pStyle w:val="OrderBody"/>
              <w:keepNext/>
              <w:keepLines/>
            </w:pPr>
            <w:r>
              <w:t>HONG WANG</w:t>
            </w:r>
          </w:p>
          <w:p w:rsidR="003408FB" w:rsidRDefault="00890D4E" w:rsidP="003408FB">
            <w:pPr>
              <w:pStyle w:val="OrderBody"/>
              <w:keepNext/>
              <w:keepLines/>
            </w:pPr>
            <w:r>
              <w:t>Chief Deputy Commission Clerk</w:t>
            </w:r>
          </w:p>
        </w:tc>
      </w:tr>
    </w:tbl>
    <w:p w:rsidR="003408FB" w:rsidRDefault="003408FB" w:rsidP="003408FB">
      <w:pPr>
        <w:pStyle w:val="OrderSigInfo"/>
        <w:keepNext/>
        <w:keepLines/>
      </w:pPr>
      <w:r>
        <w:t>Florida Public Service Commission</w:t>
      </w:r>
    </w:p>
    <w:p w:rsidR="003408FB" w:rsidRDefault="003408FB" w:rsidP="003408FB">
      <w:pPr>
        <w:pStyle w:val="OrderSigInfo"/>
        <w:keepNext/>
        <w:keepLines/>
      </w:pPr>
      <w:r>
        <w:t>2540 Shumard Oak Boulevard</w:t>
      </w:r>
    </w:p>
    <w:p w:rsidR="003408FB" w:rsidRDefault="003408FB" w:rsidP="003408FB">
      <w:pPr>
        <w:pStyle w:val="OrderSigInfo"/>
        <w:keepNext/>
        <w:keepLines/>
      </w:pPr>
      <w:r>
        <w:t>Tallahassee, Florida  32399</w:t>
      </w:r>
    </w:p>
    <w:p w:rsidR="003408FB" w:rsidRDefault="003408FB" w:rsidP="003408FB">
      <w:pPr>
        <w:pStyle w:val="OrderSigInfo"/>
        <w:keepNext/>
        <w:keepLines/>
      </w:pPr>
      <w:r>
        <w:t>(850) 413</w:t>
      </w:r>
      <w:r>
        <w:noBreakHyphen/>
        <w:t>6770</w:t>
      </w:r>
    </w:p>
    <w:p w:rsidR="003408FB" w:rsidRDefault="003408FB" w:rsidP="003408FB">
      <w:pPr>
        <w:pStyle w:val="OrderSigInfo"/>
        <w:keepNext/>
        <w:keepLines/>
      </w:pPr>
      <w:r>
        <w:t>www.floridapsc.com</w:t>
      </w:r>
    </w:p>
    <w:p w:rsidR="003408FB" w:rsidRDefault="003408FB" w:rsidP="003408FB">
      <w:pPr>
        <w:pStyle w:val="OrderSigInfo"/>
        <w:keepNext/>
        <w:keepLines/>
      </w:pPr>
    </w:p>
    <w:p w:rsidR="003408FB" w:rsidRDefault="003408FB" w:rsidP="003408FB">
      <w:pPr>
        <w:pStyle w:val="OrderSigInfo"/>
        <w:keepNext/>
        <w:keepLines/>
      </w:pPr>
      <w:r>
        <w:t>Copies furnished:  A copy of this document is provided to the parties of record at the time of issuance and, if applicable, interested persons.</w:t>
      </w:r>
    </w:p>
    <w:p w:rsidR="003408FB" w:rsidRDefault="003408FB" w:rsidP="003408FB">
      <w:pPr>
        <w:pStyle w:val="OrderBody"/>
        <w:keepNext/>
        <w:keepLines/>
      </w:pPr>
    </w:p>
    <w:p w:rsidR="003408FB" w:rsidRDefault="003408FB" w:rsidP="003408FB">
      <w:pPr>
        <w:pStyle w:val="OrderBody"/>
        <w:keepNext/>
        <w:keepLines/>
      </w:pPr>
      <w:r>
        <w:t>JEV</w:t>
      </w:r>
    </w:p>
    <w:p w:rsidR="003408FB" w:rsidRDefault="003408FB" w:rsidP="003408FB">
      <w:pPr>
        <w:pStyle w:val="OrderBody"/>
      </w:pPr>
    </w:p>
    <w:p w:rsidR="003408FB" w:rsidRDefault="003408FB" w:rsidP="003408FB">
      <w:pPr>
        <w:pStyle w:val="CenterUnderline"/>
      </w:pPr>
      <w:r>
        <w:t>NOTICE OF FURTHER PROCEEDINGS OR JUDICIAL REVIEW</w:t>
      </w:r>
    </w:p>
    <w:p w:rsidR="003408FB" w:rsidRDefault="003408FB" w:rsidP="003408FB">
      <w:pPr>
        <w:pStyle w:val="CenterUnderline"/>
        <w:rPr>
          <w:u w:val="none"/>
        </w:rPr>
      </w:pPr>
    </w:p>
    <w:p w:rsidR="003408FB" w:rsidRDefault="003408FB" w:rsidP="003408FB">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3408FB" w:rsidRDefault="003408FB" w:rsidP="003408FB">
      <w:pPr>
        <w:pStyle w:val="OrderBody"/>
      </w:pPr>
    </w:p>
    <w:p w:rsidR="003408FB" w:rsidRDefault="003408FB" w:rsidP="003408FB">
      <w:pPr>
        <w:pStyle w:val="OrderBody"/>
      </w:pPr>
      <w:r>
        <w:tab/>
        <w:t>Mediation may be available on a case-by-case basis.  If mediation is conducted, it does not affect a substantially interested person's right to a hearing.</w:t>
      </w:r>
    </w:p>
    <w:p w:rsidR="003408FB" w:rsidRDefault="003408FB" w:rsidP="003408FB">
      <w:pPr>
        <w:pStyle w:val="OrderBody"/>
      </w:pPr>
    </w:p>
    <w:p w:rsidR="003408FB" w:rsidRDefault="003408FB" w:rsidP="003408FB">
      <w:pPr>
        <w:pStyle w:val="OrderBody"/>
      </w:pPr>
      <w:r>
        <w:lastRenderedPageBreak/>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890D4E">
        <w:rPr>
          <w:u w:val="single"/>
        </w:rPr>
        <w:t>June 9, 2016</w:t>
      </w:r>
      <w:r>
        <w:t>.</w:t>
      </w:r>
    </w:p>
    <w:p w:rsidR="003408FB" w:rsidRDefault="003408FB" w:rsidP="003408FB">
      <w:pPr>
        <w:pStyle w:val="OrderBody"/>
      </w:pPr>
    </w:p>
    <w:p w:rsidR="003408FB" w:rsidRDefault="003408FB" w:rsidP="003408FB">
      <w:pPr>
        <w:pStyle w:val="OrderBody"/>
      </w:pPr>
      <w:r>
        <w:tab/>
        <w:t>In the absence of such a petition, this order shall become final and effective upon the issuance of a Consummating Order.</w:t>
      </w:r>
    </w:p>
    <w:p w:rsidR="003408FB" w:rsidRDefault="003408FB" w:rsidP="003408FB">
      <w:pPr>
        <w:pStyle w:val="OrderBody"/>
      </w:pPr>
    </w:p>
    <w:p w:rsidR="003408FB" w:rsidRDefault="003408FB" w:rsidP="003408FB">
      <w:pPr>
        <w:pStyle w:val="OrderBody"/>
      </w:pPr>
      <w:r>
        <w:tab/>
        <w:t>Any objection or protest filed in this/these docket(s) before the issuance date of this order is considered abandoned unless it satisfies the foregoing conditions and is renewed within the specified protest period.</w:t>
      </w:r>
    </w:p>
    <w:p w:rsidR="003408FB" w:rsidRDefault="003408FB" w:rsidP="003408FB">
      <w:pPr>
        <w:pStyle w:val="OrderBody"/>
        <w:sectPr w:rsidR="003408FB">
          <w:headerReference w:type="default" r:id="rId8"/>
          <w:footerReference w:type="first" r:id="rId9"/>
          <w:pgSz w:w="12240" w:h="15840" w:code="1"/>
          <w:pgMar w:top="1440" w:right="1440" w:bottom="1440" w:left="1440" w:header="720" w:footer="720" w:gutter="0"/>
          <w:cols w:space="720"/>
          <w:titlePg/>
          <w:docGrid w:linePitch="360"/>
        </w:sectPr>
      </w:pPr>
    </w:p>
    <w:p w:rsidR="003408FB" w:rsidRDefault="003408FB" w:rsidP="0074467F">
      <w:pPr>
        <w:pStyle w:val="OrderBody"/>
        <w:jc w:val="center"/>
      </w:pPr>
      <w:r>
        <w:rPr>
          <w:noProof/>
        </w:rPr>
        <w:lastRenderedPageBreak/>
        <w:drawing>
          <wp:inline distT="0" distB="0" distL="0" distR="0">
            <wp:extent cx="5476875" cy="6496050"/>
            <wp:effectExtent l="0" t="0" r="952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6496050"/>
                    </a:xfrm>
                    <a:prstGeom prst="rect">
                      <a:avLst/>
                    </a:prstGeom>
                    <a:noFill/>
                    <a:ln>
                      <a:noFill/>
                    </a:ln>
                  </pic:spPr>
                </pic:pic>
              </a:graphicData>
            </a:graphic>
          </wp:inline>
        </w:drawing>
      </w:r>
      <w:r>
        <w:rPr>
          <w:noProof/>
        </w:rPr>
        <w:lastRenderedPageBreak/>
        <w:drawing>
          <wp:inline distT="0" distB="0" distL="0" distR="0">
            <wp:extent cx="5476875" cy="6686550"/>
            <wp:effectExtent l="0" t="0" r="952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6686550"/>
                    </a:xfrm>
                    <a:prstGeom prst="rect">
                      <a:avLst/>
                    </a:prstGeom>
                    <a:noFill/>
                    <a:ln>
                      <a:noFill/>
                    </a:ln>
                  </pic:spPr>
                </pic:pic>
              </a:graphicData>
            </a:graphic>
          </wp:inline>
        </w:drawing>
      </w:r>
      <w:r>
        <w:rPr>
          <w:noProof/>
        </w:rPr>
        <w:lastRenderedPageBreak/>
        <w:drawing>
          <wp:inline distT="0" distB="0" distL="0" distR="0">
            <wp:extent cx="5476875" cy="6753225"/>
            <wp:effectExtent l="0" t="0" r="9525" b="952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6753225"/>
                    </a:xfrm>
                    <a:prstGeom prst="rect">
                      <a:avLst/>
                    </a:prstGeom>
                    <a:noFill/>
                    <a:ln>
                      <a:noFill/>
                    </a:ln>
                  </pic:spPr>
                </pic:pic>
              </a:graphicData>
            </a:graphic>
          </wp:inline>
        </w:drawing>
      </w:r>
      <w:r>
        <w:rPr>
          <w:noProof/>
        </w:rPr>
        <w:lastRenderedPageBreak/>
        <w:drawing>
          <wp:inline distT="0" distB="0" distL="0" distR="0">
            <wp:extent cx="5562600" cy="6924675"/>
            <wp:effectExtent l="0" t="0" r="0" b="9525"/>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600" cy="6924675"/>
                    </a:xfrm>
                    <a:prstGeom prst="rect">
                      <a:avLst/>
                    </a:prstGeom>
                    <a:noFill/>
                    <a:ln>
                      <a:noFill/>
                    </a:ln>
                  </pic:spPr>
                </pic:pic>
              </a:graphicData>
            </a:graphic>
          </wp:inline>
        </w:drawing>
      </w:r>
      <w:r>
        <w:rPr>
          <w:noProof/>
        </w:rPr>
        <w:lastRenderedPageBreak/>
        <w:drawing>
          <wp:inline distT="0" distB="0" distL="0" distR="0">
            <wp:extent cx="5476875" cy="6677025"/>
            <wp:effectExtent l="0" t="0" r="9525" b="9525"/>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875" cy="6677025"/>
                    </a:xfrm>
                    <a:prstGeom prst="rect">
                      <a:avLst/>
                    </a:prstGeom>
                    <a:noFill/>
                    <a:ln>
                      <a:noFill/>
                    </a:ln>
                  </pic:spPr>
                </pic:pic>
              </a:graphicData>
            </a:graphic>
          </wp:inline>
        </w:drawing>
      </w:r>
      <w:r>
        <w:rPr>
          <w:noProof/>
        </w:rPr>
        <w:lastRenderedPageBreak/>
        <w:drawing>
          <wp:inline distT="0" distB="0" distL="0" distR="0">
            <wp:extent cx="5495925" cy="6715125"/>
            <wp:effectExtent l="0" t="0" r="9525" b="9525"/>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5925" cy="6715125"/>
                    </a:xfrm>
                    <a:prstGeom prst="rect">
                      <a:avLst/>
                    </a:prstGeom>
                    <a:noFill/>
                    <a:ln>
                      <a:noFill/>
                    </a:ln>
                  </pic:spPr>
                </pic:pic>
              </a:graphicData>
            </a:graphic>
          </wp:inline>
        </w:drawing>
      </w:r>
      <w:r>
        <w:rPr>
          <w:noProof/>
        </w:rPr>
        <w:lastRenderedPageBreak/>
        <w:drawing>
          <wp:inline distT="0" distB="0" distL="0" distR="0">
            <wp:extent cx="5486400" cy="6915150"/>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6915150"/>
                    </a:xfrm>
                    <a:prstGeom prst="rect">
                      <a:avLst/>
                    </a:prstGeom>
                    <a:noFill/>
                    <a:ln>
                      <a:noFill/>
                    </a:ln>
                  </pic:spPr>
                </pic:pic>
              </a:graphicData>
            </a:graphic>
          </wp:inline>
        </w:drawing>
      </w:r>
      <w:r>
        <w:rPr>
          <w:noProof/>
        </w:rPr>
        <w:lastRenderedPageBreak/>
        <w:drawing>
          <wp:inline distT="0" distB="0" distL="0" distR="0">
            <wp:extent cx="5943600" cy="5095875"/>
            <wp:effectExtent l="0" t="0" r="0" b="952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095875"/>
                    </a:xfrm>
                    <a:prstGeom prst="rect">
                      <a:avLst/>
                    </a:prstGeom>
                    <a:noFill/>
                    <a:ln>
                      <a:noFill/>
                    </a:ln>
                  </pic:spPr>
                </pic:pic>
              </a:graphicData>
            </a:graphic>
          </wp:inline>
        </w:drawing>
      </w:r>
      <w:r>
        <w:rPr>
          <w:noProof/>
        </w:rPr>
        <w:lastRenderedPageBreak/>
        <w:drawing>
          <wp:inline distT="0" distB="0" distL="0" distR="0">
            <wp:extent cx="5495925" cy="7096125"/>
            <wp:effectExtent l="0" t="0" r="9525" b="9525"/>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5925" cy="7096125"/>
                    </a:xfrm>
                    <a:prstGeom prst="rect">
                      <a:avLst/>
                    </a:prstGeom>
                    <a:noFill/>
                    <a:ln>
                      <a:noFill/>
                    </a:ln>
                  </pic:spPr>
                </pic:pic>
              </a:graphicData>
            </a:graphic>
          </wp:inline>
        </w:drawing>
      </w:r>
    </w:p>
    <w:p w:rsidR="003408FB" w:rsidRDefault="003408FB" w:rsidP="003408FB">
      <w:pPr>
        <w:pStyle w:val="OrderBody"/>
      </w:pPr>
    </w:p>
    <w:sectPr w:rsidR="003408FB" w:rsidSect="003408FB">
      <w:headerReference w:type="default" r:id="rId19"/>
      <w:headerReference w:type="first" r:id="rId2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8FB" w:rsidRDefault="003408FB">
      <w:r>
        <w:separator/>
      </w:r>
    </w:p>
  </w:endnote>
  <w:endnote w:type="continuationSeparator" w:id="0">
    <w:p w:rsidR="003408FB" w:rsidRDefault="00340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8FB" w:rsidRDefault="003408FB">
      <w:r>
        <w:separator/>
      </w:r>
    </w:p>
  </w:footnote>
  <w:footnote w:type="continuationSeparator" w:id="0">
    <w:p w:rsidR="003408FB" w:rsidRDefault="003408FB">
      <w:r>
        <w:continuationSeparator/>
      </w:r>
    </w:p>
  </w:footnote>
  <w:footnote w:id="1">
    <w:p w:rsidR="003408FB" w:rsidRDefault="003408FB" w:rsidP="003408FB">
      <w:pPr>
        <w:pStyle w:val="FootnoteText"/>
      </w:pPr>
      <w:r>
        <w:rPr>
          <w:rStyle w:val="FootnoteReference"/>
        </w:rPr>
        <w:footnoteRef/>
      </w:r>
      <w:r>
        <w:t xml:space="preserve"> Order No. PSC-95-0620-AS-GU, issued May 22, 1995, in Docket No. 940660-GU, </w:t>
      </w:r>
      <w:r w:rsidRPr="003408FB">
        <w:rPr>
          <w:u w:val="single"/>
        </w:rPr>
        <w:t>In re: Petition to resolve territorial dispute with Clearwater Gas System, a Division of the City of Clearwater, by Peoples Gas System, Inc.</w:t>
      </w:r>
    </w:p>
  </w:footnote>
  <w:footnote w:id="2">
    <w:p w:rsidR="003408FB" w:rsidRDefault="003408FB" w:rsidP="003408FB">
      <w:pPr>
        <w:pStyle w:val="FootnoteText"/>
      </w:pPr>
      <w:r>
        <w:rPr>
          <w:rStyle w:val="FootnoteReference"/>
        </w:rPr>
        <w:footnoteRef/>
      </w:r>
      <w:r>
        <w:t xml:space="preserve"> Order No. PSC-05-0163-PAA-GU, issued February 10, 2005, in Docket No. 041385-GU, </w:t>
      </w:r>
      <w:r w:rsidRPr="003408FB">
        <w:rPr>
          <w:u w:val="single"/>
        </w:rPr>
        <w:t>In re: Joint petition for approval of amendment to territorial agreement in Pasco County, by Peoples Gas System and Clearwater Gas System, a department of the City of Clearwater</w:t>
      </w:r>
      <w:r w:rsidRPr="0040291F">
        <w:t>.</w:t>
      </w:r>
    </w:p>
  </w:footnote>
  <w:footnote w:id="3">
    <w:p w:rsidR="003408FB" w:rsidRPr="0040291F" w:rsidRDefault="003408FB" w:rsidP="003408FB">
      <w:pPr>
        <w:pStyle w:val="FootnoteText"/>
      </w:pPr>
      <w:r>
        <w:rPr>
          <w:rStyle w:val="FootnoteReference"/>
        </w:rPr>
        <w:footnoteRef/>
      </w:r>
      <w:r>
        <w:t xml:space="preserve"> Order No. PSC-06-0052-PAA-GU, issued January 20, 2006, in Docket No. 050877-GU,</w:t>
      </w:r>
      <w:r w:rsidRPr="000B7838">
        <w:rPr>
          <w:i/>
        </w:rPr>
        <w:t xml:space="preserve"> </w:t>
      </w:r>
      <w:r w:rsidRPr="003408FB">
        <w:rPr>
          <w:u w:val="single"/>
        </w:rPr>
        <w:t>In re: Joint petition for approval of amendment to territorial agreement in Pasco County by Peoples Gas System and Clearwater Gas System, a department of the City of Clearwater</w:t>
      </w:r>
      <w:r w:rsidR="0040291F">
        <w:t>.</w:t>
      </w:r>
    </w:p>
  </w:footnote>
  <w:footnote w:id="4">
    <w:p w:rsidR="003408FB" w:rsidRDefault="003408FB" w:rsidP="003408FB">
      <w:pPr>
        <w:pStyle w:val="FootnoteText"/>
      </w:pPr>
      <w:r>
        <w:rPr>
          <w:rStyle w:val="FootnoteReference"/>
        </w:rPr>
        <w:footnoteRef/>
      </w:r>
      <w:r>
        <w:t xml:space="preserve"> </w:t>
      </w:r>
      <w:r w:rsidRPr="0086100A">
        <w:rPr>
          <w:u w:val="single"/>
        </w:rPr>
        <w:t>Utilities Commission of the City of New Smyrna v. Florida Public Service Commission</w:t>
      </w:r>
      <w:r>
        <w:t>, 469 So. 2d 731 (Fla. 1985).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201 ">
      <w:r w:rsidR="00496177">
        <w:t>PSC-16-0201-PAA-GU</w:t>
      </w:r>
    </w:fldSimple>
  </w:p>
  <w:p w:rsidR="00FA6EFD" w:rsidRDefault="003408FB">
    <w:pPr>
      <w:pStyle w:val="OrderHeader"/>
    </w:pPr>
    <w:bookmarkStart w:id="9" w:name="HeaderDocketNo"/>
    <w:bookmarkEnd w:id="9"/>
    <w:r>
      <w:t>DOCKET NO. 160050-GU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96177">
      <w:rPr>
        <w:rStyle w:val="PageNumber"/>
        <w:noProof/>
      </w:rPr>
      <w:t>4</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8FB" w:rsidRDefault="003408FB" w:rsidP="003408FB">
    <w:pPr>
      <w:pStyle w:val="OrderHeader"/>
      <w:tabs>
        <w:tab w:val="clear" w:pos="4320"/>
        <w:tab w:val="clear" w:pos="8640"/>
        <w:tab w:val="right" w:pos="9360"/>
      </w:tabs>
    </w:pPr>
    <w:r>
      <w:t xml:space="preserve">ORDER NO. </w:t>
    </w:r>
    <w:r w:rsidR="00496177">
      <w:fldChar w:fldCharType="begin"/>
    </w:r>
    <w:r w:rsidR="00496177">
      <w:instrText xml:space="preserve"> REF OrderNo0201 </w:instrText>
    </w:r>
    <w:r w:rsidR="00496177">
      <w:fldChar w:fldCharType="separate"/>
    </w:r>
    <w:r w:rsidR="00496177">
      <w:t>PSC-16-0201-PAA-GU</w:t>
    </w:r>
    <w:r w:rsidR="00496177">
      <w:fldChar w:fldCharType="end"/>
    </w:r>
    <w:r>
      <w:tab/>
      <w:t>Attachment 1</w:t>
    </w:r>
  </w:p>
  <w:p w:rsidR="003408FB" w:rsidRDefault="003408FB" w:rsidP="003408FB">
    <w:pPr>
      <w:pStyle w:val="OrderHeader"/>
      <w:tabs>
        <w:tab w:val="clear" w:pos="4320"/>
        <w:tab w:val="clear" w:pos="8640"/>
        <w:tab w:val="right" w:pos="9360"/>
      </w:tabs>
    </w:pPr>
    <w:r>
      <w:t>DOCKET NO. 160050-GU</w:t>
    </w:r>
    <w:r>
      <w:tab/>
      <w:t xml:space="preserve">Page </w:t>
    </w:r>
    <w:r>
      <w:fldChar w:fldCharType="begin"/>
    </w:r>
    <w:r>
      <w:instrText>=</w:instrText>
    </w:r>
    <w:r>
      <w:fldChar w:fldCharType="begin"/>
    </w:r>
    <w:r>
      <w:instrText>Page</w:instrText>
    </w:r>
    <w:r>
      <w:fldChar w:fldCharType="separate"/>
    </w:r>
    <w:r w:rsidR="00496177">
      <w:rPr>
        <w:noProof/>
      </w:rPr>
      <w:instrText>13</w:instrText>
    </w:r>
    <w:r>
      <w:fldChar w:fldCharType="end"/>
    </w:r>
    <w:r>
      <w:instrText xml:space="preserve">-4 </w:instrText>
    </w:r>
    <w:r>
      <w:fldChar w:fldCharType="separate"/>
    </w:r>
    <w:r w:rsidR="00496177">
      <w:rPr>
        <w:noProof/>
      </w:rPr>
      <w:t>9</w:t>
    </w:r>
    <w:r>
      <w:fldChar w:fldCharType="end"/>
    </w:r>
    <w:r>
      <w:t xml:space="preserve"> of 9</w:t>
    </w:r>
  </w:p>
  <w:p w:rsidR="003408FB" w:rsidRDefault="003408F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96177">
      <w:rPr>
        <w:rStyle w:val="PageNumber"/>
        <w:noProof/>
      </w:rPr>
      <w:t>13</w:t>
    </w:r>
    <w:r>
      <w:rPr>
        <w:rStyle w:val="PageNumber"/>
      </w:rPr>
      <w:fldChar w:fldCharType="end"/>
    </w:r>
  </w:p>
  <w:p w:rsidR="003408FB" w:rsidRDefault="003408FB">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8FB" w:rsidRDefault="003408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971598"/>
    <w:multiLevelType w:val="hybridMultilevel"/>
    <w:tmpl w:val="D9D69334"/>
    <w:lvl w:ilvl="0" w:tplc="BD54E9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160050-GU"/>
  </w:docVars>
  <w:rsids>
    <w:rsidRoot w:val="003408FB"/>
    <w:rsid w:val="000022B8"/>
    <w:rsid w:val="00053AB9"/>
    <w:rsid w:val="00056229"/>
    <w:rsid w:val="00065FC2"/>
    <w:rsid w:val="00090AFC"/>
    <w:rsid w:val="000D06E8"/>
    <w:rsid w:val="000D197D"/>
    <w:rsid w:val="000E0238"/>
    <w:rsid w:val="000E344D"/>
    <w:rsid w:val="000F3B2C"/>
    <w:rsid w:val="000F7BE3"/>
    <w:rsid w:val="00116AD3"/>
    <w:rsid w:val="00126593"/>
    <w:rsid w:val="00142A96"/>
    <w:rsid w:val="00187E32"/>
    <w:rsid w:val="00194E81"/>
    <w:rsid w:val="001A33C9"/>
    <w:rsid w:val="001D008A"/>
    <w:rsid w:val="002002ED"/>
    <w:rsid w:val="0022721A"/>
    <w:rsid w:val="00230BB9"/>
    <w:rsid w:val="00241CEF"/>
    <w:rsid w:val="00252B30"/>
    <w:rsid w:val="002A11AC"/>
    <w:rsid w:val="002A6F30"/>
    <w:rsid w:val="002D7D15"/>
    <w:rsid w:val="002E139C"/>
    <w:rsid w:val="002E27EB"/>
    <w:rsid w:val="00303FDE"/>
    <w:rsid w:val="003140E8"/>
    <w:rsid w:val="003231C7"/>
    <w:rsid w:val="00331ED0"/>
    <w:rsid w:val="003408FB"/>
    <w:rsid w:val="0035495B"/>
    <w:rsid w:val="00365388"/>
    <w:rsid w:val="003744F5"/>
    <w:rsid w:val="00390DD8"/>
    <w:rsid w:val="00394DC6"/>
    <w:rsid w:val="00397C3E"/>
    <w:rsid w:val="003D4CCA"/>
    <w:rsid w:val="003D6416"/>
    <w:rsid w:val="003E1D48"/>
    <w:rsid w:val="0040291F"/>
    <w:rsid w:val="0042527B"/>
    <w:rsid w:val="00457DC7"/>
    <w:rsid w:val="00472BCC"/>
    <w:rsid w:val="00496177"/>
    <w:rsid w:val="004A25CD"/>
    <w:rsid w:val="004A26CC"/>
    <w:rsid w:val="004B2108"/>
    <w:rsid w:val="004B3A2B"/>
    <w:rsid w:val="004D2D1B"/>
    <w:rsid w:val="004F2DDE"/>
    <w:rsid w:val="0050097F"/>
    <w:rsid w:val="00514B1F"/>
    <w:rsid w:val="00556A10"/>
    <w:rsid w:val="005963C2"/>
    <w:rsid w:val="005B45F7"/>
    <w:rsid w:val="005B63EA"/>
    <w:rsid w:val="00660774"/>
    <w:rsid w:val="00665CC7"/>
    <w:rsid w:val="006A0BF3"/>
    <w:rsid w:val="006B0DA6"/>
    <w:rsid w:val="006C547E"/>
    <w:rsid w:val="00704C5D"/>
    <w:rsid w:val="00715275"/>
    <w:rsid w:val="007222D0"/>
    <w:rsid w:val="00733B6B"/>
    <w:rsid w:val="0074467F"/>
    <w:rsid w:val="0076170F"/>
    <w:rsid w:val="0076669C"/>
    <w:rsid w:val="00783441"/>
    <w:rsid w:val="007865E9"/>
    <w:rsid w:val="00792383"/>
    <w:rsid w:val="007A060F"/>
    <w:rsid w:val="007D3D20"/>
    <w:rsid w:val="007E3AFD"/>
    <w:rsid w:val="00803189"/>
    <w:rsid w:val="00804E7A"/>
    <w:rsid w:val="00805FBB"/>
    <w:rsid w:val="008169A4"/>
    <w:rsid w:val="008278FE"/>
    <w:rsid w:val="00832598"/>
    <w:rsid w:val="0083397E"/>
    <w:rsid w:val="0083534B"/>
    <w:rsid w:val="00856DAA"/>
    <w:rsid w:val="00863A66"/>
    <w:rsid w:val="00874429"/>
    <w:rsid w:val="00883D9A"/>
    <w:rsid w:val="00890D4E"/>
    <w:rsid w:val="008919EF"/>
    <w:rsid w:val="008C6A5B"/>
    <w:rsid w:val="008E26A5"/>
    <w:rsid w:val="008E42D2"/>
    <w:rsid w:val="009040EE"/>
    <w:rsid w:val="009057FD"/>
    <w:rsid w:val="00922A7F"/>
    <w:rsid w:val="00923A5E"/>
    <w:rsid w:val="009924CF"/>
    <w:rsid w:val="00994100"/>
    <w:rsid w:val="009D4C29"/>
    <w:rsid w:val="00A62DAB"/>
    <w:rsid w:val="00A726A6"/>
    <w:rsid w:val="00A97535"/>
    <w:rsid w:val="00AA73F1"/>
    <w:rsid w:val="00AB0E1A"/>
    <w:rsid w:val="00AB1A30"/>
    <w:rsid w:val="00AD1ED3"/>
    <w:rsid w:val="00B0777D"/>
    <w:rsid w:val="00B4057A"/>
    <w:rsid w:val="00B40894"/>
    <w:rsid w:val="00B45E75"/>
    <w:rsid w:val="00B50876"/>
    <w:rsid w:val="00B55EE5"/>
    <w:rsid w:val="00B73DE6"/>
    <w:rsid w:val="00B86EF0"/>
    <w:rsid w:val="00B97900"/>
    <w:rsid w:val="00BA44A8"/>
    <w:rsid w:val="00BE1885"/>
    <w:rsid w:val="00BF6691"/>
    <w:rsid w:val="00C028FC"/>
    <w:rsid w:val="00C66692"/>
    <w:rsid w:val="00C91123"/>
    <w:rsid w:val="00CA71FF"/>
    <w:rsid w:val="00CB5276"/>
    <w:rsid w:val="00CB68D7"/>
    <w:rsid w:val="00CC7E68"/>
    <w:rsid w:val="00CD7132"/>
    <w:rsid w:val="00CE0E6F"/>
    <w:rsid w:val="00D30B48"/>
    <w:rsid w:val="00D46FAA"/>
    <w:rsid w:val="00D57BB2"/>
    <w:rsid w:val="00D8560E"/>
    <w:rsid w:val="00D8758F"/>
    <w:rsid w:val="00DC1D94"/>
    <w:rsid w:val="00DE057F"/>
    <w:rsid w:val="00DE2082"/>
    <w:rsid w:val="00DE2289"/>
    <w:rsid w:val="00E04410"/>
    <w:rsid w:val="00E11351"/>
    <w:rsid w:val="00E6728B"/>
    <w:rsid w:val="00EA172C"/>
    <w:rsid w:val="00EA259B"/>
    <w:rsid w:val="00EA35A3"/>
    <w:rsid w:val="00EA3E6A"/>
    <w:rsid w:val="00EB18EF"/>
    <w:rsid w:val="00EE17DF"/>
    <w:rsid w:val="00EF4621"/>
    <w:rsid w:val="00F277B6"/>
    <w:rsid w:val="00F54380"/>
    <w:rsid w:val="00F54B47"/>
    <w:rsid w:val="00F70E84"/>
    <w:rsid w:val="00FA6EFD"/>
    <w:rsid w:val="00FB74EA"/>
    <w:rsid w:val="00FD2C9E"/>
    <w:rsid w:val="00FD4786"/>
    <w:rsid w:val="00FD616C"/>
    <w:rsid w:val="00FE53F2"/>
    <w:rsid w:val="00FF0A00"/>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IssueHeading">
    <w:name w:val="Issue Heading"/>
    <w:basedOn w:val="Heading1"/>
    <w:next w:val="BodyText"/>
    <w:link w:val="IssueHeadingChar"/>
    <w:qFormat/>
    <w:rsid w:val="003408FB"/>
    <w:pPr>
      <w:keepNext w:val="0"/>
    </w:pPr>
    <w:rPr>
      <w:rFonts w:ascii="Arial" w:hAnsi="Arial"/>
      <w:b/>
      <w:i/>
    </w:rPr>
  </w:style>
  <w:style w:type="character" w:customStyle="1" w:styleId="IssueHeadingChar">
    <w:name w:val="Issue Heading Char"/>
    <w:link w:val="IssueHeading"/>
    <w:rsid w:val="003408FB"/>
    <w:rPr>
      <w:rFonts w:ascii="Arial" w:hAnsi="Arial" w:cs="Arial"/>
      <w:b/>
      <w:bCs/>
      <w:i/>
      <w:kern w:val="32"/>
      <w:sz w:val="24"/>
      <w:szCs w:val="32"/>
    </w:rPr>
  </w:style>
  <w:style w:type="paragraph" w:styleId="BalloonText">
    <w:name w:val="Balloon Text"/>
    <w:basedOn w:val="Normal"/>
    <w:link w:val="BalloonTextChar"/>
    <w:rsid w:val="00BE1885"/>
    <w:rPr>
      <w:rFonts w:ascii="Tahoma" w:hAnsi="Tahoma" w:cs="Tahoma"/>
      <w:sz w:val="16"/>
      <w:szCs w:val="16"/>
    </w:rPr>
  </w:style>
  <w:style w:type="character" w:customStyle="1" w:styleId="BalloonTextChar">
    <w:name w:val="Balloon Text Char"/>
    <w:basedOn w:val="DefaultParagraphFont"/>
    <w:link w:val="BalloonText"/>
    <w:rsid w:val="00BE18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IssueHeading">
    <w:name w:val="Issue Heading"/>
    <w:basedOn w:val="Heading1"/>
    <w:next w:val="BodyText"/>
    <w:link w:val="IssueHeadingChar"/>
    <w:qFormat/>
    <w:rsid w:val="003408FB"/>
    <w:pPr>
      <w:keepNext w:val="0"/>
    </w:pPr>
    <w:rPr>
      <w:rFonts w:ascii="Arial" w:hAnsi="Arial"/>
      <w:b/>
      <w:i/>
    </w:rPr>
  </w:style>
  <w:style w:type="character" w:customStyle="1" w:styleId="IssueHeadingChar">
    <w:name w:val="Issue Heading Char"/>
    <w:link w:val="IssueHeading"/>
    <w:rsid w:val="003408FB"/>
    <w:rPr>
      <w:rFonts w:ascii="Arial" w:hAnsi="Arial" w:cs="Arial"/>
      <w:b/>
      <w:bCs/>
      <w:i/>
      <w:kern w:val="32"/>
      <w:sz w:val="24"/>
      <w:szCs w:val="32"/>
    </w:rPr>
  </w:style>
  <w:style w:type="paragraph" w:styleId="BalloonText">
    <w:name w:val="Balloon Text"/>
    <w:basedOn w:val="Normal"/>
    <w:link w:val="BalloonTextChar"/>
    <w:rsid w:val="00BE1885"/>
    <w:rPr>
      <w:rFonts w:ascii="Tahoma" w:hAnsi="Tahoma" w:cs="Tahoma"/>
      <w:sz w:val="16"/>
      <w:szCs w:val="16"/>
    </w:rPr>
  </w:style>
  <w:style w:type="character" w:customStyle="1" w:styleId="BalloonTextChar">
    <w:name w:val="Balloon Text Char"/>
    <w:basedOn w:val="DefaultParagraphFont"/>
    <w:link w:val="BalloonText"/>
    <w:rsid w:val="00BE18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Edgar,%20Graham,%20Bris&#233;,%20and%20Patron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Brown, Edgar, Graham, Brisé, and Patronis.dot</Template>
  <TotalTime>0</TotalTime>
  <Pages>13</Pages>
  <Words>1032</Words>
  <Characters>5839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2016-05-19T13:04:00Z</dcterms:created>
  <dcterms:modified xsi:type="dcterms:W3CDTF">2016-05-19T17:43:00Z</dcterms:modified>
</cp:coreProperties>
</file>