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6E08CB">
            <w:pPr>
              <w:pStyle w:val="MastHeadState"/>
              <w:jc w:val="right"/>
            </w:pPr>
            <w:bookmarkStart w:id="0" w:name="_GoBack"/>
            <w:bookmarkEnd w:id="0"/>
            <w:r>
              <w:t>State of Florida</w:t>
            </w:r>
          </w:p>
          <w:p w:rsidR="007C0528" w:rsidRDefault="00314452">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314452">
            <w:pPr>
              <w:pStyle w:val="MemoHeading"/>
            </w:pPr>
            <w:bookmarkStart w:id="1" w:name="FilingDate"/>
            <w:r>
              <w:t>May 24, 2017</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93658B">
              <w:t>Stauffer</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314452" w:rsidRDefault="00314452">
            <w:pPr>
              <w:pStyle w:val="MemoHeading"/>
            </w:pPr>
            <w:bookmarkStart w:id="2" w:name="From"/>
            <w:r>
              <w:t>Office of the General Counsel (Page)</w:t>
            </w:r>
          </w:p>
          <w:p w:rsidR="00314452" w:rsidRDefault="00314452">
            <w:pPr>
              <w:pStyle w:val="MemoHeading"/>
            </w:pPr>
            <w:r>
              <w:t>Division of Economics (Rome)</w:t>
            </w:r>
          </w:p>
          <w:p w:rsidR="007C0528" w:rsidRDefault="00314452">
            <w:pPr>
              <w:pStyle w:val="MemoHeading"/>
            </w:pPr>
            <w:r>
              <w:t>Division of Engineering (Moses)</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314452">
            <w:pPr>
              <w:pStyle w:val="MemoHeadingRe"/>
            </w:pPr>
            <w:bookmarkStart w:id="3" w:name="Re"/>
            <w:r>
              <w:t>Docket No. 170034-EU – Proposed amendment of Rule 25-6.0345, F.A.C., Safety Standards for Construction of New Transmission and Distribution Facilities.</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314452" w:rsidP="007874B2">
            <w:pPr>
              <w:pStyle w:val="MemoHeading"/>
            </w:pPr>
            <w:bookmarkStart w:id="4" w:name="AgendaDate"/>
            <w:r>
              <w:t>06/0</w:t>
            </w:r>
            <w:r w:rsidR="007874B2">
              <w:t>5</w:t>
            </w:r>
            <w:r>
              <w:t>/17</w:t>
            </w:r>
            <w:bookmarkEnd w:id="4"/>
            <w:r w:rsidR="007C0528">
              <w:t xml:space="preserve"> – </w:t>
            </w:r>
            <w:bookmarkStart w:id="5" w:name="PermittedStatus"/>
            <w:r>
              <w:t>Regular Agenda – 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314452">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314452">
            <w:pPr>
              <w:pStyle w:val="MemoHeading"/>
            </w:pPr>
            <w:bookmarkStart w:id="7" w:name="PrehearingOfficer"/>
            <w:r>
              <w:t>Graham</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314452" w:rsidP="00506C03">
            <w:pPr>
              <w:pStyle w:val="MemoHeadingLabel"/>
            </w:pPr>
            <w:bookmarkStart w:id="8" w:name="CriticalDatesLabel"/>
            <w:r>
              <w:t>RULE STATUS:</w:t>
            </w:r>
            <w:bookmarkEnd w:id="8"/>
          </w:p>
        </w:tc>
        <w:tc>
          <w:tcPr>
            <w:tcW w:w="5785" w:type="dxa"/>
            <w:tcBorders>
              <w:top w:val="nil"/>
              <w:left w:val="nil"/>
              <w:bottom w:val="nil"/>
              <w:right w:val="nil"/>
            </w:tcBorders>
            <w:shd w:val="clear" w:color="auto" w:fill="auto"/>
          </w:tcPr>
          <w:p w:rsidR="007C0528" w:rsidRDefault="00E47FA3">
            <w:pPr>
              <w:pStyle w:val="MemoHeading"/>
            </w:pPr>
            <w:bookmarkStart w:id="9" w:name="CriticalDates"/>
            <w:bookmarkEnd w:id="9"/>
            <w:r>
              <w:t>Proposal May Be Deferred</w:t>
            </w:r>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314452">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7360BA" w:rsidRDefault="00AB203B">
      <w:pPr>
        <w:pStyle w:val="BodyText"/>
      </w:pPr>
      <w:r>
        <w:t>Rule 25-6.0345, Florida Administrative Code (F.A.C.),</w:t>
      </w:r>
      <w:r w:rsidR="009957F3">
        <w:t xml:space="preserve"> </w:t>
      </w:r>
      <w:r w:rsidR="002B2137">
        <w:t xml:space="preserve">Safety Standards for Construction of New Transmission and Distribution Facilities, </w:t>
      </w:r>
      <w:r w:rsidR="009957F3">
        <w:t>sets forth the current version of the National Electric</w:t>
      </w:r>
      <w:r w:rsidR="00332008">
        <w:t>al</w:t>
      </w:r>
      <w:r w:rsidR="009957F3">
        <w:t xml:space="preserve"> Safety Code </w:t>
      </w:r>
      <w:r w:rsidR="007360BA">
        <w:t xml:space="preserve">(NESC) </w:t>
      </w:r>
      <w:r w:rsidR="009957F3">
        <w:t>as the safety standards to be used by electric utilities when constructing transmission and distribution systems.</w:t>
      </w:r>
      <w:r w:rsidR="001871AC">
        <w:t xml:space="preserve">  </w:t>
      </w:r>
      <w:r w:rsidR="00332008">
        <w:t>The rules implement Section</w:t>
      </w:r>
      <w:r w:rsidR="00E47FA3">
        <w:t>s</w:t>
      </w:r>
      <w:r w:rsidR="00332008">
        <w:t xml:space="preserve"> 366.04(2) and (6), Florida Statutes (F.S.). </w:t>
      </w:r>
    </w:p>
    <w:p w:rsidR="0068481F" w:rsidRDefault="00332008">
      <w:pPr>
        <w:pStyle w:val="BodyText"/>
      </w:pPr>
      <w:r>
        <w:t>Section 366.04(2)</w:t>
      </w:r>
      <w:r w:rsidR="007C0C26">
        <w:t>,</w:t>
      </w:r>
      <w:r>
        <w:t xml:space="preserve"> F.S.</w:t>
      </w:r>
      <w:r w:rsidR="008B67C3">
        <w:t>,</w:t>
      </w:r>
      <w:r>
        <w:t xml:space="preserve"> </w:t>
      </w:r>
      <w:r w:rsidR="007C0C26">
        <w:t>sets forth the Commission’s jurisdiction over electric utilities</w:t>
      </w:r>
      <w:r w:rsidR="007360BA">
        <w:t xml:space="preserve"> to prescribe a </w:t>
      </w:r>
      <w:r w:rsidR="00A82424">
        <w:t>uniform</w:t>
      </w:r>
      <w:r w:rsidR="007360BA">
        <w:t xml:space="preserve"> classification of accounts, a rate structure, and to require electric power conservation and reliability through a coordinated grid.</w:t>
      </w:r>
      <w:r w:rsidR="007C0C26">
        <w:t xml:space="preserve"> Section 366.04(6), F.S., grants the Commission exclusive jurisdiction to prescribe and enforce safety standards for transmission and distribution facilities of all public electric utilities, cooperatives organized under the Rural Electric Cooperative Law, and electric utilities owned and operated by municipalities.  Section </w:t>
      </w:r>
      <w:r w:rsidR="007C0C26">
        <w:lastRenderedPageBreak/>
        <w:t>366.04(6)(b)</w:t>
      </w:r>
      <w:r w:rsidR="007360BA">
        <w:t xml:space="preserve">, F.S., </w:t>
      </w:r>
      <w:r w:rsidR="0071130A">
        <w:t>states</w:t>
      </w:r>
      <w:r w:rsidR="007C0C26">
        <w:t xml:space="preserve"> </w:t>
      </w:r>
      <w:r w:rsidR="007360BA">
        <w:t xml:space="preserve">that in adopting </w:t>
      </w:r>
      <w:r w:rsidR="00A82424">
        <w:t>safety</w:t>
      </w:r>
      <w:r w:rsidR="007360BA">
        <w:t xml:space="preserve"> standards,</w:t>
      </w:r>
      <w:r w:rsidR="007C0C26">
        <w:t xml:space="preserve"> </w:t>
      </w:r>
      <w:r w:rsidR="0071130A">
        <w:t xml:space="preserve">the </w:t>
      </w:r>
      <w:r w:rsidR="007C0C26">
        <w:t>Commission</w:t>
      </w:r>
      <w:r w:rsidR="007360BA">
        <w:t xml:space="preserve"> </w:t>
      </w:r>
      <w:r w:rsidR="0071130A">
        <w:t>shall</w:t>
      </w:r>
      <w:r w:rsidR="00E47FA3">
        <w:t>,</w:t>
      </w:r>
      <w:r w:rsidR="0071130A">
        <w:t xml:space="preserve"> </w:t>
      </w:r>
      <w:r w:rsidR="007C0C26">
        <w:t xml:space="preserve">at a minimum, </w:t>
      </w:r>
      <w:r w:rsidR="007360BA">
        <w:t xml:space="preserve">adopt after review any new edition of the </w:t>
      </w:r>
      <w:r w:rsidR="00D96377">
        <w:t>NESC</w:t>
      </w:r>
      <w:r w:rsidR="007360BA">
        <w:t>.</w:t>
      </w:r>
    </w:p>
    <w:p w:rsidR="001267DD" w:rsidRDefault="001267DD" w:rsidP="001267DD">
      <w:pPr>
        <w:pStyle w:val="BodyText"/>
      </w:pPr>
      <w:r>
        <w:t xml:space="preserve">Staff initiated this rulemaking to update </w:t>
      </w:r>
      <w:r w:rsidR="006B032F">
        <w:t>Rule 25-6.0345, F.A.C.,</w:t>
      </w:r>
      <w:r>
        <w:t xml:space="preserve"> so that the</w:t>
      </w:r>
      <w:r w:rsidR="006B032F">
        <w:t xml:space="preserve"> </w:t>
      </w:r>
      <w:r w:rsidR="002B2137">
        <w:t xml:space="preserve">2017 </w:t>
      </w:r>
      <w:r w:rsidR="00DB09EB">
        <w:t xml:space="preserve">edition, which is the most current edition of the </w:t>
      </w:r>
      <w:r w:rsidR="006B209E">
        <w:t>N</w:t>
      </w:r>
      <w:r w:rsidR="00DB09EB">
        <w:t>ESC,</w:t>
      </w:r>
      <w:r>
        <w:t xml:space="preserve"> is </w:t>
      </w:r>
      <w:r w:rsidR="006641D8">
        <w:t xml:space="preserve">incorporated by reference </w:t>
      </w:r>
      <w:r>
        <w:t>in</w:t>
      </w:r>
      <w:r w:rsidR="001A1C94">
        <w:t xml:space="preserve">to the rule.  </w:t>
      </w:r>
      <w:r>
        <w:t xml:space="preserve">The Commission’s Notice of Development of Rulemaking was published in the Florida Administrative Register on </w:t>
      </w:r>
      <w:r w:rsidR="00281B8D">
        <w:t>December</w:t>
      </w:r>
      <w:r>
        <w:t xml:space="preserve"> 16, 2016, in Volume 42, No. 2</w:t>
      </w:r>
      <w:r w:rsidR="00281B8D">
        <w:t>4</w:t>
      </w:r>
      <w:r>
        <w:t>3.  There were no requests for a rule development workshop, and no workshops were held.  No comments from interested parties were received.</w:t>
      </w:r>
    </w:p>
    <w:p w:rsidR="001267DD" w:rsidRDefault="001267DD" w:rsidP="001267DD">
      <w:pPr>
        <w:pStyle w:val="BodyText"/>
      </w:pPr>
      <w:r>
        <w:t>This recommendation addresses whether the Commission should propose the amendment of Rule 25-6.0345, F.A.C. The Commission has jurisdiction pu</w:t>
      </w:r>
      <w:r w:rsidR="00751AD1">
        <w:t>rsuant to Section 120.54, F.S., Section 366.04</w:t>
      </w:r>
      <w:r w:rsidR="00F34493">
        <w:t>, F.S.,</w:t>
      </w:r>
      <w:r w:rsidR="00751AD1">
        <w:t xml:space="preserve"> and </w:t>
      </w:r>
      <w:r>
        <w:t>Section 366.05, F.S.</w:t>
      </w:r>
    </w:p>
    <w:p w:rsidR="007C0528" w:rsidRDefault="007C0528" w:rsidP="0068481F"/>
    <w:bookmarkEnd w:id="12"/>
    <w:p w:rsidR="00EA2273" w:rsidRDefault="00EA2273">
      <w:pPr>
        <w:pStyle w:val="RecommendationMajorSectionHeading"/>
        <w:sectPr w:rsidR="00EA2273">
          <w:headerReference w:type="default" r:id="rId10"/>
          <w:footerReference w:type="default" r:id="rId11"/>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6" w:name="DiscussionOfIssues"/>
      <w:r>
        <w:lastRenderedPageBreak/>
        <w:t>Discussion of Issues</w:t>
      </w:r>
    </w:p>
    <w:bookmarkEnd w:id="16"/>
    <w:p w:rsidR="00314452" w:rsidRDefault="00314452">
      <w:pPr>
        <w:pStyle w:val="IssueHeading"/>
        <w:rPr>
          <w:vanish/>
          <w:specVanish/>
        </w:rPr>
      </w:pPr>
      <w:r w:rsidRPr="004C3641">
        <w:t xml:space="preserve">Issue </w:t>
      </w:r>
      <w:fldSimple w:instr=" SEQ Issue \* MERGEFORMAT ">
        <w:r w:rsidR="00394C97">
          <w:rPr>
            <w:noProof/>
          </w:rPr>
          <w:t>1</w:t>
        </w:r>
      </w:fldSimple>
      <w:r w:rsidRPr="004C3641">
        <w:t>:</w:t>
      </w:r>
      <w:r>
        <w:fldChar w:fldCharType="begin"/>
      </w:r>
      <w:r>
        <w:instrText xml:space="preserve"> TC "</w:instrText>
      </w:r>
      <w:r>
        <w:fldChar w:fldCharType="begin"/>
      </w:r>
      <w:r>
        <w:instrText xml:space="preserve"> SEQ issue \c </w:instrText>
      </w:r>
      <w:r>
        <w:fldChar w:fldCharType="separate"/>
      </w:r>
      <w:r w:rsidR="00394C97">
        <w:rPr>
          <w:noProof/>
        </w:rPr>
        <w:instrText>1</w:instrText>
      </w:r>
      <w:r>
        <w:fldChar w:fldCharType="end"/>
      </w:r>
      <w:r>
        <w:tab/>
        <w:instrText xml:space="preserve">" \l 1 </w:instrText>
      </w:r>
      <w:r>
        <w:fldChar w:fldCharType="end"/>
      </w:r>
      <w:r>
        <w:t> </w:t>
      </w:r>
    </w:p>
    <w:p w:rsidR="00314452" w:rsidRDefault="00314452">
      <w:pPr>
        <w:pStyle w:val="BodyText"/>
      </w:pPr>
      <w:r>
        <w:t> </w:t>
      </w:r>
      <w:r w:rsidR="006641D8">
        <w:t>Should the Commission propose the amendment of Rule 25-6.0345, F.A.C.?</w:t>
      </w:r>
    </w:p>
    <w:p w:rsidR="00314452" w:rsidRPr="004C3641" w:rsidRDefault="00314452">
      <w:pPr>
        <w:pStyle w:val="IssueSubsectionHeading"/>
        <w:rPr>
          <w:vanish/>
          <w:specVanish/>
        </w:rPr>
      </w:pPr>
      <w:r w:rsidRPr="004C3641">
        <w:t>Recommendation: </w:t>
      </w:r>
    </w:p>
    <w:p w:rsidR="00314452" w:rsidRDefault="00314452">
      <w:pPr>
        <w:pStyle w:val="BodyText"/>
      </w:pPr>
      <w:r>
        <w:t> </w:t>
      </w:r>
      <w:r w:rsidR="006641D8">
        <w:t>Yes.  The Commission should propose the amendment of Rule 25-6.0345, F.A.C.</w:t>
      </w:r>
      <w:r w:rsidR="00394C97">
        <w:t>,</w:t>
      </w:r>
      <w:r w:rsidR="006641D8">
        <w:t xml:space="preserve"> as set forth in Attachment A.</w:t>
      </w:r>
      <w:r>
        <w:t xml:space="preserve"> </w:t>
      </w:r>
    </w:p>
    <w:p w:rsidR="00F87CEA" w:rsidRPr="00F80273" w:rsidRDefault="00314452" w:rsidP="007A3788">
      <w:pPr>
        <w:pStyle w:val="IssueSubsectionHeading"/>
        <w:rPr>
          <w:rFonts w:ascii="Times New Roman" w:hAnsi="Times New Roman" w:cs="Times New Roman"/>
          <w:i w:val="0"/>
          <w:specVanish/>
        </w:rPr>
      </w:pPr>
      <w:r w:rsidRPr="00F80273">
        <w:t>Staff Analysis:</w:t>
      </w:r>
      <w:r w:rsidRPr="00F80273">
        <w:rPr>
          <w:rFonts w:ascii="Times New Roman" w:hAnsi="Times New Roman" w:cs="Times New Roman"/>
          <w:i w:val="0"/>
        </w:rPr>
        <w:t> </w:t>
      </w:r>
      <w:r w:rsidR="00F87CEA" w:rsidRPr="00F80273">
        <w:rPr>
          <w:rFonts w:ascii="Times New Roman" w:hAnsi="Times New Roman" w:cs="Times New Roman"/>
          <w:b w:val="0"/>
          <w:i w:val="0"/>
        </w:rPr>
        <w:t>The NESC was introduced in 1914 as the product of a congressional mandate for the National Bureau of Standards to investigate the hazards of electrical work, contemporary engineering theory and generally accepted good industry practices.</w:t>
      </w:r>
      <w:r w:rsidR="00F87CEA" w:rsidRPr="00F80273">
        <w:rPr>
          <w:rStyle w:val="FootnoteReference"/>
          <w:rFonts w:ascii="Times New Roman" w:hAnsi="Times New Roman" w:cs="Times New Roman"/>
          <w:b w:val="0"/>
          <w:i w:val="0"/>
        </w:rPr>
        <w:footnoteReference w:id="1"/>
      </w:r>
      <w:r w:rsidR="00F87CEA" w:rsidRPr="00F80273">
        <w:rPr>
          <w:rFonts w:ascii="Times New Roman" w:hAnsi="Times New Roman" w:cs="Times New Roman"/>
          <w:b w:val="0"/>
          <w:i w:val="0"/>
        </w:rPr>
        <w:t xml:space="preserve"> </w:t>
      </w:r>
      <w:r w:rsidR="00BA6ABB" w:rsidRPr="00F80273">
        <w:rPr>
          <w:rFonts w:ascii="Times New Roman" w:hAnsi="Times New Roman" w:cs="Times New Roman"/>
          <w:b w:val="0"/>
          <w:i w:val="0"/>
        </w:rPr>
        <w:t>The NESC is a consensus standard that has been prepared by the NESC Committee under procedures approved by the American National Standards Institute.</w:t>
      </w:r>
      <w:r w:rsidR="00BA6ABB" w:rsidRPr="00F80273">
        <w:rPr>
          <w:rStyle w:val="FootnoteReference"/>
          <w:rFonts w:ascii="Times New Roman" w:hAnsi="Times New Roman" w:cs="Times New Roman"/>
          <w:b w:val="0"/>
          <w:i w:val="0"/>
        </w:rPr>
        <w:footnoteReference w:id="2"/>
      </w:r>
    </w:p>
    <w:p w:rsidR="00E94D25" w:rsidRDefault="006B032F">
      <w:pPr>
        <w:pStyle w:val="BodyText"/>
      </w:pPr>
      <w:r>
        <w:t xml:space="preserve">The NESC </w:t>
      </w:r>
      <w:r w:rsidR="001A1C94">
        <w:t>sets the ground rules and guidelines for practical safeguarding of utility workers and the public during the installation, operation, and maintenance of electric supply, communication lines and associated equipment,</w:t>
      </w:r>
      <w:r w:rsidR="006641D8">
        <w:t xml:space="preserve"> </w:t>
      </w:r>
      <w:r w:rsidR="001A1C94">
        <w:t>and</w:t>
      </w:r>
      <w:r w:rsidR="00791969">
        <w:t xml:space="preserve"> is revised every five years so that the code is </w:t>
      </w:r>
      <w:r w:rsidR="001A1C94">
        <w:t>up-to-date</w:t>
      </w:r>
      <w:r w:rsidR="00791969">
        <w:t xml:space="preserve"> with changes in the industry and technology.</w:t>
      </w:r>
      <w:r w:rsidR="00E82FA4">
        <w:rPr>
          <w:rStyle w:val="FootnoteReference"/>
        </w:rPr>
        <w:footnoteReference w:id="3"/>
      </w:r>
      <w:r w:rsidR="006923A9">
        <w:t xml:space="preserve"> </w:t>
      </w:r>
      <w:r w:rsidR="00E62E70">
        <w:t>Some of t</w:t>
      </w:r>
      <w:r w:rsidR="00E94D25">
        <w:t xml:space="preserve">he </w:t>
      </w:r>
      <w:r w:rsidR="006923A9">
        <w:t>changes</w:t>
      </w:r>
      <w:r w:rsidR="00E94D25">
        <w:t xml:space="preserve"> </w:t>
      </w:r>
      <w:r w:rsidR="006923A9">
        <w:t>for</w:t>
      </w:r>
      <w:r w:rsidR="00E94D25">
        <w:t xml:space="preserve"> the 2017 </w:t>
      </w:r>
      <w:r w:rsidR="006923A9">
        <w:t>E</w:t>
      </w:r>
      <w:r w:rsidR="00E94D25">
        <w:t>dition include</w:t>
      </w:r>
      <w:r w:rsidR="006923A9">
        <w:t xml:space="preserve"> </w:t>
      </w:r>
      <w:r w:rsidR="00E62E70">
        <w:t xml:space="preserve">revising and reorganizing the guy insulator placement rules, </w:t>
      </w:r>
      <w:r w:rsidR="00DB4B94">
        <w:t xml:space="preserve">and </w:t>
      </w:r>
      <w:r w:rsidR="006923A9">
        <w:t>revising the substation impe</w:t>
      </w:r>
      <w:r w:rsidR="00327B61">
        <w:t>netrable fence requirements</w:t>
      </w:r>
      <w:r w:rsidR="00C76433">
        <w:t>.</w:t>
      </w:r>
      <w:r w:rsidR="005745D5">
        <w:rPr>
          <w:rStyle w:val="FootnoteReference"/>
        </w:rPr>
        <w:footnoteReference w:id="4"/>
      </w:r>
      <w:r w:rsidR="00E62E70">
        <w:t xml:space="preserve"> </w:t>
      </w:r>
      <w:r w:rsidR="005745D5">
        <w:t>C</w:t>
      </w:r>
      <w:r w:rsidR="00E62E70">
        <w:t xml:space="preserve">learances of overhead lines from aboveground swimming pools without decks </w:t>
      </w:r>
      <w:r w:rsidR="005745D5">
        <w:t xml:space="preserve">were added </w:t>
      </w:r>
      <w:r w:rsidR="00E62E70">
        <w:t>to Rule 234E1.</w:t>
      </w:r>
      <w:r w:rsidR="005745D5">
        <w:rPr>
          <w:rStyle w:val="FootnoteReference"/>
        </w:rPr>
        <w:footnoteReference w:id="5"/>
      </w:r>
      <w:r w:rsidR="00443D5D">
        <w:t xml:space="preserve">  Staff recommends that the Commission should amend Rule 25-6.0345, F.A.C., to incorporate by reference the 2017 Edition of the NESC.</w:t>
      </w:r>
    </w:p>
    <w:p w:rsidR="00080BF6" w:rsidRDefault="00080BF6" w:rsidP="00080BF6">
      <w:pPr>
        <w:pStyle w:val="First-LevelSubheading"/>
      </w:pPr>
      <w:r>
        <w:t>Minor Rules Certification</w:t>
      </w:r>
    </w:p>
    <w:p w:rsidR="00080BF6" w:rsidRDefault="00443D5D">
      <w:pPr>
        <w:pStyle w:val="BodyText"/>
      </w:pPr>
      <w:r>
        <w:t>Currently, Rule 25-6.0345, F.A.C., is not on the Commission</w:t>
      </w:r>
      <w:r w:rsidR="00C2209A">
        <w:t>’s</w:t>
      </w:r>
      <w:r>
        <w:t xml:space="preserve"> list of minor violation rules. </w:t>
      </w:r>
      <w:r w:rsidR="00C2209A">
        <w:t xml:space="preserve">Pursuant to Section 120.695, F.S., </w:t>
      </w:r>
      <w:r w:rsidR="00D10B36">
        <w:t xml:space="preserve">beginning July 1, 2017, </w:t>
      </w:r>
      <w:r w:rsidR="00C2209A">
        <w:t xml:space="preserve">for each rule filed for adoption the agency head shall certify whether any part of the rule is designated as a rule the violation of which would be a minor violation.  </w:t>
      </w:r>
      <w:r>
        <w:t>Rule 25-6.0345, F.A.C., is a rule for which a violation would not be a minor violation because the violation of the rule would result in economic or physical harm to a person or an adverse effect on the public health, safety, or welfare or create a significant threat of such harm.</w:t>
      </w:r>
      <w:r w:rsidR="00080BF6">
        <w:t xml:space="preserve">  </w:t>
      </w:r>
      <w:r w:rsidR="00CD23D3">
        <w:t>Since</w:t>
      </w:r>
      <w:r w:rsidR="00080BF6">
        <w:t xml:space="preserve"> a violation of </w:t>
      </w:r>
      <w:r w:rsidR="00CD23D3">
        <w:t>Rule 25-6.0345, F.A.C.,</w:t>
      </w:r>
      <w:r w:rsidR="00080BF6">
        <w:t xml:space="preserve"> would </w:t>
      </w:r>
      <w:r>
        <w:t xml:space="preserve">continue to be </w:t>
      </w:r>
      <w:r w:rsidR="00080BF6">
        <w:t xml:space="preserve">a major violation, no </w:t>
      </w:r>
      <w:r w:rsidR="00CD23D3">
        <w:t xml:space="preserve">statutory </w:t>
      </w:r>
      <w:r>
        <w:t xml:space="preserve">certification is required and no change to </w:t>
      </w:r>
      <w:r w:rsidR="00C2209A">
        <w:t>the Commission’s current list of minor violation rules published on the Commission’s website is necessary.</w:t>
      </w:r>
    </w:p>
    <w:p w:rsidR="00332B81" w:rsidRDefault="00D451C3" w:rsidP="00332B81">
      <w:pPr>
        <w:pStyle w:val="First-LevelSubheading"/>
      </w:pPr>
      <w:r>
        <w:t>Statement of Estimated Regulatory Cost</w:t>
      </w:r>
      <w:r w:rsidR="008B67C3">
        <w:t>s</w:t>
      </w:r>
    </w:p>
    <w:p w:rsidR="00D451C3" w:rsidRDefault="00D451C3" w:rsidP="00D451C3">
      <w:pPr>
        <w:pStyle w:val="BodyText"/>
      </w:pPr>
      <w:r>
        <w:t xml:space="preserve">Pursuant to </w:t>
      </w:r>
      <w:r w:rsidR="00EE6618">
        <w:t>Section</w:t>
      </w:r>
      <w:r>
        <w:t xml:space="preserve"> 120.54, F.S., agencies are encouraged to prepare a statement of estimated </w:t>
      </w:r>
      <w:r w:rsidR="00EE6618">
        <w:t>regulatory</w:t>
      </w:r>
      <w:r>
        <w:t xml:space="preserve"> costs (SERC) before the adoption, amendment, or repeal of any rule.  The SERC is appended as Attachment B to this recommendation.  The SERC analysis </w:t>
      </w:r>
      <w:r w:rsidR="0020102A">
        <w:t xml:space="preserve">also </w:t>
      </w:r>
      <w:r>
        <w:t xml:space="preserve">includes whether the rule amendment is likely to have an adverse impact on growth, private sector job creation or employment, or private sector investment in excess of $1 million in the aggregate </w:t>
      </w:r>
      <w:r w:rsidR="00EE6618">
        <w:t>within</w:t>
      </w:r>
      <w:r>
        <w:t xml:space="preserve"> five years </w:t>
      </w:r>
      <w:r w:rsidR="00C21483">
        <w:t>of</w:t>
      </w:r>
      <w:r>
        <w:t xml:space="preserve"> implementation.</w:t>
      </w:r>
      <w:r w:rsidR="009771FA">
        <w:rPr>
          <w:rStyle w:val="FootnoteReference"/>
        </w:rPr>
        <w:footnoteReference w:id="6"/>
      </w:r>
    </w:p>
    <w:p w:rsidR="00F85FBF" w:rsidRDefault="00C21483" w:rsidP="007A3788">
      <w:pPr>
        <w:pStyle w:val="BodyText"/>
      </w:pPr>
      <w:r>
        <w:lastRenderedPageBreak/>
        <w:t>The SERC concludes that the rule amendment will not likely directly or indirectly increase regulatory costs in excess of $200,000 in the aggregate in Florida within one year after implementation.</w:t>
      </w:r>
      <w:r w:rsidR="00616FDF">
        <w:t xml:space="preserve">  Further, the SERC concludes that the rule amendment will not likely have an adverse impact on </w:t>
      </w:r>
      <w:r w:rsidR="0020102A">
        <w:t>ec</w:t>
      </w:r>
      <w:r w:rsidR="00CD704F">
        <w:t>o</w:t>
      </w:r>
      <w:r w:rsidR="0020102A">
        <w:t xml:space="preserve">nomic </w:t>
      </w:r>
      <w:r w:rsidR="00616FDF">
        <w:t xml:space="preserve">growth, private sector job creation or employment, private sector investment, business competitiveness, productivity, or innovation in excess of $1 million in the </w:t>
      </w:r>
      <w:r w:rsidR="004915DA">
        <w:t>aggregate</w:t>
      </w:r>
      <w:r w:rsidR="00616FDF">
        <w:t xml:space="preserve"> within five years </w:t>
      </w:r>
      <w:r w:rsidR="0020102A">
        <w:t>of</w:t>
      </w:r>
      <w:r w:rsidR="00616FDF">
        <w:t xml:space="preserve"> implementation. </w:t>
      </w:r>
      <w:r w:rsidR="00513B35">
        <w:t>Thus, the rule amendment does not require legislative ratification pursuant to Section 120.541(3), F.S.  In addition, the SERC states that the rule amendment will not have an adverse impact on small business and will have no impact on small cities or counties.  No regulatory alternatives were submitted pursuant to paragraph 120.541(</w:t>
      </w:r>
      <w:r w:rsidR="0020102A">
        <w:t>1</w:t>
      </w:r>
      <w:r w:rsidR="00513B35">
        <w:t>)(a), F.S.  None of the impact</w:t>
      </w:r>
      <w:r w:rsidR="0020102A">
        <w:t>/</w:t>
      </w:r>
      <w:r w:rsidR="00513B35">
        <w:t xml:space="preserve">cost criteria established in paragraph 120.541(2)(a), </w:t>
      </w:r>
      <w:r w:rsidR="008B67C3">
        <w:t xml:space="preserve">F.S., </w:t>
      </w:r>
      <w:r w:rsidR="00513B35">
        <w:t>will be exceeded as a result of the recommended revision.</w:t>
      </w:r>
    </w:p>
    <w:p w:rsidR="00F85FBF" w:rsidRPr="00F85FBF" w:rsidRDefault="009771FA" w:rsidP="00F85FBF">
      <w:pPr>
        <w:pStyle w:val="First-LevelSubheading"/>
      </w:pPr>
      <w:r>
        <w:t>Conclusion</w:t>
      </w:r>
    </w:p>
    <w:p w:rsidR="00332B81" w:rsidRDefault="009771FA">
      <w:pPr>
        <w:pStyle w:val="BodyText"/>
      </w:pPr>
      <w:r>
        <w:t>Based on the foregoing, staff recommends the Commission propose the amendment of Rule 25-6.0345, F.A.C.</w:t>
      </w:r>
    </w:p>
    <w:p w:rsidR="00791969" w:rsidRDefault="00791969">
      <w:pPr>
        <w:pStyle w:val="BodyText"/>
      </w:pPr>
    </w:p>
    <w:p w:rsidR="00314452" w:rsidRDefault="00314452">
      <w:pPr>
        <w:pStyle w:val="IssueHeading"/>
        <w:rPr>
          <w:vanish/>
          <w:specVanish/>
        </w:rPr>
      </w:pPr>
      <w:r w:rsidRPr="004C3641">
        <w:rPr>
          <w:b w:val="0"/>
          <w:i w:val="0"/>
        </w:rPr>
        <w:br w:type="page"/>
      </w:r>
      <w:r w:rsidRPr="004C3641">
        <w:lastRenderedPageBreak/>
        <w:t xml:space="preserve">Issue </w:t>
      </w:r>
      <w:fldSimple w:instr=" SEQ Issue \* MERGEFORMAT ">
        <w:r w:rsidR="00394C97">
          <w:rPr>
            <w:noProof/>
          </w:rPr>
          <w:t>2</w:t>
        </w:r>
      </w:fldSimple>
      <w:r w:rsidRPr="004C3641">
        <w:t>:</w:t>
      </w:r>
      <w:r>
        <w:fldChar w:fldCharType="begin"/>
      </w:r>
      <w:r>
        <w:instrText xml:space="preserve"> TC "</w:instrText>
      </w:r>
      <w:r>
        <w:fldChar w:fldCharType="begin"/>
      </w:r>
      <w:r>
        <w:instrText xml:space="preserve"> SEQ issue \c </w:instrText>
      </w:r>
      <w:r>
        <w:fldChar w:fldCharType="separate"/>
      </w:r>
      <w:r w:rsidR="00394C97">
        <w:rPr>
          <w:noProof/>
        </w:rPr>
        <w:instrText>2</w:instrText>
      </w:r>
      <w:r>
        <w:fldChar w:fldCharType="end"/>
      </w:r>
      <w:r>
        <w:tab/>
        <w:instrText xml:space="preserve">" \l 1 </w:instrText>
      </w:r>
      <w:r>
        <w:fldChar w:fldCharType="end"/>
      </w:r>
      <w:r>
        <w:t> </w:t>
      </w:r>
    </w:p>
    <w:p w:rsidR="00314452" w:rsidRDefault="00314452">
      <w:pPr>
        <w:pStyle w:val="BodyText"/>
      </w:pPr>
      <w:r>
        <w:t> Should this docket be closed?</w:t>
      </w:r>
    </w:p>
    <w:p w:rsidR="00314452" w:rsidRPr="004C3641" w:rsidRDefault="00314452">
      <w:pPr>
        <w:pStyle w:val="IssueSubsectionHeading"/>
        <w:rPr>
          <w:vanish/>
          <w:specVanish/>
        </w:rPr>
      </w:pPr>
      <w:r w:rsidRPr="004C3641">
        <w:t>Recommendation: </w:t>
      </w:r>
    </w:p>
    <w:p w:rsidR="00314452" w:rsidRDefault="00314452">
      <w:pPr>
        <w:pStyle w:val="BodyText"/>
      </w:pPr>
      <w:r>
        <w:t> </w:t>
      </w:r>
      <w:bookmarkStart w:id="17" w:name="IssueRecommendation"/>
      <w:r w:rsidR="00624342">
        <w:t>Yes.  If no requests for hearing or comments are filed, the rule may be filed with the Department of State, and this docket should be closed.</w:t>
      </w:r>
      <w:bookmarkEnd w:id="17"/>
      <w:r>
        <w:t xml:space="preserve"> </w:t>
      </w:r>
      <w:r w:rsidR="00624342">
        <w:t>(Page)</w:t>
      </w:r>
    </w:p>
    <w:p w:rsidR="00314452" w:rsidRPr="004C3641" w:rsidRDefault="00314452">
      <w:pPr>
        <w:pStyle w:val="IssueSubsectionHeading"/>
        <w:rPr>
          <w:vanish/>
          <w:specVanish/>
        </w:rPr>
      </w:pPr>
      <w:r w:rsidRPr="004C3641">
        <w:t>Staff Analysis: </w:t>
      </w:r>
    </w:p>
    <w:p w:rsidR="00624342" w:rsidRDefault="00314452" w:rsidP="00624342">
      <w:pPr>
        <w:pStyle w:val="BodyText"/>
      </w:pPr>
      <w:r>
        <w:t> </w:t>
      </w:r>
      <w:r w:rsidR="00624342">
        <w:t xml:space="preserve">If no requests for hearing or comments are filed, the rule may be filed with the Department of State, and this docket should be closed. </w:t>
      </w:r>
    </w:p>
    <w:p w:rsidR="00314452" w:rsidRDefault="00314452">
      <w:pPr>
        <w:pStyle w:val="BodyText"/>
      </w:pPr>
    </w:p>
    <w:p w:rsidR="00E06484" w:rsidRDefault="00E06484" w:rsidP="00E275D8">
      <w:pPr>
        <w:pStyle w:val="BodyText"/>
      </w:pPr>
    </w:p>
    <w:p w:rsidR="0062336E" w:rsidRDefault="0062336E" w:rsidP="0062336E">
      <w:pPr>
        <w:pStyle w:val="BodyText"/>
        <w:sectPr w:rsidR="0062336E" w:rsidSect="0068481F">
          <w:headerReference w:type="default" r:id="rId12"/>
          <w:headerReference w:type="first" r:id="rId13"/>
          <w:footerReference w:type="first" r:id="rId14"/>
          <w:pgSz w:w="12240" w:h="15840" w:code="1"/>
          <w:pgMar w:top="1584" w:right="1440" w:bottom="1440" w:left="1440" w:header="720" w:footer="720" w:gutter="0"/>
          <w:cols w:space="720"/>
          <w:formProt w:val="0"/>
          <w:docGrid w:linePitch="360"/>
        </w:sectPr>
      </w:pPr>
    </w:p>
    <w:p w:rsidR="0062336E" w:rsidRPr="002A4A52" w:rsidRDefault="0062336E" w:rsidP="00714B22">
      <w:pPr>
        <w:pStyle w:val="Rule"/>
        <w:tabs>
          <w:tab w:val="clear" w:pos="720"/>
          <w:tab w:val="left" w:pos="360"/>
        </w:tabs>
        <w:rPr>
          <w:b/>
        </w:rPr>
      </w:pPr>
      <w:r>
        <w:rPr>
          <w:b/>
        </w:rPr>
        <w:lastRenderedPageBreak/>
        <w:tab/>
      </w:r>
      <w:r w:rsidRPr="002A4A52">
        <w:rPr>
          <w:b/>
        </w:rPr>
        <w:t>25-6.0345 Safety Standards for Construction of New Transmission and Distribution Facilities.</w:t>
      </w:r>
    </w:p>
    <w:p w:rsidR="0062336E" w:rsidRPr="002A4A52" w:rsidRDefault="0062336E" w:rsidP="007B2226">
      <w:pPr>
        <w:pStyle w:val="Rule"/>
        <w:tabs>
          <w:tab w:val="clear" w:pos="720"/>
          <w:tab w:val="left" w:pos="360"/>
          <w:tab w:val="left" w:pos="540"/>
        </w:tabs>
      </w:pPr>
      <w:r w:rsidRPr="002A4A52">
        <w:t xml:space="preserve">The Commission adopts and incorporates by reference </w:t>
      </w:r>
      <w:r w:rsidRPr="002E1F2D">
        <w:t xml:space="preserve">the </w:t>
      </w:r>
      <w:r w:rsidRPr="00714B22">
        <w:rPr>
          <w:strike/>
        </w:rPr>
        <w:t xml:space="preserve">2012 edition </w:t>
      </w:r>
      <w:r>
        <w:rPr>
          <w:strike/>
        </w:rPr>
        <w:t>of</w:t>
      </w:r>
      <w:r w:rsidRPr="002E1F2D">
        <w:rPr>
          <w:strike/>
        </w:rPr>
        <w:t xml:space="preserve"> the</w:t>
      </w:r>
      <w:r w:rsidRPr="008C4F20">
        <w:t xml:space="preserve"> </w:t>
      </w:r>
      <w:r w:rsidR="00E772AD" w:rsidRPr="00E772AD">
        <w:rPr>
          <w:u w:val="single"/>
        </w:rPr>
        <w:t>2017</w:t>
      </w:r>
      <w:r w:rsidR="00E772AD">
        <w:t xml:space="preserve"> </w:t>
      </w:r>
      <w:r w:rsidRPr="002A4A52">
        <w:t>National Electrical Safety Code</w:t>
      </w:r>
      <w:r>
        <w:t xml:space="preserve"> </w:t>
      </w:r>
      <w:r w:rsidRPr="00EC44F9">
        <w:rPr>
          <w:u w:val="single"/>
        </w:rPr>
        <w:t>(NESC) C2</w:t>
      </w:r>
      <w:r>
        <w:rPr>
          <w:u w:val="single"/>
        </w:rPr>
        <w:t>-2017</w:t>
      </w:r>
      <w:r>
        <w:t xml:space="preserve"> </w:t>
      </w:r>
      <w:r w:rsidRPr="00714B22">
        <w:rPr>
          <w:strike/>
        </w:rPr>
        <w:t>ANSI</w:t>
      </w:r>
      <w:r>
        <w:rPr>
          <w:strike/>
        </w:rPr>
        <w:t xml:space="preserve"> </w:t>
      </w:r>
      <w:r w:rsidRPr="00EC44F9">
        <w:rPr>
          <w:strike/>
        </w:rPr>
        <w:t>C-2</w:t>
      </w:r>
      <w:r w:rsidRPr="00A328D8">
        <w:rPr>
          <w:strike/>
        </w:rPr>
        <w:t xml:space="preserve"> </w:t>
      </w:r>
      <w:r w:rsidRPr="00EC44F9">
        <w:rPr>
          <w:strike/>
        </w:rPr>
        <w:t>[NESC]</w:t>
      </w:r>
      <w:r w:rsidRPr="00EC44F9">
        <w:t>,</w:t>
      </w:r>
      <w:r>
        <w:t xml:space="preserve"> </w:t>
      </w:r>
      <w:r w:rsidRPr="002A4A52">
        <w:t>as the applicable safety standards for transmission and distribution facilities subject to the Commission’s safety jurisdiction. Each investor-owned electric utility, rural electric cooperative, and municipal electric system shall, at a minimum, comply with the standards in these provisions. A copy of the NESC</w:t>
      </w:r>
      <w:r w:rsidR="00E772AD">
        <w:t xml:space="preserve"> </w:t>
      </w:r>
      <w:r w:rsidR="00E772AD" w:rsidRPr="00E772AD">
        <w:rPr>
          <w:u w:val="single"/>
        </w:rPr>
        <w:t>C2-2017</w:t>
      </w:r>
      <w:r w:rsidRPr="002A4A52">
        <w:t xml:space="preserve"> may be obtained from the Institute of Electric and Electronic Engineers, Inc. (IEEE), 3 Park Avenue, New York, NY 10016-5997.</w:t>
      </w:r>
    </w:p>
    <w:p w:rsidR="0062336E" w:rsidRDefault="0062336E" w:rsidP="0062336E">
      <w:pPr>
        <w:pStyle w:val="Rule"/>
        <w:tabs>
          <w:tab w:val="clear" w:pos="720"/>
          <w:tab w:val="left" w:pos="360"/>
        </w:tabs>
        <w:sectPr w:rsidR="0062336E" w:rsidSect="00F9795E">
          <w:headerReference w:type="even" r:id="rId15"/>
          <w:headerReference w:type="default" r:id="rId16"/>
          <w:footerReference w:type="even" r:id="rId17"/>
          <w:footerReference w:type="default" r:id="rId18"/>
          <w:headerReference w:type="first" r:id="rId19"/>
          <w:footerReference w:type="first" r:id="rId20"/>
          <w:pgSz w:w="12240" w:h="15840" w:code="1"/>
          <w:pgMar w:top="360" w:right="720" w:bottom="360" w:left="2405" w:header="360" w:footer="360" w:gutter="0"/>
          <w:cols w:space="720"/>
          <w:formProt w:val="0"/>
          <w:docGrid w:linePitch="360"/>
        </w:sectPr>
      </w:pPr>
      <w:r w:rsidRPr="002A4A52">
        <w:rPr>
          <w:i/>
        </w:rPr>
        <w:t>Rulemaking Authority 350.127(2), 366.05(1) FS. Law Implemented 366.04(2), (6) FS. History–New 8-13-87, Amended 2-18-90, 11-10-93, 8-17-97, 7-16-02, 2-1-07, 12-16-12</w:t>
      </w:r>
      <w:r>
        <w:rPr>
          <w:i/>
        </w:rPr>
        <w:t>, ________</w:t>
      </w:r>
      <w:r w:rsidRPr="002A4A52">
        <w:rPr>
          <w:i/>
        </w:rPr>
        <w:t>.</w:t>
      </w:r>
    </w:p>
    <w:p w:rsidR="0062336E" w:rsidRDefault="0056253D" w:rsidP="0062336E">
      <w:pPr>
        <w:pStyle w:val="BodyText"/>
      </w:pPr>
      <w:r>
        <w:rPr>
          <w:noProof/>
        </w:rPr>
        <w:lastRenderedPageBreak/>
        <w:t>h</w:t>
      </w:r>
      <w:r w:rsidR="0062336E">
        <w:rPr>
          <w:noProof/>
        </w:rPr>
        <w:drawing>
          <wp:inline distT="0" distB="0" distL="0" distR="0">
            <wp:extent cx="5943600" cy="7708900"/>
            <wp:effectExtent l="0" t="0" r="0" b="6350"/>
            <wp:docPr id="14" name="Picture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7708900"/>
                    </a:xfrm>
                    <a:prstGeom prst="rect">
                      <a:avLst/>
                    </a:prstGeom>
                  </pic:spPr>
                </pic:pic>
              </a:graphicData>
            </a:graphic>
          </wp:inline>
        </w:drawing>
      </w:r>
    </w:p>
    <w:p w:rsidR="0062336E" w:rsidRDefault="0062336E" w:rsidP="0062336E">
      <w:r>
        <w:br w:type="page"/>
      </w:r>
    </w:p>
    <w:p w:rsidR="0062336E" w:rsidRDefault="0062336E" w:rsidP="0062336E">
      <w:pPr>
        <w:pStyle w:val="BodyText"/>
      </w:pPr>
      <w:r>
        <w:rPr>
          <w:noProof/>
        </w:rPr>
        <w:lastRenderedPageBreak/>
        <w:drawing>
          <wp:inline distT="0" distB="0" distL="0" distR="0">
            <wp:extent cx="5943600" cy="7717155"/>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7717155"/>
                    </a:xfrm>
                    <a:prstGeom prst="rect">
                      <a:avLst/>
                    </a:prstGeom>
                  </pic:spPr>
                </pic:pic>
              </a:graphicData>
            </a:graphic>
          </wp:inline>
        </w:drawing>
      </w:r>
    </w:p>
    <w:p w:rsidR="0062336E" w:rsidRDefault="0062336E" w:rsidP="0062336E">
      <w:r>
        <w:br w:type="page"/>
      </w:r>
    </w:p>
    <w:p w:rsidR="0062336E" w:rsidRDefault="0062336E" w:rsidP="0062336E">
      <w:pPr>
        <w:pStyle w:val="BodyText"/>
      </w:pPr>
      <w:r>
        <w:rPr>
          <w:noProof/>
        </w:rPr>
        <w:lastRenderedPageBreak/>
        <w:drawing>
          <wp:inline distT="0" distB="0" distL="0" distR="0">
            <wp:extent cx="5943600" cy="7690485"/>
            <wp:effectExtent l="0" t="0" r="0" b="5715"/>
            <wp:docPr id="16" name="Pictur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7690485"/>
                    </a:xfrm>
                    <a:prstGeom prst="rect">
                      <a:avLst/>
                    </a:prstGeom>
                  </pic:spPr>
                </pic:pic>
              </a:graphicData>
            </a:graphic>
          </wp:inline>
        </w:drawing>
      </w:r>
    </w:p>
    <w:p w:rsidR="0062336E" w:rsidRDefault="0062336E" w:rsidP="0062336E">
      <w:r>
        <w:br w:type="page"/>
      </w:r>
    </w:p>
    <w:p w:rsidR="0062336E" w:rsidRDefault="0062336E" w:rsidP="0062336E">
      <w:pPr>
        <w:pStyle w:val="BodyText"/>
      </w:pPr>
      <w:r>
        <w:rPr>
          <w:noProof/>
        </w:rPr>
        <w:lastRenderedPageBreak/>
        <w:drawing>
          <wp:inline distT="0" distB="0" distL="0" distR="0">
            <wp:extent cx="5943600" cy="7701280"/>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7701280"/>
                    </a:xfrm>
                    <a:prstGeom prst="rect">
                      <a:avLst/>
                    </a:prstGeom>
                  </pic:spPr>
                </pic:pic>
              </a:graphicData>
            </a:graphic>
          </wp:inline>
        </w:drawing>
      </w:r>
    </w:p>
    <w:p w:rsidR="0062336E" w:rsidRDefault="0062336E" w:rsidP="0062336E">
      <w:r>
        <w:br w:type="page"/>
      </w:r>
    </w:p>
    <w:p w:rsidR="0062336E" w:rsidRDefault="0062336E" w:rsidP="0062336E">
      <w:pPr>
        <w:pStyle w:val="BodyText"/>
      </w:pPr>
      <w:r>
        <w:rPr>
          <w:noProof/>
        </w:rPr>
        <w:lastRenderedPageBreak/>
        <w:drawing>
          <wp:inline distT="0" distB="0" distL="0" distR="0">
            <wp:extent cx="5943600" cy="7687945"/>
            <wp:effectExtent l="0" t="0" r="0" b="8255"/>
            <wp:docPr id="18" name="Picture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7687945"/>
                    </a:xfrm>
                    <a:prstGeom prst="rect">
                      <a:avLst/>
                    </a:prstGeom>
                  </pic:spPr>
                </pic:pic>
              </a:graphicData>
            </a:graphic>
          </wp:inline>
        </w:drawing>
      </w:r>
    </w:p>
    <w:p w:rsidR="0062336E" w:rsidRDefault="0062336E" w:rsidP="0062336E">
      <w:r>
        <w:br w:type="page"/>
      </w:r>
    </w:p>
    <w:p w:rsidR="0062336E" w:rsidRDefault="0062336E" w:rsidP="0062336E">
      <w:pPr>
        <w:pStyle w:val="BodyText"/>
      </w:pPr>
      <w:r>
        <w:rPr>
          <w:noProof/>
        </w:rPr>
        <w:lastRenderedPageBreak/>
        <w:drawing>
          <wp:inline distT="0" distB="0" distL="0" distR="0">
            <wp:extent cx="5943600" cy="7694930"/>
            <wp:effectExtent l="0" t="0" r="0" b="1270"/>
            <wp:docPr id="19" name="Pictur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7694930"/>
                    </a:xfrm>
                    <a:prstGeom prst="rect">
                      <a:avLst/>
                    </a:prstGeom>
                  </pic:spPr>
                </pic:pic>
              </a:graphicData>
            </a:graphic>
          </wp:inline>
        </w:drawing>
      </w:r>
    </w:p>
    <w:p w:rsidR="0062336E" w:rsidRDefault="0062336E" w:rsidP="0062336E">
      <w:r>
        <w:br w:type="page"/>
      </w:r>
    </w:p>
    <w:p w:rsidR="0062336E" w:rsidRDefault="0062336E" w:rsidP="0062336E">
      <w:pPr>
        <w:pStyle w:val="BodyText"/>
      </w:pPr>
      <w:r>
        <w:rPr>
          <w:noProof/>
        </w:rPr>
        <w:lastRenderedPageBreak/>
        <w:drawing>
          <wp:inline distT="0" distB="0" distL="0" distR="0">
            <wp:extent cx="5943600" cy="7690485"/>
            <wp:effectExtent l="0" t="0" r="0" b="5715"/>
            <wp:docPr id="20" name="Picture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7690485"/>
                    </a:xfrm>
                    <a:prstGeom prst="rect">
                      <a:avLst/>
                    </a:prstGeom>
                  </pic:spPr>
                </pic:pic>
              </a:graphicData>
            </a:graphic>
          </wp:inline>
        </w:drawing>
      </w:r>
    </w:p>
    <w:sectPr w:rsidR="0062336E" w:rsidSect="0062336E">
      <w:headerReference w:type="default" r:id="rId28"/>
      <w:footerReference w:type="default" r:id="rId29"/>
      <w:pgSz w:w="12240" w:h="15840" w:code="1"/>
      <w:pgMar w:top="1440" w:right="1440" w:bottom="1440" w:left="1440" w:header="360" w:footer="36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4452" w:rsidRDefault="00314452">
      <w:r>
        <w:separator/>
      </w:r>
    </w:p>
  </w:endnote>
  <w:endnote w:type="continuationSeparator" w:id="0">
    <w:p w:rsidR="00314452" w:rsidRDefault="003144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B17" w:rsidRDefault="00212B17">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EE365D">
      <w:rPr>
        <w:rStyle w:val="PageNumber"/>
        <w:noProof/>
      </w:rPr>
      <w:t>5</w:t>
    </w:r>
    <w:r>
      <w:rPr>
        <w:rStyle w:val="PageNumber"/>
      </w:rPr>
      <w:fldChar w:fldCharType="end"/>
    </w: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B17" w:rsidRDefault="00212B1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280E4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CE2F51">
    <w:pPr>
      <w:pStyle w:val="Footer"/>
    </w:pPr>
    <w:r>
      <w:t xml:space="preserve">CODING: Words </w:t>
    </w:r>
    <w:r>
      <w:rPr>
        <w:u w:val="single"/>
      </w:rPr>
      <w:t>underlined</w:t>
    </w:r>
    <w:r>
      <w:t xml:space="preserve"> are additions; words in </w:t>
    </w:r>
    <w:r>
      <w:rPr>
        <w:strike/>
      </w:rPr>
      <w:t>struck through</w:t>
    </w:r>
    <w:r>
      <w:t xml:space="preserve"> type are deletions from existing law.</w:t>
    </w:r>
  </w:p>
  <w:p w:rsidR="00FF1497" w:rsidRDefault="00CE2F51">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EE365D">
      <w:rPr>
        <w:rStyle w:val="PageNumber"/>
        <w:noProof/>
      </w:rPr>
      <w:t>6</w:t>
    </w:r>
    <w:r>
      <w:rPr>
        <w:rStyle w:val="PageNumber"/>
      </w:rPr>
      <w:fldChar w:fldCharType="end"/>
    </w:r>
    <w:r>
      <w:rPr>
        <w:rStyle w:val="PageNumber"/>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CE2F5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FF1497" w:rsidRDefault="00CE2F51">
    <w:pPr>
      <w:pStyle w:val="Footer"/>
    </w:pPr>
    <w:r>
      <w:t xml:space="preserve">CODING: Words </w:t>
    </w:r>
    <w:r>
      <w:rPr>
        <w:u w:val="single"/>
      </w:rPr>
      <w:t>underlined</w:t>
    </w:r>
    <w:r>
      <w:t xml:space="preserve"> are additions; words in struck through type are deletions from existing law.</w:t>
    </w:r>
  </w:p>
  <w:p w:rsidR="00FF1497" w:rsidRDefault="00CE2F51">
    <w:pPr>
      <w:pStyle w:val="Footer"/>
    </w:pPr>
    <w: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1AE1" w:rsidRDefault="00631AE1">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EE365D">
      <w:rPr>
        <w:rStyle w:val="PageNumber"/>
        <w:noProof/>
      </w:rPr>
      <w:t>13</w:t>
    </w:r>
    <w:r>
      <w:rPr>
        <w:rStyle w:val="PageNumber"/>
      </w:rPr>
      <w:fldChar w:fldCharType="end"/>
    </w:r>
    <w:r>
      <w:rPr>
        <w:rStyle w:val="PageNumbe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4452" w:rsidRDefault="00314452">
      <w:r>
        <w:separator/>
      </w:r>
    </w:p>
  </w:footnote>
  <w:footnote w:type="continuationSeparator" w:id="0">
    <w:p w:rsidR="00314452" w:rsidRDefault="00314452">
      <w:r>
        <w:continuationSeparator/>
      </w:r>
    </w:p>
  </w:footnote>
  <w:footnote w:id="1">
    <w:p w:rsidR="00C319F4" w:rsidRDefault="00F87CEA">
      <w:pPr>
        <w:pStyle w:val="FootnoteText"/>
      </w:pPr>
      <w:r>
        <w:rPr>
          <w:rStyle w:val="FootnoteReference"/>
        </w:rPr>
        <w:footnoteRef/>
      </w:r>
      <w:r>
        <w:t xml:space="preserve"> </w:t>
      </w:r>
      <w:r w:rsidR="00C319F4">
        <w:t>IEEE Standards Association, 2017 NESC brochure:</w:t>
      </w:r>
      <w:r w:rsidR="0056253D">
        <w:t xml:space="preserve">  https//standards.ieee.org/about/nesc/nesc_2017_brochure.pdf</w:t>
      </w:r>
      <w:r w:rsidR="005745D5">
        <w:t>.</w:t>
      </w:r>
    </w:p>
  </w:footnote>
  <w:footnote w:id="2">
    <w:p w:rsidR="00BA6ABB" w:rsidRDefault="00BA6ABB">
      <w:pPr>
        <w:pStyle w:val="FootnoteText"/>
      </w:pPr>
      <w:r>
        <w:rPr>
          <w:rStyle w:val="FootnoteReference"/>
        </w:rPr>
        <w:footnoteRef/>
      </w:r>
      <w:r w:rsidRPr="00BA6ABB">
        <w:rPr>
          <w:i/>
        </w:rPr>
        <w:t xml:space="preserve"> Id</w:t>
      </w:r>
      <w:r>
        <w:t>.</w:t>
      </w:r>
    </w:p>
  </w:footnote>
  <w:footnote w:id="3">
    <w:p w:rsidR="00E82FA4" w:rsidRDefault="00E82FA4">
      <w:pPr>
        <w:pStyle w:val="FootnoteText"/>
      </w:pPr>
      <w:r>
        <w:rPr>
          <w:rStyle w:val="FootnoteReference"/>
        </w:rPr>
        <w:footnoteRef/>
      </w:r>
      <w:r>
        <w:t xml:space="preserve"> </w:t>
      </w:r>
      <w:r w:rsidR="00BA6ABB" w:rsidRPr="00BA6ABB">
        <w:rPr>
          <w:i/>
        </w:rPr>
        <w:t>Id</w:t>
      </w:r>
      <w:r w:rsidR="00BA6ABB">
        <w:t>.</w:t>
      </w:r>
    </w:p>
  </w:footnote>
  <w:footnote w:id="4">
    <w:p w:rsidR="005745D5" w:rsidRPr="005745D5" w:rsidRDefault="005745D5">
      <w:pPr>
        <w:pStyle w:val="FootnoteText"/>
        <w:rPr>
          <w:i/>
        </w:rPr>
      </w:pPr>
      <w:r>
        <w:rPr>
          <w:rStyle w:val="FootnoteReference"/>
        </w:rPr>
        <w:footnoteRef/>
      </w:r>
      <w:r>
        <w:t xml:space="preserve"> </w:t>
      </w:r>
      <w:r>
        <w:rPr>
          <w:i/>
        </w:rPr>
        <w:t>Id.</w:t>
      </w:r>
    </w:p>
  </w:footnote>
  <w:footnote w:id="5">
    <w:p w:rsidR="005745D5" w:rsidRDefault="005745D5">
      <w:pPr>
        <w:pStyle w:val="FootnoteText"/>
      </w:pPr>
      <w:r>
        <w:rPr>
          <w:rStyle w:val="FootnoteReference"/>
        </w:rPr>
        <w:footnoteRef/>
      </w:r>
      <w:r>
        <w:t xml:space="preserve"> 2017 National Electrical Safety Code (NESC) C2-2017.</w:t>
      </w:r>
    </w:p>
  </w:footnote>
  <w:footnote w:id="6">
    <w:p w:rsidR="009771FA" w:rsidRDefault="009771FA">
      <w:pPr>
        <w:pStyle w:val="FootnoteText"/>
      </w:pPr>
      <w:r>
        <w:rPr>
          <w:rStyle w:val="FootnoteReference"/>
        </w:rPr>
        <w:footnoteRef/>
      </w:r>
      <w:r>
        <w:t xml:space="preserve"> Section 120.541(2), F.S.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B17" w:rsidRDefault="00314452" w:rsidP="00220732">
    <w:pPr>
      <w:pStyle w:val="Header"/>
      <w:tabs>
        <w:tab w:val="clear" w:pos="4320"/>
        <w:tab w:val="clear" w:pos="8640"/>
        <w:tab w:val="right" w:pos="9360"/>
      </w:tabs>
    </w:pPr>
    <w:bookmarkStart w:id="14" w:name="DocketLabel"/>
    <w:r>
      <w:t>Docket No.</w:t>
    </w:r>
    <w:bookmarkEnd w:id="14"/>
    <w:r w:rsidR="00212B17">
      <w:t xml:space="preserve"> </w:t>
    </w:r>
    <w:bookmarkStart w:id="15" w:name="DocketList"/>
    <w:r>
      <w:t>170034-EU</w:t>
    </w:r>
    <w:bookmarkEnd w:id="15"/>
  </w:p>
  <w:p w:rsidR="00212B17" w:rsidRDefault="00212B17">
    <w:pPr>
      <w:pStyle w:val="Header"/>
    </w:pPr>
    <w:r>
      <w:t xml:space="preserve">Date: </w:t>
    </w:r>
    <w:fldSimple w:instr=" REF FilingDate ">
      <w:r w:rsidR="00394C97">
        <w:t>May 24, 2017</w:t>
      </w:r>
    </w:fldSimple>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B17" w:rsidRDefault="00212B17" w:rsidP="00220732">
    <w:pPr>
      <w:pStyle w:val="Header"/>
      <w:tabs>
        <w:tab w:val="clear" w:pos="4320"/>
        <w:tab w:val="clear" w:pos="8640"/>
        <w:tab w:val="right" w:pos="9360"/>
      </w:tabs>
    </w:pPr>
    <w:r>
      <w:fldChar w:fldCharType="begin"/>
    </w:r>
    <w:r>
      <w:instrText xml:space="preserve"> REF DocketLabel</w:instrText>
    </w:r>
    <w:r>
      <w:fldChar w:fldCharType="separate"/>
    </w:r>
    <w:r w:rsidR="00394C97">
      <w:t>Docket No.</w:t>
    </w:r>
    <w:r>
      <w:fldChar w:fldCharType="end"/>
    </w:r>
    <w:r>
      <w:t xml:space="preserve"> </w:t>
    </w:r>
    <w:r>
      <w:fldChar w:fldCharType="begin"/>
    </w:r>
    <w:r>
      <w:instrText xml:space="preserve"> REF DocketList</w:instrText>
    </w:r>
    <w:r>
      <w:fldChar w:fldCharType="separate"/>
    </w:r>
    <w:r w:rsidR="00394C97">
      <w:t>170034-EU</w:t>
    </w:r>
    <w:r>
      <w:fldChar w:fldCharType="end"/>
    </w:r>
    <w:r>
      <w:tab/>
      <w:t xml:space="preserve">Issue </w:t>
    </w:r>
    <w:fldSimple w:instr=" Seq Issue \c \* Arabic ">
      <w:r w:rsidR="00EE365D">
        <w:rPr>
          <w:noProof/>
        </w:rPr>
        <w:t>2</w:t>
      </w:r>
    </w:fldSimple>
  </w:p>
  <w:p w:rsidR="00212B17" w:rsidRDefault="00212B17">
    <w:pPr>
      <w:pStyle w:val="Header"/>
    </w:pPr>
    <w:r>
      <w:t xml:space="preserve">Date: </w:t>
    </w:r>
    <w:fldSimple w:instr=" REF FilingDate ">
      <w:r w:rsidR="00394C97">
        <w:t>May 24, 2017</w:t>
      </w:r>
    </w:fldSimple>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B17" w:rsidRDefault="00212B1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280E4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36E" w:rsidRDefault="0062336E" w:rsidP="0062336E">
    <w:pPr>
      <w:pStyle w:val="Header"/>
      <w:tabs>
        <w:tab w:val="clear" w:pos="4320"/>
        <w:tab w:val="clear" w:pos="8640"/>
        <w:tab w:val="right" w:pos="9360"/>
      </w:tabs>
    </w:pPr>
    <w:r>
      <w:fldChar w:fldCharType="begin"/>
    </w:r>
    <w:r>
      <w:instrText xml:space="preserve"> REF DocketLabel</w:instrText>
    </w:r>
    <w:r>
      <w:fldChar w:fldCharType="separate"/>
    </w:r>
    <w:r w:rsidR="00394C97">
      <w:t>Docket No.</w:t>
    </w:r>
    <w:r>
      <w:fldChar w:fldCharType="end"/>
    </w:r>
    <w:r>
      <w:t xml:space="preserve"> </w:t>
    </w:r>
    <w:r>
      <w:fldChar w:fldCharType="begin"/>
    </w:r>
    <w:r>
      <w:instrText xml:space="preserve"> REF DocketList</w:instrText>
    </w:r>
    <w:r>
      <w:fldChar w:fldCharType="separate"/>
    </w:r>
    <w:r w:rsidR="00394C97">
      <w:t>170034-EU</w:t>
    </w:r>
    <w:r>
      <w:fldChar w:fldCharType="end"/>
    </w:r>
    <w:r>
      <w:tab/>
      <w:t>ATTACHMENT A</w:t>
    </w:r>
  </w:p>
  <w:p w:rsidR="0062336E" w:rsidRDefault="0062336E" w:rsidP="0062336E">
    <w:pPr>
      <w:pStyle w:val="Header"/>
    </w:pPr>
    <w:r>
      <w:t xml:space="preserve">Date: </w:t>
    </w:r>
    <w:fldSimple w:instr=" REF FilingDate ">
      <w:r w:rsidR="00394C97">
        <w:t>May 24, 2017</w:t>
      </w:r>
    </w:fldSimple>
  </w:p>
  <w:p w:rsidR="00FF1497" w:rsidRDefault="00CE2F51">
    <w:pPr>
      <w:tabs>
        <w:tab w:val="left" w:pos="3770"/>
      </w:tabs>
      <w:rPr>
        <w:b/>
      </w:rPr>
    </w:pPr>
    <w:r>
      <w:rPr>
        <w:b/>
        <w:noProof/>
      </w:rPr>
      <mc:AlternateContent>
        <mc:Choice Requires="wps">
          <w:drawing>
            <wp:anchor distT="0" distB="0" distL="114300" distR="114300" simplePos="0" relativeHeight="251659264" behindDoc="0" locked="0" layoutInCell="1" allowOverlap="1" wp14:anchorId="78245F91" wp14:editId="26732AA0">
              <wp:simplePos x="0" y="0"/>
              <wp:positionH relativeFrom="page">
                <wp:posOffset>1463040</wp:posOffset>
              </wp:positionH>
              <wp:positionV relativeFrom="page">
                <wp:posOffset>914400</wp:posOffset>
              </wp:positionV>
              <wp:extent cx="0" cy="8321040"/>
              <wp:effectExtent l="5715" t="9525" r="13335" b="13335"/>
              <wp:wrapNone/>
              <wp:docPr id="8"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5.2pt,1in" to="11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f/GAIAAC0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">
              <w10:wrap anchorx="page" anchory="page"/>
            </v:line>
          </w:pict>
        </mc:Fallback>
      </mc:AlternateContent>
    </w:r>
    <w:r>
      <w:rPr>
        <w:b/>
        <w:noProof/>
      </w:rPr>
      <mc:AlternateContent>
        <mc:Choice Requires="wps">
          <w:drawing>
            <wp:anchor distT="0" distB="0" distL="114300" distR="114300" simplePos="0" relativeHeight="251662336" behindDoc="0" locked="0" layoutInCell="1" allowOverlap="1" wp14:anchorId="2B36F3A6" wp14:editId="762DF1A1">
              <wp:simplePos x="0" y="0"/>
              <wp:positionH relativeFrom="page">
                <wp:posOffset>887095</wp:posOffset>
              </wp:positionH>
              <wp:positionV relativeFrom="margin">
                <wp:posOffset>0</wp:posOffset>
              </wp:positionV>
              <wp:extent cx="457200" cy="8686800"/>
              <wp:effectExtent l="1270" t="0" r="0" b="0"/>
              <wp:wrapNone/>
              <wp:docPr id="7"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497" w:rsidRDefault="00CE2F51">
                          <w:pPr>
                            <w:pStyle w:val="RuleHeader"/>
                            <w:rPr>
                              <w:rStyle w:val="RuleChar"/>
                            </w:rPr>
                          </w:pPr>
                          <w:r>
                            <w:t>1</w:t>
                          </w:r>
                        </w:p>
                        <w:p w:rsidR="00FF1497" w:rsidRDefault="00CE2F51">
                          <w:pPr>
                            <w:pStyle w:val="RuleHeader"/>
                          </w:pPr>
                          <w:r>
                            <w:t>2</w:t>
                          </w:r>
                        </w:p>
                        <w:p w:rsidR="00FF1497" w:rsidRDefault="00CE2F51">
                          <w:pPr>
                            <w:pStyle w:val="RuleHeader"/>
                          </w:pPr>
                          <w:r>
                            <w:t>3</w:t>
                          </w:r>
                        </w:p>
                        <w:p w:rsidR="00FF1497" w:rsidRDefault="00CE2F51">
                          <w:pPr>
                            <w:pStyle w:val="RuleHeader"/>
                          </w:pPr>
                          <w:r>
                            <w:t>4</w:t>
                          </w:r>
                        </w:p>
                        <w:p w:rsidR="00FF1497" w:rsidRDefault="00CE2F51">
                          <w:pPr>
                            <w:pStyle w:val="RuleHeader"/>
                          </w:pPr>
                          <w:r>
                            <w:t>5</w:t>
                          </w:r>
                        </w:p>
                        <w:p w:rsidR="00FF1497" w:rsidRDefault="00CE2F51">
                          <w:pPr>
                            <w:pStyle w:val="RuleHeader"/>
                          </w:pPr>
                          <w:r>
                            <w:t>6</w:t>
                          </w:r>
                        </w:p>
                        <w:p w:rsidR="00FF1497" w:rsidRDefault="00CE2F51">
                          <w:pPr>
                            <w:pStyle w:val="RuleHeader"/>
                          </w:pPr>
                          <w:r>
                            <w:t>7</w:t>
                          </w:r>
                        </w:p>
                        <w:p w:rsidR="00FF1497" w:rsidRDefault="00CE2F51">
                          <w:pPr>
                            <w:pStyle w:val="RuleHeader"/>
                          </w:pPr>
                          <w:r>
                            <w:t>8</w:t>
                          </w:r>
                        </w:p>
                        <w:p w:rsidR="00FF1497" w:rsidRDefault="00CE2F51">
                          <w:pPr>
                            <w:pStyle w:val="RuleHeader"/>
                          </w:pPr>
                          <w:r>
                            <w:t>9</w:t>
                          </w:r>
                        </w:p>
                        <w:p w:rsidR="00FF1497" w:rsidRDefault="00CE2F51">
                          <w:pPr>
                            <w:pStyle w:val="RuleHeader"/>
                          </w:pPr>
                          <w:r>
                            <w:t>10</w:t>
                          </w:r>
                        </w:p>
                        <w:p w:rsidR="00FF1497" w:rsidRDefault="00CE2F51">
                          <w:pPr>
                            <w:pStyle w:val="RuleHeader"/>
                          </w:pPr>
                          <w:r>
                            <w:t>11</w:t>
                          </w:r>
                        </w:p>
                        <w:p w:rsidR="00FF1497" w:rsidRDefault="00CE2F51">
                          <w:pPr>
                            <w:pStyle w:val="RuleHeader"/>
                          </w:pPr>
                          <w:r>
                            <w:t>12</w:t>
                          </w:r>
                        </w:p>
                        <w:p w:rsidR="00FF1497" w:rsidRDefault="00CE2F51">
                          <w:pPr>
                            <w:pStyle w:val="RuleHeader"/>
                          </w:pPr>
                          <w:r>
                            <w:t>13</w:t>
                          </w:r>
                        </w:p>
                        <w:p w:rsidR="00FF1497" w:rsidRDefault="00CE2F51">
                          <w:pPr>
                            <w:pStyle w:val="RuleHeader"/>
                          </w:pPr>
                          <w:r>
                            <w:t>14</w:t>
                          </w:r>
                        </w:p>
                        <w:p w:rsidR="00FF1497" w:rsidRDefault="00CE2F51">
                          <w:pPr>
                            <w:pStyle w:val="RuleHeader"/>
                          </w:pPr>
                          <w:r>
                            <w:t>15</w:t>
                          </w:r>
                        </w:p>
                        <w:p w:rsidR="00FF1497" w:rsidRDefault="00CE2F51">
                          <w:pPr>
                            <w:pStyle w:val="RuleHeader"/>
                          </w:pPr>
                          <w:r>
                            <w:t>16</w:t>
                          </w:r>
                        </w:p>
                        <w:p w:rsidR="00FF1497" w:rsidRDefault="00CE2F51">
                          <w:pPr>
                            <w:pStyle w:val="RuleHeader"/>
                          </w:pPr>
                          <w:r>
                            <w:t>17</w:t>
                          </w:r>
                        </w:p>
                        <w:p w:rsidR="00FF1497" w:rsidRDefault="00CE2F51">
                          <w:pPr>
                            <w:pStyle w:val="RuleHeader"/>
                          </w:pPr>
                          <w:r>
                            <w:t>18</w:t>
                          </w:r>
                        </w:p>
                        <w:p w:rsidR="00FF1497" w:rsidRDefault="00CE2F51">
                          <w:pPr>
                            <w:pStyle w:val="RuleHeader"/>
                          </w:pPr>
                          <w:r>
                            <w:t>19</w:t>
                          </w:r>
                        </w:p>
                        <w:p w:rsidR="00FF1497" w:rsidRDefault="00CE2F51">
                          <w:pPr>
                            <w:pStyle w:val="RuleHeader"/>
                          </w:pPr>
                          <w:r>
                            <w:t>20</w:t>
                          </w:r>
                        </w:p>
                        <w:p w:rsidR="00FF1497" w:rsidRDefault="00CE2F51">
                          <w:pPr>
                            <w:pStyle w:val="RuleHeader"/>
                          </w:pPr>
                          <w:r>
                            <w:t>21</w:t>
                          </w:r>
                        </w:p>
                        <w:p w:rsidR="00FF1497" w:rsidRDefault="00CE2F51">
                          <w:pPr>
                            <w:pStyle w:val="RuleHeader"/>
                          </w:pPr>
                          <w:r>
                            <w:t>22</w:t>
                          </w:r>
                        </w:p>
                        <w:p w:rsidR="00FF1497" w:rsidRDefault="00CE2F51">
                          <w:pPr>
                            <w:pStyle w:val="RuleHeader"/>
                          </w:pPr>
                          <w:r>
                            <w:t>23</w:t>
                          </w:r>
                        </w:p>
                        <w:p w:rsidR="00FF1497" w:rsidRDefault="00CE2F51">
                          <w:pPr>
                            <w:pStyle w:val="RuleHeader"/>
                          </w:pPr>
                          <w:r>
                            <w:t>24</w:t>
                          </w:r>
                        </w:p>
                        <w:p w:rsidR="00FF1497" w:rsidRDefault="00CE2F51">
                          <w:pPr>
                            <w:pStyle w:val="RuleHeader"/>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LineNumbers" o:spid="_x0000_s1026" type="#_x0000_t202" style="position:absolute;margin-left:69.85pt;margin-top:0;width:36pt;height:68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" stroked="f">
              <v:textbox inset="0,0,0,0">
                <w:txbxContent>
                  <w:p w:rsidR="00FF1497" w:rsidRDefault="00CE2F51">
                    <w:pPr>
                      <w:pStyle w:val="RuleHeader"/>
                      <w:rPr>
                        <w:rStyle w:val="RuleChar"/>
                      </w:rPr>
                    </w:pPr>
                    <w:r>
                      <w:t>1</w:t>
                    </w:r>
                  </w:p>
                  <w:p w:rsidR="00FF1497" w:rsidRDefault="00CE2F51">
                    <w:pPr>
                      <w:pStyle w:val="RuleHeader"/>
                    </w:pPr>
                    <w:r>
                      <w:t>2</w:t>
                    </w:r>
                  </w:p>
                  <w:p w:rsidR="00FF1497" w:rsidRDefault="00CE2F51">
                    <w:pPr>
                      <w:pStyle w:val="RuleHeader"/>
                    </w:pPr>
                    <w:r>
                      <w:t>3</w:t>
                    </w:r>
                  </w:p>
                  <w:p w:rsidR="00FF1497" w:rsidRDefault="00CE2F51">
                    <w:pPr>
                      <w:pStyle w:val="RuleHeader"/>
                    </w:pPr>
                    <w:r>
                      <w:t>4</w:t>
                    </w:r>
                  </w:p>
                  <w:p w:rsidR="00FF1497" w:rsidRDefault="00CE2F51">
                    <w:pPr>
                      <w:pStyle w:val="RuleHeader"/>
                    </w:pPr>
                    <w:r>
                      <w:t>5</w:t>
                    </w:r>
                  </w:p>
                  <w:p w:rsidR="00FF1497" w:rsidRDefault="00CE2F51">
                    <w:pPr>
                      <w:pStyle w:val="RuleHeader"/>
                    </w:pPr>
                    <w:r>
                      <w:t>6</w:t>
                    </w:r>
                  </w:p>
                  <w:p w:rsidR="00FF1497" w:rsidRDefault="00CE2F51">
                    <w:pPr>
                      <w:pStyle w:val="RuleHeader"/>
                    </w:pPr>
                    <w:r>
                      <w:t>7</w:t>
                    </w:r>
                  </w:p>
                  <w:p w:rsidR="00FF1497" w:rsidRDefault="00CE2F51">
                    <w:pPr>
                      <w:pStyle w:val="RuleHeader"/>
                    </w:pPr>
                    <w:r>
                      <w:t>8</w:t>
                    </w:r>
                  </w:p>
                  <w:p w:rsidR="00FF1497" w:rsidRDefault="00CE2F51">
                    <w:pPr>
                      <w:pStyle w:val="RuleHeader"/>
                    </w:pPr>
                    <w:r>
                      <w:t>9</w:t>
                    </w:r>
                  </w:p>
                  <w:p w:rsidR="00FF1497" w:rsidRDefault="00CE2F51">
                    <w:pPr>
                      <w:pStyle w:val="RuleHeader"/>
                    </w:pPr>
                    <w:r>
                      <w:t>10</w:t>
                    </w:r>
                  </w:p>
                  <w:p w:rsidR="00FF1497" w:rsidRDefault="00CE2F51">
                    <w:pPr>
                      <w:pStyle w:val="RuleHeader"/>
                    </w:pPr>
                    <w:r>
                      <w:t>11</w:t>
                    </w:r>
                  </w:p>
                  <w:p w:rsidR="00FF1497" w:rsidRDefault="00CE2F51">
                    <w:pPr>
                      <w:pStyle w:val="RuleHeader"/>
                    </w:pPr>
                    <w:r>
                      <w:t>12</w:t>
                    </w:r>
                  </w:p>
                  <w:p w:rsidR="00FF1497" w:rsidRDefault="00CE2F51">
                    <w:pPr>
                      <w:pStyle w:val="RuleHeader"/>
                    </w:pPr>
                    <w:r>
                      <w:t>13</w:t>
                    </w:r>
                  </w:p>
                  <w:p w:rsidR="00FF1497" w:rsidRDefault="00CE2F51">
                    <w:pPr>
                      <w:pStyle w:val="RuleHeader"/>
                    </w:pPr>
                    <w:r>
                      <w:t>14</w:t>
                    </w:r>
                  </w:p>
                  <w:p w:rsidR="00FF1497" w:rsidRDefault="00CE2F51">
                    <w:pPr>
                      <w:pStyle w:val="RuleHeader"/>
                    </w:pPr>
                    <w:r>
                      <w:t>15</w:t>
                    </w:r>
                  </w:p>
                  <w:p w:rsidR="00FF1497" w:rsidRDefault="00CE2F51">
                    <w:pPr>
                      <w:pStyle w:val="RuleHeader"/>
                    </w:pPr>
                    <w:r>
                      <w:t>16</w:t>
                    </w:r>
                  </w:p>
                  <w:p w:rsidR="00FF1497" w:rsidRDefault="00CE2F51">
                    <w:pPr>
                      <w:pStyle w:val="RuleHeader"/>
                    </w:pPr>
                    <w:r>
                      <w:t>17</w:t>
                    </w:r>
                  </w:p>
                  <w:p w:rsidR="00FF1497" w:rsidRDefault="00CE2F51">
                    <w:pPr>
                      <w:pStyle w:val="RuleHeader"/>
                    </w:pPr>
                    <w:r>
                      <w:t>18</w:t>
                    </w:r>
                  </w:p>
                  <w:p w:rsidR="00FF1497" w:rsidRDefault="00CE2F51">
                    <w:pPr>
                      <w:pStyle w:val="RuleHeader"/>
                    </w:pPr>
                    <w:r>
                      <w:t>19</w:t>
                    </w:r>
                  </w:p>
                  <w:p w:rsidR="00FF1497" w:rsidRDefault="00CE2F51">
                    <w:pPr>
                      <w:pStyle w:val="RuleHeader"/>
                    </w:pPr>
                    <w:r>
                      <w:t>20</w:t>
                    </w:r>
                  </w:p>
                  <w:p w:rsidR="00FF1497" w:rsidRDefault="00CE2F51">
                    <w:pPr>
                      <w:pStyle w:val="RuleHeader"/>
                    </w:pPr>
                    <w:r>
                      <w:t>21</w:t>
                    </w:r>
                  </w:p>
                  <w:p w:rsidR="00FF1497" w:rsidRDefault="00CE2F51">
                    <w:pPr>
                      <w:pStyle w:val="RuleHeader"/>
                    </w:pPr>
                    <w:r>
                      <w:t>22</w:t>
                    </w:r>
                  </w:p>
                  <w:p w:rsidR="00FF1497" w:rsidRDefault="00CE2F51">
                    <w:pPr>
                      <w:pStyle w:val="RuleHeader"/>
                    </w:pPr>
                    <w:r>
                      <w:t>23</w:t>
                    </w:r>
                  </w:p>
                  <w:p w:rsidR="00FF1497" w:rsidRDefault="00CE2F51">
                    <w:pPr>
                      <w:pStyle w:val="RuleHeader"/>
                    </w:pPr>
                    <w:r>
                      <w:t>24</w:t>
                    </w:r>
                  </w:p>
                  <w:p w:rsidR="00FF1497" w:rsidRDefault="00CE2F51">
                    <w:pPr>
                      <w:pStyle w:val="RuleHeader"/>
                    </w:pPr>
                    <w:r>
                      <w:t>25</w:t>
                    </w:r>
                  </w:p>
                </w:txbxContent>
              </v:textbox>
              <w10:wrap anchorx="page" anchory="margin"/>
            </v:shape>
          </w:pict>
        </mc:Fallback>
      </mc:AlternateContent>
    </w:r>
    <w:r>
      <w:rPr>
        <w:b/>
        <w:noProof/>
      </w:rPr>
      <mc:AlternateContent>
        <mc:Choice Requires="wps">
          <w:drawing>
            <wp:anchor distT="0" distB="0" distL="114300" distR="114300" simplePos="0" relativeHeight="251661312" behindDoc="0" locked="0" layoutInCell="1" allowOverlap="1" wp14:anchorId="5B9BB4E2" wp14:editId="7F7724A1">
              <wp:simplePos x="0" y="0"/>
              <wp:positionH relativeFrom="margin">
                <wp:posOffset>5943600</wp:posOffset>
              </wp:positionH>
              <wp:positionV relativeFrom="page">
                <wp:posOffset>0</wp:posOffset>
              </wp:positionV>
              <wp:extent cx="0" cy="10058400"/>
              <wp:effectExtent l="9525" t="9525" r="9525" b="9525"/>
              <wp:wrapNone/>
              <wp:docPr id="6"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61312;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SmJHgIAADk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z7kpiR4CAAA5BAAADgAAAAAAAAAAAAAAAAAuAgAAZHJzL2Uyb0RvYy54bWxQSwEC&#10;LQAUAAYACAAAACEAdm5VWt0AAAAJAQAADwAAAAAAAAAAAAAAAAB4BAAAZHJzL2Rvd25yZXYueG1s&#10;UEsFBgAAAAAEAAQA8wAAAIIFAAAAAA==&#10;">
              <w10:wrap anchorx="margin" anchory="page"/>
            </v:line>
          </w:pict>
        </mc:Fallback>
      </mc:AlternateContent>
    </w:r>
    <w:r>
      <w:rPr>
        <w:b/>
        <w:noProof/>
      </w:rPr>
      <mc:AlternateContent>
        <mc:Choice Requires="wps">
          <w:drawing>
            <wp:anchor distT="0" distB="0" distL="114300" distR="114300" simplePos="0" relativeHeight="251660288" behindDoc="0" locked="0" layoutInCell="1" allowOverlap="1" wp14:anchorId="18C52F39" wp14:editId="5FB16569">
              <wp:simplePos x="0" y="0"/>
              <wp:positionH relativeFrom="margin">
                <wp:posOffset>-91440</wp:posOffset>
              </wp:positionH>
              <wp:positionV relativeFrom="page">
                <wp:posOffset>0</wp:posOffset>
              </wp:positionV>
              <wp:extent cx="0" cy="10058400"/>
              <wp:effectExtent l="13335" t="9525" r="5715" b="9525"/>
              <wp:wrapNone/>
              <wp:docPr id="5"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6028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">
              <w10:wrap anchorx="margin" anchory="page"/>
            </v:lin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CE2F51">
    <w:pPr>
      <w:tabs>
        <w:tab w:val="left" w:pos="3770"/>
      </w:tabs>
    </w:pPr>
    <w:r>
      <w:rPr>
        <w:noProof/>
      </w:rPr>
      <mc:AlternateContent>
        <mc:Choice Requires="wps">
          <w:drawing>
            <wp:anchor distT="0" distB="0" distL="114300" distR="114300" simplePos="0" relativeHeight="251663360" behindDoc="0" locked="0" layoutInCell="1" allowOverlap="1" wp14:anchorId="79DA0587" wp14:editId="3C130C78">
              <wp:simplePos x="0" y="0"/>
              <wp:positionH relativeFrom="margin">
                <wp:posOffset>-66040</wp:posOffset>
              </wp:positionH>
              <wp:positionV relativeFrom="page">
                <wp:posOffset>914400</wp:posOffset>
              </wp:positionV>
              <wp:extent cx="0" cy="8321040"/>
              <wp:effectExtent l="10160" t="9525" r="8890" b="13335"/>
              <wp:wrapNone/>
              <wp:docPr id="4"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pt,1in" to="-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VXvGAIAAC0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">
              <w10:wrap anchorx="margin" anchory="page"/>
            </v:line>
          </w:pict>
        </mc:Fallback>
      </mc:AlternateContent>
    </w:r>
    <w:r>
      <w:rPr>
        <w:noProof/>
      </w:rPr>
      <mc:AlternateContent>
        <mc:Choice Requires="wps">
          <w:drawing>
            <wp:anchor distT="0" distB="0" distL="114300" distR="114300" simplePos="0" relativeHeight="251666432" behindDoc="0" locked="0" layoutInCell="1" allowOverlap="1" wp14:anchorId="41D23E2C" wp14:editId="39A7EB03">
              <wp:simplePos x="0" y="0"/>
              <wp:positionH relativeFrom="margin">
                <wp:posOffset>-640080</wp:posOffset>
              </wp:positionH>
              <wp:positionV relativeFrom="margin">
                <wp:posOffset>0</wp:posOffset>
              </wp:positionV>
              <wp:extent cx="457200" cy="8686800"/>
              <wp:effectExtent l="0" t="0" r="1905" b="0"/>
              <wp:wrapNone/>
              <wp:docPr id="3"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497" w:rsidRDefault="00CE2F51">
                          <w:pPr>
                            <w:jc w:val="right"/>
                          </w:pPr>
                          <w:r>
                            <w:t>1</w:t>
                          </w:r>
                        </w:p>
                        <w:p w:rsidR="00FF1497" w:rsidRDefault="00CE2F51">
                          <w:pPr>
                            <w:jc w:val="right"/>
                          </w:pPr>
                          <w:r>
                            <w:t>2</w:t>
                          </w:r>
                        </w:p>
                        <w:p w:rsidR="00FF1497" w:rsidRDefault="00CE2F51">
                          <w:pPr>
                            <w:jc w:val="right"/>
                          </w:pPr>
                          <w:r>
                            <w:t>3</w:t>
                          </w:r>
                        </w:p>
                        <w:p w:rsidR="00FF1497" w:rsidRDefault="00CE2F51">
                          <w:pPr>
                            <w:jc w:val="right"/>
                          </w:pPr>
                          <w:r>
                            <w:t>4</w:t>
                          </w:r>
                        </w:p>
                        <w:p w:rsidR="00FF1497" w:rsidRDefault="00CE2F51">
                          <w:pPr>
                            <w:jc w:val="right"/>
                          </w:pPr>
                          <w:r>
                            <w:t>5</w:t>
                          </w:r>
                        </w:p>
                        <w:p w:rsidR="00FF1497" w:rsidRDefault="00CE2F51">
                          <w:pPr>
                            <w:jc w:val="right"/>
                          </w:pPr>
                          <w:r>
                            <w:t>6</w:t>
                          </w:r>
                        </w:p>
                        <w:p w:rsidR="00FF1497" w:rsidRDefault="00CE2F51">
                          <w:pPr>
                            <w:jc w:val="right"/>
                          </w:pPr>
                          <w:r>
                            <w:t>7</w:t>
                          </w:r>
                        </w:p>
                        <w:p w:rsidR="00FF1497" w:rsidRDefault="00CE2F51">
                          <w:pPr>
                            <w:jc w:val="right"/>
                          </w:pPr>
                          <w:r>
                            <w:t>8</w:t>
                          </w:r>
                        </w:p>
                        <w:p w:rsidR="00FF1497" w:rsidRDefault="00CE2F51">
                          <w:pPr>
                            <w:jc w:val="right"/>
                          </w:pPr>
                          <w:r>
                            <w:t>9</w:t>
                          </w:r>
                        </w:p>
                        <w:p w:rsidR="00FF1497" w:rsidRDefault="00CE2F51">
                          <w:pPr>
                            <w:jc w:val="right"/>
                          </w:pPr>
                          <w:r>
                            <w:t>10</w:t>
                          </w:r>
                        </w:p>
                        <w:p w:rsidR="00FF1497" w:rsidRDefault="00CE2F51">
                          <w:pPr>
                            <w:jc w:val="right"/>
                          </w:pPr>
                          <w:r>
                            <w:t>11</w:t>
                          </w:r>
                        </w:p>
                        <w:p w:rsidR="00FF1497" w:rsidRDefault="00CE2F51">
                          <w:pPr>
                            <w:jc w:val="right"/>
                          </w:pPr>
                          <w:r>
                            <w:t>12</w:t>
                          </w:r>
                        </w:p>
                        <w:p w:rsidR="00FF1497" w:rsidRDefault="00CE2F51">
                          <w:pPr>
                            <w:jc w:val="right"/>
                          </w:pPr>
                          <w:r>
                            <w:t>13</w:t>
                          </w:r>
                        </w:p>
                        <w:p w:rsidR="00FF1497" w:rsidRDefault="00CE2F51">
                          <w:pPr>
                            <w:jc w:val="right"/>
                          </w:pPr>
                          <w:r>
                            <w:t>14</w:t>
                          </w:r>
                        </w:p>
                        <w:p w:rsidR="00FF1497" w:rsidRDefault="00CE2F51">
                          <w:pPr>
                            <w:jc w:val="right"/>
                          </w:pPr>
                          <w:r>
                            <w:t>15</w:t>
                          </w:r>
                        </w:p>
                        <w:p w:rsidR="00FF1497" w:rsidRDefault="00CE2F51">
                          <w:pPr>
                            <w:jc w:val="right"/>
                          </w:pPr>
                          <w:r>
                            <w:t>16</w:t>
                          </w:r>
                        </w:p>
                        <w:p w:rsidR="00FF1497" w:rsidRDefault="00CE2F51">
                          <w:pPr>
                            <w:jc w:val="right"/>
                          </w:pPr>
                          <w:r>
                            <w:t>17</w:t>
                          </w:r>
                        </w:p>
                        <w:p w:rsidR="00FF1497" w:rsidRDefault="00CE2F51">
                          <w:pPr>
                            <w:jc w:val="right"/>
                          </w:pPr>
                          <w:r>
                            <w:t>18</w:t>
                          </w:r>
                        </w:p>
                        <w:p w:rsidR="00FF1497" w:rsidRDefault="00CE2F51">
                          <w:pPr>
                            <w:jc w:val="right"/>
                          </w:pPr>
                          <w:r>
                            <w:t>19</w:t>
                          </w:r>
                        </w:p>
                        <w:p w:rsidR="00FF1497" w:rsidRDefault="00CE2F51">
                          <w:pPr>
                            <w:jc w:val="right"/>
                          </w:pPr>
                          <w:r>
                            <w:t>20</w:t>
                          </w:r>
                        </w:p>
                        <w:p w:rsidR="00FF1497" w:rsidRDefault="00CE2F51">
                          <w:pPr>
                            <w:jc w:val="right"/>
                          </w:pPr>
                          <w:r>
                            <w:t>21</w:t>
                          </w:r>
                        </w:p>
                        <w:p w:rsidR="00FF1497" w:rsidRDefault="00CE2F51">
                          <w:pPr>
                            <w:jc w:val="right"/>
                          </w:pPr>
                          <w:r>
                            <w:t>22</w:t>
                          </w:r>
                        </w:p>
                        <w:p w:rsidR="00FF1497" w:rsidRDefault="00CE2F51">
                          <w:pPr>
                            <w:jc w:val="right"/>
                          </w:pPr>
                          <w:r>
                            <w:t>23</w:t>
                          </w:r>
                        </w:p>
                        <w:p w:rsidR="00FF1497" w:rsidRDefault="00CE2F51">
                          <w:pPr>
                            <w:jc w:val="right"/>
                          </w:pPr>
                          <w:r>
                            <w:t>24</w:t>
                          </w:r>
                        </w:p>
                        <w:p w:rsidR="00FF1497" w:rsidRDefault="00CE2F51">
                          <w:pPr>
                            <w:jc w:val="right"/>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50.4pt;margin-top:0;width:36pt;height:684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" stroked="f">
              <v:textbox inset="0,0,0,0">
                <w:txbxContent>
                  <w:p w:rsidR="00FF1497" w:rsidRDefault="00CE2F51">
                    <w:pPr>
                      <w:jc w:val="right"/>
                    </w:pPr>
                    <w:r>
                      <w:t>1</w:t>
                    </w:r>
                  </w:p>
                  <w:p w:rsidR="00FF1497" w:rsidRDefault="00CE2F51">
                    <w:pPr>
                      <w:jc w:val="right"/>
                    </w:pPr>
                    <w:r>
                      <w:t>2</w:t>
                    </w:r>
                  </w:p>
                  <w:p w:rsidR="00FF1497" w:rsidRDefault="00CE2F51">
                    <w:pPr>
                      <w:jc w:val="right"/>
                    </w:pPr>
                    <w:r>
                      <w:t>3</w:t>
                    </w:r>
                  </w:p>
                  <w:p w:rsidR="00FF1497" w:rsidRDefault="00CE2F51">
                    <w:pPr>
                      <w:jc w:val="right"/>
                    </w:pPr>
                    <w:r>
                      <w:t>4</w:t>
                    </w:r>
                  </w:p>
                  <w:p w:rsidR="00FF1497" w:rsidRDefault="00CE2F51">
                    <w:pPr>
                      <w:jc w:val="right"/>
                    </w:pPr>
                    <w:r>
                      <w:t>5</w:t>
                    </w:r>
                  </w:p>
                  <w:p w:rsidR="00FF1497" w:rsidRDefault="00CE2F51">
                    <w:pPr>
                      <w:jc w:val="right"/>
                    </w:pPr>
                    <w:r>
                      <w:t>6</w:t>
                    </w:r>
                  </w:p>
                  <w:p w:rsidR="00FF1497" w:rsidRDefault="00CE2F51">
                    <w:pPr>
                      <w:jc w:val="right"/>
                    </w:pPr>
                    <w:r>
                      <w:t>7</w:t>
                    </w:r>
                  </w:p>
                  <w:p w:rsidR="00FF1497" w:rsidRDefault="00CE2F51">
                    <w:pPr>
                      <w:jc w:val="right"/>
                    </w:pPr>
                    <w:r>
                      <w:t>8</w:t>
                    </w:r>
                  </w:p>
                  <w:p w:rsidR="00FF1497" w:rsidRDefault="00CE2F51">
                    <w:pPr>
                      <w:jc w:val="right"/>
                    </w:pPr>
                    <w:r>
                      <w:t>9</w:t>
                    </w:r>
                  </w:p>
                  <w:p w:rsidR="00FF1497" w:rsidRDefault="00CE2F51">
                    <w:pPr>
                      <w:jc w:val="right"/>
                    </w:pPr>
                    <w:r>
                      <w:t>10</w:t>
                    </w:r>
                  </w:p>
                  <w:p w:rsidR="00FF1497" w:rsidRDefault="00CE2F51">
                    <w:pPr>
                      <w:jc w:val="right"/>
                    </w:pPr>
                    <w:r>
                      <w:t>11</w:t>
                    </w:r>
                  </w:p>
                  <w:p w:rsidR="00FF1497" w:rsidRDefault="00CE2F51">
                    <w:pPr>
                      <w:jc w:val="right"/>
                    </w:pPr>
                    <w:r>
                      <w:t>12</w:t>
                    </w:r>
                  </w:p>
                  <w:p w:rsidR="00FF1497" w:rsidRDefault="00CE2F51">
                    <w:pPr>
                      <w:jc w:val="right"/>
                    </w:pPr>
                    <w:r>
                      <w:t>13</w:t>
                    </w:r>
                  </w:p>
                  <w:p w:rsidR="00FF1497" w:rsidRDefault="00CE2F51">
                    <w:pPr>
                      <w:jc w:val="right"/>
                    </w:pPr>
                    <w:r>
                      <w:t>14</w:t>
                    </w:r>
                  </w:p>
                  <w:p w:rsidR="00FF1497" w:rsidRDefault="00CE2F51">
                    <w:pPr>
                      <w:jc w:val="right"/>
                    </w:pPr>
                    <w:r>
                      <w:t>15</w:t>
                    </w:r>
                  </w:p>
                  <w:p w:rsidR="00FF1497" w:rsidRDefault="00CE2F51">
                    <w:pPr>
                      <w:jc w:val="right"/>
                    </w:pPr>
                    <w:r>
                      <w:t>16</w:t>
                    </w:r>
                  </w:p>
                  <w:p w:rsidR="00FF1497" w:rsidRDefault="00CE2F51">
                    <w:pPr>
                      <w:jc w:val="right"/>
                    </w:pPr>
                    <w:r>
                      <w:t>17</w:t>
                    </w:r>
                  </w:p>
                  <w:p w:rsidR="00FF1497" w:rsidRDefault="00CE2F51">
                    <w:pPr>
                      <w:jc w:val="right"/>
                    </w:pPr>
                    <w:r>
                      <w:t>18</w:t>
                    </w:r>
                  </w:p>
                  <w:p w:rsidR="00FF1497" w:rsidRDefault="00CE2F51">
                    <w:pPr>
                      <w:jc w:val="right"/>
                    </w:pPr>
                    <w:r>
                      <w:t>19</w:t>
                    </w:r>
                  </w:p>
                  <w:p w:rsidR="00FF1497" w:rsidRDefault="00CE2F51">
                    <w:pPr>
                      <w:jc w:val="right"/>
                    </w:pPr>
                    <w:r>
                      <w:t>20</w:t>
                    </w:r>
                  </w:p>
                  <w:p w:rsidR="00FF1497" w:rsidRDefault="00CE2F51">
                    <w:pPr>
                      <w:jc w:val="right"/>
                    </w:pPr>
                    <w:r>
                      <w:t>21</w:t>
                    </w:r>
                  </w:p>
                  <w:p w:rsidR="00FF1497" w:rsidRDefault="00CE2F51">
                    <w:pPr>
                      <w:jc w:val="right"/>
                    </w:pPr>
                    <w:r>
                      <w:t>22</w:t>
                    </w:r>
                  </w:p>
                  <w:p w:rsidR="00FF1497" w:rsidRDefault="00CE2F51">
                    <w:pPr>
                      <w:jc w:val="right"/>
                    </w:pPr>
                    <w:r>
                      <w:t>23</w:t>
                    </w:r>
                  </w:p>
                  <w:p w:rsidR="00FF1497" w:rsidRDefault="00CE2F51">
                    <w:pPr>
                      <w:jc w:val="right"/>
                    </w:pPr>
                    <w:r>
                      <w:t>24</w:t>
                    </w:r>
                  </w:p>
                  <w:p w:rsidR="00FF1497" w:rsidRDefault="00CE2F51">
                    <w:pPr>
                      <w:jc w:val="right"/>
                    </w:pPr>
                    <w:r>
                      <w:t>25</w:t>
                    </w:r>
                  </w:p>
                </w:txbxContent>
              </v:textbox>
              <w10:wrap anchorx="margin" anchory="margin"/>
            </v:shape>
          </w:pict>
        </mc:Fallback>
      </mc:AlternateContent>
    </w:r>
    <w:r>
      <w:rPr>
        <w:noProof/>
      </w:rPr>
      <mc:AlternateContent>
        <mc:Choice Requires="wps">
          <w:drawing>
            <wp:anchor distT="0" distB="0" distL="114300" distR="114300" simplePos="0" relativeHeight="251665408" behindDoc="0" locked="0" layoutInCell="1" allowOverlap="1" wp14:anchorId="79EFA170" wp14:editId="79112D3C">
              <wp:simplePos x="0" y="0"/>
              <wp:positionH relativeFrom="margin">
                <wp:posOffset>5943600</wp:posOffset>
              </wp:positionH>
              <wp:positionV relativeFrom="page">
                <wp:posOffset>0</wp:posOffset>
              </wp:positionV>
              <wp:extent cx="0" cy="10058400"/>
              <wp:effectExtent l="9525" t="9525" r="9525" b="9525"/>
              <wp:wrapNone/>
              <wp:docPr id="2"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6540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W10HgIAADk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x7ltdB4CAAA5BAAADgAAAAAAAAAAAAAAAAAuAgAAZHJzL2Uyb0RvYy54bWxQSwEC&#10;LQAUAAYACAAAACEAdm5VWt0AAAAJAQAADwAAAAAAAAAAAAAAAAB4BAAAZHJzL2Rvd25yZXYueG1s&#10;UEsFBgAAAAAEAAQA8wAAAIIFAAAAAA==&#10;">
              <w10:wrap anchorx="margin" anchory="page"/>
            </v:line>
          </w:pict>
        </mc:Fallback>
      </mc:AlternateContent>
    </w:r>
    <w:r>
      <w:rPr>
        <w:noProof/>
      </w:rPr>
      <mc:AlternateContent>
        <mc:Choice Requires="wps">
          <w:drawing>
            <wp:anchor distT="0" distB="0" distL="114300" distR="114300" simplePos="0" relativeHeight="251664384" behindDoc="0" locked="0" layoutInCell="1" allowOverlap="1" wp14:anchorId="2301580D" wp14:editId="059BAAF1">
              <wp:simplePos x="0" y="0"/>
              <wp:positionH relativeFrom="margin">
                <wp:posOffset>-91440</wp:posOffset>
              </wp:positionH>
              <wp:positionV relativeFrom="page">
                <wp:posOffset>0</wp:posOffset>
              </wp:positionV>
              <wp:extent cx="0" cy="10058400"/>
              <wp:effectExtent l="13335" t="9525" r="5715" b="9525"/>
              <wp:wrapNone/>
              <wp:docPr id="9"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64384;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">
              <w10:wrap anchorx="margin" anchory="page"/>
            </v: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36E" w:rsidRDefault="0062336E" w:rsidP="0062336E">
    <w:pPr>
      <w:pStyle w:val="Header"/>
      <w:tabs>
        <w:tab w:val="clear" w:pos="4320"/>
        <w:tab w:val="clear" w:pos="8640"/>
        <w:tab w:val="right" w:pos="9360"/>
      </w:tabs>
    </w:pPr>
    <w:r>
      <w:fldChar w:fldCharType="begin"/>
    </w:r>
    <w:r>
      <w:instrText xml:space="preserve"> REF DocketLabel</w:instrText>
    </w:r>
    <w:r>
      <w:fldChar w:fldCharType="separate"/>
    </w:r>
    <w:r w:rsidR="00394C97">
      <w:t>Docket No.</w:t>
    </w:r>
    <w:r>
      <w:fldChar w:fldCharType="end"/>
    </w:r>
    <w:r>
      <w:t xml:space="preserve"> </w:t>
    </w:r>
    <w:r>
      <w:fldChar w:fldCharType="begin"/>
    </w:r>
    <w:r>
      <w:instrText xml:space="preserve"> REF DocketList</w:instrText>
    </w:r>
    <w:r>
      <w:fldChar w:fldCharType="separate"/>
    </w:r>
    <w:r w:rsidR="00394C97">
      <w:t>170034-EU</w:t>
    </w:r>
    <w:r>
      <w:fldChar w:fldCharType="end"/>
    </w:r>
    <w:r>
      <w:tab/>
      <w:t>ATTACHMENT B</w:t>
    </w:r>
  </w:p>
  <w:p w:rsidR="0062336E" w:rsidRDefault="0062336E" w:rsidP="0062336E">
    <w:pPr>
      <w:pStyle w:val="Header"/>
    </w:pPr>
    <w:r>
      <w:t xml:space="preserve">Date: </w:t>
    </w:r>
    <w:fldSimple w:instr=" REF FilingDate ">
      <w:r w:rsidR="00394C97">
        <w:t>May 24, 2017</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es-MX" w:vendorID="64" w:dllVersion="131078" w:nlCheck="1" w:checkStyle="1"/>
  <w:proofState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45057"/>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314452"/>
    <w:rsid w:val="00001171"/>
    <w:rsid w:val="000043D5"/>
    <w:rsid w:val="00010E37"/>
    <w:rsid w:val="000172DA"/>
    <w:rsid w:val="000247C5"/>
    <w:rsid w:val="000277C2"/>
    <w:rsid w:val="00035B48"/>
    <w:rsid w:val="00036CE2"/>
    <w:rsid w:val="000437FE"/>
    <w:rsid w:val="000513BE"/>
    <w:rsid w:val="0005466B"/>
    <w:rsid w:val="0005482D"/>
    <w:rsid w:val="00065A06"/>
    <w:rsid w:val="000666F3"/>
    <w:rsid w:val="00070DCB"/>
    <w:rsid w:val="00073120"/>
    <w:rsid w:val="000764D0"/>
    <w:rsid w:val="00080BF6"/>
    <w:rsid w:val="000828D3"/>
    <w:rsid w:val="000A2B57"/>
    <w:rsid w:val="000A418B"/>
    <w:rsid w:val="000B4425"/>
    <w:rsid w:val="000C4431"/>
    <w:rsid w:val="000D1C06"/>
    <w:rsid w:val="000D4319"/>
    <w:rsid w:val="000F374A"/>
    <w:rsid w:val="00115CCC"/>
    <w:rsid w:val="00117C8C"/>
    <w:rsid w:val="00124E2E"/>
    <w:rsid w:val="00125ED4"/>
    <w:rsid w:val="001267DD"/>
    <w:rsid w:val="001305E9"/>
    <w:rsid w:val="001307AF"/>
    <w:rsid w:val="00135687"/>
    <w:rsid w:val="00140B83"/>
    <w:rsid w:val="0015506E"/>
    <w:rsid w:val="00163031"/>
    <w:rsid w:val="00171A90"/>
    <w:rsid w:val="00180254"/>
    <w:rsid w:val="001871AC"/>
    <w:rsid w:val="00191E1F"/>
    <w:rsid w:val="00192943"/>
    <w:rsid w:val="001A1C94"/>
    <w:rsid w:val="001A21A5"/>
    <w:rsid w:val="001A7406"/>
    <w:rsid w:val="001B4FEE"/>
    <w:rsid w:val="001B51C5"/>
    <w:rsid w:val="001B6F3F"/>
    <w:rsid w:val="001C52B5"/>
    <w:rsid w:val="001D0D3E"/>
    <w:rsid w:val="001F2245"/>
    <w:rsid w:val="001F6DA1"/>
    <w:rsid w:val="0020102A"/>
    <w:rsid w:val="002044E6"/>
    <w:rsid w:val="00205C82"/>
    <w:rsid w:val="00205DC2"/>
    <w:rsid w:val="00212B17"/>
    <w:rsid w:val="002163B6"/>
    <w:rsid w:val="00220732"/>
    <w:rsid w:val="00221D32"/>
    <w:rsid w:val="00225C3F"/>
    <w:rsid w:val="00245889"/>
    <w:rsid w:val="00263D44"/>
    <w:rsid w:val="002702AD"/>
    <w:rsid w:val="00281B8D"/>
    <w:rsid w:val="00292D82"/>
    <w:rsid w:val="002963CB"/>
    <w:rsid w:val="002B2137"/>
    <w:rsid w:val="002D226D"/>
    <w:rsid w:val="002D69B6"/>
    <w:rsid w:val="002E1F2D"/>
    <w:rsid w:val="002F6030"/>
    <w:rsid w:val="003037E1"/>
    <w:rsid w:val="00307E51"/>
    <w:rsid w:val="003103EC"/>
    <w:rsid w:val="00314452"/>
    <w:rsid w:val="003144EF"/>
    <w:rsid w:val="00322F74"/>
    <w:rsid w:val="00327B61"/>
    <w:rsid w:val="00332008"/>
    <w:rsid w:val="00332B81"/>
    <w:rsid w:val="00340073"/>
    <w:rsid w:val="00345EBB"/>
    <w:rsid w:val="00364115"/>
    <w:rsid w:val="00372805"/>
    <w:rsid w:val="00373180"/>
    <w:rsid w:val="00375AB9"/>
    <w:rsid w:val="003821A0"/>
    <w:rsid w:val="00385B04"/>
    <w:rsid w:val="003864CF"/>
    <w:rsid w:val="00394C97"/>
    <w:rsid w:val="003A22A6"/>
    <w:rsid w:val="003A5494"/>
    <w:rsid w:val="003B2510"/>
    <w:rsid w:val="003C2CC4"/>
    <w:rsid w:val="003E0EFC"/>
    <w:rsid w:val="003E4A2B"/>
    <w:rsid w:val="003E76C2"/>
    <w:rsid w:val="003F1679"/>
    <w:rsid w:val="003F4A35"/>
    <w:rsid w:val="003F7FDD"/>
    <w:rsid w:val="00402481"/>
    <w:rsid w:val="004042B4"/>
    <w:rsid w:val="00412DAE"/>
    <w:rsid w:val="0042152A"/>
    <w:rsid w:val="00431598"/>
    <w:rsid w:val="004319AD"/>
    <w:rsid w:val="004426B8"/>
    <w:rsid w:val="00443D5D"/>
    <w:rsid w:val="00444432"/>
    <w:rsid w:val="00461275"/>
    <w:rsid w:val="004661DE"/>
    <w:rsid w:val="00471860"/>
    <w:rsid w:val="00483327"/>
    <w:rsid w:val="004915DA"/>
    <w:rsid w:val="004B60BD"/>
    <w:rsid w:val="004C3150"/>
    <w:rsid w:val="004C3641"/>
    <w:rsid w:val="004C4390"/>
    <w:rsid w:val="004C4AF7"/>
    <w:rsid w:val="004D2881"/>
    <w:rsid w:val="004D385F"/>
    <w:rsid w:val="004D5B39"/>
    <w:rsid w:val="004E330D"/>
    <w:rsid w:val="004E5147"/>
    <w:rsid w:val="004F5C43"/>
    <w:rsid w:val="0050652D"/>
    <w:rsid w:val="00506C03"/>
    <w:rsid w:val="00511A11"/>
    <w:rsid w:val="00513B35"/>
    <w:rsid w:val="00516496"/>
    <w:rsid w:val="0052572A"/>
    <w:rsid w:val="00543CB3"/>
    <w:rsid w:val="00560FF0"/>
    <w:rsid w:val="005614BD"/>
    <w:rsid w:val="0056253D"/>
    <w:rsid w:val="0057154F"/>
    <w:rsid w:val="005745D5"/>
    <w:rsid w:val="00581CA3"/>
    <w:rsid w:val="00587A44"/>
    <w:rsid w:val="00597730"/>
    <w:rsid w:val="005977EC"/>
    <w:rsid w:val="00597DE7"/>
    <w:rsid w:val="005A4AA2"/>
    <w:rsid w:val="005B34B6"/>
    <w:rsid w:val="005B6C8F"/>
    <w:rsid w:val="005B6CAA"/>
    <w:rsid w:val="005B6EC3"/>
    <w:rsid w:val="005D0F74"/>
    <w:rsid w:val="005D2E7D"/>
    <w:rsid w:val="005D4A8F"/>
    <w:rsid w:val="005D561B"/>
    <w:rsid w:val="005D5ECF"/>
    <w:rsid w:val="005F468D"/>
    <w:rsid w:val="005F69A3"/>
    <w:rsid w:val="00604CC7"/>
    <w:rsid w:val="00615423"/>
    <w:rsid w:val="006165B2"/>
    <w:rsid w:val="00616FDF"/>
    <w:rsid w:val="00617276"/>
    <w:rsid w:val="0062336E"/>
    <w:rsid w:val="00624342"/>
    <w:rsid w:val="0062527B"/>
    <w:rsid w:val="00625D97"/>
    <w:rsid w:val="00625F1C"/>
    <w:rsid w:val="006279E1"/>
    <w:rsid w:val="00630CEB"/>
    <w:rsid w:val="00631AE1"/>
    <w:rsid w:val="00632264"/>
    <w:rsid w:val="006470BC"/>
    <w:rsid w:val="006554D3"/>
    <w:rsid w:val="006641D8"/>
    <w:rsid w:val="00664D65"/>
    <w:rsid w:val="00667036"/>
    <w:rsid w:val="00673BDB"/>
    <w:rsid w:val="006771B8"/>
    <w:rsid w:val="006843B6"/>
    <w:rsid w:val="0068481F"/>
    <w:rsid w:val="006923A9"/>
    <w:rsid w:val="00696F5D"/>
    <w:rsid w:val="00697249"/>
    <w:rsid w:val="006B032F"/>
    <w:rsid w:val="006B209E"/>
    <w:rsid w:val="006B3947"/>
    <w:rsid w:val="006B4293"/>
    <w:rsid w:val="006B624F"/>
    <w:rsid w:val="006C31E3"/>
    <w:rsid w:val="006D18D3"/>
    <w:rsid w:val="006E08CB"/>
    <w:rsid w:val="006E3DFF"/>
    <w:rsid w:val="006E598D"/>
    <w:rsid w:val="006F635B"/>
    <w:rsid w:val="0070437D"/>
    <w:rsid w:val="00704CF1"/>
    <w:rsid w:val="00705B04"/>
    <w:rsid w:val="0071130A"/>
    <w:rsid w:val="00720F4E"/>
    <w:rsid w:val="00734820"/>
    <w:rsid w:val="007349DC"/>
    <w:rsid w:val="007360BA"/>
    <w:rsid w:val="0074365E"/>
    <w:rsid w:val="007515FD"/>
    <w:rsid w:val="00751AD1"/>
    <w:rsid w:val="00760D80"/>
    <w:rsid w:val="00780C09"/>
    <w:rsid w:val="00780DDF"/>
    <w:rsid w:val="007834E9"/>
    <w:rsid w:val="007874B2"/>
    <w:rsid w:val="00787DBC"/>
    <w:rsid w:val="0079019A"/>
    <w:rsid w:val="00791969"/>
    <w:rsid w:val="00792935"/>
    <w:rsid w:val="007A04A1"/>
    <w:rsid w:val="007A1840"/>
    <w:rsid w:val="007A3788"/>
    <w:rsid w:val="007B2226"/>
    <w:rsid w:val="007C0528"/>
    <w:rsid w:val="007C0C26"/>
    <w:rsid w:val="007C3D38"/>
    <w:rsid w:val="007D0859"/>
    <w:rsid w:val="007D0F35"/>
    <w:rsid w:val="007D4FEB"/>
    <w:rsid w:val="007D6146"/>
    <w:rsid w:val="007E0CE7"/>
    <w:rsid w:val="007F1193"/>
    <w:rsid w:val="007F417F"/>
    <w:rsid w:val="008042BD"/>
    <w:rsid w:val="00804953"/>
    <w:rsid w:val="00816624"/>
    <w:rsid w:val="00822427"/>
    <w:rsid w:val="00822562"/>
    <w:rsid w:val="00823663"/>
    <w:rsid w:val="00832DDC"/>
    <w:rsid w:val="00850BAC"/>
    <w:rsid w:val="00854A3E"/>
    <w:rsid w:val="00855D08"/>
    <w:rsid w:val="00874344"/>
    <w:rsid w:val="00882155"/>
    <w:rsid w:val="0088233B"/>
    <w:rsid w:val="00884C8E"/>
    <w:rsid w:val="0088599E"/>
    <w:rsid w:val="00886C37"/>
    <w:rsid w:val="00892D99"/>
    <w:rsid w:val="008B62AE"/>
    <w:rsid w:val="008B67C3"/>
    <w:rsid w:val="008C04B5"/>
    <w:rsid w:val="008C14FA"/>
    <w:rsid w:val="008D4057"/>
    <w:rsid w:val="008E1F19"/>
    <w:rsid w:val="008F2262"/>
    <w:rsid w:val="008F7736"/>
    <w:rsid w:val="0090019E"/>
    <w:rsid w:val="00901086"/>
    <w:rsid w:val="00901C8A"/>
    <w:rsid w:val="00905886"/>
    <w:rsid w:val="009070D6"/>
    <w:rsid w:val="009076C6"/>
    <w:rsid w:val="0091019E"/>
    <w:rsid w:val="009106F1"/>
    <w:rsid w:val="00912404"/>
    <w:rsid w:val="009145D6"/>
    <w:rsid w:val="00920E64"/>
    <w:rsid w:val="00922002"/>
    <w:rsid w:val="00924020"/>
    <w:rsid w:val="009271A7"/>
    <w:rsid w:val="0093658B"/>
    <w:rsid w:val="009429FF"/>
    <w:rsid w:val="00945BD6"/>
    <w:rsid w:val="009479FB"/>
    <w:rsid w:val="00951C45"/>
    <w:rsid w:val="00961B2A"/>
    <w:rsid w:val="009656F2"/>
    <w:rsid w:val="00966A08"/>
    <w:rsid w:val="00971207"/>
    <w:rsid w:val="00974F15"/>
    <w:rsid w:val="00975CB4"/>
    <w:rsid w:val="009771FA"/>
    <w:rsid w:val="009863B0"/>
    <w:rsid w:val="00987DE1"/>
    <w:rsid w:val="00990571"/>
    <w:rsid w:val="009957F3"/>
    <w:rsid w:val="0099673A"/>
    <w:rsid w:val="009A3330"/>
    <w:rsid w:val="009A7C96"/>
    <w:rsid w:val="009C3DB9"/>
    <w:rsid w:val="009D46E5"/>
    <w:rsid w:val="009D568A"/>
    <w:rsid w:val="009F04EC"/>
    <w:rsid w:val="009F2A7C"/>
    <w:rsid w:val="009F3B36"/>
    <w:rsid w:val="00A019B9"/>
    <w:rsid w:val="00A12508"/>
    <w:rsid w:val="00A1282B"/>
    <w:rsid w:val="00A13A27"/>
    <w:rsid w:val="00A175B6"/>
    <w:rsid w:val="00A21835"/>
    <w:rsid w:val="00A2374B"/>
    <w:rsid w:val="00A27D6E"/>
    <w:rsid w:val="00A328EC"/>
    <w:rsid w:val="00A33A51"/>
    <w:rsid w:val="00A41CA6"/>
    <w:rsid w:val="00A47927"/>
    <w:rsid w:val="00A47FFC"/>
    <w:rsid w:val="00A52C77"/>
    <w:rsid w:val="00A5442F"/>
    <w:rsid w:val="00A54FF9"/>
    <w:rsid w:val="00A56765"/>
    <w:rsid w:val="00A675AC"/>
    <w:rsid w:val="00A7581F"/>
    <w:rsid w:val="00A82424"/>
    <w:rsid w:val="00A92FB1"/>
    <w:rsid w:val="00A95A0C"/>
    <w:rsid w:val="00AA2765"/>
    <w:rsid w:val="00AA77B5"/>
    <w:rsid w:val="00AB0F22"/>
    <w:rsid w:val="00AB203B"/>
    <w:rsid w:val="00AB6C5D"/>
    <w:rsid w:val="00AC51A7"/>
    <w:rsid w:val="00AD444B"/>
    <w:rsid w:val="00AD6C78"/>
    <w:rsid w:val="00AE2EAB"/>
    <w:rsid w:val="00AF5F89"/>
    <w:rsid w:val="00AF73CB"/>
    <w:rsid w:val="00B002D6"/>
    <w:rsid w:val="00B05B51"/>
    <w:rsid w:val="00B14E5A"/>
    <w:rsid w:val="00B15370"/>
    <w:rsid w:val="00B16DA4"/>
    <w:rsid w:val="00B17BEB"/>
    <w:rsid w:val="00B21A3C"/>
    <w:rsid w:val="00B223C0"/>
    <w:rsid w:val="00B234ED"/>
    <w:rsid w:val="00B249B2"/>
    <w:rsid w:val="00B25CA3"/>
    <w:rsid w:val="00B2765A"/>
    <w:rsid w:val="00B57A6A"/>
    <w:rsid w:val="00B760F1"/>
    <w:rsid w:val="00B7669E"/>
    <w:rsid w:val="00B77DA1"/>
    <w:rsid w:val="00B858AE"/>
    <w:rsid w:val="00B85964"/>
    <w:rsid w:val="00B96250"/>
    <w:rsid w:val="00BA0D55"/>
    <w:rsid w:val="00BA37B3"/>
    <w:rsid w:val="00BA4CC6"/>
    <w:rsid w:val="00BA6ABB"/>
    <w:rsid w:val="00BB3493"/>
    <w:rsid w:val="00BB7468"/>
    <w:rsid w:val="00BC188A"/>
    <w:rsid w:val="00BD0F48"/>
    <w:rsid w:val="00BF5010"/>
    <w:rsid w:val="00C03D5F"/>
    <w:rsid w:val="00C10E17"/>
    <w:rsid w:val="00C13791"/>
    <w:rsid w:val="00C21483"/>
    <w:rsid w:val="00C2209A"/>
    <w:rsid w:val="00C319F4"/>
    <w:rsid w:val="00C31BB3"/>
    <w:rsid w:val="00C36977"/>
    <w:rsid w:val="00C467DA"/>
    <w:rsid w:val="00C477D9"/>
    <w:rsid w:val="00C60BA3"/>
    <w:rsid w:val="00C623F7"/>
    <w:rsid w:val="00C75BC5"/>
    <w:rsid w:val="00C76433"/>
    <w:rsid w:val="00C81670"/>
    <w:rsid w:val="00C81773"/>
    <w:rsid w:val="00C82861"/>
    <w:rsid w:val="00C86896"/>
    <w:rsid w:val="00C907A8"/>
    <w:rsid w:val="00C93211"/>
    <w:rsid w:val="00C942EC"/>
    <w:rsid w:val="00C96047"/>
    <w:rsid w:val="00C979D0"/>
    <w:rsid w:val="00CA0818"/>
    <w:rsid w:val="00CA2C8F"/>
    <w:rsid w:val="00CA30DA"/>
    <w:rsid w:val="00CA3A24"/>
    <w:rsid w:val="00CB1777"/>
    <w:rsid w:val="00CB33E9"/>
    <w:rsid w:val="00CC10A9"/>
    <w:rsid w:val="00CD23D3"/>
    <w:rsid w:val="00CD704F"/>
    <w:rsid w:val="00CE2BF8"/>
    <w:rsid w:val="00CE2F51"/>
    <w:rsid w:val="00CE484E"/>
    <w:rsid w:val="00CE656F"/>
    <w:rsid w:val="00CF0DA8"/>
    <w:rsid w:val="00CF2E25"/>
    <w:rsid w:val="00CF4453"/>
    <w:rsid w:val="00CF5D94"/>
    <w:rsid w:val="00CF7E0F"/>
    <w:rsid w:val="00D034D7"/>
    <w:rsid w:val="00D04BE4"/>
    <w:rsid w:val="00D10B36"/>
    <w:rsid w:val="00D12565"/>
    <w:rsid w:val="00D14127"/>
    <w:rsid w:val="00D451C3"/>
    <w:rsid w:val="00D60B16"/>
    <w:rsid w:val="00D60F02"/>
    <w:rsid w:val="00D66E49"/>
    <w:rsid w:val="00D70D71"/>
    <w:rsid w:val="00D72F74"/>
    <w:rsid w:val="00D74E92"/>
    <w:rsid w:val="00D81563"/>
    <w:rsid w:val="00D85907"/>
    <w:rsid w:val="00D9073E"/>
    <w:rsid w:val="00D91109"/>
    <w:rsid w:val="00D9221D"/>
    <w:rsid w:val="00D958DF"/>
    <w:rsid w:val="00D96377"/>
    <w:rsid w:val="00D96DA1"/>
    <w:rsid w:val="00DA51E7"/>
    <w:rsid w:val="00DB09EB"/>
    <w:rsid w:val="00DB1C78"/>
    <w:rsid w:val="00DB4B94"/>
    <w:rsid w:val="00DB7D96"/>
    <w:rsid w:val="00DC23FE"/>
    <w:rsid w:val="00DC59E6"/>
    <w:rsid w:val="00DD150B"/>
    <w:rsid w:val="00DD5025"/>
    <w:rsid w:val="00DF1510"/>
    <w:rsid w:val="00E02F1F"/>
    <w:rsid w:val="00E06484"/>
    <w:rsid w:val="00E20A7D"/>
    <w:rsid w:val="00E275D8"/>
    <w:rsid w:val="00E30F6A"/>
    <w:rsid w:val="00E31F1C"/>
    <w:rsid w:val="00E375CA"/>
    <w:rsid w:val="00E47FA3"/>
    <w:rsid w:val="00E567E8"/>
    <w:rsid w:val="00E62E70"/>
    <w:rsid w:val="00E64679"/>
    <w:rsid w:val="00E65EBC"/>
    <w:rsid w:val="00E73432"/>
    <w:rsid w:val="00E772AD"/>
    <w:rsid w:val="00E77B0C"/>
    <w:rsid w:val="00E77FB8"/>
    <w:rsid w:val="00E82FA4"/>
    <w:rsid w:val="00E838B0"/>
    <w:rsid w:val="00E86169"/>
    <w:rsid w:val="00E86A7C"/>
    <w:rsid w:val="00E878E1"/>
    <w:rsid w:val="00E87F2C"/>
    <w:rsid w:val="00E948B4"/>
    <w:rsid w:val="00E94D25"/>
    <w:rsid w:val="00E95278"/>
    <w:rsid w:val="00EA2273"/>
    <w:rsid w:val="00EB1493"/>
    <w:rsid w:val="00EB2DB3"/>
    <w:rsid w:val="00EC3FBB"/>
    <w:rsid w:val="00EC6B7A"/>
    <w:rsid w:val="00ED3A87"/>
    <w:rsid w:val="00ED5B67"/>
    <w:rsid w:val="00EE365D"/>
    <w:rsid w:val="00EE6618"/>
    <w:rsid w:val="00EF264C"/>
    <w:rsid w:val="00EF3FEE"/>
    <w:rsid w:val="00F04B59"/>
    <w:rsid w:val="00F11741"/>
    <w:rsid w:val="00F12B1C"/>
    <w:rsid w:val="00F13CF8"/>
    <w:rsid w:val="00F15855"/>
    <w:rsid w:val="00F25C7D"/>
    <w:rsid w:val="00F32978"/>
    <w:rsid w:val="00F34493"/>
    <w:rsid w:val="00F45CB2"/>
    <w:rsid w:val="00F544C0"/>
    <w:rsid w:val="00F55332"/>
    <w:rsid w:val="00F6504A"/>
    <w:rsid w:val="00F65519"/>
    <w:rsid w:val="00F713C0"/>
    <w:rsid w:val="00F75DDC"/>
    <w:rsid w:val="00F7792F"/>
    <w:rsid w:val="00F80273"/>
    <w:rsid w:val="00F80631"/>
    <w:rsid w:val="00F842AA"/>
    <w:rsid w:val="00F8476F"/>
    <w:rsid w:val="00F853E1"/>
    <w:rsid w:val="00F85604"/>
    <w:rsid w:val="00F85FBF"/>
    <w:rsid w:val="00F87CEA"/>
    <w:rsid w:val="00F94B7A"/>
    <w:rsid w:val="00F9722E"/>
    <w:rsid w:val="00F976CE"/>
    <w:rsid w:val="00FA17AC"/>
    <w:rsid w:val="00FA32DE"/>
    <w:rsid w:val="00FA3382"/>
    <w:rsid w:val="00FA59CD"/>
    <w:rsid w:val="00FB1740"/>
    <w:rsid w:val="00FC5469"/>
    <w:rsid w:val="00FC6D7D"/>
    <w:rsid w:val="00FD16B0"/>
    <w:rsid w:val="00FD4FED"/>
    <w:rsid w:val="00FE0577"/>
    <w:rsid w:val="00FE59EC"/>
    <w:rsid w:val="00FE5B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rsid w:val="00E82FA4"/>
    <w:rPr>
      <w:vertAlign w:val="superscript"/>
    </w:rPr>
  </w:style>
  <w:style w:type="paragraph" w:customStyle="1" w:styleId="Rule">
    <w:name w:val="Rule"/>
    <w:link w:val="RuleChar"/>
    <w:rsid w:val="0062336E"/>
    <w:pPr>
      <w:widowControl w:val="0"/>
      <w:tabs>
        <w:tab w:val="left" w:pos="720"/>
      </w:tabs>
      <w:spacing w:line="536" w:lineRule="exact"/>
    </w:pPr>
    <w:rPr>
      <w:sz w:val="24"/>
      <w:szCs w:val="24"/>
    </w:rPr>
  </w:style>
  <w:style w:type="character" w:customStyle="1" w:styleId="RuleChar">
    <w:name w:val="Rule Char"/>
    <w:link w:val="Rule"/>
    <w:rsid w:val="0062336E"/>
    <w:rPr>
      <w:sz w:val="24"/>
      <w:szCs w:val="24"/>
    </w:rPr>
  </w:style>
  <w:style w:type="paragraph" w:customStyle="1" w:styleId="RuleHeader">
    <w:name w:val="Rule Header"/>
    <w:basedOn w:val="Rule"/>
    <w:rsid w:val="0062336E"/>
    <w:pPr>
      <w:jc w:val="right"/>
    </w:pPr>
  </w:style>
  <w:style w:type="character" w:styleId="FollowedHyperlink">
    <w:name w:val="FollowedHyperlink"/>
    <w:basedOn w:val="DefaultParagraphFont"/>
    <w:rsid w:val="00884C8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rsid w:val="00E82FA4"/>
    <w:rPr>
      <w:vertAlign w:val="superscript"/>
    </w:rPr>
  </w:style>
  <w:style w:type="paragraph" w:customStyle="1" w:styleId="Rule">
    <w:name w:val="Rule"/>
    <w:link w:val="RuleChar"/>
    <w:rsid w:val="0062336E"/>
    <w:pPr>
      <w:widowControl w:val="0"/>
      <w:tabs>
        <w:tab w:val="left" w:pos="720"/>
      </w:tabs>
      <w:spacing w:line="536" w:lineRule="exact"/>
    </w:pPr>
    <w:rPr>
      <w:sz w:val="24"/>
      <w:szCs w:val="24"/>
    </w:rPr>
  </w:style>
  <w:style w:type="character" w:customStyle="1" w:styleId="RuleChar">
    <w:name w:val="Rule Char"/>
    <w:link w:val="Rule"/>
    <w:rsid w:val="0062336E"/>
    <w:rPr>
      <w:sz w:val="24"/>
      <w:szCs w:val="24"/>
    </w:rPr>
  </w:style>
  <w:style w:type="paragraph" w:customStyle="1" w:styleId="RuleHeader">
    <w:name w:val="Rule Header"/>
    <w:basedOn w:val="Rule"/>
    <w:rsid w:val="0062336E"/>
    <w:pPr>
      <w:jc w:val="right"/>
    </w:pPr>
  </w:style>
  <w:style w:type="character" w:styleId="FollowedHyperlink">
    <w:name w:val="FollowedHyperlink"/>
    <w:basedOn w:val="DefaultParagraphFont"/>
    <w:rsid w:val="00884C8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image" Target="media/image7.JPG"/><Relationship Id="rId3" Type="http://schemas.openxmlformats.org/officeDocument/2006/relationships/styles" Target="styles.xml"/><Relationship Id="rId21" Type="http://schemas.openxmlformats.org/officeDocument/2006/relationships/image" Target="media/image2.JP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5.JP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4.JPG"/><Relationship Id="rId28" Type="http://schemas.openxmlformats.org/officeDocument/2006/relationships/header" Target="header7.xm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3.JPG"/><Relationship Id="rId27" Type="http://schemas.openxmlformats.org/officeDocument/2006/relationships/image" Target="media/image8.JP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Recommendation%20(Regula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ABB0D5-A727-4A91-9FA3-DCCFADBE7F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Template>
  <TotalTime>0</TotalTime>
  <Pages>13</Pages>
  <Words>1119</Words>
  <Characters>6716</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Recommendation</vt:lpstr>
    </vt:vector>
  </TitlesOfParts>
  <Company>FPSC</Company>
  <LinksUpToDate>false</LinksUpToDate>
  <CharactersWithSpaces>7820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Julie Phillips</dc:creator>
  <cp:lastModifiedBy>Julie Phillips</cp:lastModifiedBy>
  <cp:revision>2</cp:revision>
  <cp:lastPrinted>2017-05-24T11:45:00Z</cp:lastPrinted>
  <dcterms:created xsi:type="dcterms:W3CDTF">2017-05-24T12:10:00Z</dcterms:created>
  <dcterms:modified xsi:type="dcterms:W3CDTF">2017-05-24T12:10:00Z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170034-EU</vt:lpwstr>
  </property>
  <property fmtid="{D5CDD505-2E9C-101B-9397-08002B2CF9AE}" pid="3" name="MasterDocument">
    <vt:bool>false</vt:bool>
  </property>
</Properties>
</file>