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D0C20" w:rsidP="008D0C20">
      <w:pPr>
        <w:pStyle w:val="OrderHeading"/>
      </w:pPr>
      <w:r>
        <w:t>BEFORE THE FLORIDA PUBLIC SERVICE COMMISSION</w:t>
      </w:r>
    </w:p>
    <w:p w:rsidR="008D0C20" w:rsidRDefault="008D0C20" w:rsidP="008D0C20">
      <w:pPr>
        <w:pStyle w:val="OrderBody"/>
      </w:pPr>
    </w:p>
    <w:p w:rsidR="008D0C20" w:rsidRDefault="008D0C20" w:rsidP="008D0C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0C20" w:rsidRPr="00C63FCF" w:rsidTr="00C63FCF">
        <w:trPr>
          <w:trHeight w:val="828"/>
        </w:trPr>
        <w:tc>
          <w:tcPr>
            <w:tcW w:w="4788" w:type="dxa"/>
            <w:tcBorders>
              <w:bottom w:val="single" w:sz="8" w:space="0" w:color="auto"/>
              <w:right w:val="double" w:sz="6" w:space="0" w:color="auto"/>
            </w:tcBorders>
            <w:shd w:val="clear" w:color="auto" w:fill="auto"/>
          </w:tcPr>
          <w:p w:rsidR="008D0C20" w:rsidRDefault="008D0C20" w:rsidP="00C63FCF">
            <w:pPr>
              <w:pStyle w:val="OrderBody"/>
              <w:tabs>
                <w:tab w:val="center" w:pos="4320"/>
                <w:tab w:val="right" w:pos="8640"/>
              </w:tabs>
              <w:jc w:val="left"/>
            </w:pPr>
            <w:r>
              <w:t xml:space="preserve">In re: </w:t>
            </w:r>
            <w:bookmarkStart w:id="0" w:name="SSInRe"/>
            <w:bookmarkEnd w:id="0"/>
            <w:r>
              <w:t>Complaint against Gulf Power Company for expedited enforcement of territorial order, by Gulf Coast Electric Cooperative, Inc.</w:t>
            </w:r>
          </w:p>
        </w:tc>
        <w:tc>
          <w:tcPr>
            <w:tcW w:w="4788" w:type="dxa"/>
            <w:tcBorders>
              <w:left w:val="double" w:sz="6" w:space="0" w:color="auto"/>
            </w:tcBorders>
            <w:shd w:val="clear" w:color="auto" w:fill="auto"/>
          </w:tcPr>
          <w:p w:rsidR="008D0C20" w:rsidRDefault="008D0C20" w:rsidP="008D0C20">
            <w:pPr>
              <w:pStyle w:val="OrderBody"/>
            </w:pPr>
            <w:r>
              <w:t xml:space="preserve">DOCKET NO. </w:t>
            </w:r>
            <w:bookmarkStart w:id="1" w:name="SSDocketNo"/>
            <w:bookmarkEnd w:id="1"/>
            <w:r>
              <w:t>20180125-EU</w:t>
            </w:r>
          </w:p>
          <w:p w:rsidR="008D0C20" w:rsidRDefault="008D0C20" w:rsidP="00C63FCF">
            <w:pPr>
              <w:pStyle w:val="OrderBody"/>
              <w:tabs>
                <w:tab w:val="center" w:pos="4320"/>
                <w:tab w:val="right" w:pos="8640"/>
              </w:tabs>
              <w:jc w:val="left"/>
            </w:pPr>
            <w:r>
              <w:t xml:space="preserve">ORDER NO. </w:t>
            </w:r>
            <w:bookmarkStart w:id="2" w:name="OrderNo0357"/>
            <w:r w:rsidR="00B85817">
              <w:t>PSC-2018-0357-PCO-EU</w:t>
            </w:r>
            <w:bookmarkEnd w:id="2"/>
          </w:p>
          <w:p w:rsidR="008D0C20" w:rsidRDefault="008D0C20" w:rsidP="00C63FCF">
            <w:pPr>
              <w:pStyle w:val="OrderBody"/>
              <w:tabs>
                <w:tab w:val="center" w:pos="4320"/>
                <w:tab w:val="right" w:pos="8640"/>
              </w:tabs>
              <w:jc w:val="left"/>
            </w:pPr>
            <w:r>
              <w:t xml:space="preserve">ISSUED: </w:t>
            </w:r>
            <w:r w:rsidR="00B85817">
              <w:t>July 23, 2018</w:t>
            </w:r>
          </w:p>
        </w:tc>
      </w:tr>
    </w:tbl>
    <w:p w:rsidR="008D0C20" w:rsidRDefault="008D0C20" w:rsidP="008D0C20"/>
    <w:p w:rsidR="008D0C20" w:rsidRDefault="008D0C20" w:rsidP="008D0C20"/>
    <w:p w:rsidR="008D0C20" w:rsidRDefault="008D0C20" w:rsidP="008D0C20">
      <w:pPr>
        <w:pStyle w:val="CenterUnderline"/>
      </w:pPr>
      <w:bookmarkStart w:id="3" w:name="Commissioners"/>
      <w:bookmarkEnd w:id="3"/>
      <w:r>
        <w:t>ORDER</w:t>
      </w:r>
      <w:bookmarkStart w:id="4" w:name="OrderTitle"/>
      <w:r>
        <w:t xml:space="preserve"> SETTING PROCEDURE TO CONSIDER</w:t>
      </w:r>
    </w:p>
    <w:p w:rsidR="00CB5276" w:rsidRDefault="008D0C20" w:rsidP="008D0C20">
      <w:pPr>
        <w:pStyle w:val="CenterUnderline"/>
      </w:pPr>
      <w:r>
        <w:t xml:space="preserve">MOTION FOR SUMMARY FINAL ORDER  </w:t>
      </w:r>
      <w:bookmarkEnd w:id="4"/>
    </w:p>
    <w:p w:rsidR="008D0C20" w:rsidRDefault="008D0C20" w:rsidP="008D0C20">
      <w:pPr>
        <w:pStyle w:val="CenterUnderline"/>
        <w:jc w:val="left"/>
      </w:pPr>
    </w:p>
    <w:p w:rsidR="008D0C20"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bookmarkStart w:id="5" w:name="OrderText"/>
      <w:bookmarkEnd w:id="5"/>
      <w:r>
        <w:rPr>
          <w:b/>
          <w:bCs/>
        </w:rPr>
        <w:t>I.</w:t>
      </w:r>
      <w:r>
        <w:rPr>
          <w:b/>
          <w:bCs/>
        </w:rPr>
        <w:tab/>
      </w:r>
      <w:r>
        <w:rPr>
          <w:b/>
          <w:bCs/>
          <w:u w:val="single"/>
        </w:rPr>
        <w:t>Case Background</w:t>
      </w:r>
    </w:p>
    <w:p w:rsidR="008D0C20" w:rsidRDefault="008D0C20" w:rsidP="008D0C20">
      <w:pPr>
        <w:ind w:firstLine="720"/>
        <w:jc w:val="both"/>
      </w:pPr>
    </w:p>
    <w:p w:rsidR="008D0C20" w:rsidRDefault="008D0C20" w:rsidP="008D0C20">
      <w:pPr>
        <w:ind w:firstLine="720"/>
        <w:jc w:val="both"/>
      </w:pPr>
      <w:r w:rsidRPr="0044422C">
        <w:t>The purpose of this Order is to set the procedure for the Florida Public Service Commission to consider the Motion for Summary Final Order filed by Gulf Power Company (Gulf Power) seeking to resolve the complaint filed by Gulf Coast Electric Cooperative, Inc. (Gulf Coast) against Gulf Power.</w:t>
      </w:r>
    </w:p>
    <w:p w:rsidR="008D0C20" w:rsidRDefault="008D0C20" w:rsidP="008D0C20">
      <w:pPr>
        <w:ind w:firstLine="720"/>
        <w:jc w:val="both"/>
      </w:pPr>
    </w:p>
    <w:p w:rsidR="008D0C20" w:rsidRDefault="008D0C20" w:rsidP="008D0C20">
      <w:pPr>
        <w:ind w:firstLine="720"/>
        <w:jc w:val="both"/>
      </w:pPr>
      <w:r w:rsidRPr="006764A9">
        <w:t xml:space="preserve">On May 23, 2018, Gulf Coast filed </w:t>
      </w:r>
      <w:r>
        <w:t>its</w:t>
      </w:r>
      <w:r w:rsidRPr="006764A9">
        <w:t xml:space="preserve"> Complaint against Gulf Power </w:t>
      </w:r>
      <w:r>
        <w:t>seeking</w:t>
      </w:r>
      <w:r w:rsidRPr="006764A9">
        <w:t xml:space="preserve"> expedited enforcement of the</w:t>
      </w:r>
      <w:r>
        <w:t>ir</w:t>
      </w:r>
      <w:r w:rsidRPr="006764A9">
        <w:t xml:space="preserve"> </w:t>
      </w:r>
      <w:r>
        <w:t>2001 “Procedures and Guidelines for Avoiding Further Uneconomic Duplication of Facilities” (“Territorial A</w:t>
      </w:r>
      <w:r w:rsidRPr="006764A9">
        <w:t>greement</w:t>
      </w:r>
      <w:r>
        <w:t>”)</w:t>
      </w:r>
      <w:r w:rsidRPr="006764A9">
        <w:t xml:space="preserve"> </w:t>
      </w:r>
      <w:r>
        <w:t xml:space="preserve">as approved </w:t>
      </w:r>
      <w:r w:rsidRPr="006764A9">
        <w:t>by Order No</w:t>
      </w:r>
      <w:r>
        <w:t>s</w:t>
      </w:r>
      <w:r w:rsidRPr="006764A9">
        <w:t>. PSC-01-0891-PAA-EU</w:t>
      </w:r>
      <w:r>
        <w:t>, issued April 9, 2001,</w:t>
      </w:r>
      <w:r w:rsidRPr="006764A9">
        <w:t xml:space="preserve"> and PSC-01-0891A-PAA-EU</w:t>
      </w:r>
      <w:r>
        <w:t>, issued March 26, 2002,</w:t>
      </w:r>
      <w:r w:rsidRPr="006764A9">
        <w:t xml:space="preserve"> </w:t>
      </w:r>
      <w:r>
        <w:t xml:space="preserve">both of which were issued in Docket No. </w:t>
      </w:r>
      <w:r w:rsidRPr="007B401C">
        <w:t>930885-EU</w:t>
      </w:r>
      <w:r>
        <w:t xml:space="preserve">, </w:t>
      </w:r>
      <w:r w:rsidRPr="007B401C">
        <w:rPr>
          <w:i/>
        </w:rPr>
        <w:t>In re:  Petition to resolve territorial dispute with Gulf Coast Electric Cooperative, Inc. by Gulf Power Company</w:t>
      </w:r>
      <w:r w:rsidRPr="006764A9">
        <w:t xml:space="preserve"> </w:t>
      </w:r>
      <w:r>
        <w:t xml:space="preserve"> </w:t>
      </w:r>
      <w:r w:rsidRPr="006764A9">
        <w:t>(collectively, “Territorial Order”)</w:t>
      </w:r>
      <w:r>
        <w:t xml:space="preserve">.  </w:t>
      </w:r>
      <w:r w:rsidRPr="00FA1BEA">
        <w:t xml:space="preserve">The Territorial Order </w:t>
      </w:r>
      <w:r>
        <w:t>sets out several</w:t>
      </w:r>
      <w:r w:rsidRPr="00FA1BEA">
        <w:t xml:space="preserve"> procedures </w:t>
      </w:r>
      <w:r>
        <w:t xml:space="preserve">Gulf Power and Gulf Coast must follow to determine which utility may provide electric service to a customer upon the customer’s request.  </w:t>
      </w:r>
    </w:p>
    <w:p w:rsidR="008D0C20" w:rsidRDefault="008D0C20" w:rsidP="008D0C20">
      <w:pPr>
        <w:ind w:firstLine="720"/>
        <w:jc w:val="both"/>
      </w:pPr>
    </w:p>
    <w:p w:rsidR="008D0C20" w:rsidRDefault="008D0C20" w:rsidP="008D0C20">
      <w:pPr>
        <w:ind w:firstLine="720"/>
        <w:jc w:val="both"/>
      </w:pPr>
      <w:r>
        <w:t>Gulf Power answered the complaint on May 30, 2018, and filed a Motion for a Summary Final Order and Motion for Protective Order on June 6, 2018, after which Gulf Coast served discovery on Gulf Power.  On June 8, 2018, in response to Gulf Coast’s discovery requests, Gulf Power filed an Objection and second Motion for Protective Order.  On June 13 and 15, 2018, Gulf Coast responded in opposition to Gulf Power’s Motion for Summary Final Order and Motions for Protective Orders.  Gulf Coast filed a Motion for a Status Conference on July 13, 2018, to which Gulf Power responded in opposition on July 19, 2018.</w:t>
      </w:r>
    </w:p>
    <w:p w:rsidR="008D0C20" w:rsidRDefault="008D0C20" w:rsidP="008D0C20">
      <w:pPr>
        <w:ind w:firstLine="720"/>
        <w:jc w:val="both"/>
      </w:pPr>
    </w:p>
    <w:p w:rsidR="008D0C20" w:rsidRDefault="008D0C20" w:rsidP="008D0C20">
      <w:pPr>
        <w:ind w:firstLine="720"/>
        <w:jc w:val="both"/>
      </w:pPr>
      <w:r>
        <w:t xml:space="preserve">Neither Gulf Power nor Gulf Coast dispute that a Gulf Power Engineering Supervisor sent to Gulf Coast’s Engineering Vice President, and that Gulf Coast received, an e-mail dated October 20, 2017, stating the following: </w:t>
      </w:r>
    </w:p>
    <w:p w:rsidR="008D0C20" w:rsidRDefault="008D0C20" w:rsidP="008D0C20">
      <w:pPr>
        <w:ind w:firstLine="720"/>
        <w:jc w:val="both"/>
      </w:pPr>
    </w:p>
    <w:p w:rsidR="008D0C20" w:rsidRDefault="008D0C20" w:rsidP="008D0C20">
      <w:pPr>
        <w:ind w:left="720" w:right="720"/>
        <w:jc w:val="both"/>
      </w:pPr>
      <w:r>
        <w:t>Pursuant to section 2.3(a) of the agreement between Gulf Power and GCEC, I am notifying GCEC of a customer's request for electrical service from Gulf Power for a new lift station on parcel 26597-000-000. Construction would not result in any duplication of facilities.</w:t>
      </w:r>
    </w:p>
    <w:p w:rsidR="008D0C20" w:rsidRDefault="008D0C20" w:rsidP="008D0C20">
      <w:pPr>
        <w:ind w:firstLine="720"/>
        <w:jc w:val="both"/>
      </w:pPr>
    </w:p>
    <w:p w:rsidR="008D0C20" w:rsidRDefault="008D0C20" w:rsidP="008D0C20">
      <w:pPr>
        <w:ind w:firstLine="720"/>
        <w:jc w:val="both"/>
      </w:pPr>
      <w:r w:rsidRPr="00B040C8">
        <w:lastRenderedPageBreak/>
        <w:t xml:space="preserve">Gulf Power claims that the dispositive issue is whether the October 20, 2017, e-mail notice provided by Gulf Power to Gulf Coast under Section 2.3(a) of the Territorial Agreement concerning electric service to the lift </w:t>
      </w:r>
      <w:r>
        <w:t>facility</w:t>
      </w:r>
      <w:r w:rsidRPr="00B040C8">
        <w:t xml:space="preserve"> was sufficient for Gulf Power to provide service.</w:t>
      </w:r>
      <w:r>
        <w:t xml:space="preserve">  Having reviewed the pleadings filed by the parties, the threshold question for this dispute is whether the October 20, 2017, e-mail was sufficient notice under the terms of the Territorial Agreement.  Although Gulf Power argues the complaint is now ripe for a resolution by a summary final order, Section 120.57(1)(h), Florida Statutes (F.S.), provides:  </w:t>
      </w:r>
    </w:p>
    <w:p w:rsidR="008D0C20" w:rsidRDefault="008D0C20" w:rsidP="008D0C20">
      <w:pPr>
        <w:ind w:firstLine="720"/>
        <w:jc w:val="both"/>
      </w:pPr>
    </w:p>
    <w:p w:rsidR="008D0C20" w:rsidRDefault="008D0C20" w:rsidP="008D0C20">
      <w:pPr>
        <w:ind w:left="720" w:right="720"/>
        <w:jc w:val="both"/>
      </w:pPr>
      <w:r w:rsidRPr="00593F7D">
        <w:t xml:space="preserve">Any party to a proceeding in which an administrative law judge has final order authority may move for a summary final order when there is no genuine issue as to any material fact. A summary final order shall be rendered if the administrative law judge determines from the pleadings, </w:t>
      </w:r>
      <w:r w:rsidRPr="008E77AB">
        <w:rPr>
          <w:i/>
        </w:rPr>
        <w:t>depositions</w:t>
      </w:r>
      <w:r w:rsidRPr="00593F7D">
        <w:t xml:space="preserve">, </w:t>
      </w:r>
      <w:r w:rsidRPr="008E77AB">
        <w:rPr>
          <w:i/>
        </w:rPr>
        <w:t>answers to interrogatories</w:t>
      </w:r>
      <w:r w:rsidRPr="00593F7D">
        <w:t xml:space="preserve">, and admissions on file, together with </w:t>
      </w:r>
      <w:r w:rsidRPr="008E77AB">
        <w:rPr>
          <w:i/>
        </w:rPr>
        <w:t>affidavits, if any</w:t>
      </w:r>
      <w:r w:rsidRPr="00593F7D">
        <w:t>, that no genuine issue as to any material fact exists and that the moving party is entitled as a matter of law to the entry of a final order. A summary final order shall consist of findings of fact, if any, conclusions of law, a disposition or penalty, if applicable, and any other information required by law to be contained in the final order.</w:t>
      </w:r>
    </w:p>
    <w:p w:rsidR="008D0C20" w:rsidRDefault="008D0C20" w:rsidP="008D0C20">
      <w:pPr>
        <w:ind w:firstLine="720"/>
        <w:jc w:val="both"/>
      </w:pPr>
    </w:p>
    <w:p w:rsidR="008D0C20" w:rsidRDefault="008D0C20" w:rsidP="008D0C20">
      <w:pPr>
        <w:jc w:val="both"/>
      </w:pPr>
      <w:r>
        <w:t xml:space="preserve">(Emphasis added) When considering requests for summary final order, the Commission has found </w:t>
      </w:r>
      <w:r w:rsidRPr="000857C5">
        <w:t>“it is premature to decide whether a genuine issue of material fact exists when [a party] has not had the opportunity to complete discovery and file testimony.”</w:t>
      </w:r>
      <w:r>
        <w:rPr>
          <w:rStyle w:val="FootnoteReference"/>
        </w:rPr>
        <w:footnoteReference w:id="1"/>
      </w:r>
      <w:r w:rsidRPr="000857C5">
        <w:t xml:space="preserve"> In </w:t>
      </w:r>
      <w:r>
        <w:t>this case, Gulf Power objects to Gulf Coast’s discovery attempts and no prefiled testimony has been filed.  To put this complaint in the proper posture to determine whether there are no genuine issues of material fact, which would allow a summary final order to be entered based on the pleadings, the limited process established below shall be used to bring the Motion for Summary Final Order before the Commission for a decision.</w:t>
      </w:r>
    </w:p>
    <w:p w:rsidR="008D0C20" w:rsidRDefault="008D0C20" w:rsidP="008D0C20">
      <w:pPr>
        <w:jc w:val="both"/>
      </w:pPr>
    </w:p>
    <w:p w:rsidR="008D0C20"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8D0C20"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8D0C20"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D0C20" w:rsidRPr="00C75702"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8D0C20" w:rsidRPr="00C75702"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p>
    <w:p w:rsidR="008D0C20" w:rsidRPr="00C75702" w:rsidRDefault="008D0C20" w:rsidP="008D0C20">
      <w:r>
        <w:br w:type="page"/>
      </w:r>
      <w:r>
        <w:lastRenderedPageBreak/>
        <w:tab/>
      </w:r>
      <w:r w:rsidRPr="00C75702">
        <w:t xml:space="preserve">Office of Commission Clerk </w:t>
      </w:r>
    </w:p>
    <w:p w:rsidR="008D0C20" w:rsidRPr="00C75702"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8D0C20" w:rsidRPr="00C75702"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8D0C20" w:rsidRPr="00C75702"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8D0C20"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8D0C20"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2D1512">
        <w:rPr>
          <w:b/>
        </w:rPr>
        <w:t>III.</w:t>
      </w:r>
      <w:r w:rsidRPr="002D1512">
        <w:rPr>
          <w:b/>
        </w:rPr>
        <w:tab/>
      </w:r>
      <w:r w:rsidRPr="003A5ADA">
        <w:rPr>
          <w:b/>
          <w:u w:val="single"/>
        </w:rPr>
        <w:t>Briefs on I</w:t>
      </w:r>
      <w:r w:rsidRPr="002D1512">
        <w:rPr>
          <w:b/>
          <w:u w:val="single"/>
        </w:rPr>
        <w:t>ssue</w:t>
      </w:r>
      <w:r>
        <w:rPr>
          <w:b/>
          <w:u w:val="single"/>
        </w:rPr>
        <w:t>s</w:t>
      </w:r>
      <w:r w:rsidRPr="002D1512">
        <w:rPr>
          <w:b/>
          <w:u w:val="single"/>
        </w:rPr>
        <w:t xml:space="preserve"> for Consideration</w:t>
      </w:r>
    </w:p>
    <w:p w:rsidR="008D0C20" w:rsidRPr="002D1512"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8D0C20" w:rsidRPr="0044422C"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44422C">
        <w:t>In order to ensure the parties have had every opportunity to address any affidavits filed or discovery propounded under this Order, the parties may file briefs, which shall not exceed 40 pages, by September 7, 2018, that address the following issues:</w:t>
      </w:r>
    </w:p>
    <w:p w:rsidR="008D0C20" w:rsidRPr="0044422C"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Pr="0044422C"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44422C">
        <w:t>(1)</w:t>
      </w:r>
      <w:r w:rsidRPr="0044422C">
        <w:tab/>
        <w:t xml:space="preserve">Whether Section 2.3 of the Territorial Agreement is the proper procedure, pursuant to the Territorial Order, to determine which utility should provide electric service to the lift facility. </w:t>
      </w:r>
    </w:p>
    <w:p w:rsidR="008D0C20" w:rsidRPr="0044422C"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8D0C20" w:rsidRPr="0044422C"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44422C">
        <w:t>(2)</w:t>
      </w:r>
      <w:r w:rsidRPr="0044422C">
        <w:tab/>
        <w:t>If Section 2.3 is the proper procedure, whether the October 20, 2017, e-mail notice provided by Gulf Power to Gulf Coast under Section 2.3 of the Territorial Agreement concerning electric service to the lift facility was sufficient for Gulf Power to provide service.</w:t>
      </w:r>
    </w:p>
    <w:p w:rsidR="008D0C20" w:rsidRPr="0044422C"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8D0C20"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44422C">
        <w:t>(3)</w:t>
      </w:r>
      <w:r w:rsidRPr="0044422C">
        <w:tab/>
        <w:t>Should Gulf Power’s Motion for Summary Final Order be granted?</w:t>
      </w:r>
    </w:p>
    <w:p w:rsidR="008D0C20" w:rsidRDefault="008D0C20" w:rsidP="008D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8D0C20" w:rsidRDefault="008D0C20" w:rsidP="008D0C20">
      <w:pPr>
        <w:rPr>
          <w:b/>
          <w:u w:val="single"/>
        </w:rPr>
      </w:pPr>
      <w:r w:rsidRPr="002D1512">
        <w:rPr>
          <w:b/>
        </w:rPr>
        <w:t>IV.</w:t>
      </w:r>
      <w:r w:rsidRPr="002D1512">
        <w:rPr>
          <w:b/>
        </w:rPr>
        <w:tab/>
      </w:r>
      <w:r w:rsidRPr="00B040C8">
        <w:rPr>
          <w:b/>
          <w:u w:val="single"/>
        </w:rPr>
        <w:t>Affidavits in Lieu of Prefiled Testimony and Exhibits</w:t>
      </w:r>
    </w:p>
    <w:p w:rsidR="008D0C20" w:rsidRDefault="008D0C20" w:rsidP="008D0C20">
      <w:pPr>
        <w:rPr>
          <w:b/>
          <w:u w:val="single"/>
        </w:rPr>
      </w:pPr>
    </w:p>
    <w:p w:rsidR="008D0C20" w:rsidRDefault="008D0C20" w:rsidP="008D0C20">
      <w:pPr>
        <w:jc w:val="both"/>
      </w:pPr>
      <w:r>
        <w:tab/>
      </w:r>
      <w:r w:rsidRPr="0044422C">
        <w:t>No prefiled testimony and exhibits are required at this time.  If the Commission determines that the notice issue is dispositive, no hearing would be necessary and thus there would be no need for the parties to incur the expense of prefiling testimony and exhibits.  However, Section 120.57(1)(h), F.S., provides the Commission may entertain affidavits in ruling on a motion for summary final order.  Accordingly, the parties may file by August 10, 2018, for the Commission’s consideration, any affidavits relative to the notice issue.</w:t>
      </w:r>
    </w:p>
    <w:p w:rsidR="008D0C20" w:rsidRDefault="008D0C20" w:rsidP="008D0C20"/>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D1512">
        <w:t xml:space="preserve"> </w:t>
      </w:r>
    </w:p>
    <w:p w:rsidR="008D0C20" w:rsidRDefault="008D0C20" w:rsidP="008D0C20">
      <w:r>
        <w:br w:type="page"/>
      </w:r>
      <w:r w:rsidRPr="002D1512">
        <w:rPr>
          <w:b/>
        </w:rPr>
        <w:lastRenderedPageBreak/>
        <w:t>V.</w:t>
      </w:r>
      <w:r w:rsidRPr="002D1512">
        <w:rPr>
          <w:b/>
        </w:rPr>
        <w:tab/>
      </w:r>
      <w:r w:rsidRPr="002D1512">
        <w:rPr>
          <w:b/>
          <w:u w:val="single"/>
        </w:rPr>
        <w:t>Dis</w:t>
      </w:r>
      <w:r>
        <w:rPr>
          <w:b/>
          <w:u w:val="single"/>
        </w:rPr>
        <w:t>covery Procedures and Ruling on Motions for Protective Orders</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F.S., and the relevant provisions of Chapter </w:t>
      </w:r>
      <w:r w:rsidRPr="00131619">
        <w:t>366, F.S.</w:t>
      </w:r>
      <w:r>
        <w:t xml:space="preserve">, Rules 25-22, 25-40, and 28-106, F.A.C., and the Florida Rules of Civil Procedure (as applicable), as modified herein or as may be subsequently modified by the Prehearing Officer.  To limit the costs incurred by the parties, discovery </w:t>
      </w:r>
      <w:r w:rsidRPr="009D3F0A">
        <w:t>shall be limited to the issue</w:t>
      </w:r>
      <w:r>
        <w:t xml:space="preserve"> specified in Section III (2) above.  If the Commission ultimately finds the notice was not sufficient and a hearing is set, the Commission shall enter an order revising the scope of discovery.</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spacing w:line="2" w:lineRule="exact"/>
        <w:jc w:val="both"/>
      </w:pPr>
    </w:p>
    <w:p w:rsidR="008D0C20" w:rsidRPr="009D3F0A" w:rsidRDefault="008D0C20" w:rsidP="008D0C2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Pr="009D3F0A">
        <w:t>August 31, 2018.</w:t>
      </w:r>
    </w:p>
    <w:p w:rsidR="008D0C20" w:rsidRPr="007659C3" w:rsidRDefault="008D0C20" w:rsidP="008D0C2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w:t>
      </w:r>
      <w:r>
        <w:t xml:space="preserve"> </w:t>
      </w:r>
      <w:r w:rsidRPr="00C75702">
        <w:t>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8D0C20" w:rsidRDefault="008D0C20" w:rsidP="008D0C2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8D0C20" w:rsidRDefault="008D0C20" w:rsidP="008D0C2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8D0C20" w:rsidRDefault="008D0C20" w:rsidP="008D0C2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8D0C20" w:rsidRDefault="008D0C20" w:rsidP="008D0C2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Discovery responses shall be served within </w:t>
      </w:r>
      <w:r w:rsidRPr="009D3F0A">
        <w:t>20</w:t>
      </w:r>
      <w:r>
        <w:rPr>
          <w:b/>
          <w:i/>
        </w:rPr>
        <w:t xml:space="preserve"> </w:t>
      </w:r>
      <w:r w:rsidRPr="007659C3">
        <w:t>days (inclusive of mailing) of receipt of the discovery request.</w:t>
      </w:r>
      <w:r>
        <w:t xml:space="preserve"> </w:t>
      </w:r>
    </w:p>
    <w:p w:rsidR="008D0C20" w:rsidRDefault="008D0C20" w:rsidP="008D0C2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last discovery response.</w:t>
      </w:r>
    </w:p>
    <w:p w:rsidR="008D0C20" w:rsidRPr="007E338F" w:rsidRDefault="008D0C20" w:rsidP="008D0C2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 In addition, copies of all responses to requests for production of documents shall be provided to the Commission staff at its Tallahassee office unless otherwise agreed.</w:t>
      </w:r>
    </w:p>
    <w:p w:rsidR="008D0C20" w:rsidRPr="00972F91" w:rsidRDefault="008D0C20" w:rsidP="008D0C2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Unless subsequently modified by the Prehearing Officer, the following shall apply:</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spacing w:line="2" w:lineRule="exact"/>
        <w:jc w:val="both"/>
      </w:pPr>
    </w:p>
    <w:p w:rsidR="008D0C20" w:rsidRDefault="008D0C20" w:rsidP="008D0C20">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Pr="009D3F0A">
        <w:t>30.</w:t>
      </w:r>
    </w:p>
    <w:p w:rsidR="008D0C20" w:rsidRPr="009D3F0A" w:rsidRDefault="008D0C20" w:rsidP="008D0C20">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Pr="009D3F0A">
        <w:t>30.</w:t>
      </w:r>
    </w:p>
    <w:p w:rsidR="008D0C20" w:rsidRDefault="008D0C20" w:rsidP="008D0C20">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Pr="009D3F0A">
        <w:t>30.</w:t>
      </w:r>
    </w:p>
    <w:p w:rsidR="008D0C20" w:rsidRDefault="008D0C20" w:rsidP="008D0C20">
      <w:pPr>
        <w:ind w:firstLine="720"/>
        <w:jc w:val="both"/>
        <w:rPr>
          <w:rFonts w:cs="Courier New"/>
        </w:rPr>
      </w:pPr>
      <w:r>
        <w:rPr>
          <w:rFonts w:cs="Courier New"/>
        </w:rPr>
        <w:t>When a discovery request is served and the respondent intends to seek clarification of any portion of the discovery request, the respondent shall request such clarification within 5 days of service of the discovery request.  This procedure is intended to reduce delay in resolving discovery disputes.</w:t>
      </w:r>
    </w:p>
    <w:p w:rsidR="008D0C20" w:rsidRDefault="008D0C20" w:rsidP="008D0C20"/>
    <w:p w:rsidR="008D0C20" w:rsidRDefault="008D0C20" w:rsidP="008D0C20">
      <w:r>
        <w:tab/>
        <w:t>B.</w:t>
      </w:r>
      <w:r>
        <w:tab/>
      </w:r>
      <w:r>
        <w:rPr>
          <w:u w:val="single"/>
        </w:rPr>
        <w:t>Confidential Information Provided Pursuant to Discovery</w:t>
      </w:r>
    </w:p>
    <w:p w:rsidR="008D0C20" w:rsidRDefault="008D0C20" w:rsidP="008D0C20">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 366.093,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Pr="00AD5F83"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tab/>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t>C.</w:t>
      </w:r>
      <w:r>
        <w:tab/>
      </w:r>
      <w:r w:rsidRPr="006106D1">
        <w:rPr>
          <w:u w:val="single"/>
        </w:rPr>
        <w:t>Motions for Protective Orders</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Both of Gulf’s Motions for Protective Orders are denied to the extent that the parties may conduct discovery on the limited issue of whether Gulf Power provided sufficient notice to Gulf Coast under Section 2.3(a) of the Territorial Agreement.  The Commission may consider discovery received on this issue when ruling on Gulf Power’s Motion for Summary Final Order.  If the Commission does not resolve this complaint by a summary final order, a separate order will be entered revising the discovery process.</w:t>
      </w:r>
    </w:p>
    <w:p w:rsidR="008D0C20" w:rsidRDefault="008D0C20" w:rsidP="008D0C20"/>
    <w:p w:rsidR="008D0C20" w:rsidRPr="0096514B"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96514B">
        <w:rPr>
          <w:b/>
        </w:rPr>
        <w:t>VI.</w:t>
      </w:r>
      <w:r w:rsidRPr="0096514B">
        <w:rPr>
          <w:b/>
        </w:rPr>
        <w:tab/>
      </w:r>
      <w:r w:rsidRPr="0096514B">
        <w:rPr>
          <w:b/>
          <w:u w:val="single"/>
        </w:rPr>
        <w:t>Status Conference</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w:t>
      </w:r>
      <w:r w:rsidRPr="00B30E1E">
        <w:t xml:space="preserve">n its Response to Gulf Coast’s Motion for Status Conference, Gulf Power </w:t>
      </w:r>
      <w:r>
        <w:t>asserts</w:t>
      </w:r>
      <w:r w:rsidRPr="00B30E1E">
        <w:t xml:space="preserve"> that</w:t>
      </w:r>
      <w:r>
        <w:t xml:space="preserve"> neither a status conference nor</w:t>
      </w:r>
      <w:r w:rsidRPr="00B30E1E">
        <w:t xml:space="preserve"> an </w:t>
      </w:r>
      <w:r>
        <w:t>o</w:t>
      </w:r>
      <w:r w:rsidRPr="00B30E1E">
        <w:t xml:space="preserve">rder </w:t>
      </w:r>
      <w:r>
        <w:t>e</w:t>
      </w:r>
      <w:r w:rsidRPr="00B30E1E">
        <w:t xml:space="preserve">stablishing </w:t>
      </w:r>
      <w:r>
        <w:t>p</w:t>
      </w:r>
      <w:r w:rsidRPr="00B30E1E">
        <w:t xml:space="preserve">rocedure </w:t>
      </w:r>
      <w:r>
        <w:t>is</w:t>
      </w:r>
      <w:r w:rsidRPr="00B30E1E">
        <w:t xml:space="preserve"> necessary </w:t>
      </w:r>
      <w:r>
        <w:t>at this juncture,</w:t>
      </w:r>
      <w:r w:rsidRPr="00B30E1E">
        <w:t xml:space="preserve"> and that the Commission can rule on Gulf Power’s </w:t>
      </w:r>
      <w:r>
        <w:t>M</w:t>
      </w:r>
      <w:r w:rsidRPr="00B30E1E">
        <w:t xml:space="preserve">otion for Summary Final Order based solely upon the pleadings in this docket. </w:t>
      </w:r>
      <w:r>
        <w:t xml:space="preserve"> Given that this Order lays out the process for the Commission to consider the Motion for Summary Final Order as discussed herein, a Status Conference is not needed at this time, and thus, Gulf Coast’s request for a Status Conference is moot.  A separate order establishing procedure will be issued if the Commission does not resolve this complaint by a summary final order.</w:t>
      </w:r>
    </w:p>
    <w:p w:rsidR="008D0C20" w:rsidRPr="00B30E1E"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Controlling Dates</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are established to govern the key activities of this case:</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8D0C20" w:rsidTr="000E50A6">
        <w:trPr>
          <w:cantSplit/>
        </w:trPr>
        <w:tc>
          <w:tcPr>
            <w:tcW w:w="630" w:type="dxa"/>
            <w:tcBorders>
              <w:top w:val="nil"/>
              <w:left w:val="nil"/>
              <w:bottom w:val="nil"/>
              <w:right w:val="nil"/>
            </w:tcBorders>
          </w:tcPr>
          <w:p w:rsidR="008D0C20" w:rsidRDefault="008D0C20" w:rsidP="000E50A6">
            <w:pPr>
              <w:numPr>
                <w:ilvl w:val="12"/>
                <w:numId w:val="0"/>
              </w:numPr>
              <w:tabs>
                <w:tab w:val="left" w:pos="0"/>
              </w:tabs>
              <w:spacing w:before="120" w:after="57"/>
              <w:jc w:val="both"/>
            </w:pPr>
            <w:r>
              <w:t>(1)</w:t>
            </w:r>
          </w:p>
        </w:tc>
        <w:tc>
          <w:tcPr>
            <w:tcW w:w="5310" w:type="dxa"/>
            <w:tcBorders>
              <w:top w:val="nil"/>
              <w:left w:val="nil"/>
              <w:bottom w:val="nil"/>
              <w:right w:val="nil"/>
            </w:tcBorders>
          </w:tcPr>
          <w:p w:rsidR="008D0C20" w:rsidRDefault="008D0C20" w:rsidP="000E50A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Affidavits</w:t>
            </w:r>
          </w:p>
        </w:tc>
        <w:tc>
          <w:tcPr>
            <w:tcW w:w="3420" w:type="dxa"/>
            <w:tcBorders>
              <w:top w:val="nil"/>
              <w:left w:val="nil"/>
              <w:bottom w:val="nil"/>
              <w:right w:val="nil"/>
            </w:tcBorders>
          </w:tcPr>
          <w:p w:rsidR="008D0C20" w:rsidRDefault="008D0C20" w:rsidP="000E50A6">
            <w:pPr>
              <w:numPr>
                <w:ilvl w:val="12"/>
                <w:numId w:val="0"/>
              </w:numPr>
              <w:tabs>
                <w:tab w:val="left" w:pos="0"/>
                <w:tab w:val="left" w:pos="720"/>
                <w:tab w:val="left" w:pos="1440"/>
                <w:tab w:val="left" w:pos="2160"/>
                <w:tab w:val="left" w:pos="2880"/>
              </w:tabs>
              <w:spacing w:before="120" w:after="57"/>
              <w:jc w:val="both"/>
            </w:pPr>
            <w:r>
              <w:t>August 10, 2018</w:t>
            </w:r>
          </w:p>
        </w:tc>
      </w:tr>
      <w:tr w:rsidR="008D0C20" w:rsidTr="000E50A6">
        <w:trPr>
          <w:cantSplit/>
        </w:trPr>
        <w:tc>
          <w:tcPr>
            <w:tcW w:w="630" w:type="dxa"/>
            <w:tcBorders>
              <w:top w:val="nil"/>
              <w:left w:val="nil"/>
              <w:bottom w:val="nil"/>
              <w:right w:val="nil"/>
            </w:tcBorders>
          </w:tcPr>
          <w:p w:rsidR="008D0C20" w:rsidRDefault="008D0C20" w:rsidP="000E50A6">
            <w:pPr>
              <w:numPr>
                <w:ilvl w:val="12"/>
                <w:numId w:val="0"/>
              </w:numPr>
              <w:tabs>
                <w:tab w:val="left" w:pos="0"/>
              </w:tabs>
              <w:spacing w:before="120" w:after="57"/>
              <w:jc w:val="both"/>
            </w:pPr>
            <w:r>
              <w:t>(2)</w:t>
            </w:r>
          </w:p>
        </w:tc>
        <w:tc>
          <w:tcPr>
            <w:tcW w:w="5310" w:type="dxa"/>
            <w:tcBorders>
              <w:top w:val="nil"/>
              <w:left w:val="nil"/>
              <w:bottom w:val="nil"/>
              <w:right w:val="nil"/>
            </w:tcBorders>
          </w:tcPr>
          <w:p w:rsidR="008D0C20" w:rsidRDefault="008D0C20" w:rsidP="000E50A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 for limited discovery</w:t>
            </w:r>
          </w:p>
        </w:tc>
        <w:tc>
          <w:tcPr>
            <w:tcW w:w="3420" w:type="dxa"/>
            <w:tcBorders>
              <w:top w:val="nil"/>
              <w:left w:val="nil"/>
              <w:bottom w:val="nil"/>
              <w:right w:val="nil"/>
            </w:tcBorders>
          </w:tcPr>
          <w:p w:rsidR="008D0C20" w:rsidRDefault="008D0C20" w:rsidP="000E50A6">
            <w:pPr>
              <w:numPr>
                <w:ilvl w:val="12"/>
                <w:numId w:val="0"/>
              </w:numPr>
              <w:tabs>
                <w:tab w:val="left" w:pos="0"/>
                <w:tab w:val="left" w:pos="720"/>
                <w:tab w:val="left" w:pos="1440"/>
                <w:tab w:val="left" w:pos="2160"/>
                <w:tab w:val="left" w:pos="2880"/>
              </w:tabs>
              <w:spacing w:before="120" w:after="57"/>
              <w:jc w:val="both"/>
            </w:pPr>
            <w:r>
              <w:t>August 31, 2018</w:t>
            </w:r>
          </w:p>
        </w:tc>
      </w:tr>
      <w:tr w:rsidR="008D0C20" w:rsidTr="000E50A6">
        <w:trPr>
          <w:cantSplit/>
        </w:trPr>
        <w:tc>
          <w:tcPr>
            <w:tcW w:w="630" w:type="dxa"/>
            <w:tcBorders>
              <w:top w:val="nil"/>
              <w:left w:val="nil"/>
              <w:bottom w:val="nil"/>
              <w:right w:val="nil"/>
            </w:tcBorders>
          </w:tcPr>
          <w:p w:rsidR="008D0C20" w:rsidRDefault="008D0C20" w:rsidP="000E50A6">
            <w:pPr>
              <w:numPr>
                <w:ilvl w:val="12"/>
                <w:numId w:val="0"/>
              </w:numPr>
              <w:tabs>
                <w:tab w:val="left" w:pos="0"/>
              </w:tabs>
              <w:spacing w:before="120" w:after="57"/>
              <w:jc w:val="both"/>
            </w:pPr>
            <w:r>
              <w:t>(3)</w:t>
            </w:r>
          </w:p>
        </w:tc>
        <w:tc>
          <w:tcPr>
            <w:tcW w:w="5310" w:type="dxa"/>
            <w:tcBorders>
              <w:top w:val="nil"/>
              <w:left w:val="nil"/>
              <w:bottom w:val="nil"/>
              <w:right w:val="nil"/>
            </w:tcBorders>
          </w:tcPr>
          <w:p w:rsidR="008D0C20" w:rsidRDefault="008D0C20" w:rsidP="000E50A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8D0C20" w:rsidRDefault="008D0C20" w:rsidP="000E50A6">
            <w:pPr>
              <w:numPr>
                <w:ilvl w:val="12"/>
                <w:numId w:val="0"/>
              </w:numPr>
              <w:tabs>
                <w:tab w:val="left" w:pos="0"/>
                <w:tab w:val="left" w:pos="720"/>
                <w:tab w:val="left" w:pos="1440"/>
                <w:tab w:val="left" w:pos="2160"/>
                <w:tab w:val="left" w:pos="2880"/>
              </w:tabs>
              <w:spacing w:before="120" w:after="57"/>
              <w:jc w:val="both"/>
            </w:pPr>
            <w:r>
              <w:t>September 7, 2018</w:t>
            </w:r>
          </w:p>
        </w:tc>
      </w:tr>
      <w:tr w:rsidR="008D0C20" w:rsidTr="000E50A6">
        <w:trPr>
          <w:cantSplit/>
        </w:trPr>
        <w:tc>
          <w:tcPr>
            <w:tcW w:w="630" w:type="dxa"/>
            <w:tcBorders>
              <w:top w:val="nil"/>
              <w:left w:val="nil"/>
              <w:bottom w:val="nil"/>
              <w:right w:val="nil"/>
            </w:tcBorders>
          </w:tcPr>
          <w:p w:rsidR="008D0C20" w:rsidRDefault="008D0C20" w:rsidP="000E50A6">
            <w:pPr>
              <w:numPr>
                <w:ilvl w:val="12"/>
                <w:numId w:val="0"/>
              </w:numPr>
              <w:tabs>
                <w:tab w:val="left" w:pos="0"/>
              </w:tabs>
              <w:spacing w:before="120" w:after="57"/>
              <w:jc w:val="both"/>
            </w:pPr>
            <w:r>
              <w:t>(4)</w:t>
            </w:r>
          </w:p>
        </w:tc>
        <w:tc>
          <w:tcPr>
            <w:tcW w:w="5310" w:type="dxa"/>
            <w:tcBorders>
              <w:top w:val="nil"/>
              <w:left w:val="nil"/>
              <w:bottom w:val="nil"/>
              <w:right w:val="nil"/>
            </w:tcBorders>
          </w:tcPr>
          <w:p w:rsidR="008D0C20" w:rsidRDefault="008D0C20" w:rsidP="000E50A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48A4">
              <w:t>Consideration at Agenda Conference</w:t>
            </w:r>
          </w:p>
        </w:tc>
        <w:tc>
          <w:tcPr>
            <w:tcW w:w="3420" w:type="dxa"/>
            <w:tcBorders>
              <w:top w:val="nil"/>
              <w:left w:val="nil"/>
              <w:bottom w:val="nil"/>
              <w:right w:val="nil"/>
            </w:tcBorders>
          </w:tcPr>
          <w:p w:rsidR="008D0C20" w:rsidRDefault="008D0C20" w:rsidP="000E50A6">
            <w:pPr>
              <w:numPr>
                <w:ilvl w:val="12"/>
                <w:numId w:val="0"/>
              </w:numPr>
              <w:tabs>
                <w:tab w:val="left" w:pos="0"/>
                <w:tab w:val="left" w:pos="720"/>
                <w:tab w:val="left" w:pos="1440"/>
                <w:tab w:val="left" w:pos="2160"/>
                <w:tab w:val="left" w:pos="2880"/>
              </w:tabs>
              <w:spacing w:before="120" w:after="57"/>
              <w:jc w:val="both"/>
            </w:pPr>
            <w:r w:rsidRPr="00E648A4">
              <w:t>October 9, 2018</w:t>
            </w:r>
          </w:p>
        </w:tc>
      </w:tr>
    </w:tbl>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tab/>
        <w:t>In addition, all parties should be on notice that the Prehearing Officer may exercise the discretion to schedule conferences or meetings of the parties as deemed appropriate.  Such meetings or conferences will be properly noticed to afford the parties an opportunity to attend.</w:t>
      </w:r>
    </w:p>
    <w:p w:rsidR="008D0C20" w:rsidRDefault="008D0C20" w:rsidP="008D0C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after="200"/>
        <w:jc w:val="both"/>
      </w:pPr>
      <w:r>
        <w:tab/>
        <w:t>Based upon the foregoing, it is herby</w:t>
      </w:r>
    </w:p>
    <w:p w:rsidR="008D0C20" w:rsidRDefault="008D0C20" w:rsidP="008D0C20">
      <w:pPr>
        <w:pStyle w:val="ListParagraph"/>
        <w:spacing w:before="200" w:after="200"/>
        <w:ind w:left="0"/>
        <w:contextualSpacing w:val="0"/>
        <w:jc w:val="both"/>
        <w:rPr>
          <w:iCs/>
          <w:color w:val="212121"/>
        </w:rPr>
      </w:pPr>
      <w:r>
        <w:tab/>
      </w:r>
      <w:r w:rsidRPr="00817318">
        <w:rPr>
          <w:iCs/>
          <w:color w:val="212121"/>
        </w:rPr>
        <w:t>ORDERED by Commissioner</w:t>
      </w:r>
      <w:r>
        <w:rPr>
          <w:iCs/>
          <w:color w:val="212121"/>
        </w:rPr>
        <w:t xml:space="preserve"> </w:t>
      </w:r>
      <w:r w:rsidRPr="008A7E0E">
        <w:rPr>
          <w:iCs/>
        </w:rPr>
        <w:t xml:space="preserve">Julie </w:t>
      </w:r>
      <w:r>
        <w:rPr>
          <w:iCs/>
        </w:rPr>
        <w:t xml:space="preserve">I. </w:t>
      </w:r>
      <w:r w:rsidRPr="008A7E0E">
        <w:rPr>
          <w:iCs/>
        </w:rPr>
        <w:t>Brown</w:t>
      </w:r>
      <w:r w:rsidRPr="00817318">
        <w:rPr>
          <w:iCs/>
          <w:color w:val="212121"/>
        </w:rPr>
        <w:t xml:space="preserve">, as Prehearing Officer, that </w:t>
      </w:r>
      <w:r>
        <w:rPr>
          <w:iCs/>
          <w:color w:val="212121"/>
        </w:rPr>
        <w:t xml:space="preserve">the parties may conduct </w:t>
      </w:r>
      <w:r w:rsidRPr="00895BD9">
        <w:rPr>
          <w:iCs/>
          <w:color w:val="212121"/>
        </w:rPr>
        <w:t>limited discovery</w:t>
      </w:r>
      <w:r>
        <w:rPr>
          <w:iCs/>
          <w:color w:val="212121"/>
        </w:rPr>
        <w:t xml:space="preserve"> as set forth in Section V, may file affidavits as set forth in Section IV, and file briefs on the issues raised in Section III as set forth above.  It is further</w:t>
      </w:r>
    </w:p>
    <w:p w:rsidR="008D0C20" w:rsidRDefault="008D0C20" w:rsidP="008D0C20">
      <w:pPr>
        <w:pStyle w:val="ListParagraph"/>
        <w:spacing w:before="200" w:after="200"/>
        <w:ind w:left="0"/>
        <w:contextualSpacing w:val="0"/>
        <w:jc w:val="both"/>
        <w:rPr>
          <w:iCs/>
          <w:color w:val="212121"/>
        </w:rPr>
      </w:pPr>
      <w:r>
        <w:rPr>
          <w:iCs/>
          <w:color w:val="212121"/>
        </w:rPr>
        <w:tab/>
      </w:r>
      <w:r w:rsidRPr="00817318">
        <w:rPr>
          <w:iCs/>
          <w:color w:val="212121"/>
        </w:rPr>
        <w:t xml:space="preserve">ORDERED </w:t>
      </w:r>
      <w:r>
        <w:rPr>
          <w:iCs/>
          <w:color w:val="212121"/>
        </w:rPr>
        <w:t xml:space="preserve">that </w:t>
      </w:r>
      <w:r w:rsidRPr="0011022B">
        <w:rPr>
          <w:iCs/>
          <w:color w:val="212121"/>
        </w:rPr>
        <w:t>Gulf Power</w:t>
      </w:r>
      <w:r>
        <w:rPr>
          <w:iCs/>
          <w:color w:val="212121"/>
        </w:rPr>
        <w:t xml:space="preserve"> Company</w:t>
      </w:r>
      <w:r w:rsidRPr="0011022B">
        <w:rPr>
          <w:iCs/>
          <w:color w:val="212121"/>
        </w:rPr>
        <w:t>’s Motion</w:t>
      </w:r>
      <w:r>
        <w:rPr>
          <w:iCs/>
          <w:color w:val="212121"/>
        </w:rPr>
        <w:t>s</w:t>
      </w:r>
      <w:r w:rsidRPr="0011022B">
        <w:rPr>
          <w:iCs/>
          <w:color w:val="212121"/>
        </w:rPr>
        <w:t xml:space="preserve"> for Protective Order</w:t>
      </w:r>
      <w:r>
        <w:rPr>
          <w:iCs/>
          <w:color w:val="212121"/>
        </w:rPr>
        <w:t>s are denied as discussed herein.</w:t>
      </w:r>
      <w:r w:rsidRPr="00817318">
        <w:rPr>
          <w:iCs/>
          <w:color w:val="212121"/>
        </w:rPr>
        <w:t xml:space="preserve"> It is further</w:t>
      </w:r>
    </w:p>
    <w:p w:rsidR="008D0C20" w:rsidRDefault="008D0C20" w:rsidP="008D0C20">
      <w:pPr>
        <w:pStyle w:val="ListParagraph"/>
        <w:spacing w:before="200" w:after="200"/>
        <w:ind w:left="0"/>
        <w:contextualSpacing w:val="0"/>
        <w:jc w:val="both"/>
        <w:rPr>
          <w:iCs/>
          <w:color w:val="212121"/>
        </w:rPr>
      </w:pPr>
      <w:r>
        <w:rPr>
          <w:iCs/>
          <w:color w:val="212121"/>
        </w:rPr>
        <w:lastRenderedPageBreak/>
        <w:tab/>
        <w:t xml:space="preserve">ORDERED that Gulf Coast </w:t>
      </w:r>
      <w:r w:rsidRPr="0044422C">
        <w:t>Electric Cooperative, Inc.</w:t>
      </w:r>
      <w:r>
        <w:rPr>
          <w:iCs/>
          <w:color w:val="212121"/>
        </w:rPr>
        <w:t>’s</w:t>
      </w:r>
      <w:r w:rsidRPr="007A383B">
        <w:rPr>
          <w:iCs/>
          <w:color w:val="212121"/>
        </w:rPr>
        <w:t xml:space="preserve"> Motion for Status Conference</w:t>
      </w:r>
      <w:r>
        <w:rPr>
          <w:iCs/>
          <w:color w:val="212121"/>
        </w:rPr>
        <w:t xml:space="preserve"> is moot. It is further</w:t>
      </w:r>
    </w:p>
    <w:p w:rsidR="008D0C20" w:rsidRDefault="008D0C20" w:rsidP="008D0C20">
      <w:pPr>
        <w:pStyle w:val="ListParagraph"/>
        <w:spacing w:before="200" w:after="200"/>
        <w:ind w:left="0" w:firstLine="720"/>
        <w:contextualSpacing w:val="0"/>
        <w:jc w:val="both"/>
        <w:rPr>
          <w:iCs/>
          <w:color w:val="212121"/>
        </w:rPr>
      </w:pPr>
      <w:r>
        <w:rPr>
          <w:iCs/>
          <w:color w:val="212121"/>
        </w:rPr>
        <w:t xml:space="preserve">ORDERED that the provisions </w:t>
      </w:r>
      <w:r w:rsidRPr="00EA2D7B">
        <w:rPr>
          <w:iCs/>
          <w:color w:val="212121"/>
        </w:rPr>
        <w:t>of this Order shall govern this proceeding u</w:t>
      </w:r>
      <w:r>
        <w:rPr>
          <w:iCs/>
          <w:color w:val="212121"/>
        </w:rPr>
        <w:t xml:space="preserve">nless </w:t>
      </w:r>
      <w:r w:rsidRPr="00EA2D7B">
        <w:rPr>
          <w:iCs/>
          <w:color w:val="212121"/>
        </w:rPr>
        <w:t>modified by the Commission.</w:t>
      </w:r>
    </w:p>
    <w:p w:rsidR="008D0C20" w:rsidRDefault="008D0C20" w:rsidP="00B85817">
      <w:pPr>
        <w:pStyle w:val="CenterUnderline"/>
        <w:keepNext/>
        <w:keepLines/>
        <w:spacing w:before="200" w:after="200"/>
        <w:jc w:val="both"/>
        <w:rPr>
          <w:u w:val="none"/>
        </w:rPr>
      </w:pPr>
      <w:r>
        <w:rPr>
          <w:u w:val="none"/>
        </w:rPr>
        <w:tab/>
        <w:t xml:space="preserve">By ORDER of Commissioner Julie I. Brown, as Prehearing Officer, this </w:t>
      </w:r>
      <w:bookmarkStart w:id="6" w:name="replaceDate"/>
      <w:bookmarkEnd w:id="6"/>
      <w:r w:rsidR="00B85817">
        <w:t>23rd</w:t>
      </w:r>
      <w:r w:rsidR="00B85817">
        <w:rPr>
          <w:u w:val="none"/>
        </w:rPr>
        <w:t xml:space="preserve"> day of </w:t>
      </w:r>
      <w:r w:rsidR="00B85817">
        <w:t>July</w:t>
      </w:r>
      <w:r w:rsidR="00B85817">
        <w:rPr>
          <w:u w:val="none"/>
        </w:rPr>
        <w:t xml:space="preserve">, </w:t>
      </w:r>
      <w:r w:rsidR="00B85817">
        <w:t>2018</w:t>
      </w:r>
      <w:r w:rsidR="00B85817">
        <w:rPr>
          <w:u w:val="none"/>
        </w:rPr>
        <w:t>.</w:t>
      </w:r>
    </w:p>
    <w:p w:rsidR="00B85817" w:rsidRPr="00B85817" w:rsidRDefault="00B85817" w:rsidP="00B85817">
      <w:pPr>
        <w:pStyle w:val="CenterUnderline"/>
        <w:keepNext/>
        <w:keepLines/>
        <w:spacing w:before="200" w:after="200"/>
        <w:jc w:val="both"/>
        <w:rPr>
          <w:u w:val="none"/>
        </w:rPr>
      </w:pPr>
    </w:p>
    <w:p w:rsidR="008D0C20" w:rsidRDefault="008D0C20" w:rsidP="008D0C20">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8D0C20" w:rsidTr="000E50A6">
        <w:tc>
          <w:tcPr>
            <w:tcW w:w="720" w:type="dxa"/>
            <w:shd w:val="clear" w:color="auto" w:fill="auto"/>
          </w:tcPr>
          <w:p w:rsidR="008D0C20" w:rsidRDefault="008D0C20" w:rsidP="000E50A6">
            <w:pPr>
              <w:pStyle w:val="CenterUnderline"/>
              <w:keepNext/>
              <w:keepLines/>
              <w:jc w:val="left"/>
              <w:rPr>
                <w:u w:val="none"/>
              </w:rPr>
            </w:pPr>
            <w:bookmarkStart w:id="7" w:name="bkmrkSignature" w:colFirst="0" w:colLast="0"/>
          </w:p>
        </w:tc>
        <w:tc>
          <w:tcPr>
            <w:tcW w:w="4320" w:type="dxa"/>
            <w:tcBorders>
              <w:bottom w:val="single" w:sz="4" w:space="0" w:color="auto"/>
            </w:tcBorders>
            <w:shd w:val="clear" w:color="auto" w:fill="auto"/>
          </w:tcPr>
          <w:p w:rsidR="008D0C20" w:rsidRDefault="00B85817" w:rsidP="000E50A6">
            <w:pPr>
              <w:pStyle w:val="CenterUnderline"/>
              <w:keepNext/>
              <w:keepLines/>
              <w:jc w:val="left"/>
              <w:rPr>
                <w:u w:val="none"/>
              </w:rPr>
            </w:pPr>
            <w:r>
              <w:rPr>
                <w:u w:val="none"/>
              </w:rPr>
              <w:t>/s/ Julie I. Brown</w:t>
            </w:r>
            <w:bookmarkStart w:id="8" w:name="_GoBack"/>
            <w:bookmarkEnd w:id="8"/>
          </w:p>
        </w:tc>
      </w:tr>
      <w:bookmarkEnd w:id="7"/>
      <w:tr w:rsidR="008D0C20" w:rsidTr="000E50A6">
        <w:tc>
          <w:tcPr>
            <w:tcW w:w="720" w:type="dxa"/>
            <w:shd w:val="clear" w:color="auto" w:fill="auto"/>
          </w:tcPr>
          <w:p w:rsidR="008D0C20" w:rsidRDefault="008D0C20" w:rsidP="000E50A6">
            <w:pPr>
              <w:pStyle w:val="CenterUnderline"/>
              <w:keepNext/>
              <w:keepLines/>
              <w:jc w:val="left"/>
              <w:rPr>
                <w:u w:val="none"/>
              </w:rPr>
            </w:pPr>
          </w:p>
        </w:tc>
        <w:tc>
          <w:tcPr>
            <w:tcW w:w="4320" w:type="dxa"/>
            <w:tcBorders>
              <w:top w:val="single" w:sz="4" w:space="0" w:color="auto"/>
            </w:tcBorders>
            <w:shd w:val="clear" w:color="auto" w:fill="auto"/>
          </w:tcPr>
          <w:p w:rsidR="008D0C20" w:rsidRDefault="008D0C20" w:rsidP="000E50A6">
            <w:pPr>
              <w:pStyle w:val="CenterUnderline"/>
              <w:keepNext/>
              <w:keepLines/>
              <w:jc w:val="left"/>
              <w:rPr>
                <w:u w:val="none"/>
              </w:rPr>
            </w:pPr>
            <w:r>
              <w:rPr>
                <w:u w:val="none"/>
              </w:rPr>
              <w:t>JULIE I. BROWN</w:t>
            </w:r>
          </w:p>
          <w:p w:rsidR="008D0C20" w:rsidRDefault="008D0C20" w:rsidP="000E50A6">
            <w:pPr>
              <w:pStyle w:val="CenterUnderline"/>
              <w:keepNext/>
              <w:keepLines/>
              <w:jc w:val="left"/>
              <w:rPr>
                <w:u w:val="none"/>
              </w:rPr>
            </w:pPr>
            <w:r>
              <w:rPr>
                <w:u w:val="none"/>
              </w:rPr>
              <w:t>Commissioner and Prehearing Officer</w:t>
            </w:r>
          </w:p>
        </w:tc>
      </w:tr>
    </w:tbl>
    <w:p w:rsidR="008D0C20" w:rsidRDefault="008D0C20" w:rsidP="008D0C20">
      <w:pPr>
        <w:pStyle w:val="OrderSigInfo"/>
        <w:keepNext/>
        <w:keepLines/>
      </w:pPr>
      <w:r>
        <w:t>Florida Public Service Commission</w:t>
      </w:r>
    </w:p>
    <w:p w:rsidR="008D0C20" w:rsidRDefault="008D0C20" w:rsidP="008D0C20">
      <w:pPr>
        <w:pStyle w:val="OrderSigInfo"/>
        <w:keepNext/>
        <w:keepLines/>
      </w:pPr>
      <w:r>
        <w:t>2540 Shumard Oak Boulevard</w:t>
      </w:r>
    </w:p>
    <w:p w:rsidR="008D0C20" w:rsidRDefault="008D0C20" w:rsidP="008D0C20">
      <w:pPr>
        <w:pStyle w:val="OrderSigInfo"/>
        <w:keepNext/>
        <w:keepLines/>
      </w:pPr>
      <w:r>
        <w:t>Tallahassee, Florida 32399</w:t>
      </w:r>
    </w:p>
    <w:p w:rsidR="008D0C20" w:rsidRDefault="008D0C20" w:rsidP="008D0C20">
      <w:pPr>
        <w:pStyle w:val="OrderSigInfo"/>
        <w:keepNext/>
        <w:keepLines/>
      </w:pPr>
      <w:r>
        <w:t>(850) 413</w:t>
      </w:r>
      <w:r>
        <w:noBreakHyphen/>
        <w:t>6770</w:t>
      </w:r>
    </w:p>
    <w:p w:rsidR="008D0C20" w:rsidRDefault="008D0C20" w:rsidP="008D0C20">
      <w:pPr>
        <w:pStyle w:val="OrderSigInfo"/>
        <w:keepNext/>
        <w:keepLines/>
      </w:pPr>
      <w:r>
        <w:t>www.floridapsc.com</w:t>
      </w:r>
    </w:p>
    <w:p w:rsidR="008D0C20" w:rsidRPr="005F105B" w:rsidRDefault="008D0C20" w:rsidP="008D0C20">
      <w:pPr>
        <w:pStyle w:val="OrderSigInfo"/>
        <w:keepNext/>
        <w:keepLines/>
        <w:rPr>
          <w:sz w:val="12"/>
          <w:szCs w:val="12"/>
        </w:rPr>
      </w:pPr>
    </w:p>
    <w:p w:rsidR="008D0C20" w:rsidRDefault="008D0C20" w:rsidP="008D0C20">
      <w:pPr>
        <w:pStyle w:val="OrderSigInfo"/>
        <w:keepNext/>
        <w:keepLines/>
      </w:pPr>
      <w:r>
        <w:t>Copies furnished:  A copy of this document is provided to the parties of record at the time of issuance and, if applicable, interested persons.</w:t>
      </w:r>
    </w:p>
    <w:p w:rsidR="008D0C20" w:rsidRDefault="008D0C20" w:rsidP="008D0C20">
      <w:pPr>
        <w:pStyle w:val="CenterUnderline"/>
        <w:jc w:val="left"/>
        <w:rPr>
          <w:u w:val="none"/>
        </w:rPr>
      </w:pPr>
    </w:p>
    <w:p w:rsidR="008D0C20" w:rsidRDefault="008D0C20" w:rsidP="008D0C20">
      <w:pPr>
        <w:pStyle w:val="CenterUnderline"/>
        <w:jc w:val="left"/>
        <w:rPr>
          <w:u w:val="none"/>
        </w:rPr>
      </w:pPr>
      <w:r w:rsidRPr="00EA2D7B">
        <w:rPr>
          <w:u w:val="none"/>
        </w:rPr>
        <w:t>KMS</w:t>
      </w:r>
    </w:p>
    <w:p w:rsidR="008D0C20" w:rsidRPr="00EA2D7B" w:rsidRDefault="008D0C20" w:rsidP="008D0C20">
      <w:pPr>
        <w:pStyle w:val="CenterUnderline"/>
        <w:jc w:val="left"/>
        <w:rPr>
          <w:u w:val="none"/>
        </w:rPr>
      </w:pPr>
    </w:p>
    <w:p w:rsidR="008D0C20" w:rsidRDefault="008D0C20" w:rsidP="008D0C20">
      <w:pPr>
        <w:rPr>
          <w:u w:val="single"/>
        </w:rPr>
      </w:pPr>
      <w:r>
        <w:br w:type="page"/>
      </w:r>
    </w:p>
    <w:p w:rsidR="008D0C20" w:rsidRDefault="008D0C20" w:rsidP="008D0C20">
      <w:pPr>
        <w:pStyle w:val="CenterUnderline"/>
      </w:pPr>
      <w:r>
        <w:lastRenderedPageBreak/>
        <w:t>NOTICE OF FURTHER PROCEEDINGS OR JUDICIAL REVIEW</w:t>
      </w:r>
    </w:p>
    <w:p w:rsidR="008D0C20" w:rsidRDefault="008D0C20" w:rsidP="008D0C20">
      <w:pPr>
        <w:pStyle w:val="CenterUnderline"/>
      </w:pPr>
    </w:p>
    <w:p w:rsidR="008D0C20" w:rsidRDefault="008D0C20" w:rsidP="008D0C2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D0C20" w:rsidRDefault="008D0C20" w:rsidP="008D0C20">
      <w:pPr>
        <w:pStyle w:val="OrderBody"/>
      </w:pPr>
    </w:p>
    <w:p w:rsidR="008D0C20" w:rsidRDefault="008D0C20" w:rsidP="008D0C20">
      <w:pPr>
        <w:pStyle w:val="OrderBody"/>
      </w:pPr>
      <w:r>
        <w:tab/>
        <w:t>Mediation may be available on a case-by-case basis. If mediation is conducted, it does not affect a substantially interested person's right to a hearing.</w:t>
      </w:r>
    </w:p>
    <w:p w:rsidR="008D0C20" w:rsidRDefault="008D0C20" w:rsidP="008D0C20">
      <w:pPr>
        <w:pStyle w:val="OrderBody"/>
      </w:pPr>
    </w:p>
    <w:p w:rsidR="008D0C20" w:rsidRDefault="008D0C20" w:rsidP="008D0C2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D0C20" w:rsidRDefault="008D0C20" w:rsidP="008D0C20"/>
    <w:p w:rsidR="00B41039" w:rsidRDefault="00B41039" w:rsidP="00B41039"/>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C20" w:rsidRDefault="008D0C20">
      <w:r>
        <w:separator/>
      </w:r>
    </w:p>
  </w:endnote>
  <w:endnote w:type="continuationSeparator" w:id="0">
    <w:p w:rsidR="008D0C20" w:rsidRDefault="008D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C20" w:rsidRDefault="008D0C20">
      <w:r>
        <w:separator/>
      </w:r>
    </w:p>
  </w:footnote>
  <w:footnote w:type="continuationSeparator" w:id="0">
    <w:p w:rsidR="008D0C20" w:rsidRDefault="008D0C20">
      <w:r>
        <w:continuationSeparator/>
      </w:r>
    </w:p>
  </w:footnote>
  <w:footnote w:id="1">
    <w:p w:rsidR="008D0C20" w:rsidRPr="00511706" w:rsidRDefault="008D0C20" w:rsidP="008D0C20">
      <w:pPr>
        <w:pStyle w:val="FootnoteText"/>
      </w:pPr>
      <w:r>
        <w:rPr>
          <w:rStyle w:val="FootnoteReference"/>
        </w:rPr>
        <w:footnoteRef/>
      </w:r>
      <w:r>
        <w:t xml:space="preserve"> Order No.</w:t>
      </w:r>
      <w:r w:rsidRPr="001C77C5">
        <w:t xml:space="preserve"> PSC-01-1554-FOF-WU</w:t>
      </w:r>
      <w:r>
        <w:t xml:space="preserve">, issued July 27, 2001, in Docket No. </w:t>
      </w:r>
      <w:r w:rsidRPr="00511706">
        <w:t>991437-WU</w:t>
      </w:r>
      <w:r>
        <w:t xml:space="preserve">, </w:t>
      </w:r>
      <w:r w:rsidRPr="001C77C5">
        <w:rPr>
          <w:i/>
        </w:rPr>
        <w:t>I</w:t>
      </w:r>
      <w:r>
        <w:rPr>
          <w:i/>
        </w:rPr>
        <w:t>n Re: Wedgefield Utilities, Inc.</w:t>
      </w:r>
      <w:r>
        <w:t xml:space="preserve">, </w:t>
      </w:r>
      <w:r w:rsidRPr="001C77C5">
        <w:t>citing</w:t>
      </w:r>
      <w:r>
        <w:t xml:space="preserve"> </w:t>
      </w:r>
      <w:r w:rsidRPr="001C77C5">
        <w:rPr>
          <w:i/>
        </w:rPr>
        <w:t>Brandauer v. Publix Super Markets, Inc.</w:t>
      </w:r>
      <w:r>
        <w:t>, 657 So. 2d 932, 933–34 (Fla. 2d DCA 1995).</w:t>
      </w:r>
    </w:p>
    <w:p w:rsidR="008D0C20" w:rsidRDefault="008D0C20" w:rsidP="008D0C2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7 ">
      <w:r w:rsidR="00B85817">
        <w:t>PSC-2018-0357-PCO-EU</w:t>
      </w:r>
    </w:fldSimple>
  </w:p>
  <w:p w:rsidR="00FA6EFD" w:rsidRDefault="008D0C20">
    <w:pPr>
      <w:pStyle w:val="OrderHeader"/>
    </w:pPr>
    <w:bookmarkStart w:id="9" w:name="HeaderDocketNo"/>
    <w:bookmarkEnd w:id="9"/>
    <w:r>
      <w:t>DOCKET NO. 20180125-EU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5817">
      <w:rPr>
        <w:rStyle w:val="PageNumber"/>
        <w:noProof/>
      </w:rPr>
      <w:t>8</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1">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25-EU"/>
  </w:docVars>
  <w:rsids>
    <w:rsidRoot w:val="008D0C20"/>
    <w:rsid w:val="000022B8"/>
    <w:rsid w:val="00035A8C"/>
    <w:rsid w:val="00053AB9"/>
    <w:rsid w:val="00056229"/>
    <w:rsid w:val="00057AF1"/>
    <w:rsid w:val="00065FC2"/>
    <w:rsid w:val="00067685"/>
    <w:rsid w:val="00076E6B"/>
    <w:rsid w:val="0008247D"/>
    <w:rsid w:val="00090AFC"/>
    <w:rsid w:val="000B783E"/>
    <w:rsid w:val="000D02B8"/>
    <w:rsid w:val="000D06E8"/>
    <w:rsid w:val="000D6291"/>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1CBE"/>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D0C20"/>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5817"/>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3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8D0C20"/>
  </w:style>
  <w:style w:type="character" w:styleId="Hyperlink">
    <w:name w:val="Hyperlink"/>
    <w:uiPriority w:val="99"/>
    <w:unhideWhenUsed/>
    <w:rsid w:val="008D0C20"/>
    <w:rPr>
      <w:color w:val="0000FF"/>
      <w:u w:val="single"/>
    </w:rPr>
  </w:style>
  <w:style w:type="paragraph" w:styleId="ListParagraph">
    <w:name w:val="List Paragraph"/>
    <w:basedOn w:val="Normal"/>
    <w:uiPriority w:val="34"/>
    <w:qFormat/>
    <w:rsid w:val="008D0C20"/>
    <w:pPr>
      <w:ind w:left="720"/>
      <w:contextualSpacing/>
    </w:pPr>
  </w:style>
  <w:style w:type="paragraph" w:customStyle="1" w:styleId="Level1">
    <w:name w:val="Level 1"/>
    <w:rsid w:val="008D0C20"/>
    <w:pPr>
      <w:autoSpaceDE w:val="0"/>
      <w:autoSpaceDN w:val="0"/>
      <w:adjustRightInd w:val="0"/>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8D0C20"/>
  </w:style>
  <w:style w:type="character" w:styleId="Hyperlink">
    <w:name w:val="Hyperlink"/>
    <w:uiPriority w:val="99"/>
    <w:unhideWhenUsed/>
    <w:rsid w:val="008D0C20"/>
    <w:rPr>
      <w:color w:val="0000FF"/>
      <w:u w:val="single"/>
    </w:rPr>
  </w:style>
  <w:style w:type="paragraph" w:styleId="ListParagraph">
    <w:name w:val="List Paragraph"/>
    <w:basedOn w:val="Normal"/>
    <w:uiPriority w:val="34"/>
    <w:qFormat/>
    <w:rsid w:val="008D0C20"/>
    <w:pPr>
      <w:ind w:left="720"/>
      <w:contextualSpacing/>
    </w:pPr>
  </w:style>
  <w:style w:type="paragraph" w:customStyle="1" w:styleId="Level1">
    <w:name w:val="Level 1"/>
    <w:rsid w:val="008D0C20"/>
    <w:pPr>
      <w:autoSpaceDE w:val="0"/>
      <w:autoSpaceDN w:val="0"/>
      <w:adjustRightInd w:val="0"/>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8</Pages>
  <Words>2749</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2018-07-23T17:36:00Z</dcterms:created>
  <dcterms:modified xsi:type="dcterms:W3CDTF">2018-07-23T17:47:00Z</dcterms:modified>
</cp:coreProperties>
</file>