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D3131" w:rsidP="00C06700">
            <w:pPr>
              <w:pStyle w:val="MemoHeading"/>
            </w:pPr>
            <w:bookmarkStart w:id="1" w:name="FilingDate"/>
            <w:r>
              <w:t>March 2</w:t>
            </w:r>
            <w:r w:rsidR="00C06700">
              <w:t>6</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D3131" w:rsidRDefault="009D3131">
            <w:pPr>
              <w:pStyle w:val="MemoHeading"/>
            </w:pPr>
            <w:bookmarkStart w:id="2" w:name="From"/>
            <w:r>
              <w:t>Office of the General Counsel (Schrader, Crawford, King)</w:t>
            </w:r>
          </w:p>
          <w:p w:rsidR="009D3131" w:rsidRDefault="009D3131">
            <w:pPr>
              <w:pStyle w:val="MemoHeading"/>
            </w:pPr>
            <w:r>
              <w:t>Division of Economics (Merryday</w:t>
            </w:r>
            <w:r w:rsidR="00F63486">
              <w:t>, Draper</w:t>
            </w:r>
            <w:r>
              <w:t>)</w:t>
            </w:r>
          </w:p>
          <w:p w:rsidR="007C0528" w:rsidRDefault="009D3131">
            <w:pPr>
              <w:pStyle w:val="MemoHeading"/>
            </w:pPr>
            <w:r>
              <w:t>Division of Engineering (Ballinger, Graves)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D3131">
            <w:pPr>
              <w:pStyle w:val="MemoHeadingRe"/>
            </w:pPr>
            <w:bookmarkStart w:id="3" w:name="Re"/>
            <w:r>
              <w:t>Docket No. 20180125-EU – Complaint against Gulf Power Company for expedited enforcement of territorial order, by Gulf Coast Electric Cooperative,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D3131" w:rsidP="0022222C">
            <w:pPr>
              <w:pStyle w:val="MemoHeading"/>
            </w:pPr>
            <w:bookmarkStart w:id="4" w:name="AgendaDate"/>
            <w:r>
              <w:t>0</w:t>
            </w:r>
            <w:r w:rsidR="0022222C">
              <w:t>4/</w:t>
            </w:r>
            <w:r w:rsidR="00DC62DC">
              <w:t>0</w:t>
            </w:r>
            <w:r w:rsidR="0022222C">
              <w:t>2</w:t>
            </w:r>
            <w:r>
              <w:t>/19</w:t>
            </w:r>
            <w:bookmarkEnd w:id="4"/>
            <w:r w:rsidR="007C0528">
              <w:t xml:space="preserve"> – </w:t>
            </w:r>
            <w:bookmarkStart w:id="5" w:name="PermittedStatus"/>
            <w:r>
              <w:t xml:space="preserve">Regular Agenda – </w:t>
            </w:r>
            <w:r w:rsidR="00C622F1">
              <w:t>Proposed Agency Action</w:t>
            </w:r>
            <w:r w:rsidR="0073491E">
              <w:t xml:space="preserve"> – </w:t>
            </w:r>
            <w:r>
              <w:t>Interested</w:t>
            </w:r>
            <w:r w:rsidR="00C622F1">
              <w:t xml:space="preserve"> </w:t>
            </w:r>
            <w:r>
              <w:t>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D313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D3131">
            <w:pPr>
              <w:pStyle w:val="MemoHeading"/>
            </w:pPr>
            <w:bookmarkStart w:id="7" w:name="PrehearingOfficer"/>
            <w:bookmarkEnd w:id="7"/>
            <w:r>
              <w:t>Brown</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D313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622F1">
            <w:pPr>
              <w:pStyle w:val="MemoHeading"/>
            </w:pPr>
            <w:bookmarkStart w:id="10" w:name="SpecialInstructions"/>
            <w:bookmarkEnd w:id="10"/>
            <w:r>
              <w:t>None</w:t>
            </w:r>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rsidR="006C3633" w:rsidRDefault="006C3633" w:rsidP="006C3633">
      <w:pPr>
        <w:jc w:val="both"/>
      </w:pPr>
      <w:r>
        <w:t xml:space="preserve">This docket pertains to a territorial dispute between </w:t>
      </w:r>
      <w:r w:rsidR="00DF422F">
        <w:t>Gulf Coast Electric Cooperative (</w:t>
      </w:r>
      <w:r>
        <w:t>GCEC</w:t>
      </w:r>
      <w:r w:rsidR="00DF422F">
        <w:t>)</w:t>
      </w:r>
      <w:r w:rsidR="0030752C">
        <w:t xml:space="preserve"> and </w:t>
      </w:r>
      <w:r>
        <w:t xml:space="preserve">Gulf Power </w:t>
      </w:r>
      <w:r w:rsidR="00DF422F">
        <w:t xml:space="preserve">Company (Gulf Power) </w:t>
      </w:r>
      <w:r>
        <w:t>over new service to a sewage treatment lift facility (Lift Facility) that was constructed by St. Joe Company. The ultimate customer of the Lift Facility</w:t>
      </w:r>
      <w:r w:rsidR="00F63486">
        <w:t xml:space="preserve"> </w:t>
      </w:r>
      <w:r w:rsidR="000D54E4">
        <w:t>is</w:t>
      </w:r>
      <w:r>
        <w:t xml:space="preserve"> Bay County, and the Lift Facility was transferred to Bay County </w:t>
      </w:r>
      <w:r w:rsidR="005D1917">
        <w:t>after</w:t>
      </w:r>
      <w:r>
        <w:t xml:space="preserve"> </w:t>
      </w:r>
      <w:r w:rsidR="00F05947">
        <w:t xml:space="preserve">the </w:t>
      </w:r>
      <w:r>
        <w:t xml:space="preserve">completion and commissioning of the facility. </w:t>
      </w:r>
    </w:p>
    <w:p w:rsidR="006133DB" w:rsidRDefault="006133DB" w:rsidP="006C3633">
      <w:pPr>
        <w:jc w:val="both"/>
      </w:pPr>
    </w:p>
    <w:p w:rsidR="006C3633" w:rsidRDefault="002D5EAB" w:rsidP="006C3633">
      <w:pPr>
        <w:jc w:val="both"/>
      </w:pPr>
      <w:r>
        <w:t xml:space="preserve">To resolve </w:t>
      </w:r>
      <w:r w:rsidR="006C3633">
        <w:t>a long-standing dispute between GCEC and Gulf Power regarding electric service in certain areas of Washington and Bay Counties,</w:t>
      </w:r>
      <w:r w:rsidR="003D3A81">
        <w:t xml:space="preserve"> GCEC and Gulf Power entered into a Territorial Agreement (Territorial Agreement). The Territorial Agreement set out procedures and guidelines by which the parties were to address subtransmission, distribution, and new requests for service. </w:t>
      </w:r>
      <w:r w:rsidR="000D54E4">
        <w:t xml:space="preserve">The </w:t>
      </w:r>
      <w:r w:rsidR="006C3633">
        <w:t>Commission</w:t>
      </w:r>
      <w:r w:rsidR="003D3A81">
        <w:t xml:space="preserve"> approved this Territorial Agreement by</w:t>
      </w:r>
      <w:r w:rsidR="00F63486">
        <w:t xml:space="preserve"> </w:t>
      </w:r>
      <w:r w:rsidR="006C3633">
        <w:t xml:space="preserve">Order Nos. PSC-01-0891-PAA-EU, </w:t>
      </w:r>
      <w:r w:rsidR="006C3633">
        <w:lastRenderedPageBreak/>
        <w:t>issued April 9, 2001, and PSC-01-0891A-PAA-EU, issued March 26, 2002</w:t>
      </w:r>
      <w:r w:rsidR="00CD19B9">
        <w:t xml:space="preserve"> </w:t>
      </w:r>
      <w:r w:rsidR="006C3633">
        <w:t>(collectively referred to h</w:t>
      </w:r>
      <w:r w:rsidR="003D3A81">
        <w:t>erein as the Territorial Order).</w:t>
      </w:r>
      <w:r w:rsidR="006C3633">
        <w:rPr>
          <w:rStyle w:val="FootnoteReference"/>
        </w:rPr>
        <w:footnoteReference w:id="1"/>
      </w:r>
    </w:p>
    <w:p w:rsidR="003D3A81" w:rsidRDefault="003D3A81" w:rsidP="006C3633">
      <w:pPr>
        <w:jc w:val="both"/>
      </w:pPr>
    </w:p>
    <w:p w:rsidR="001337E7" w:rsidRDefault="001337E7" w:rsidP="006C3633">
      <w:pPr>
        <w:jc w:val="both"/>
      </w:pPr>
      <w:r>
        <w:t>T</w:t>
      </w:r>
      <w:r w:rsidR="006C3633">
        <w:t xml:space="preserve">he Territorial Agreement does not use a traditional “lines-on-the-ground” territorial boundary. Rather, the Territorial Agreement </w:t>
      </w:r>
      <w:r>
        <w:t>establishes</w:t>
      </w:r>
      <w:r w:rsidR="006C3633">
        <w:t xml:space="preserve"> procedures for the parties to follow upon receiving a request for service from a customer</w:t>
      </w:r>
      <w:r>
        <w:t>.</w:t>
      </w:r>
      <w:r w:rsidR="002D5EAB" w:rsidDel="002D5EAB">
        <w:t xml:space="preserve"> </w:t>
      </w:r>
    </w:p>
    <w:p w:rsidR="005A63DB" w:rsidRDefault="005A63DB" w:rsidP="006C3633">
      <w:pPr>
        <w:jc w:val="both"/>
      </w:pPr>
    </w:p>
    <w:p w:rsidR="005E3567" w:rsidRDefault="006133DB" w:rsidP="006C3633">
      <w:pPr>
        <w:jc w:val="both"/>
      </w:pPr>
      <w:r>
        <w:t>On May 23, 2018, GCEC filed a c</w:t>
      </w:r>
      <w:r w:rsidRPr="00A0406F">
        <w:t xml:space="preserve">omplaint against </w:t>
      </w:r>
      <w:r>
        <w:t>Gulf Power</w:t>
      </w:r>
      <w:r w:rsidRPr="00A0406F">
        <w:t xml:space="preserve"> </w:t>
      </w:r>
      <w:r w:rsidR="002D5EAB">
        <w:t>in the instant docket</w:t>
      </w:r>
      <w:r w:rsidR="00F63486">
        <w:t xml:space="preserve"> alleging, in essence, that Gulf Power did not comply with the notice procedures of the Territorial Agreement and</w:t>
      </w:r>
      <w:r w:rsidR="002D5EAB">
        <w:t xml:space="preserve"> </w:t>
      </w:r>
      <w:r w:rsidRPr="00A0406F">
        <w:t>seeking expedited enforc</w:t>
      </w:r>
      <w:r>
        <w:t>ement of the Territorial Agreement</w:t>
      </w:r>
      <w:r w:rsidR="00F63486">
        <w:t xml:space="preserve"> in GCEC’s favor to service the </w:t>
      </w:r>
      <w:r w:rsidR="003D3A81">
        <w:t xml:space="preserve">new </w:t>
      </w:r>
      <w:r w:rsidR="00F63486">
        <w:t>Lift Facility</w:t>
      </w:r>
      <w:r w:rsidR="005A63DB">
        <w:t>.</w:t>
      </w:r>
      <w:r w:rsidR="00032781">
        <w:t xml:space="preserve"> </w:t>
      </w:r>
      <w:r>
        <w:t xml:space="preserve">After filing an answer to GCEC’s complaint, Gulf Power filed a Motion for Summary Final Order on June 6, 2018. </w:t>
      </w:r>
      <w:r w:rsidRPr="004D3F63">
        <w:t>At the December 11, 2018 Agenda Conference</w:t>
      </w:r>
      <w:r>
        <w:t>,</w:t>
      </w:r>
      <w:r w:rsidRPr="004D3F63">
        <w:t xml:space="preserve"> </w:t>
      </w:r>
      <w:r>
        <w:t xml:space="preserve">the </w:t>
      </w:r>
      <w:r w:rsidRPr="00672297">
        <w:t xml:space="preserve">Commission </w:t>
      </w:r>
      <w:r>
        <w:t xml:space="preserve">voted to </w:t>
      </w:r>
      <w:r w:rsidRPr="00672297">
        <w:t>grant Gulf Power’s Motion for Summary Final Order and denied GCEC’s Motion for Summary Final</w:t>
      </w:r>
      <w:r w:rsidR="00AC0808">
        <w:t xml:space="preserve"> Order as moot</w:t>
      </w:r>
      <w:r w:rsidR="004C3246">
        <w:t>.</w:t>
      </w:r>
      <w:r w:rsidR="002D5EAB">
        <w:t xml:space="preserve"> Prior to the issuance of an order on that vote</w:t>
      </w:r>
      <w:r w:rsidR="004C3246">
        <w:t xml:space="preserve">, </w:t>
      </w:r>
      <w:r w:rsidR="0001119F">
        <w:t>staff filed a recommendation</w:t>
      </w:r>
      <w:r w:rsidR="004C3246">
        <w:t xml:space="preserve"> on February 21, 2019</w:t>
      </w:r>
      <w:r w:rsidR="000442C6">
        <w:t>,</w:t>
      </w:r>
      <w:r w:rsidR="0001119F">
        <w:t xml:space="preserve"> stating that </w:t>
      </w:r>
      <w:r w:rsidR="002B11F5">
        <w:t>staff</w:t>
      </w:r>
      <w:r w:rsidR="0001119F">
        <w:t xml:space="preserve"> believed it had incorrectly advised the </w:t>
      </w:r>
      <w:r w:rsidR="0001119F" w:rsidRPr="0001119F">
        <w:t>Commission on Gulf Power’s Motion for Summary Final Order</w:t>
      </w:r>
      <w:r w:rsidR="0001119F">
        <w:t xml:space="preserve"> and recommended that the Commission va</w:t>
      </w:r>
      <w:r w:rsidR="005E3567">
        <w:t>cate its December 11, 2018 votes to grant Gulf Power’s</w:t>
      </w:r>
      <w:r w:rsidR="002B11F5">
        <w:t xml:space="preserve"> Motion for Summary Final Order and</w:t>
      </w:r>
      <w:r w:rsidR="005E3567">
        <w:t xml:space="preserve"> deny GCEC’s Motion for Summary Final Order</w:t>
      </w:r>
      <w:r w:rsidR="002B11F5">
        <w:t>,</w:t>
      </w:r>
      <w:r w:rsidR="0001119F">
        <w:t xml:space="preserve"> and reconsider the parties’ motions. </w:t>
      </w:r>
      <w:r w:rsidR="008F7C6C">
        <w:t>Staff’s recommendation</w:t>
      </w:r>
      <w:r w:rsidR="003D3A81">
        <w:t>,</w:t>
      </w:r>
      <w:r w:rsidR="008F7C6C">
        <w:t xml:space="preserve"> ultimately</w:t>
      </w:r>
      <w:r w:rsidR="003D3A81">
        <w:t>,</w:t>
      </w:r>
      <w:r w:rsidR="008F7C6C">
        <w:t xml:space="preserve"> was to deny both Gulf Power’s and GCEC’s Motions for Summary Final Order. </w:t>
      </w:r>
      <w:r w:rsidR="0001119F">
        <w:t>At the request of the parties</w:t>
      </w:r>
      <w:r w:rsidR="00AC0808">
        <w:t>, and</w:t>
      </w:r>
      <w:r w:rsidR="005E3567">
        <w:t xml:space="preserve"> in order to </w:t>
      </w:r>
      <w:r w:rsidR="00AC0808">
        <w:t xml:space="preserve">allow for </w:t>
      </w:r>
      <w:r w:rsidR="005E3567">
        <w:t>further discuss</w:t>
      </w:r>
      <w:r w:rsidR="00AC0808">
        <w:t>ion of</w:t>
      </w:r>
      <w:r w:rsidR="005E3567">
        <w:t xml:space="preserve"> settlement</w:t>
      </w:r>
      <w:r w:rsidR="00AC0808">
        <w:t xml:space="preserve"> of this matter</w:t>
      </w:r>
      <w:r w:rsidR="0001119F">
        <w:t>, the Commissio</w:t>
      </w:r>
      <w:r w:rsidR="002B11F5">
        <w:t xml:space="preserve">n deferred consideration of the </w:t>
      </w:r>
      <w:r w:rsidR="0001119F">
        <w:t>recommendation until the April 2, 2019 Agenda</w:t>
      </w:r>
      <w:r w:rsidR="002D5EAB">
        <w:t xml:space="preserve"> Conference</w:t>
      </w:r>
      <w:r w:rsidR="0001119F">
        <w:t>.</w:t>
      </w:r>
    </w:p>
    <w:p w:rsidR="005E3567" w:rsidRDefault="005E3567" w:rsidP="006C3633">
      <w:pPr>
        <w:jc w:val="both"/>
      </w:pPr>
    </w:p>
    <w:p w:rsidR="00DF422F" w:rsidRDefault="00DF422F" w:rsidP="00DF422F">
      <w:pPr>
        <w:pStyle w:val="BodyText"/>
      </w:pPr>
      <w:r>
        <w:t>On March 20, 2019, GCEC and Gulf Power filed a Joint Motion to Approve Settlement Agreement and Amendment to Territorial Agreement (Joint Motion) to resolve all matters in this docket</w:t>
      </w:r>
      <w:r w:rsidR="00A65309">
        <w:t xml:space="preserve"> and clarify</w:t>
      </w:r>
      <w:r w:rsidR="003D3A81">
        <w:t xml:space="preserve"> </w:t>
      </w:r>
      <w:r w:rsidR="000442C6">
        <w:t>current</w:t>
      </w:r>
      <w:r w:rsidR="000D54E4">
        <w:t xml:space="preserve"> language</w:t>
      </w:r>
      <w:r w:rsidR="003D3A81">
        <w:t xml:space="preserve"> in the notice procedure for future application</w:t>
      </w:r>
      <w:r>
        <w:t>.</w:t>
      </w:r>
      <w:r w:rsidR="000165C7">
        <w:rPr>
          <w:rStyle w:val="FootnoteReference"/>
        </w:rPr>
        <w:footnoteReference w:id="2"/>
      </w:r>
      <w:r>
        <w:t xml:space="preserve"> </w:t>
      </w:r>
    </w:p>
    <w:p w:rsidR="001337E7" w:rsidRDefault="005E3567" w:rsidP="006C3633">
      <w:pPr>
        <w:jc w:val="both"/>
      </w:pPr>
      <w:r>
        <w:t>The parties</w:t>
      </w:r>
      <w:r w:rsidR="00DF422F">
        <w:t>’</w:t>
      </w:r>
      <w:r>
        <w:t xml:space="preserve"> </w:t>
      </w:r>
      <w:r w:rsidR="002D5EAB">
        <w:t xml:space="preserve">proposed </w:t>
      </w:r>
      <w:r>
        <w:t>settlement resolve</w:t>
      </w:r>
      <w:r w:rsidR="00DF422F">
        <w:t>s</w:t>
      </w:r>
      <w:r>
        <w:t xml:space="preserve"> the questio</w:t>
      </w:r>
      <w:r w:rsidR="002F430E">
        <w:t xml:space="preserve">n regarding </w:t>
      </w:r>
      <w:r w:rsidR="000D54E4">
        <w:t xml:space="preserve">which electric utility should </w:t>
      </w:r>
      <w:r w:rsidR="002F430E">
        <w:t xml:space="preserve">service </w:t>
      </w:r>
      <w:r>
        <w:t>the Lift Facility and also propose</w:t>
      </w:r>
      <w:r w:rsidR="00DF422F">
        <w:t>s</w:t>
      </w:r>
      <w:r>
        <w:t xml:space="preserve"> to revise the Territorial Agreement.</w:t>
      </w:r>
      <w:r w:rsidR="00D72258">
        <w:t xml:space="preserve"> The </w:t>
      </w:r>
      <w:r w:rsidR="00DF422F">
        <w:t xml:space="preserve">parties state </w:t>
      </w:r>
      <w:r w:rsidR="00D72258">
        <w:t xml:space="preserve">that the proposed </w:t>
      </w:r>
      <w:r w:rsidR="00DF422F">
        <w:t xml:space="preserve">Settlement Agreement and </w:t>
      </w:r>
      <w:r w:rsidR="00D72258">
        <w:t>revisions to the Territorial Agreement are null and void unless the Commission approves the</w:t>
      </w:r>
      <w:r w:rsidR="00DF422F">
        <w:t>m</w:t>
      </w:r>
      <w:r w:rsidR="00D72258">
        <w:t xml:space="preserve"> in </w:t>
      </w:r>
      <w:r w:rsidR="00DF422F">
        <w:t xml:space="preserve">their </w:t>
      </w:r>
      <w:r w:rsidR="00D72258">
        <w:t>entirety by “non-appealable” final order.</w:t>
      </w:r>
      <w:r w:rsidR="008F7C6C">
        <w:rPr>
          <w:rStyle w:val="FootnoteReference"/>
        </w:rPr>
        <w:footnoteReference w:id="3"/>
      </w:r>
    </w:p>
    <w:p w:rsidR="002B11F5" w:rsidRDefault="002B11F5" w:rsidP="006C3633">
      <w:pPr>
        <w:jc w:val="both"/>
      </w:pPr>
    </w:p>
    <w:p w:rsidR="00F75916" w:rsidRDefault="00CB12A1" w:rsidP="006C3633">
      <w:pPr>
        <w:jc w:val="both"/>
      </w:pPr>
      <w:r>
        <w:t xml:space="preserve">The </w:t>
      </w:r>
      <w:r w:rsidR="00DF422F">
        <w:t xml:space="preserve">proposed </w:t>
      </w:r>
      <w:r>
        <w:t xml:space="preserve">Settlement </w:t>
      </w:r>
      <w:r w:rsidR="00190362">
        <w:t>Agreement provides</w:t>
      </w:r>
      <w:r w:rsidR="00DF422F">
        <w:t xml:space="preserve"> that</w:t>
      </w:r>
      <w:r w:rsidR="00F75916">
        <w:t>:</w:t>
      </w:r>
    </w:p>
    <w:p w:rsidR="00F75916" w:rsidRDefault="00F75916" w:rsidP="006C3633">
      <w:pPr>
        <w:jc w:val="both"/>
      </w:pPr>
    </w:p>
    <w:p w:rsidR="00F75916" w:rsidRDefault="002F430E" w:rsidP="00F75916">
      <w:pPr>
        <w:pStyle w:val="ListParagraph"/>
        <w:numPr>
          <w:ilvl w:val="0"/>
          <w:numId w:val="12"/>
        </w:numPr>
        <w:jc w:val="both"/>
      </w:pPr>
      <w:r>
        <w:t>Gulf Power relinquish service to</w:t>
      </w:r>
      <w:r w:rsidR="00F75916">
        <w:t xml:space="preserve"> the Lift Facility to GCEC.</w:t>
      </w:r>
    </w:p>
    <w:p w:rsidR="00F75916" w:rsidRDefault="00C13AEC" w:rsidP="00F75916">
      <w:pPr>
        <w:pStyle w:val="ListParagraph"/>
        <w:numPr>
          <w:ilvl w:val="0"/>
          <w:numId w:val="12"/>
        </w:numPr>
        <w:jc w:val="both"/>
      </w:pPr>
      <w:r>
        <w:t xml:space="preserve">Gulf Power remove 3,000 linear feet of </w:t>
      </w:r>
      <w:r w:rsidR="0071260E">
        <w:t xml:space="preserve">lines </w:t>
      </w:r>
      <w:r>
        <w:t xml:space="preserve">beginning at the Lift </w:t>
      </w:r>
      <w:r w:rsidR="008823CA">
        <w:t>Facility and extending west to</w:t>
      </w:r>
      <w:r>
        <w:t xml:space="preserve"> a demarcation point bisecting the right-of-way on</w:t>
      </w:r>
      <w:r w:rsidR="008823CA">
        <w:t xml:space="preserve"> a specified highway.</w:t>
      </w:r>
    </w:p>
    <w:p w:rsidR="00F75916" w:rsidRDefault="00C13AEC" w:rsidP="00F75916">
      <w:pPr>
        <w:pStyle w:val="ListParagraph"/>
        <w:numPr>
          <w:ilvl w:val="0"/>
          <w:numId w:val="12"/>
        </w:numPr>
        <w:jc w:val="both"/>
      </w:pPr>
      <w:r>
        <w:lastRenderedPageBreak/>
        <w:t>GCEC be permitted to extend easterly its lines and facilities 11,000 linear feet beginning</w:t>
      </w:r>
      <w:r w:rsidR="00F75916">
        <w:t xml:space="preserve"> at its existing facilities.</w:t>
      </w:r>
    </w:p>
    <w:p w:rsidR="00F75916" w:rsidRDefault="009A40DF" w:rsidP="00F75916">
      <w:pPr>
        <w:pStyle w:val="ListParagraph"/>
        <w:numPr>
          <w:ilvl w:val="0"/>
          <w:numId w:val="12"/>
        </w:numPr>
        <w:jc w:val="both"/>
      </w:pPr>
      <w:r>
        <w:t>GCEC agree not to assess any additional charges to the Lift Facility as a result o</w:t>
      </w:r>
      <w:r w:rsidR="00F75916">
        <w:t>f GCEC taking over service</w:t>
      </w:r>
      <w:r w:rsidR="00745090">
        <w:t xml:space="preserve"> to that facility.</w:t>
      </w:r>
    </w:p>
    <w:p w:rsidR="00F75916" w:rsidRDefault="00F75916" w:rsidP="00F75916">
      <w:pPr>
        <w:pStyle w:val="ListParagraph"/>
        <w:numPr>
          <w:ilvl w:val="0"/>
          <w:numId w:val="12"/>
        </w:numPr>
        <w:jc w:val="both"/>
      </w:pPr>
      <w:r>
        <w:t>T</w:t>
      </w:r>
      <w:r w:rsidR="009A40DF">
        <w:t>he parties agree to not further extend lines</w:t>
      </w:r>
      <w:r w:rsidR="008823CA">
        <w:t xml:space="preserve"> from a demarcation point</w:t>
      </w:r>
      <w:r w:rsidR="009A40DF">
        <w:t xml:space="preserve"> along the right-of-way of a specified highway. </w:t>
      </w:r>
    </w:p>
    <w:p w:rsidR="00F75916" w:rsidRDefault="00F75916" w:rsidP="00F75916">
      <w:pPr>
        <w:jc w:val="both"/>
      </w:pPr>
    </w:p>
    <w:p w:rsidR="00CB12A1" w:rsidRDefault="00CB12A1" w:rsidP="00F75916">
      <w:pPr>
        <w:jc w:val="both"/>
      </w:pPr>
      <w:r>
        <w:t>The Settl</w:t>
      </w:r>
      <w:r w:rsidR="009A40DF">
        <w:t>e</w:t>
      </w:r>
      <w:r>
        <w:t xml:space="preserve">ment Agreement also calls for GCEC to withdraw its complaint in this </w:t>
      </w:r>
      <w:r w:rsidR="00DF422F">
        <w:t xml:space="preserve">docket </w:t>
      </w:r>
      <w:r w:rsidR="009A40DF">
        <w:t>if the Commission</w:t>
      </w:r>
      <w:r w:rsidR="008823CA">
        <w:t xml:space="preserve"> grants</w:t>
      </w:r>
      <w:r w:rsidR="009A40DF">
        <w:t xml:space="preserve"> the Joint Motion</w:t>
      </w:r>
      <w:r w:rsidR="008823CA">
        <w:t xml:space="preserve"> </w:t>
      </w:r>
      <w:r w:rsidR="00D72258">
        <w:t xml:space="preserve">in </w:t>
      </w:r>
      <w:r w:rsidR="008823CA">
        <w:t>its</w:t>
      </w:r>
      <w:r w:rsidR="00D72258">
        <w:t xml:space="preserve"> entirety</w:t>
      </w:r>
      <w:r w:rsidR="009A40DF">
        <w:t>.</w:t>
      </w:r>
    </w:p>
    <w:p w:rsidR="009A40DF" w:rsidRDefault="009A40DF" w:rsidP="006C3633">
      <w:pPr>
        <w:jc w:val="both"/>
      </w:pPr>
    </w:p>
    <w:p w:rsidR="009A40DF" w:rsidRDefault="009A40DF" w:rsidP="006C3633">
      <w:pPr>
        <w:jc w:val="both"/>
      </w:pPr>
      <w:r>
        <w:t xml:space="preserve">The </w:t>
      </w:r>
      <w:r w:rsidR="00DF422F">
        <w:t xml:space="preserve">parties state that the </w:t>
      </w:r>
      <w:r w:rsidR="00992AB5">
        <w:t xml:space="preserve">proposed </w:t>
      </w:r>
      <w:r>
        <w:t>revisions to the Territorial Agreement</w:t>
      </w:r>
      <w:r w:rsidR="000D54E4">
        <w:t xml:space="preserve"> are</w:t>
      </w:r>
      <w:r>
        <w:t xml:space="preserve"> intended to forestall future disputes regarding interpretation of that Agreement and avoid further uneconomic duplication of facilities.</w:t>
      </w:r>
      <w:r w:rsidR="00992AB5">
        <w:t xml:space="preserve"> In summary, the proposed revisions:</w:t>
      </w:r>
    </w:p>
    <w:p w:rsidR="00992AB5" w:rsidRDefault="00992AB5" w:rsidP="006C3633">
      <w:pPr>
        <w:jc w:val="both"/>
      </w:pPr>
    </w:p>
    <w:p w:rsidR="00F75916" w:rsidRDefault="00F75916" w:rsidP="00F75916">
      <w:pPr>
        <w:pStyle w:val="ListParagraph"/>
        <w:numPr>
          <w:ilvl w:val="0"/>
          <w:numId w:val="11"/>
        </w:numPr>
        <w:jc w:val="both"/>
      </w:pPr>
      <w:r>
        <w:t>Provide</w:t>
      </w:r>
      <w:r w:rsidR="00540613">
        <w:t xml:space="preserve"> </w:t>
      </w:r>
      <w:r w:rsidR="00F05947">
        <w:t xml:space="preserve">that </w:t>
      </w:r>
      <w:r w:rsidR="000D54E4">
        <w:t>the requested utility must deliver notice by</w:t>
      </w:r>
      <w:r w:rsidR="008F7C6C">
        <w:t xml:space="preserve"> certified mail</w:t>
      </w:r>
      <w:r>
        <w:t xml:space="preserve"> to </w:t>
      </w:r>
      <w:r w:rsidR="000D54E4">
        <w:t>the other</w:t>
      </w:r>
      <w:r>
        <w:t xml:space="preserve"> utility </w:t>
      </w:r>
      <w:r w:rsidR="000D54E4">
        <w:t>for</w:t>
      </w:r>
      <w:r>
        <w:t xml:space="preserve"> </w:t>
      </w:r>
      <w:r w:rsidR="00AC0808">
        <w:t>certain</w:t>
      </w:r>
      <w:r>
        <w:t xml:space="preserve"> service request</w:t>
      </w:r>
      <w:r w:rsidR="00AC0808">
        <w:t>s</w:t>
      </w:r>
      <w:r>
        <w:t xml:space="preserve"> from a customer</w:t>
      </w:r>
      <w:r w:rsidR="00AC0808">
        <w:t xml:space="preserve"> the intent to fulfill such a request.</w:t>
      </w:r>
      <w:r>
        <w:t xml:space="preserve"> </w:t>
      </w:r>
      <w:r w:rsidR="00AC0808">
        <w:t xml:space="preserve">The proposed revisions also provide </w:t>
      </w:r>
      <w:r>
        <w:t xml:space="preserve">the persons to whom such a notice must be sent. </w:t>
      </w:r>
    </w:p>
    <w:p w:rsidR="00992AB5" w:rsidRDefault="000D54E4" w:rsidP="00992AB5">
      <w:pPr>
        <w:pStyle w:val="ListParagraph"/>
        <w:numPr>
          <w:ilvl w:val="0"/>
          <w:numId w:val="11"/>
        </w:numPr>
        <w:jc w:val="both"/>
      </w:pPr>
      <w:r>
        <w:t>Define</w:t>
      </w:r>
      <w:r w:rsidR="00992AB5">
        <w:t xml:space="preserve"> the term “all relevant information” </w:t>
      </w:r>
      <w:r>
        <w:t>to clarify</w:t>
      </w:r>
      <w:r w:rsidR="00992AB5">
        <w:t xml:space="preserve"> what information must be provided in</w:t>
      </w:r>
      <w:r w:rsidR="00AC0808">
        <w:t xml:space="preserve"> the</w:t>
      </w:r>
      <w:r w:rsidR="00992AB5">
        <w:t xml:space="preserve"> notice to </w:t>
      </w:r>
      <w:r>
        <w:t>the other</w:t>
      </w:r>
      <w:r w:rsidR="00992AB5">
        <w:t xml:space="preserve"> utility about a service request from a customer. </w:t>
      </w:r>
    </w:p>
    <w:p w:rsidR="00992AB5" w:rsidRDefault="00992AB5" w:rsidP="00992AB5">
      <w:pPr>
        <w:pStyle w:val="ListParagraph"/>
        <w:numPr>
          <w:ilvl w:val="0"/>
          <w:numId w:val="11"/>
        </w:numPr>
        <w:jc w:val="both"/>
      </w:pPr>
      <w:r>
        <w:t xml:space="preserve">Revise the deadline for </w:t>
      </w:r>
      <w:r w:rsidR="000D54E4">
        <w:t>the other</w:t>
      </w:r>
      <w:r>
        <w:t xml:space="preserve"> utility to reply to </w:t>
      </w:r>
      <w:r w:rsidR="00AC0808">
        <w:t>the</w:t>
      </w:r>
      <w:r>
        <w:t xml:space="preserve"> notice from the </w:t>
      </w:r>
      <w:r w:rsidR="000D54E4">
        <w:t>requested</w:t>
      </w:r>
      <w:r>
        <w:t xml:space="preserve"> utility from five</w:t>
      </w:r>
      <w:r w:rsidR="00540613">
        <w:t xml:space="preserve"> </w:t>
      </w:r>
      <w:r>
        <w:t>to ten</w:t>
      </w:r>
      <w:r w:rsidR="00540613">
        <w:t xml:space="preserve"> </w:t>
      </w:r>
      <w:r>
        <w:t>days.</w:t>
      </w:r>
    </w:p>
    <w:p w:rsidR="00992AB5" w:rsidRDefault="00992AB5" w:rsidP="00992AB5">
      <w:pPr>
        <w:pStyle w:val="ListParagraph"/>
        <w:numPr>
          <w:ilvl w:val="0"/>
          <w:numId w:val="11"/>
        </w:numPr>
        <w:jc w:val="both"/>
      </w:pPr>
      <w:r>
        <w:t>Re</w:t>
      </w:r>
      <w:r w:rsidR="00AC0808">
        <w:t xml:space="preserve">quire </w:t>
      </w:r>
      <w:r w:rsidR="000D54E4">
        <w:t>the</w:t>
      </w:r>
      <w:r w:rsidR="00AC0808">
        <w:t xml:space="preserve"> utility responding to the</w:t>
      </w:r>
      <w:r>
        <w:t xml:space="preserve"> </w:t>
      </w:r>
      <w:r w:rsidR="00F75916">
        <w:t>notice to do so in writing.</w:t>
      </w:r>
    </w:p>
    <w:p w:rsidR="00C622F1" w:rsidRPr="006C3633" w:rsidRDefault="00C622F1" w:rsidP="006C3633">
      <w:pPr>
        <w:jc w:val="both"/>
        <w:rPr>
          <w:u w:val="single"/>
        </w:rPr>
      </w:pPr>
    </w:p>
    <w:p w:rsidR="00190362" w:rsidRDefault="00C622F1" w:rsidP="008E45DB">
      <w:pPr>
        <w:pStyle w:val="BodyText"/>
      </w:pPr>
      <w:r w:rsidRPr="00C622F1">
        <w:t xml:space="preserve">At this time, it is appropriate for the Commission to discuss and vote on whether to approve the </w:t>
      </w:r>
      <w:r>
        <w:t>Settlement Agreement and First Amendment to Territorial</w:t>
      </w:r>
      <w:r w:rsidRPr="00C622F1">
        <w:t xml:space="preserve"> Agreement as requested in the Joint Motion</w:t>
      </w:r>
      <w:r w:rsidR="00AC0808">
        <w:t xml:space="preserve"> by Gulf Power and GCEC</w:t>
      </w:r>
      <w:r w:rsidR="009C6838">
        <w:t xml:space="preserve"> (attached</w:t>
      </w:r>
      <w:r w:rsidR="00CD19B9">
        <w:t xml:space="preserve"> as Appendix A</w:t>
      </w:r>
      <w:r w:rsidR="00190362">
        <w:t>, incorporating the revised page 2</w:t>
      </w:r>
      <w:r w:rsidR="009C6838">
        <w:t>)</w:t>
      </w:r>
      <w:r w:rsidRPr="00C622F1">
        <w:t>.</w:t>
      </w:r>
      <w:r w:rsidR="000940EC">
        <w:t xml:space="preserve"> </w:t>
      </w:r>
    </w:p>
    <w:p w:rsidR="00B05C42" w:rsidRDefault="00B05C42" w:rsidP="008E45DB">
      <w:pPr>
        <w:pStyle w:val="BodyText"/>
      </w:pPr>
      <w:r>
        <w:t>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Pr>
          <w:rStyle w:val="FootnoteReference"/>
        </w:rPr>
        <w:footnoteReference w:id="4"/>
      </w:r>
    </w:p>
    <w:p w:rsidR="00B05C42" w:rsidRDefault="00B05C42" w:rsidP="00CB6126">
      <w:pPr>
        <w:pStyle w:val="BodyText"/>
      </w:pPr>
      <w:r>
        <w:t>A</w:t>
      </w:r>
      <w:r w:rsidR="000165C7">
        <w:t>fter review of the Joint Motion and</w:t>
      </w:r>
      <w:r>
        <w:t xml:space="preserve"> the proposed revisions to the </w:t>
      </w:r>
      <w:r w:rsidR="00CB6126">
        <w:t>T</w:t>
      </w:r>
      <w:r>
        <w:t xml:space="preserve">erritorial </w:t>
      </w:r>
      <w:r w:rsidR="00CB6126">
        <w:t>A</w:t>
      </w:r>
      <w:r>
        <w:t>greement</w:t>
      </w:r>
      <w:r w:rsidR="000165C7">
        <w:t>,</w:t>
      </w:r>
      <w:r>
        <w:t xml:space="preserve"> </w:t>
      </w:r>
      <w:r w:rsidR="000D54E4">
        <w:t>it appears</w:t>
      </w:r>
      <w:r>
        <w:t xml:space="preserve"> that the proposed amendments to the </w:t>
      </w:r>
      <w:r w:rsidR="002F430E">
        <w:t>Territorial Agreement</w:t>
      </w:r>
      <w:r>
        <w:t xml:space="preserve"> are in the public interest and </w:t>
      </w:r>
      <w:r w:rsidR="000B7A3F">
        <w:t>would</w:t>
      </w:r>
      <w:r>
        <w:t xml:space="preserve"> enable Gulf Power and GCEC to serve their customers in an efficient manner. </w:t>
      </w:r>
      <w:r w:rsidR="000165C7">
        <w:t>It appears that the proposed am</w:t>
      </w:r>
      <w:r w:rsidR="000B7A3F">
        <w:t>endments would</w:t>
      </w:r>
      <w:r w:rsidR="000165C7">
        <w:t xml:space="preserve"> </w:t>
      </w:r>
      <w:r w:rsidR="000B7A3F">
        <w:t>avoid</w:t>
      </w:r>
      <w:r w:rsidR="000165C7">
        <w:t xml:space="preserve"> uneconomic du</w:t>
      </w:r>
      <w:r w:rsidR="000B7A3F">
        <w:t>plication of facilities and would</w:t>
      </w:r>
      <w:r w:rsidR="000165C7">
        <w:t xml:space="preserve"> not cause a decrease in the reliability of electric service to the customers. </w:t>
      </w:r>
      <w:r>
        <w:t xml:space="preserve">The joint movants state that they have worked </w:t>
      </w:r>
      <w:r w:rsidR="00CE2065">
        <w:t>together to resolve the issues in this docket and voluntarily have entered into the Settlement Agreement. The joint movants further state</w:t>
      </w:r>
      <w:r>
        <w:t xml:space="preserve"> that </w:t>
      </w:r>
      <w:r w:rsidR="00CB6126">
        <w:t>the</w:t>
      </w:r>
      <w:r w:rsidR="00CE2065">
        <w:t xml:space="preserve">ir </w:t>
      </w:r>
      <w:r w:rsidR="007224EF">
        <w:t>Settlement</w:t>
      </w:r>
      <w:r w:rsidR="00CE2065">
        <w:t xml:space="preserve"> Agreement </w:t>
      </w:r>
      <w:r w:rsidR="00CB6126">
        <w:t>fairly and reasonably balance</w:t>
      </w:r>
      <w:r w:rsidR="007224EF">
        <w:t>s</w:t>
      </w:r>
      <w:r w:rsidR="00CB6126">
        <w:t xml:space="preserve"> the various positions of the parties</w:t>
      </w:r>
      <w:r w:rsidR="00527289">
        <w:t xml:space="preserve"> regarding</w:t>
      </w:r>
      <w:r w:rsidR="00CB6126">
        <w:t xml:space="preserve"> the issu</w:t>
      </w:r>
      <w:r w:rsidR="007224EF">
        <w:t xml:space="preserve">es in this docket, and </w:t>
      </w:r>
      <w:r w:rsidR="00CB6126">
        <w:t>serve</w:t>
      </w:r>
      <w:r w:rsidR="007224EF">
        <w:t>s</w:t>
      </w:r>
      <w:r w:rsidR="00CB6126">
        <w:t xml:space="preserve"> the best inter</w:t>
      </w:r>
      <w:r w:rsidR="00527289">
        <w:t>ests of Gulf Power’s and GCEC’s</w:t>
      </w:r>
      <w:r w:rsidR="00CB6126">
        <w:t xml:space="preserve"> customers and the public interest in general</w:t>
      </w:r>
      <w:r>
        <w:t xml:space="preserve">. As such, </w:t>
      </w:r>
      <w:r w:rsidR="00DD29EF">
        <w:t>it appears</w:t>
      </w:r>
      <w:r>
        <w:t xml:space="preserve"> that the proposed</w:t>
      </w:r>
      <w:r w:rsidR="002F430E">
        <w:t xml:space="preserve"> revisions to the</w:t>
      </w:r>
      <w:r>
        <w:t xml:space="preserve"> </w:t>
      </w:r>
      <w:r w:rsidR="002F430E">
        <w:t>Territorial Agreement</w:t>
      </w:r>
      <w:r>
        <w:t xml:space="preserve"> </w:t>
      </w:r>
      <w:r>
        <w:lastRenderedPageBreak/>
        <w:t xml:space="preserve">between </w:t>
      </w:r>
      <w:r w:rsidR="00CB6126">
        <w:t>Gulf Power</w:t>
      </w:r>
      <w:r>
        <w:t xml:space="preserve"> and </w:t>
      </w:r>
      <w:r w:rsidR="00CB6126">
        <w:t>GCEC</w:t>
      </w:r>
      <w:r w:rsidR="007224EF">
        <w:t xml:space="preserve"> and the Settlement Agreement </w:t>
      </w:r>
      <w:r w:rsidR="00DD29EF">
        <w:t>can be approved</w:t>
      </w:r>
      <w:r w:rsidR="007224EF">
        <w:t xml:space="preserve"> in the public interest</w:t>
      </w:r>
      <w:r w:rsidR="00DD29EF">
        <w:t>.</w:t>
      </w:r>
      <w:r w:rsidR="00843B23">
        <w:t xml:space="preserve">  </w:t>
      </w:r>
    </w:p>
    <w:p w:rsidR="00E06484" w:rsidRDefault="000940EC" w:rsidP="008E45DB">
      <w:pPr>
        <w:pStyle w:val="BodyText"/>
      </w:pPr>
      <w:r>
        <w:t xml:space="preserve">If the Commission </w:t>
      </w:r>
      <w:r w:rsidR="00843B23">
        <w:t>grants</w:t>
      </w:r>
      <w:r>
        <w:t xml:space="preserve"> the Joint </w:t>
      </w:r>
      <w:r w:rsidR="00190362">
        <w:t xml:space="preserve">Motion and the Commission order becomes final, the Settlement Agreement provides that </w:t>
      </w:r>
      <w:r>
        <w:t>GCEC</w:t>
      </w:r>
      <w:r w:rsidR="00AC0808">
        <w:t xml:space="preserve"> </w:t>
      </w:r>
      <w:r w:rsidR="00DE39E6">
        <w:t>must with</w:t>
      </w:r>
      <w:r w:rsidR="00AC0808">
        <w:t>draw its complaint in this matter</w:t>
      </w:r>
      <w:r w:rsidR="00843B23">
        <w:t xml:space="preserve">. </w:t>
      </w:r>
      <w:r w:rsidR="007224EF">
        <w:t xml:space="preserve">If the Commission grants the Joint Motion, </w:t>
      </w:r>
      <w:r>
        <w:t>the Commission</w:t>
      </w:r>
      <w:r w:rsidR="00DE39E6">
        <w:t xml:space="preserve"> </w:t>
      </w:r>
      <w:r w:rsidR="000B7A3F">
        <w:t>should</w:t>
      </w:r>
      <w:r w:rsidR="00B00D64">
        <w:t xml:space="preserve"> </w:t>
      </w:r>
      <w:r w:rsidR="00DE39E6">
        <w:t>vacate</w:t>
      </w:r>
      <w:r w:rsidR="00190362">
        <w:t xml:space="preserve"> its </w:t>
      </w:r>
      <w:r>
        <w:t>votes from the December 11, 2018</w:t>
      </w:r>
      <w:r w:rsidR="00D920DF">
        <w:t>,</w:t>
      </w:r>
      <w:r>
        <w:t xml:space="preserve"> Agenda Conference</w:t>
      </w:r>
      <w:r w:rsidR="00B062CB">
        <w:t>, because the Motions for Summary Final Order would be moot with the approval of the Settlement Agreement</w:t>
      </w:r>
      <w:r w:rsidR="00540613">
        <w:t>.</w:t>
      </w:r>
    </w:p>
    <w:p w:rsidR="00CD19B9" w:rsidRDefault="006133DB" w:rsidP="008E45DB">
      <w:pPr>
        <w:pStyle w:val="BodyText"/>
        <w:sectPr w:rsidR="00CD19B9" w:rsidSect="00CD19B9">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rsidRPr="00A0406F">
        <w:t xml:space="preserve">The Commission has jurisdiction pursuant to Section 366.04, </w:t>
      </w:r>
      <w:r>
        <w:t>Florida Statutes (</w:t>
      </w:r>
      <w:r w:rsidRPr="00A0406F">
        <w:t>F.S</w:t>
      </w:r>
      <w:r>
        <w:t>.).</w:t>
      </w:r>
    </w:p>
    <w:p w:rsidR="00081365" w:rsidRDefault="00FE6B73" w:rsidP="008E45DB">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81365" w:rsidRDefault="00081365" w:rsidP="00081365">
      <w:r>
        <w:br w:type="page"/>
      </w:r>
    </w:p>
    <w:p w:rsidR="006133DB" w:rsidRDefault="00FE6B73" w:rsidP="008E45DB">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73" w:rsidRDefault="00FE6B73" w:rsidP="008E45DB">
      <w:pPr>
        <w:pStyle w:val="BodyText"/>
      </w:pPr>
    </w:p>
    <w:p w:rsidR="00FE6B73" w:rsidRDefault="00FE6B73" w:rsidP="008E45DB">
      <w:pPr>
        <w:pStyle w:val="BodyText"/>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63916">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63916">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21660">
        <w:rPr>
          <w:noProof/>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E6B73" w:rsidSect="00CD19B9">
      <w:headerReference w:type="default" r:id="rId27"/>
      <w:headerReference w:type="firs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131" w:rsidRDefault="009D3131">
      <w:r>
        <w:separator/>
      </w:r>
    </w:p>
  </w:endnote>
  <w:endnote w:type="continuationSeparator" w:id="0">
    <w:p w:rsidR="009D3131" w:rsidRDefault="009D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F0" w:rsidRDefault="00E82DF0" w:rsidP="00E82DF0">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204C7B">
      <w:rPr>
        <w:rStyle w:val="PageNumber"/>
        <w:noProof/>
      </w:rPr>
      <w:t>19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131" w:rsidRDefault="009D3131">
      <w:r>
        <w:separator/>
      </w:r>
    </w:p>
  </w:footnote>
  <w:footnote w:type="continuationSeparator" w:id="0">
    <w:p w:rsidR="009D3131" w:rsidRDefault="009D3131">
      <w:r>
        <w:continuationSeparator/>
      </w:r>
    </w:p>
  </w:footnote>
  <w:footnote w:id="1">
    <w:p w:rsidR="006C3633" w:rsidRPr="00B670CA" w:rsidRDefault="006C3633" w:rsidP="006C3633">
      <w:pPr>
        <w:pStyle w:val="FootnoteText"/>
      </w:pPr>
      <w:r>
        <w:rPr>
          <w:rStyle w:val="FootnoteReference"/>
        </w:rPr>
        <w:footnoteRef/>
      </w:r>
      <w:r>
        <w:t xml:space="preserve"> </w:t>
      </w:r>
      <w:r>
        <w:rPr>
          <w:i/>
        </w:rPr>
        <w:t>See</w:t>
      </w:r>
      <w:r>
        <w:t xml:space="preserve"> Order No. </w:t>
      </w:r>
      <w:r w:rsidRPr="00B670CA">
        <w:t>PSC-01-0891-PAA-EU</w:t>
      </w:r>
      <w:r>
        <w:t xml:space="preserve">, issued April 9, 2001, in Docket No. 930885-EU, </w:t>
      </w:r>
      <w:r>
        <w:rPr>
          <w:i/>
        </w:rPr>
        <w:t>In re: Petition to resolve territorial dispute with Gulf Coast Electric Cooperative, Inc. by Gulf Power Company</w:t>
      </w:r>
      <w:r>
        <w:t xml:space="preserve">; and Order </w:t>
      </w:r>
      <w:r w:rsidRPr="00B670CA">
        <w:t>No. PSC-01-0891</w:t>
      </w:r>
      <w:r>
        <w:t>A</w:t>
      </w:r>
      <w:r w:rsidRPr="00B670CA">
        <w:t>-PAA-EU</w:t>
      </w:r>
      <w:r>
        <w:t xml:space="preserve">, issued March 26, 2002, in Docket No. 930885-EU, </w:t>
      </w:r>
      <w:r>
        <w:rPr>
          <w:i/>
        </w:rPr>
        <w:t>In Re Petition to resolve territorial dispute with Gulf Coast Electric Cooperative, Inc. by Gulf Power Company</w:t>
      </w:r>
      <w:r>
        <w:t xml:space="preserve">. </w:t>
      </w:r>
    </w:p>
  </w:footnote>
  <w:footnote w:id="2">
    <w:p w:rsidR="000165C7" w:rsidRDefault="000165C7">
      <w:pPr>
        <w:pStyle w:val="FootnoteText"/>
      </w:pPr>
      <w:r>
        <w:rPr>
          <w:rStyle w:val="FootnoteReference"/>
        </w:rPr>
        <w:footnoteRef/>
      </w:r>
      <w:r>
        <w:t xml:space="preserve"> On March 22, 2019, the parties filed a revised page 2 of the Settlement Agreement, correcting an inadvertent typographical error.</w:t>
      </w:r>
    </w:p>
  </w:footnote>
  <w:footnote w:id="3">
    <w:p w:rsidR="008F7C6C" w:rsidRDefault="008F7C6C">
      <w:pPr>
        <w:pStyle w:val="FootnoteText"/>
      </w:pPr>
      <w:r>
        <w:rPr>
          <w:rStyle w:val="FootnoteReference"/>
        </w:rPr>
        <w:footnoteRef/>
      </w:r>
      <w:r>
        <w:t xml:space="preserve"> The Commission may approve the settlement in its entirety; however, the nature of the decision is a Proposed Agency Action that will become a final order 21 days </w:t>
      </w:r>
      <w:r w:rsidR="000B7A3F">
        <w:t xml:space="preserve">after the PAA order is issued </w:t>
      </w:r>
      <w:r>
        <w:t xml:space="preserve">if there is no </w:t>
      </w:r>
      <w:r w:rsidR="000B7A3F">
        <w:t>request for a hearing</w:t>
      </w:r>
      <w:r>
        <w:t xml:space="preserve">. </w:t>
      </w:r>
      <w:r w:rsidR="00BC2D7D">
        <w:t>T</w:t>
      </w:r>
      <w:r>
        <w:t>he Commission does not have the authority to enter a “non-appealable” final order.</w:t>
      </w:r>
    </w:p>
  </w:footnote>
  <w:footnote w:id="4">
    <w:p w:rsidR="00B05C42" w:rsidRDefault="00B05C42" w:rsidP="00B05C42">
      <w:pPr>
        <w:pStyle w:val="FootnoteText"/>
      </w:pPr>
      <w:r>
        <w:rPr>
          <w:rStyle w:val="FootnoteReference"/>
        </w:rPr>
        <w:footnoteRef/>
      </w:r>
      <w:r>
        <w:t xml:space="preserve"> </w:t>
      </w:r>
      <w:r w:rsidR="00E96B40" w:rsidRPr="00B05C42">
        <w:rPr>
          <w:i/>
        </w:rPr>
        <w:t>Utils</w:t>
      </w:r>
      <w:r w:rsidR="00E96B40">
        <w:rPr>
          <w:i/>
        </w:rPr>
        <w:t>.</w:t>
      </w:r>
      <w:r w:rsidR="00E96B40" w:rsidRPr="00B05C42">
        <w:rPr>
          <w:i/>
        </w:rPr>
        <w:t xml:space="preserve"> Comm</w:t>
      </w:r>
      <w:r w:rsidR="00E96B40">
        <w:rPr>
          <w:i/>
        </w:rPr>
        <w:t>’</w:t>
      </w:r>
      <w:r w:rsidR="00E96B40" w:rsidRPr="00B05C42">
        <w:rPr>
          <w:i/>
        </w:rPr>
        <w:t>n of the City of New Smyrna Beach v. Fla</w:t>
      </w:r>
      <w:r w:rsidR="00E96B40">
        <w:rPr>
          <w:i/>
        </w:rPr>
        <w:t>.</w:t>
      </w:r>
      <w:r w:rsidR="00E96B40" w:rsidRPr="00B05C42">
        <w:rPr>
          <w:i/>
        </w:rPr>
        <w:t xml:space="preserve"> Pub</w:t>
      </w:r>
      <w:r w:rsidR="00E96B40">
        <w:rPr>
          <w:i/>
        </w:rPr>
        <w:t>.</w:t>
      </w:r>
      <w:r w:rsidR="00E96B40" w:rsidRPr="00B05C42">
        <w:rPr>
          <w:i/>
        </w:rPr>
        <w:t xml:space="preserve"> Serv</w:t>
      </w:r>
      <w:r w:rsidR="00E96B40">
        <w:rPr>
          <w:i/>
        </w:rPr>
        <w:t>.</w:t>
      </w:r>
      <w:r w:rsidR="00E96B40" w:rsidRPr="00B05C42">
        <w:rPr>
          <w:i/>
        </w:rPr>
        <w:t xml:space="preserve"> Comm</w:t>
      </w:r>
      <w:r w:rsidR="00E96B40">
        <w:rPr>
          <w:i/>
        </w:rPr>
        <w:t>’</w:t>
      </w:r>
      <w:r w:rsidR="00E96B40" w:rsidRPr="00B05C42">
        <w:rPr>
          <w:i/>
        </w:rPr>
        <w:t>n</w:t>
      </w:r>
      <w:r w:rsidR="00E96B40">
        <w:t>, 469 So. 2d 731, 732–33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9B9" w:rsidRDefault="00BC1C08" w:rsidP="00CD19B9">
    <w:pPr>
      <w:pStyle w:val="Header"/>
      <w:tabs>
        <w:tab w:val="clear" w:pos="4320"/>
        <w:tab w:val="clear" w:pos="8640"/>
        <w:tab w:val="right" w:pos="9360"/>
      </w:tabs>
    </w:pPr>
    <w:r>
      <w:t>Docket No. 20180125-EU</w:t>
    </w:r>
    <w:r w:rsidR="00CD19B9">
      <w:tab/>
    </w:r>
  </w:p>
  <w:p w:rsidR="00CD19B9" w:rsidRDefault="00CD19B9" w:rsidP="00CD19B9">
    <w:pPr>
      <w:pStyle w:val="Header"/>
    </w:pPr>
    <w:r>
      <w:t xml:space="preserve">Date: </w:t>
    </w:r>
    <w:r w:rsidR="000A25D7">
      <w:fldChar w:fldCharType="begin"/>
    </w:r>
    <w:r w:rsidR="000A25D7">
      <w:instrText xml:space="preserve"> REF FilingDate  \* MERGEFORMAT </w:instrText>
    </w:r>
    <w:r w:rsidR="000A25D7">
      <w:fldChar w:fldCharType="separate"/>
    </w:r>
    <w:r w:rsidR="0048738D">
      <w:t>March 26, 2019</w:t>
    </w:r>
    <w:r w:rsidR="000A25D7">
      <w:fldChar w:fldCharType="end"/>
    </w:r>
  </w:p>
  <w:p w:rsidR="00CD19B9" w:rsidRDefault="00CD19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9B9" w:rsidRDefault="00BC1C08" w:rsidP="00CD19B9">
    <w:pPr>
      <w:pStyle w:val="Header"/>
      <w:tabs>
        <w:tab w:val="clear" w:pos="4320"/>
        <w:tab w:val="clear" w:pos="8640"/>
        <w:tab w:val="right" w:pos="9360"/>
      </w:tabs>
    </w:pPr>
    <w:r>
      <w:t>Docket No. 20180125-EU</w:t>
    </w:r>
    <w:r w:rsidR="00CD19B9">
      <w:tab/>
      <w:t>Appendix A</w:t>
    </w:r>
  </w:p>
  <w:p w:rsidR="00CD19B9" w:rsidRDefault="00CD19B9" w:rsidP="00CD19B9">
    <w:pPr>
      <w:pStyle w:val="Header"/>
    </w:pPr>
    <w:r>
      <w:t xml:space="preserve">Date: </w:t>
    </w:r>
    <w:r w:rsidR="000A25D7">
      <w:fldChar w:fldCharType="begin"/>
    </w:r>
    <w:r w:rsidR="000A25D7">
      <w:instrText xml:space="preserve"> REF FilingDate  \* MERGEFORMAT </w:instrText>
    </w:r>
    <w:r w:rsidR="000A25D7">
      <w:fldChar w:fldCharType="separate"/>
    </w:r>
    <w:r w:rsidR="0048738D">
      <w:t>March 26, 2019</w:t>
    </w:r>
    <w:r w:rsidR="000A25D7">
      <w:fldChar w:fldCharType="end"/>
    </w:r>
  </w:p>
  <w:p w:rsidR="00CD19B9" w:rsidRDefault="00CD19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9B9" w:rsidRDefault="00CD19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6C5716AC"/>
    <w:multiLevelType w:val="hybridMultilevel"/>
    <w:tmpl w:val="0DCC89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6240775"/>
    <w:multiLevelType w:val="hybridMultilevel"/>
    <w:tmpl w:val="88FA563A"/>
    <w:lvl w:ilvl="0" w:tplc="2C565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D3131"/>
    <w:rsid w:val="000043D5"/>
    <w:rsid w:val="00006170"/>
    <w:rsid w:val="00010E37"/>
    <w:rsid w:val="0001119F"/>
    <w:rsid w:val="000165C7"/>
    <w:rsid w:val="000172DA"/>
    <w:rsid w:val="000247C5"/>
    <w:rsid w:val="000277C2"/>
    <w:rsid w:val="00032781"/>
    <w:rsid w:val="00035B48"/>
    <w:rsid w:val="00036CE2"/>
    <w:rsid w:val="000437FE"/>
    <w:rsid w:val="000442C6"/>
    <w:rsid w:val="000513BE"/>
    <w:rsid w:val="00065A06"/>
    <w:rsid w:val="000666F3"/>
    <w:rsid w:val="00070DCB"/>
    <w:rsid w:val="00072CCA"/>
    <w:rsid w:val="00073120"/>
    <w:rsid w:val="000764D0"/>
    <w:rsid w:val="00081365"/>
    <w:rsid w:val="000828D3"/>
    <w:rsid w:val="00090698"/>
    <w:rsid w:val="000940EC"/>
    <w:rsid w:val="000A2B57"/>
    <w:rsid w:val="000A418B"/>
    <w:rsid w:val="000B7A3F"/>
    <w:rsid w:val="000C4431"/>
    <w:rsid w:val="000D1C06"/>
    <w:rsid w:val="000D4319"/>
    <w:rsid w:val="000D54E4"/>
    <w:rsid w:val="000F374A"/>
    <w:rsid w:val="00100EC9"/>
    <w:rsid w:val="001076AF"/>
    <w:rsid w:val="00117C8C"/>
    <w:rsid w:val="00124E2E"/>
    <w:rsid w:val="00125ED4"/>
    <w:rsid w:val="001305E9"/>
    <w:rsid w:val="001307AF"/>
    <w:rsid w:val="001337E7"/>
    <w:rsid w:val="00135687"/>
    <w:rsid w:val="0015506E"/>
    <w:rsid w:val="00163031"/>
    <w:rsid w:val="00164C09"/>
    <w:rsid w:val="00171A90"/>
    <w:rsid w:val="00180254"/>
    <w:rsid w:val="00190362"/>
    <w:rsid w:val="00191E1F"/>
    <w:rsid w:val="00192943"/>
    <w:rsid w:val="001A7406"/>
    <w:rsid w:val="001B4FEE"/>
    <w:rsid w:val="001B51C5"/>
    <w:rsid w:val="001B6F3F"/>
    <w:rsid w:val="001C52B5"/>
    <w:rsid w:val="001D0D3E"/>
    <w:rsid w:val="001F2245"/>
    <w:rsid w:val="001F2C63"/>
    <w:rsid w:val="001F48C7"/>
    <w:rsid w:val="001F6DA1"/>
    <w:rsid w:val="002044E6"/>
    <w:rsid w:val="00204C7B"/>
    <w:rsid w:val="00205C82"/>
    <w:rsid w:val="00205DC2"/>
    <w:rsid w:val="00212B17"/>
    <w:rsid w:val="002163B6"/>
    <w:rsid w:val="00220732"/>
    <w:rsid w:val="00221D32"/>
    <w:rsid w:val="0022222C"/>
    <w:rsid w:val="00225C3F"/>
    <w:rsid w:val="00263D44"/>
    <w:rsid w:val="002702AD"/>
    <w:rsid w:val="00290BAD"/>
    <w:rsid w:val="00292D82"/>
    <w:rsid w:val="002963CB"/>
    <w:rsid w:val="002B11F5"/>
    <w:rsid w:val="002D226D"/>
    <w:rsid w:val="002D5EAB"/>
    <w:rsid w:val="002F430E"/>
    <w:rsid w:val="002F6030"/>
    <w:rsid w:val="003037E1"/>
    <w:rsid w:val="0030752C"/>
    <w:rsid w:val="00307E51"/>
    <w:rsid w:val="003103EC"/>
    <w:rsid w:val="003144EF"/>
    <w:rsid w:val="00322F74"/>
    <w:rsid w:val="00340073"/>
    <w:rsid w:val="003632FD"/>
    <w:rsid w:val="00372805"/>
    <w:rsid w:val="00373180"/>
    <w:rsid w:val="00375AB9"/>
    <w:rsid w:val="003821A0"/>
    <w:rsid w:val="00385B04"/>
    <w:rsid w:val="003864CF"/>
    <w:rsid w:val="003A22A6"/>
    <w:rsid w:val="003A5494"/>
    <w:rsid w:val="003B2510"/>
    <w:rsid w:val="003C2CC4"/>
    <w:rsid w:val="003C3710"/>
    <w:rsid w:val="003D3A81"/>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329A"/>
    <w:rsid w:val="00471860"/>
    <w:rsid w:val="00477026"/>
    <w:rsid w:val="0048738D"/>
    <w:rsid w:val="004A744D"/>
    <w:rsid w:val="004B60BD"/>
    <w:rsid w:val="004C08C0"/>
    <w:rsid w:val="004C3150"/>
    <w:rsid w:val="004C3246"/>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27289"/>
    <w:rsid w:val="00532DFB"/>
    <w:rsid w:val="00540613"/>
    <w:rsid w:val="00543CB3"/>
    <w:rsid w:val="005442E4"/>
    <w:rsid w:val="0055529B"/>
    <w:rsid w:val="00560FF0"/>
    <w:rsid w:val="005614BD"/>
    <w:rsid w:val="0057154F"/>
    <w:rsid w:val="00580F69"/>
    <w:rsid w:val="00581CA3"/>
    <w:rsid w:val="00584C20"/>
    <w:rsid w:val="00587A44"/>
    <w:rsid w:val="00597730"/>
    <w:rsid w:val="005977EC"/>
    <w:rsid w:val="00597DE7"/>
    <w:rsid w:val="005A46DA"/>
    <w:rsid w:val="005A4AA2"/>
    <w:rsid w:val="005A63DB"/>
    <w:rsid w:val="005B06FB"/>
    <w:rsid w:val="005B34B6"/>
    <w:rsid w:val="005B6C8F"/>
    <w:rsid w:val="005B6EC3"/>
    <w:rsid w:val="005D0F74"/>
    <w:rsid w:val="005D1917"/>
    <w:rsid w:val="005D2E7D"/>
    <w:rsid w:val="005D4A8F"/>
    <w:rsid w:val="005D561B"/>
    <w:rsid w:val="005D5ECF"/>
    <w:rsid w:val="005E3567"/>
    <w:rsid w:val="005F21F1"/>
    <w:rsid w:val="005F468D"/>
    <w:rsid w:val="005F69A3"/>
    <w:rsid w:val="00604CC7"/>
    <w:rsid w:val="006133DB"/>
    <w:rsid w:val="00615423"/>
    <w:rsid w:val="006165B2"/>
    <w:rsid w:val="00617276"/>
    <w:rsid w:val="0062188B"/>
    <w:rsid w:val="00623E6E"/>
    <w:rsid w:val="0062527B"/>
    <w:rsid w:val="00625D97"/>
    <w:rsid w:val="00625F1C"/>
    <w:rsid w:val="006279E1"/>
    <w:rsid w:val="00630CEB"/>
    <w:rsid w:val="00632264"/>
    <w:rsid w:val="006470BC"/>
    <w:rsid w:val="006554D3"/>
    <w:rsid w:val="00667036"/>
    <w:rsid w:val="00673BDB"/>
    <w:rsid w:val="00674341"/>
    <w:rsid w:val="006771B8"/>
    <w:rsid w:val="00683B2A"/>
    <w:rsid w:val="006843B6"/>
    <w:rsid w:val="0068481F"/>
    <w:rsid w:val="0069612C"/>
    <w:rsid w:val="00696F5D"/>
    <w:rsid w:val="00697249"/>
    <w:rsid w:val="006B3947"/>
    <w:rsid w:val="006B4293"/>
    <w:rsid w:val="006B624F"/>
    <w:rsid w:val="006C0C95"/>
    <w:rsid w:val="006C31E3"/>
    <w:rsid w:val="006C3633"/>
    <w:rsid w:val="006C4A24"/>
    <w:rsid w:val="006D18D3"/>
    <w:rsid w:val="006E08CB"/>
    <w:rsid w:val="006E598D"/>
    <w:rsid w:val="0070437D"/>
    <w:rsid w:val="00704CF1"/>
    <w:rsid w:val="00705B04"/>
    <w:rsid w:val="0071260E"/>
    <w:rsid w:val="00716E3A"/>
    <w:rsid w:val="007224EF"/>
    <w:rsid w:val="00724992"/>
    <w:rsid w:val="00734820"/>
    <w:rsid w:val="0073491E"/>
    <w:rsid w:val="007349DC"/>
    <w:rsid w:val="0074365E"/>
    <w:rsid w:val="00744B55"/>
    <w:rsid w:val="00745090"/>
    <w:rsid w:val="007515FD"/>
    <w:rsid w:val="00760D80"/>
    <w:rsid w:val="00780C09"/>
    <w:rsid w:val="00780DDF"/>
    <w:rsid w:val="007834E9"/>
    <w:rsid w:val="00787DBC"/>
    <w:rsid w:val="00787FBE"/>
    <w:rsid w:val="0079019A"/>
    <w:rsid w:val="00792935"/>
    <w:rsid w:val="007A04A1"/>
    <w:rsid w:val="007A1840"/>
    <w:rsid w:val="007C0528"/>
    <w:rsid w:val="007C3D38"/>
    <w:rsid w:val="007D0F35"/>
    <w:rsid w:val="007D4C21"/>
    <w:rsid w:val="007D4FEB"/>
    <w:rsid w:val="007D6146"/>
    <w:rsid w:val="007E0CE7"/>
    <w:rsid w:val="007F1193"/>
    <w:rsid w:val="007F417F"/>
    <w:rsid w:val="007F7644"/>
    <w:rsid w:val="008042BD"/>
    <w:rsid w:val="00816624"/>
    <w:rsid w:val="00822427"/>
    <w:rsid w:val="00822562"/>
    <w:rsid w:val="00823663"/>
    <w:rsid w:val="00832DDC"/>
    <w:rsid w:val="00843B23"/>
    <w:rsid w:val="00850BAC"/>
    <w:rsid w:val="00854A3E"/>
    <w:rsid w:val="00855D08"/>
    <w:rsid w:val="00874344"/>
    <w:rsid w:val="00882155"/>
    <w:rsid w:val="0088233B"/>
    <w:rsid w:val="008823CA"/>
    <w:rsid w:val="0088599E"/>
    <w:rsid w:val="00886C37"/>
    <w:rsid w:val="00892D99"/>
    <w:rsid w:val="00893315"/>
    <w:rsid w:val="008B62AE"/>
    <w:rsid w:val="008C04B5"/>
    <w:rsid w:val="008C14FA"/>
    <w:rsid w:val="008C542E"/>
    <w:rsid w:val="008C7B0B"/>
    <w:rsid w:val="008D4057"/>
    <w:rsid w:val="008E1F19"/>
    <w:rsid w:val="008E45DB"/>
    <w:rsid w:val="008F2262"/>
    <w:rsid w:val="008F4D2B"/>
    <w:rsid w:val="008F7736"/>
    <w:rsid w:val="008F7C6C"/>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0F8B"/>
    <w:rsid w:val="00971207"/>
    <w:rsid w:val="00975CB4"/>
    <w:rsid w:val="009863B0"/>
    <w:rsid w:val="00987DE1"/>
    <w:rsid w:val="00990571"/>
    <w:rsid w:val="00992AB5"/>
    <w:rsid w:val="0099673A"/>
    <w:rsid w:val="009A306E"/>
    <w:rsid w:val="009A3330"/>
    <w:rsid w:val="009A40DF"/>
    <w:rsid w:val="009A7C96"/>
    <w:rsid w:val="009C3DB9"/>
    <w:rsid w:val="009C6838"/>
    <w:rsid w:val="009D3131"/>
    <w:rsid w:val="009D46E5"/>
    <w:rsid w:val="009D568A"/>
    <w:rsid w:val="009F04EC"/>
    <w:rsid w:val="009F2A7C"/>
    <w:rsid w:val="009F3B36"/>
    <w:rsid w:val="00A019B9"/>
    <w:rsid w:val="00A12508"/>
    <w:rsid w:val="00A1282B"/>
    <w:rsid w:val="00A13A27"/>
    <w:rsid w:val="00A175B6"/>
    <w:rsid w:val="00A21660"/>
    <w:rsid w:val="00A21835"/>
    <w:rsid w:val="00A2374B"/>
    <w:rsid w:val="00A27D6E"/>
    <w:rsid w:val="00A328EC"/>
    <w:rsid w:val="00A33A51"/>
    <w:rsid w:val="00A41CA6"/>
    <w:rsid w:val="00A47927"/>
    <w:rsid w:val="00A47FFC"/>
    <w:rsid w:val="00A5442F"/>
    <w:rsid w:val="00A54FF9"/>
    <w:rsid w:val="00A56765"/>
    <w:rsid w:val="00A65309"/>
    <w:rsid w:val="00A675AC"/>
    <w:rsid w:val="00A72A32"/>
    <w:rsid w:val="00A7581F"/>
    <w:rsid w:val="00A804D0"/>
    <w:rsid w:val="00A92FB1"/>
    <w:rsid w:val="00A95A0C"/>
    <w:rsid w:val="00AA2320"/>
    <w:rsid w:val="00AA2765"/>
    <w:rsid w:val="00AA77B5"/>
    <w:rsid w:val="00AB6C5D"/>
    <w:rsid w:val="00AC0808"/>
    <w:rsid w:val="00AC3401"/>
    <w:rsid w:val="00AC51A7"/>
    <w:rsid w:val="00AD444B"/>
    <w:rsid w:val="00AD5614"/>
    <w:rsid w:val="00AD6C78"/>
    <w:rsid w:val="00AE2EAB"/>
    <w:rsid w:val="00AF5F89"/>
    <w:rsid w:val="00AF73CB"/>
    <w:rsid w:val="00B002D6"/>
    <w:rsid w:val="00B00D64"/>
    <w:rsid w:val="00B03379"/>
    <w:rsid w:val="00B05B51"/>
    <w:rsid w:val="00B05C42"/>
    <w:rsid w:val="00B062CB"/>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1C08"/>
    <w:rsid w:val="00BC2D7D"/>
    <w:rsid w:val="00BC402E"/>
    <w:rsid w:val="00BD0F48"/>
    <w:rsid w:val="00BE6DDB"/>
    <w:rsid w:val="00BF5010"/>
    <w:rsid w:val="00C03D5F"/>
    <w:rsid w:val="00C06700"/>
    <w:rsid w:val="00C13791"/>
    <w:rsid w:val="00C13AEC"/>
    <w:rsid w:val="00C2496B"/>
    <w:rsid w:val="00C31BB3"/>
    <w:rsid w:val="00C36977"/>
    <w:rsid w:val="00C467DA"/>
    <w:rsid w:val="00C477D9"/>
    <w:rsid w:val="00C60BA3"/>
    <w:rsid w:val="00C622F1"/>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2A1"/>
    <w:rsid w:val="00CB1777"/>
    <w:rsid w:val="00CB33E9"/>
    <w:rsid w:val="00CB6126"/>
    <w:rsid w:val="00CC10A9"/>
    <w:rsid w:val="00CD19B9"/>
    <w:rsid w:val="00CE2065"/>
    <w:rsid w:val="00CE2BF8"/>
    <w:rsid w:val="00CE484E"/>
    <w:rsid w:val="00CE656F"/>
    <w:rsid w:val="00CF0DA8"/>
    <w:rsid w:val="00CF2E25"/>
    <w:rsid w:val="00CF4453"/>
    <w:rsid w:val="00CF5D94"/>
    <w:rsid w:val="00CF7E0F"/>
    <w:rsid w:val="00D034D7"/>
    <w:rsid w:val="00D04BE4"/>
    <w:rsid w:val="00D06FC7"/>
    <w:rsid w:val="00D12565"/>
    <w:rsid w:val="00D14127"/>
    <w:rsid w:val="00D36165"/>
    <w:rsid w:val="00D60B16"/>
    <w:rsid w:val="00D60F02"/>
    <w:rsid w:val="00D65946"/>
    <w:rsid w:val="00D66E49"/>
    <w:rsid w:val="00D70D71"/>
    <w:rsid w:val="00D72258"/>
    <w:rsid w:val="00D72F74"/>
    <w:rsid w:val="00D81563"/>
    <w:rsid w:val="00D82472"/>
    <w:rsid w:val="00D85907"/>
    <w:rsid w:val="00D9073E"/>
    <w:rsid w:val="00D920DF"/>
    <w:rsid w:val="00D9221D"/>
    <w:rsid w:val="00D958DF"/>
    <w:rsid w:val="00D9678F"/>
    <w:rsid w:val="00D96DA1"/>
    <w:rsid w:val="00DA51E7"/>
    <w:rsid w:val="00DB0260"/>
    <w:rsid w:val="00DB1C78"/>
    <w:rsid w:val="00DB7D96"/>
    <w:rsid w:val="00DC23FE"/>
    <w:rsid w:val="00DC59E6"/>
    <w:rsid w:val="00DC62DC"/>
    <w:rsid w:val="00DD150B"/>
    <w:rsid w:val="00DD29EF"/>
    <w:rsid w:val="00DD4D6B"/>
    <w:rsid w:val="00DD5025"/>
    <w:rsid w:val="00DE39E6"/>
    <w:rsid w:val="00DF1510"/>
    <w:rsid w:val="00DF422F"/>
    <w:rsid w:val="00E02F1F"/>
    <w:rsid w:val="00E06484"/>
    <w:rsid w:val="00E1475A"/>
    <w:rsid w:val="00E20A7D"/>
    <w:rsid w:val="00E275D8"/>
    <w:rsid w:val="00E30F6A"/>
    <w:rsid w:val="00E3117C"/>
    <w:rsid w:val="00E375CA"/>
    <w:rsid w:val="00E567E8"/>
    <w:rsid w:val="00E64679"/>
    <w:rsid w:val="00E65EBC"/>
    <w:rsid w:val="00E677FE"/>
    <w:rsid w:val="00E73432"/>
    <w:rsid w:val="00E77B0C"/>
    <w:rsid w:val="00E77FB8"/>
    <w:rsid w:val="00E82DF0"/>
    <w:rsid w:val="00E838B0"/>
    <w:rsid w:val="00E86A7C"/>
    <w:rsid w:val="00E878E1"/>
    <w:rsid w:val="00E87F2C"/>
    <w:rsid w:val="00E95278"/>
    <w:rsid w:val="00E96B40"/>
    <w:rsid w:val="00EA2273"/>
    <w:rsid w:val="00EA7C3C"/>
    <w:rsid w:val="00EB2DB3"/>
    <w:rsid w:val="00EC3FBB"/>
    <w:rsid w:val="00EC6B7A"/>
    <w:rsid w:val="00ED3A87"/>
    <w:rsid w:val="00ED5B67"/>
    <w:rsid w:val="00EF264C"/>
    <w:rsid w:val="00EF3FEE"/>
    <w:rsid w:val="00F04B59"/>
    <w:rsid w:val="00F05947"/>
    <w:rsid w:val="00F11741"/>
    <w:rsid w:val="00F11F44"/>
    <w:rsid w:val="00F12B1C"/>
    <w:rsid w:val="00F13CF8"/>
    <w:rsid w:val="00F15855"/>
    <w:rsid w:val="00F227DC"/>
    <w:rsid w:val="00F32978"/>
    <w:rsid w:val="00F353DC"/>
    <w:rsid w:val="00F45CB2"/>
    <w:rsid w:val="00F544C0"/>
    <w:rsid w:val="00F55332"/>
    <w:rsid w:val="00F63486"/>
    <w:rsid w:val="00F63916"/>
    <w:rsid w:val="00F6504A"/>
    <w:rsid w:val="00F65519"/>
    <w:rsid w:val="00F713C0"/>
    <w:rsid w:val="00F73119"/>
    <w:rsid w:val="00F75916"/>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E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6C3633"/>
  </w:style>
  <w:style w:type="character" w:styleId="FootnoteReference">
    <w:name w:val="footnote reference"/>
    <w:basedOn w:val="DefaultParagraphFont"/>
    <w:unhideWhenUsed/>
    <w:rsid w:val="006C3633"/>
    <w:rPr>
      <w:vertAlign w:val="superscript"/>
    </w:rPr>
  </w:style>
  <w:style w:type="paragraph" w:styleId="ListParagraph">
    <w:name w:val="List Paragraph"/>
    <w:basedOn w:val="Normal"/>
    <w:uiPriority w:val="34"/>
    <w:qFormat/>
    <w:rsid w:val="00992A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6C3633"/>
  </w:style>
  <w:style w:type="character" w:styleId="FootnoteReference">
    <w:name w:val="footnote reference"/>
    <w:basedOn w:val="DefaultParagraphFont"/>
    <w:unhideWhenUsed/>
    <w:rsid w:val="006C3633"/>
    <w:rPr>
      <w:vertAlign w:val="superscript"/>
    </w:rPr>
  </w:style>
  <w:style w:type="paragraph" w:styleId="ListParagraph">
    <w:name w:val="List Paragraph"/>
    <w:basedOn w:val="Normal"/>
    <w:uiPriority w:val="34"/>
    <w:qFormat/>
    <w:rsid w:val="00992A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1FAC-4B3E-486E-9E27-844A10E23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1196</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Lisa Smith</dc:creator>
  <cp:lastModifiedBy>Lisa Smith</cp:lastModifiedBy>
  <cp:revision>2</cp:revision>
  <cp:lastPrinted>2019-03-26T18:44:00Z</cp:lastPrinted>
  <dcterms:created xsi:type="dcterms:W3CDTF">2019-03-26T18:48:00Z</dcterms:created>
  <dcterms:modified xsi:type="dcterms:W3CDTF">2019-03-26T18:48:00Z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20180125-EU</vt:lpwstr>
  </property>
  <property fmtid="{D5CDD505-2E9C-101B-9397-08002B2CF9AE}" pid="3" name="MasterDocument">
    <vt:bool>false</vt:bool>
  </property>
</Properties>
</file>