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F170D">
            <w:pPr>
              <w:pStyle w:val="MemoHeading"/>
            </w:pPr>
            <w:bookmarkStart w:id="1" w:name="FilingDate"/>
            <w:r>
              <w:t>May 2</w:t>
            </w:r>
            <w:r w:rsidR="004826A3">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826A3" w:rsidRDefault="004826A3">
            <w:pPr>
              <w:pStyle w:val="MemoHeading"/>
            </w:pPr>
            <w:bookmarkStart w:id="2" w:name="From"/>
            <w:r>
              <w:t>Division of Accoun</w:t>
            </w:r>
            <w:r w:rsidR="00B43727">
              <w:t xml:space="preserve">ting and Finance (Perez, Snyder, </w:t>
            </w:r>
            <w:r w:rsidR="00861DC5">
              <w:t xml:space="preserve">D. </w:t>
            </w:r>
            <w:r w:rsidR="00B43727">
              <w:t>Smith, Mouring</w:t>
            </w:r>
            <w:r>
              <w:t>)</w:t>
            </w:r>
          </w:p>
          <w:p w:rsidR="004826A3" w:rsidRDefault="00B43727">
            <w:pPr>
              <w:pStyle w:val="MemoHeading"/>
            </w:pPr>
            <w:r>
              <w:t>Division of Economics (Guffey, Draper</w:t>
            </w:r>
            <w:r w:rsidR="004826A3">
              <w:t>)</w:t>
            </w:r>
          </w:p>
          <w:p w:rsidR="004826A3" w:rsidRDefault="004826A3">
            <w:pPr>
              <w:pStyle w:val="MemoHeading"/>
            </w:pPr>
            <w:r>
              <w:t>Division of Engineering (</w:t>
            </w:r>
            <w:r w:rsidR="00B43727">
              <w:t>P. Buys, Doehling,</w:t>
            </w:r>
            <w:r>
              <w:t xml:space="preserve"> Thompson, Wooten</w:t>
            </w:r>
            <w:r w:rsidR="00B43727">
              <w:t>, Ellis, Graves</w:t>
            </w:r>
            <w:r>
              <w:t>)</w:t>
            </w:r>
          </w:p>
          <w:p w:rsidR="007C0528" w:rsidRDefault="004826A3">
            <w:pPr>
              <w:pStyle w:val="MemoHeading"/>
            </w:pPr>
            <w:r>
              <w:t xml:space="preserve">Office of the General Counsel </w:t>
            </w:r>
            <w:r w:rsidR="005C2412">
              <w:t>(Simmons,</w:t>
            </w:r>
            <w:r w:rsidR="00B43727">
              <w:t xml:space="preserve"> </w:t>
            </w:r>
            <w:r w:rsidR="00861DC5">
              <w:t xml:space="preserve">J. </w:t>
            </w:r>
            <w:r w:rsidR="00B43727">
              <w:t>Crawford</w:t>
            </w:r>
            <w:r w:rsidR="00D103BA">
              <w:t xml:space="preserve">, </w:t>
            </w:r>
            <w:r w:rsidR="003731C5">
              <w:t xml:space="preserve">A. </w:t>
            </w:r>
            <w:r w:rsidR="00D103BA">
              <w:t>King</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826A3">
            <w:pPr>
              <w:pStyle w:val="MemoHeadingRe"/>
            </w:pPr>
            <w:bookmarkStart w:id="3" w:name="Re"/>
            <w:r>
              <w:t>Docket No. 20190038-EI – Petition for limited proceeding for recovery of incremental storm restoration costs related to Hurricane Michael, by Gulf Power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F170D">
            <w:pPr>
              <w:pStyle w:val="MemoHeading"/>
            </w:pPr>
            <w:bookmarkStart w:id="4" w:name="AgendaDate"/>
            <w:r>
              <w:t>05/14</w:t>
            </w:r>
            <w:r w:rsidR="004826A3">
              <w:t>/19</w:t>
            </w:r>
            <w:bookmarkEnd w:id="4"/>
            <w:r w:rsidR="007C0528">
              <w:t xml:space="preserve"> – </w:t>
            </w:r>
            <w:bookmarkStart w:id="5" w:name="PermittedStatus"/>
            <w:r w:rsidR="004826A3">
              <w:t xml:space="preserve">Regular Agenda – </w:t>
            </w:r>
            <w:bookmarkEnd w:id="5"/>
            <w:r w:rsidR="00A41690">
              <w:t>Participation is at the Commission</w:t>
            </w:r>
            <w:r w:rsidR="008157F4">
              <w:t>’s Discretion</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826A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826A3">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84279">
            <w:pPr>
              <w:pStyle w:val="MemoHeading"/>
            </w:pPr>
            <w:r>
              <w:t>07/01/19 (Requested Implementation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826A3">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113517" w:rsidRDefault="00113517" w:rsidP="00584279">
      <w:pPr>
        <w:pStyle w:val="BodyText"/>
      </w:pPr>
      <w:r>
        <w:t>On February 6, 2019, Gulf Power Company</w:t>
      </w:r>
      <w:r w:rsidR="0096137D">
        <w:t xml:space="preserve"> </w:t>
      </w:r>
      <w:r w:rsidR="00861DC5">
        <w:t>(Gulf</w:t>
      </w:r>
      <w:r w:rsidR="00BB6CFC">
        <w:t xml:space="preserve"> or Company</w:t>
      </w:r>
      <w:r w:rsidR="00861DC5">
        <w:t>)</w:t>
      </w:r>
      <w:r>
        <w:t xml:space="preserve"> filed a petition for a limited proceeding seeking authority to implement an i</w:t>
      </w:r>
      <w:r w:rsidR="00C239BD">
        <w:t>n</w:t>
      </w:r>
      <w:r>
        <w:t xml:space="preserve">terim storm restoration recovery charge to recover a total of $342 million for incremental restoration costs related to Hurricane Michael and to replenish its storm reserve. </w:t>
      </w:r>
      <w:r w:rsidR="00E00DB8">
        <w:t xml:space="preserve">In its petition, Gulf asserts that as a result of Hurricane Michael, Gulf incurred total retail recoverable costs of approximately $350 million less the $48 million pre-storm balance of the storm reserve, resulting in net recoverable costs of $302 million. </w:t>
      </w:r>
      <w:r>
        <w:t xml:space="preserve">In addition, Gulf proposes to replenish its storm reserve to the $41 million balance as </w:t>
      </w:r>
      <w:r w:rsidR="00640F7B">
        <w:t>of December</w:t>
      </w:r>
      <w:r>
        <w:t xml:space="preserve"> 31, 2016. </w:t>
      </w:r>
      <w:r w:rsidR="005E7042">
        <w:t xml:space="preserve"> The $342 million includes i</w:t>
      </w:r>
      <w:r w:rsidR="005E7042" w:rsidRPr="005E7042">
        <w:t xml:space="preserve">nterest </w:t>
      </w:r>
      <w:r w:rsidR="00310BC2">
        <w:t xml:space="preserve">of $15.3 million </w:t>
      </w:r>
      <w:r w:rsidR="005E7042" w:rsidRPr="005E7042">
        <w:t>on th</w:t>
      </w:r>
      <w:r w:rsidR="005E7042">
        <w:t xml:space="preserve">e unamortized </w:t>
      </w:r>
      <w:r w:rsidR="00BB6CFC">
        <w:t xml:space="preserve">storm </w:t>
      </w:r>
      <w:r w:rsidR="00310BC2">
        <w:t>reserve balance</w:t>
      </w:r>
      <w:r w:rsidR="00BB6CFC">
        <w:t xml:space="preserve">.  </w:t>
      </w:r>
      <w:r>
        <w:t>Gulf filed its petition pursuant to the provision</w:t>
      </w:r>
      <w:r w:rsidR="00640F7B">
        <w:t>s</w:t>
      </w:r>
      <w:r>
        <w:t xml:space="preserve"> </w:t>
      </w:r>
      <w:r w:rsidR="008D5C42">
        <w:t xml:space="preserve">of </w:t>
      </w:r>
      <w:r w:rsidR="00B43727">
        <w:t>the S</w:t>
      </w:r>
      <w:r>
        <w:t>tipulation and</w:t>
      </w:r>
      <w:r w:rsidR="00B43727">
        <w:t xml:space="preserve"> Settlement </w:t>
      </w:r>
      <w:r w:rsidR="00B43727">
        <w:lastRenderedPageBreak/>
        <w:t>A</w:t>
      </w:r>
      <w:r>
        <w:t xml:space="preserve">greement (SSA) approved by the </w:t>
      </w:r>
      <w:r w:rsidR="00640F7B">
        <w:t>Commission</w:t>
      </w:r>
      <w:r>
        <w:t xml:space="preserve"> in Order No. PSC-</w:t>
      </w:r>
      <w:r w:rsidR="00E00DB8">
        <w:t>20</w:t>
      </w:r>
      <w:r>
        <w:t>17-0178-S-EI.</w:t>
      </w:r>
      <w:r w:rsidR="00861DC5">
        <w:rPr>
          <w:rStyle w:val="FootnoteReference"/>
        </w:rPr>
        <w:footnoteReference w:id="1"/>
      </w:r>
      <w:r>
        <w:t xml:space="preserve"> Pursuant to Paragraph 7(a) of the SSA, Gulf can recover storm costs, not exceeding $4.00/1</w:t>
      </w:r>
      <w:r w:rsidR="00861DC5">
        <w:t>,</w:t>
      </w:r>
      <w:r>
        <w:t xml:space="preserve">000 kWh on monthly residential customer bills, on an </w:t>
      </w:r>
      <w:r w:rsidR="00640F7B">
        <w:t>interim</w:t>
      </w:r>
      <w:r>
        <w:t xml:space="preserve"> basis</w:t>
      </w:r>
      <w:r w:rsidR="0092556B">
        <w:t>,</w:t>
      </w:r>
      <w:r w:rsidR="000E5E16">
        <w:t xml:space="preserve"> beginning 60</w:t>
      </w:r>
      <w:r>
        <w:t xml:space="preserve"> days following the filing of a petition for recovery. In addition, </w:t>
      </w:r>
      <w:r w:rsidR="00BB6CFC">
        <w:t xml:space="preserve">pursuant to Paragraph 7(b), </w:t>
      </w:r>
      <w:r>
        <w:t xml:space="preserve">Gulf may petition the </w:t>
      </w:r>
      <w:r w:rsidR="00BB6CFC">
        <w:t>Commission to allow for a charge</w:t>
      </w:r>
      <w:r>
        <w:t xml:space="preserve"> greater than $4.00/1</w:t>
      </w:r>
      <w:r w:rsidR="000E5E16">
        <w:t>,</w:t>
      </w:r>
      <w:r>
        <w:t>000 kWh</w:t>
      </w:r>
      <w:r w:rsidR="00C239BD">
        <w:t>,</w:t>
      </w:r>
      <w:r>
        <w:t xml:space="preserve"> or a period longer than 12 months</w:t>
      </w:r>
      <w:r w:rsidR="00BB6CFC">
        <w:t>,</w:t>
      </w:r>
      <w:r>
        <w:t xml:space="preserve"> if </w:t>
      </w:r>
      <w:r w:rsidR="00640F7B">
        <w:t>costs exceed</w:t>
      </w:r>
      <w:r>
        <w:t xml:space="preserve"> $100 million</w:t>
      </w:r>
      <w:r w:rsidR="00BB6CFC">
        <w:t xml:space="preserve"> in a calendar year</w:t>
      </w:r>
      <w:r>
        <w:t>. In its petition, Gulf has requested an interim storm restoration recovery charge of $8.00</w:t>
      </w:r>
      <w:r w:rsidR="00640F7B">
        <w:t>/</w:t>
      </w:r>
      <w:r>
        <w:t xml:space="preserve">1,000 kWh </w:t>
      </w:r>
      <w:r w:rsidR="00BB6CFC">
        <w:t xml:space="preserve">on a </w:t>
      </w:r>
      <w:r>
        <w:t>residenti</w:t>
      </w:r>
      <w:r w:rsidR="00891F8B">
        <w:t>al bill, effective with the first billing cycle for April 2019</w:t>
      </w:r>
      <w:r>
        <w:t xml:space="preserve">. </w:t>
      </w:r>
      <w:r w:rsidR="00BB6CFC">
        <w:t xml:space="preserve"> </w:t>
      </w:r>
      <w:r w:rsidR="008F170D">
        <w:t xml:space="preserve">On March 13, 2019, Gulf requested that the Commission suspend the 60-day timeframe set forth in </w:t>
      </w:r>
      <w:r w:rsidR="00BB6CFC">
        <w:t>the SSA</w:t>
      </w:r>
      <w:r w:rsidR="008F170D">
        <w:t xml:space="preserve">, and requested that the Commission </w:t>
      </w:r>
      <w:r w:rsidR="00BB6CFC">
        <w:t>approve the storm restoration recovery charge to become effective with the first billing cycle in July 2019.  The Company estimates that the proposed recovery charge will need to be in effect for approximately 60 months.</w:t>
      </w:r>
    </w:p>
    <w:p w:rsidR="0068481F" w:rsidRDefault="00113517" w:rsidP="00113517">
      <w:pPr>
        <w:pStyle w:val="BodyText"/>
      </w:pPr>
      <w:r>
        <w:t>The Office of Public Counsel</w:t>
      </w:r>
      <w:r w:rsidR="00BB6CFC">
        <w:t>’s intervention</w:t>
      </w:r>
      <w:r>
        <w:t xml:space="preserve"> in this docket </w:t>
      </w:r>
      <w:r w:rsidR="00BB6CFC">
        <w:t>was acknowledged in</w:t>
      </w:r>
      <w:r>
        <w:t xml:space="preserve"> </w:t>
      </w:r>
      <w:r w:rsidR="0027493B">
        <w:t xml:space="preserve">Order No. PSC-2019-0087-PCO-EI, issued March 6, </w:t>
      </w:r>
      <w:r>
        <w:t>2019</w:t>
      </w:r>
      <w:r w:rsidR="00970654">
        <w:t>.</w:t>
      </w:r>
    </w:p>
    <w:p w:rsidR="00970654" w:rsidRDefault="00970654" w:rsidP="00113517">
      <w:pPr>
        <w:pStyle w:val="BodyText"/>
      </w:pPr>
      <w:r w:rsidRPr="00970654">
        <w:t>The Commission has jurisdiction over this matter pursuant to Sections 366.04, 366.05, 366.06, and 366.076, Florida Statutes</w:t>
      </w:r>
      <w:r w:rsidR="00640F7B">
        <w:t>.</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826A3" w:rsidRDefault="004826A3">
      <w:pPr>
        <w:pStyle w:val="IssueHeading"/>
        <w:rPr>
          <w:vanish/>
          <w:specVanish/>
        </w:rPr>
      </w:pPr>
      <w:r w:rsidRPr="004C3641">
        <w:t xml:space="preserve">Issue </w:t>
      </w:r>
      <w:fldSimple w:instr=" SEQ Issue \* MERGEFORMAT ">
        <w:r w:rsidR="00E6182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E61828">
        <w:rPr>
          <w:noProof/>
        </w:rPr>
        <w:instrText>1</w:instrText>
      </w:r>
      <w:r>
        <w:fldChar w:fldCharType="end"/>
      </w:r>
      <w:r>
        <w:tab/>
        <w:instrText xml:space="preserve">(Perez, Mouring)" \l 1 </w:instrText>
      </w:r>
      <w:r>
        <w:fldChar w:fldCharType="end"/>
      </w:r>
      <w:r>
        <w:t> </w:t>
      </w:r>
    </w:p>
    <w:p w:rsidR="004826A3" w:rsidRDefault="004826A3">
      <w:pPr>
        <w:pStyle w:val="BodyText"/>
      </w:pPr>
      <w:r>
        <w:t> Should the Commission auth</w:t>
      </w:r>
      <w:r w:rsidR="00310BC2">
        <w:t xml:space="preserve">orize Gulf to implement an </w:t>
      </w:r>
      <w:r w:rsidR="00355A17">
        <w:t>interim storm restoration recovery c</w:t>
      </w:r>
      <w:r>
        <w:t>harge?</w:t>
      </w:r>
    </w:p>
    <w:p w:rsidR="004826A3" w:rsidRPr="004C3641" w:rsidRDefault="004826A3">
      <w:pPr>
        <w:pStyle w:val="IssueSubsectionHeading"/>
        <w:rPr>
          <w:vanish/>
          <w:specVanish/>
        </w:rPr>
      </w:pPr>
      <w:r w:rsidRPr="004C3641">
        <w:t>Recommendation: </w:t>
      </w:r>
    </w:p>
    <w:p w:rsidR="004826A3" w:rsidRDefault="004826A3">
      <w:pPr>
        <w:pStyle w:val="BodyText"/>
      </w:pPr>
      <w:r>
        <w:t> </w:t>
      </w:r>
      <w:r w:rsidR="00FE1937">
        <w:t>Yes.  The C</w:t>
      </w:r>
      <w:r w:rsidR="000900BF" w:rsidRPr="000900BF">
        <w:t>ommission should authorize Gulf to implement a</w:t>
      </w:r>
      <w:r w:rsidR="00355A17">
        <w:t>n interim storm restoration recovery c</w:t>
      </w:r>
      <w:r w:rsidR="000900BF" w:rsidRPr="000900BF">
        <w:t xml:space="preserve">harge, subject to refund.  Once the total actual storm costs are known, Gulf should be required to file documentation of the storm costs for Commission review and true up of any excess or </w:t>
      </w:r>
      <w:r w:rsidR="00640F7B" w:rsidRPr="000900BF">
        <w:t>shortfall</w:t>
      </w:r>
      <w:r w:rsidR="000900BF" w:rsidRPr="000900BF">
        <w:t>.</w:t>
      </w:r>
      <w:r>
        <w:t xml:space="preserve"> (Perez, Mouring)</w:t>
      </w:r>
    </w:p>
    <w:p w:rsidR="004826A3" w:rsidRPr="004C3641" w:rsidRDefault="004826A3">
      <w:pPr>
        <w:pStyle w:val="IssueSubsectionHeading"/>
        <w:rPr>
          <w:vanish/>
          <w:specVanish/>
        </w:rPr>
      </w:pPr>
      <w:r w:rsidRPr="004C3641">
        <w:t>Staff Analysis: </w:t>
      </w:r>
    </w:p>
    <w:p w:rsidR="007D5EA9" w:rsidRDefault="004826A3" w:rsidP="007D5EA9">
      <w:pPr>
        <w:pStyle w:val="BodyText"/>
      </w:pPr>
      <w:r>
        <w:t> </w:t>
      </w:r>
      <w:r w:rsidR="00BF30D5">
        <w:t>As stated in the Case B</w:t>
      </w:r>
      <w:r w:rsidR="00640F7B">
        <w:t>ackground, Gulf filed a pe</w:t>
      </w:r>
      <w:r w:rsidR="00310BC2">
        <w:t xml:space="preserve">tition for a limited proceeding </w:t>
      </w:r>
      <w:r w:rsidR="00640F7B">
        <w:t xml:space="preserve">seeking authority to implement an interim storm restoration recovery charge to recover a total of $342 million for the incremental restoration costs related to Hurricane Michael and to replenish its storm reserve.  </w:t>
      </w:r>
      <w:r w:rsidR="007D5EA9">
        <w:t>The requested recovery of $342 million represents net retail recoverable costs of approximately $302 million, plus an additional $41 million to replenish the storm reserve to the balance that existed on December 31, 2016.</w:t>
      </w:r>
      <w:r w:rsidR="00584279">
        <w:rPr>
          <w:rStyle w:val="FootnoteReference"/>
        </w:rPr>
        <w:footnoteReference w:id="2"/>
      </w:r>
      <w:r w:rsidR="00EA1684">
        <w:t xml:space="preserve"> </w:t>
      </w:r>
      <w:r w:rsidR="00A00A73">
        <w:t xml:space="preserve">In addition, the </w:t>
      </w:r>
      <w:r w:rsidR="008637EB">
        <w:t xml:space="preserve">$342 million includes interest on the unamortized </w:t>
      </w:r>
      <w:r w:rsidR="00BF30D5">
        <w:t xml:space="preserve">storm </w:t>
      </w:r>
      <w:r w:rsidR="008637EB">
        <w:t>r</w:t>
      </w:r>
      <w:r w:rsidR="00BF30D5">
        <w:t>eserve balance of $15.3 million</w:t>
      </w:r>
      <w:r w:rsidR="008637EB">
        <w:t xml:space="preserve">.  </w:t>
      </w:r>
      <w:r w:rsidR="007D5EA9">
        <w:t xml:space="preserve">Gulf has requested an interim storm restoration recovery charge of $8.00 on a monthly 1,000 kWh residential bill, effective </w:t>
      </w:r>
      <w:r w:rsidR="00891F8B">
        <w:t>with t</w:t>
      </w:r>
      <w:r w:rsidR="006F5DF1">
        <w:t>he first billing cycle for July</w:t>
      </w:r>
      <w:r w:rsidR="00891F8B">
        <w:t xml:space="preserve"> 2019</w:t>
      </w:r>
      <w:r w:rsidR="007D5EA9">
        <w:t>.</w:t>
      </w:r>
      <w:r w:rsidR="00BF30D5">
        <w:t xml:space="preserve">  The Company estimates that the proposed recovery charge will need to be in effect for approximately 60 months.</w:t>
      </w:r>
      <w:r w:rsidR="007D5EA9">
        <w:t xml:space="preserve"> </w:t>
      </w:r>
    </w:p>
    <w:p w:rsidR="007D5EA9" w:rsidRDefault="007D5EA9" w:rsidP="007D5EA9">
      <w:pPr>
        <w:pStyle w:val="BodyText"/>
      </w:pPr>
      <w:r>
        <w:t xml:space="preserve">In its petition, Gulf asserts that it incurred total retail recoverable costs of approximately $350 million as a result of Hurricane Michael.  </w:t>
      </w:r>
      <w:r w:rsidR="00BF30D5">
        <w:t>Gulf represented that t</w:t>
      </w:r>
      <w:r>
        <w:t>his amount was calculated in accordance with the Incremental Cost and Capitalization Approach (ICCA) methodology prescribed in Rule 25-6.0143, Florida Administrative Code (F.A.C.).   The net retail recoverable costs of $302 million were determined by reducing the $350 million total costs by the pre-storm storm reserve balance of $48 million.  The S</w:t>
      </w:r>
      <w:r w:rsidR="00B43727">
        <w:t>SA</w:t>
      </w:r>
      <w:r>
        <w:t xml:space="preserve"> also allows Gulf to request the replenishment of its storm reserve to the $41 million balance that existed on December 31, 2016.</w:t>
      </w:r>
    </w:p>
    <w:p w:rsidR="007D5EA9" w:rsidRDefault="007D5EA9" w:rsidP="007D5EA9">
      <w:pPr>
        <w:pStyle w:val="BodyText"/>
      </w:pPr>
      <w:r>
        <w:t>The approval of an interim storm restoration recovery charge is preliminary in nature and is subject to refund pending a further review once the total actual storm restoration costs are known.  After the actual</w:t>
      </w:r>
      <w:r w:rsidR="006751E6">
        <w:t xml:space="preserve"> costs are reviewed for reasonableness</w:t>
      </w:r>
      <w:r>
        <w:t xml:space="preserve"> </w:t>
      </w:r>
      <w:r w:rsidR="006751E6">
        <w:t>and prudence</w:t>
      </w:r>
      <w:r>
        <w:t xml:space="preserve">, and are compared to the actual amount </w:t>
      </w:r>
      <w:r w:rsidR="00640F7B">
        <w:t>recovered</w:t>
      </w:r>
      <w:r>
        <w:t xml:space="preserve"> through the </w:t>
      </w:r>
      <w:r w:rsidR="00640F7B">
        <w:t>interim</w:t>
      </w:r>
      <w:r>
        <w:t xml:space="preserve"> storm restoration recovery charge, a determination will be made whether any over/under recovery has occurred.  The disposition of any over/under recovery, and associated interest, would be </w:t>
      </w:r>
      <w:r w:rsidR="00640F7B">
        <w:t>considered</w:t>
      </w:r>
      <w:r>
        <w:t xml:space="preserve"> by the Commission at a later date.</w:t>
      </w:r>
    </w:p>
    <w:p w:rsidR="004826A3" w:rsidRDefault="007D5EA9" w:rsidP="007D5EA9">
      <w:pPr>
        <w:pStyle w:val="BodyText"/>
      </w:pPr>
      <w:r>
        <w:t xml:space="preserve">Based on a review of the information provided by Gulf in its petition, staff recommends that the Commission </w:t>
      </w:r>
      <w:r w:rsidR="00640F7B">
        <w:t>authorize</w:t>
      </w:r>
      <w:r>
        <w:t xml:space="preserve"> Gulf to implement a</w:t>
      </w:r>
      <w:r w:rsidR="00BF30D5">
        <w:t>n interim storm restoration recovery c</w:t>
      </w:r>
      <w:r>
        <w:t>harge, subject to refund.  Once the total actual storm costs are known, Gulf should be required to file documentation of the storm costs for Commis</w:t>
      </w:r>
      <w:r w:rsidR="007171F8">
        <w:t>sion review and true up of any ex</w:t>
      </w:r>
      <w:r>
        <w:t xml:space="preserve">cess or shortfall.   </w:t>
      </w:r>
    </w:p>
    <w:p w:rsidR="00FD5AA5" w:rsidRDefault="00FD5AA5">
      <w:pPr>
        <w:pStyle w:val="IssueHeading"/>
        <w:rPr>
          <w:vanish/>
          <w:specVanish/>
        </w:rPr>
      </w:pPr>
      <w:r w:rsidRPr="004C3641">
        <w:rPr>
          <w:b w:val="0"/>
          <w:i w:val="0"/>
        </w:rPr>
        <w:br w:type="page"/>
      </w:r>
      <w:r w:rsidRPr="004C3641">
        <w:lastRenderedPageBreak/>
        <w:t xml:space="preserve">Issue </w:t>
      </w:r>
      <w:r w:rsidR="00711815">
        <w:fldChar w:fldCharType="begin"/>
      </w:r>
      <w:r w:rsidR="00711815">
        <w:instrText xml:space="preserve"> SEQ Issue \* MERGEFORMAT </w:instrText>
      </w:r>
      <w:r w:rsidR="00711815">
        <w:fldChar w:fldCharType="separate"/>
      </w:r>
      <w:r w:rsidR="00E61828">
        <w:rPr>
          <w:noProof/>
        </w:rPr>
        <w:t>2</w:t>
      </w:r>
      <w:r w:rsidR="0071181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61828">
        <w:rPr>
          <w:noProof/>
        </w:rPr>
        <w:instrText>2</w:instrText>
      </w:r>
      <w:r>
        <w:fldChar w:fldCharType="end"/>
      </w:r>
      <w:r>
        <w:tab/>
        <w:instrText xml:space="preserve">(Draper, Sevini)" \l 1 </w:instrText>
      </w:r>
      <w:r>
        <w:fldChar w:fldCharType="end"/>
      </w:r>
      <w:r>
        <w:t> </w:t>
      </w:r>
    </w:p>
    <w:p w:rsidR="00FD5AA5" w:rsidRDefault="00FD5AA5">
      <w:pPr>
        <w:pStyle w:val="BodyText"/>
      </w:pPr>
      <w:r>
        <w:t> </w:t>
      </w:r>
      <w:r w:rsidR="002F622D" w:rsidRPr="002F622D">
        <w:t>Should the Commission approve Gulf's proposed interim storm restoration recovery tariffs as shown in Attachment A to the recommendation</w:t>
      </w:r>
      <w:r w:rsidR="002F622D">
        <w:t>?</w:t>
      </w:r>
    </w:p>
    <w:p w:rsidR="00FD5AA5" w:rsidRPr="004C3641" w:rsidRDefault="00FD5AA5">
      <w:pPr>
        <w:pStyle w:val="IssueSubsectionHeading"/>
        <w:rPr>
          <w:vanish/>
          <w:specVanish/>
        </w:rPr>
      </w:pPr>
      <w:r w:rsidRPr="004C3641">
        <w:t>Recommendation: </w:t>
      </w:r>
    </w:p>
    <w:p w:rsidR="00FD5AA5" w:rsidRDefault="00FD5AA5">
      <w:pPr>
        <w:pStyle w:val="BodyText"/>
      </w:pPr>
      <w:r>
        <w:t> </w:t>
      </w:r>
      <w:r w:rsidR="002E7C38">
        <w:t xml:space="preserve">Yes, </w:t>
      </w:r>
      <w:r w:rsidR="002E7C38" w:rsidRPr="002E7C38">
        <w:t>the Commission should approve Gulf's proposed interim storm restoration recovery tariffs as shown in Attachment A to the recommendation. The proposed tariffs should become effective with the first billing cycle of July 2019.</w:t>
      </w:r>
      <w:r w:rsidR="002E7C38">
        <w:t xml:space="preserve"> (Guffey, Draper</w:t>
      </w:r>
      <w:r>
        <w:t>)</w:t>
      </w:r>
    </w:p>
    <w:p w:rsidR="00FD5AA5" w:rsidRPr="004C3641" w:rsidRDefault="00FD5AA5">
      <w:pPr>
        <w:pStyle w:val="IssueSubsectionHeading"/>
        <w:rPr>
          <w:vanish/>
          <w:specVanish/>
        </w:rPr>
      </w:pPr>
      <w:r w:rsidRPr="004C3641">
        <w:t>Staff Analysis: </w:t>
      </w:r>
    </w:p>
    <w:p w:rsidR="001A7235" w:rsidRDefault="00FD5AA5" w:rsidP="001A7235">
      <w:pPr>
        <w:pStyle w:val="BodyText"/>
      </w:pPr>
      <w:r>
        <w:t> </w:t>
      </w:r>
      <w:r w:rsidR="001A7235">
        <w:t>In its March 13, 2019 letter to the Commission, Gulf proposed to begin applying the interim storm restoration recovery charge to customer bills with the first billing cycle of July 2019</w:t>
      </w:r>
      <w:r w:rsidR="0092556B">
        <w:t>,</w:t>
      </w:r>
      <w:r w:rsidR="001A7235">
        <w:t xml:space="preserve"> and to include the charge in the non-fuel energy charge on customer bills. The proposed approximate 60-month recovery p</w:t>
      </w:r>
      <w:r w:rsidR="0092556B">
        <w:t>eriod would be subject to modification</w:t>
      </w:r>
      <w:r w:rsidR="001A7235">
        <w:t xml:space="preserve"> based u</w:t>
      </w:r>
      <w:r w:rsidR="0092556B">
        <w:t>pon the Commission’s final decision regarding</w:t>
      </w:r>
      <w:r w:rsidR="001A7235">
        <w:t xml:space="preserve"> actual charges. In support of its rate calculations, Gulf provided Exhibit E to the petition.</w:t>
      </w:r>
    </w:p>
    <w:p w:rsidR="001A7235" w:rsidRDefault="001A7235" w:rsidP="001A7235">
      <w:pPr>
        <w:pStyle w:val="BodyText"/>
      </w:pPr>
      <w:r>
        <w:t>Exhibit E illustrates the computation of the proposed interim storm restoration recovery charges for each rate class. Gulf represented that it followed the methodology for allocation of storm costs among rate classes consistent with the cost of service study filed in its 2016 rate case (Docket No. 20160186-EI).</w:t>
      </w:r>
      <w:r w:rsidR="001A3F22">
        <w:rPr>
          <w:rStyle w:val="FootnoteReference"/>
        </w:rPr>
        <w:footnoteReference w:id="3"/>
      </w:r>
      <w:r>
        <w:t xml:space="preserve">  Staff reviewed Gulf’s calculations and believes the allocation methodology to be reasonable. The storm restoration costs are weighted to reflect storm restoration cost</w:t>
      </w:r>
      <w:r w:rsidR="00BF30D5">
        <w:t>s</w:t>
      </w:r>
      <w:r>
        <w:t xml:space="preserve"> by function such as distribution and transmission (92 percent and 7 percent</w:t>
      </w:r>
      <w:r w:rsidR="0092556B">
        <w:t xml:space="preserve">, </w:t>
      </w:r>
      <w:r>
        <w:t>respectively)</w:t>
      </w:r>
      <w:r w:rsidR="00613DCE">
        <w:t>.</w:t>
      </w:r>
      <w:r>
        <w:t xml:space="preserve"> </w:t>
      </w:r>
    </w:p>
    <w:p w:rsidR="007A0B87" w:rsidRDefault="007A0B87" w:rsidP="001A7235">
      <w:pPr>
        <w:pStyle w:val="BodyText"/>
      </w:pPr>
      <w:r w:rsidRPr="007A0B87">
        <w:t>Application of the allocation methodology for the residential customer rate class results in a proposed interim storm recovery charge of 0.8 cents per kilowatt hour (kWh), which equates to $8.00 on a 1,000 kWh residential electric bill. The proposed interim charges for all rate classes are presented in Twenty-Second Revised Sheet No. 6.25, included in Exhibit F to Gulf’s petition.  Revised Exhibit F also includes Table of Contents to add the interim storm restoration recovery charge.  The proposed tariff sheets are included in Attachment A to this recommendation.</w:t>
      </w:r>
    </w:p>
    <w:p w:rsidR="001A7235" w:rsidRDefault="001A7235" w:rsidP="001A7235">
      <w:pPr>
        <w:pStyle w:val="BodyText"/>
      </w:pPr>
      <w:r>
        <w:t>In its response to staff’s first data request, Gulf provided customer notifications for staff review and stated that the customers will be no</w:t>
      </w:r>
      <w:r w:rsidR="00BF30D5">
        <w:t>tified by media news releases, C</w:t>
      </w:r>
      <w:r>
        <w:t>ompany website, bill i</w:t>
      </w:r>
      <w:r w:rsidR="00BF30D5">
        <w:t>nserts</w:t>
      </w:r>
      <w:r w:rsidR="0092556B">
        <w:t>,</w:t>
      </w:r>
      <w:r w:rsidR="00BF30D5">
        <w:t xml:space="preserve"> and by telephone to the C</w:t>
      </w:r>
      <w:r>
        <w:t>ompany’s largest commercial customers.</w:t>
      </w:r>
    </w:p>
    <w:p w:rsidR="00FD5AA5" w:rsidRDefault="001A7235" w:rsidP="001A7235">
      <w:pPr>
        <w:pStyle w:val="BodyText"/>
      </w:pPr>
      <w:r>
        <w:t>Based on its review of the information provided by Gulf, staff r</w:t>
      </w:r>
      <w:r w:rsidR="000A1FA0">
        <w:t xml:space="preserve">ecommends the Commission </w:t>
      </w:r>
      <w:r>
        <w:t>approve Gulf's proposed interim storm restoration recovery tariffs</w:t>
      </w:r>
      <w:r w:rsidR="0092556B">
        <w:t>, subject to refund,</w:t>
      </w:r>
      <w:r>
        <w:t xml:space="preserve"> as shown in Attachment A to the recommendation. The proposed tariffs should become effective with the first billing cycle of July 2019.    </w:t>
      </w:r>
    </w:p>
    <w:p w:rsidR="00C557C0" w:rsidRDefault="00C557C0">
      <w:pPr>
        <w:pStyle w:val="IssueHeading"/>
        <w:rPr>
          <w:vanish/>
          <w:specVanish/>
        </w:rPr>
      </w:pPr>
      <w:r w:rsidRPr="004C3641">
        <w:rPr>
          <w:b w:val="0"/>
          <w:i w:val="0"/>
        </w:rPr>
        <w:br w:type="page"/>
      </w:r>
      <w:r w:rsidRPr="004C3641">
        <w:lastRenderedPageBreak/>
        <w:t xml:space="preserve">Issue </w:t>
      </w:r>
      <w:r w:rsidR="00711815">
        <w:fldChar w:fldCharType="begin"/>
      </w:r>
      <w:r w:rsidR="00711815">
        <w:instrText xml:space="preserve"> SEQ Issue \* MERGEFORMAT </w:instrText>
      </w:r>
      <w:r w:rsidR="00711815">
        <w:fldChar w:fldCharType="separate"/>
      </w:r>
      <w:r w:rsidR="00E61828">
        <w:rPr>
          <w:noProof/>
        </w:rPr>
        <w:t>3</w:t>
      </w:r>
      <w:r w:rsidR="0071181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61828">
        <w:rPr>
          <w:noProof/>
        </w:rPr>
        <w:instrText>3</w:instrText>
      </w:r>
      <w:r>
        <w:fldChar w:fldCharType="end"/>
      </w:r>
      <w:r>
        <w:tab/>
        <w:instrText xml:space="preserve">" \l 1 </w:instrText>
      </w:r>
      <w:r>
        <w:fldChar w:fldCharType="end"/>
      </w:r>
      <w:r>
        <w:t> </w:t>
      </w:r>
    </w:p>
    <w:p w:rsidR="00C557C0" w:rsidRDefault="00C557C0">
      <w:pPr>
        <w:pStyle w:val="BodyText"/>
      </w:pPr>
      <w:r>
        <w:t> What is the appropriate security to guarantee the amount collected sub</w:t>
      </w:r>
      <w:r w:rsidR="00297E7F">
        <w:t>ject to refund through the interim storm restoration r</w:t>
      </w:r>
      <w:r>
        <w:t xml:space="preserve">ecovery charge? </w:t>
      </w:r>
    </w:p>
    <w:p w:rsidR="00C557C0" w:rsidRPr="004C3641" w:rsidRDefault="00C557C0">
      <w:pPr>
        <w:pStyle w:val="IssueSubsectionHeading"/>
        <w:rPr>
          <w:vanish/>
          <w:specVanish/>
        </w:rPr>
      </w:pPr>
      <w:r w:rsidRPr="004C3641">
        <w:t>Recommendation: </w:t>
      </w:r>
    </w:p>
    <w:p w:rsidR="00C557C0" w:rsidRDefault="00C557C0">
      <w:pPr>
        <w:pStyle w:val="BodyText"/>
      </w:pPr>
      <w:r>
        <w:t> </w:t>
      </w:r>
      <w:r w:rsidR="00937D9A">
        <w:t>The appropriate security to guarantee the funds collected subject to refund is a corporate undertaking.</w:t>
      </w:r>
      <w:r w:rsidR="001B47C0">
        <w:t xml:space="preserve"> (</w:t>
      </w:r>
      <w:r w:rsidR="00937D9A">
        <w:t xml:space="preserve">Hightower, </w:t>
      </w:r>
      <w:r w:rsidR="001B47C0">
        <w:t>D</w:t>
      </w:r>
      <w:r>
        <w:t>. Buys)</w:t>
      </w:r>
    </w:p>
    <w:p w:rsidR="00C557C0" w:rsidRPr="004C3641" w:rsidRDefault="00C557C0">
      <w:pPr>
        <w:pStyle w:val="IssueSubsectionHeading"/>
        <w:rPr>
          <w:vanish/>
          <w:specVanish/>
        </w:rPr>
      </w:pPr>
      <w:r w:rsidRPr="004C3641">
        <w:t>Staff Analysis: </w:t>
      </w:r>
    </w:p>
    <w:p w:rsidR="00937D9A" w:rsidRDefault="00C557C0" w:rsidP="00937D9A">
      <w:pPr>
        <w:pStyle w:val="BodyText"/>
      </w:pPr>
      <w:r>
        <w:t> </w:t>
      </w:r>
      <w:r w:rsidR="00937D9A">
        <w:t>Staff recommends that all funds collected subject to refund be secured by a corporate undertaking. The criteria for a corporate undertaking include sufficient liquidity, ownership equity, profitability, and interest coverage to guarantee any potential refund. Staff reviewed Gulf’s financial statem</w:t>
      </w:r>
      <w:r w:rsidR="00297E7F">
        <w:t xml:space="preserve">ents to determine if </w:t>
      </w:r>
      <w:r w:rsidR="000A1FA0">
        <w:t>the C</w:t>
      </w:r>
      <w:r w:rsidR="00297E7F">
        <w:t>ompany</w:t>
      </w:r>
      <w:r w:rsidR="00937D9A">
        <w:t xml:space="preserve"> can support a corporate undertaking to guarantee the funds collected for recovery of incremental storm restoration costs related t</w:t>
      </w:r>
      <w:r w:rsidR="00297E7F">
        <w:t>o Hurricane Michael. Gulf’s 2015</w:t>
      </w:r>
      <w:r w:rsidR="00937D9A">
        <w:t>, 2016</w:t>
      </w:r>
      <w:r w:rsidR="00297E7F">
        <w:t>, and 2017</w:t>
      </w:r>
      <w:r w:rsidR="00937D9A">
        <w:t xml:space="preserve"> financial statements were used to determine the financial condition of the Company. Gulf’s financial performance demonstrates adequate levels of liquidity, ownership equity, profitability, and interest coverage to guarantee the potential refund.</w:t>
      </w:r>
    </w:p>
    <w:p w:rsidR="00C557C0" w:rsidRDefault="00937D9A" w:rsidP="00937D9A">
      <w:pPr>
        <w:pStyle w:val="BodyText"/>
      </w:pPr>
      <w:r>
        <w:t>Staff believes Gulf has adequate resources to support a corporate undertaking in the amount requested. Based on this analysis, staff recommends that a corporate undertaking of $68 million is acceptable. This brief financial analysis is only appropriate for deciding if the Company can support a corporate undertaking in the amount proposed and should not be considered a finding regarding staff's position on other issues in this proceeding.</w:t>
      </w:r>
    </w:p>
    <w:p w:rsidR="00C557C0" w:rsidRDefault="00C557C0">
      <w:pPr>
        <w:pStyle w:val="IssueHeading"/>
        <w:rPr>
          <w:vanish/>
          <w:specVanish/>
        </w:rPr>
      </w:pPr>
      <w:r w:rsidRPr="004C3641">
        <w:rPr>
          <w:b w:val="0"/>
          <w:i w:val="0"/>
        </w:rPr>
        <w:br w:type="page"/>
      </w:r>
      <w:r w:rsidRPr="004C3641">
        <w:lastRenderedPageBreak/>
        <w:t xml:space="preserve">Issue </w:t>
      </w:r>
      <w:r w:rsidR="00711815">
        <w:fldChar w:fldCharType="begin"/>
      </w:r>
      <w:r w:rsidR="00711815">
        <w:instrText xml:space="preserve"> SEQ Issue \* MERGEFORMAT </w:instrText>
      </w:r>
      <w:r w:rsidR="00711815">
        <w:fldChar w:fldCharType="separate"/>
      </w:r>
      <w:r w:rsidR="00E61828">
        <w:rPr>
          <w:noProof/>
        </w:rPr>
        <w:t>4</w:t>
      </w:r>
      <w:r w:rsidR="0071181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61828">
        <w:rPr>
          <w:noProof/>
        </w:rPr>
        <w:instrText>4</w:instrText>
      </w:r>
      <w:r>
        <w:fldChar w:fldCharType="end"/>
      </w:r>
      <w:r>
        <w:tab/>
        <w:instrText xml:space="preserve">(Simmons)" \l 1 </w:instrText>
      </w:r>
      <w:r>
        <w:fldChar w:fldCharType="end"/>
      </w:r>
      <w:r>
        <w:t> </w:t>
      </w:r>
    </w:p>
    <w:p w:rsidR="00C557C0" w:rsidRDefault="00C557C0">
      <w:pPr>
        <w:pStyle w:val="BodyText"/>
      </w:pPr>
      <w:r>
        <w:t> Should this docket be closed?</w:t>
      </w:r>
    </w:p>
    <w:p w:rsidR="00C557C0" w:rsidRPr="004C3641" w:rsidRDefault="00C557C0">
      <w:pPr>
        <w:pStyle w:val="IssueSubsectionHeading"/>
        <w:rPr>
          <w:vanish/>
          <w:specVanish/>
        </w:rPr>
      </w:pPr>
      <w:r w:rsidRPr="004C3641">
        <w:t>Recommendation: </w:t>
      </w:r>
    </w:p>
    <w:p w:rsidR="00C557C0" w:rsidRDefault="00C557C0">
      <w:pPr>
        <w:pStyle w:val="BodyText"/>
      </w:pPr>
      <w:r>
        <w:t> </w:t>
      </w:r>
      <w:r w:rsidR="00D370E6">
        <w:t>No, this docket should remain open pending final reconciliation of actual recoverable Hurricane M</w:t>
      </w:r>
      <w:r w:rsidR="006C7FBF">
        <w:t>ichael</w:t>
      </w:r>
      <w:r w:rsidR="00D370E6">
        <w:t xml:space="preserve"> storm </w:t>
      </w:r>
      <w:r w:rsidR="006C7FBF">
        <w:t>costs</w:t>
      </w:r>
      <w:r w:rsidR="00D370E6">
        <w:t xml:space="preserve"> with the amoun</w:t>
      </w:r>
      <w:r w:rsidR="00297E7F">
        <w:t>t collected pursuant to the interim storm restoration recovery c</w:t>
      </w:r>
      <w:r w:rsidR="00D370E6">
        <w:t>harge, and the calculation of a refund or additional charge if warranted.</w:t>
      </w:r>
      <w:r>
        <w:t xml:space="preserve"> (Simmons)</w:t>
      </w:r>
    </w:p>
    <w:p w:rsidR="00C557C0" w:rsidRPr="004C3641" w:rsidRDefault="00C557C0">
      <w:pPr>
        <w:pStyle w:val="IssueSubsectionHeading"/>
        <w:rPr>
          <w:vanish/>
          <w:specVanish/>
        </w:rPr>
      </w:pPr>
      <w:r w:rsidRPr="004C3641">
        <w:t>Staff Analysis: </w:t>
      </w:r>
    </w:p>
    <w:p w:rsidR="009C335B" w:rsidRDefault="00C557C0" w:rsidP="00A16F50">
      <w:pPr>
        <w:pStyle w:val="BodyText"/>
      </w:pPr>
      <w:r>
        <w:t> </w:t>
      </w:r>
      <w:r w:rsidR="006C7FBF">
        <w:t>No, this docket should remain open pending final reconciliation of actual recoverable Hurricane Michael storm costs with the amoun</w:t>
      </w:r>
      <w:r w:rsidR="00297E7F">
        <w:t>t collected pursuant to the interim storm restoration recovery c</w:t>
      </w:r>
      <w:r w:rsidR="006C7FBF">
        <w:t>harge, and the calculation of a refund or additional charge if warranted.</w:t>
      </w:r>
    </w:p>
    <w:p w:rsidR="00A16F50" w:rsidRDefault="00A16F50" w:rsidP="00A16F50">
      <w:pPr>
        <w:pStyle w:val="BodyText"/>
        <w:sectPr w:rsidR="00A16F5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A16F50" w:rsidRDefault="00A16F50" w:rsidP="00A16F50">
      <w:pPr>
        <w:pStyle w:val="BodyText"/>
      </w:pPr>
    </w:p>
    <w:p w:rsidR="00E06484" w:rsidRDefault="009C335B" w:rsidP="00E275D8">
      <w:pPr>
        <w:pStyle w:val="BodyText"/>
      </w:pPr>
      <w:r>
        <w:rPr>
          <w:noProof/>
        </w:rPr>
        <w:drawing>
          <wp:inline distT="0" distB="0" distL="0" distR="0" wp14:anchorId="6509ADB1" wp14:editId="3F595EFB">
            <wp:extent cx="5943600" cy="769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A16F50" w:rsidRDefault="00A16F50" w:rsidP="00E275D8">
      <w:pPr>
        <w:pStyle w:val="BodyText"/>
        <w:sectPr w:rsidR="00A16F50" w:rsidSect="0068481F">
          <w:headerReference w:type="default" r:id="rId16"/>
          <w:pgSz w:w="12240" w:h="15840" w:code="1"/>
          <w:pgMar w:top="1584" w:right="1440" w:bottom="1440" w:left="1440" w:header="720" w:footer="720" w:gutter="0"/>
          <w:cols w:space="720"/>
          <w:formProt w:val="0"/>
          <w:docGrid w:linePitch="360"/>
        </w:sectPr>
      </w:pPr>
    </w:p>
    <w:p w:rsidR="009C335B" w:rsidRDefault="009C335B" w:rsidP="00E275D8">
      <w:pPr>
        <w:pStyle w:val="BodyText"/>
      </w:pPr>
    </w:p>
    <w:p w:rsidR="009C335B" w:rsidRDefault="009C335B" w:rsidP="00E275D8">
      <w:pPr>
        <w:pStyle w:val="BodyText"/>
      </w:pPr>
      <w:r>
        <w:rPr>
          <w:noProof/>
        </w:rPr>
        <w:drawing>
          <wp:inline distT="0" distB="0" distL="0" distR="0" wp14:anchorId="06A7FDF8" wp14:editId="75C6D879">
            <wp:extent cx="5944235"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16F50" w:rsidRDefault="00A16F50" w:rsidP="00E275D8">
      <w:pPr>
        <w:pStyle w:val="BodyText"/>
        <w:sectPr w:rsidR="00A16F50" w:rsidSect="00A16F50">
          <w:headerReference w:type="default" r:id="rId18"/>
          <w:type w:val="continuous"/>
          <w:pgSz w:w="12240" w:h="15840" w:code="1"/>
          <w:pgMar w:top="1584" w:right="1440" w:bottom="1440" w:left="1440" w:header="720" w:footer="720" w:gutter="0"/>
          <w:cols w:space="720"/>
          <w:formProt w:val="0"/>
          <w:docGrid w:linePitch="360"/>
        </w:sectPr>
      </w:pPr>
    </w:p>
    <w:p w:rsidR="009C335B" w:rsidRDefault="009C335B" w:rsidP="00E275D8">
      <w:pPr>
        <w:pStyle w:val="BodyText"/>
      </w:pPr>
    </w:p>
    <w:p w:rsidR="009C335B" w:rsidRDefault="009C335B" w:rsidP="00E275D8">
      <w:pPr>
        <w:pStyle w:val="BodyText"/>
      </w:pPr>
      <w:r>
        <w:rPr>
          <w:noProof/>
        </w:rPr>
        <w:drawing>
          <wp:inline distT="0" distB="0" distL="0" distR="0" wp14:anchorId="7D7CA79C" wp14:editId="32370B33">
            <wp:extent cx="5944235"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16F50" w:rsidRDefault="00A16F50" w:rsidP="00E275D8">
      <w:pPr>
        <w:pStyle w:val="BodyText"/>
        <w:sectPr w:rsidR="00A16F50" w:rsidSect="00A16F50">
          <w:headerReference w:type="default" r:id="rId20"/>
          <w:type w:val="continuous"/>
          <w:pgSz w:w="12240" w:h="15840" w:code="1"/>
          <w:pgMar w:top="1584" w:right="1440" w:bottom="1440" w:left="1440" w:header="720" w:footer="720" w:gutter="0"/>
          <w:cols w:space="720"/>
          <w:formProt w:val="0"/>
          <w:docGrid w:linePitch="360"/>
        </w:sectPr>
      </w:pPr>
    </w:p>
    <w:p w:rsidR="00A16F50" w:rsidRDefault="00A16F50" w:rsidP="00E275D8">
      <w:pPr>
        <w:pStyle w:val="BodyText"/>
      </w:pPr>
    </w:p>
    <w:p w:rsidR="009C335B" w:rsidRDefault="009C335B" w:rsidP="00E275D8">
      <w:pPr>
        <w:pStyle w:val="BodyText"/>
      </w:pPr>
      <w:r>
        <w:rPr>
          <w:noProof/>
        </w:rPr>
        <w:drawing>
          <wp:inline distT="0" distB="0" distL="0" distR="0" wp14:anchorId="61030EF1" wp14:editId="4D6116C1">
            <wp:extent cx="5943600" cy="734993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7350723"/>
                    </a:xfrm>
                    <a:prstGeom prst="rect">
                      <a:avLst/>
                    </a:prstGeom>
                    <a:noFill/>
                  </pic:spPr>
                </pic:pic>
              </a:graphicData>
            </a:graphic>
          </wp:inline>
        </w:drawing>
      </w:r>
    </w:p>
    <w:sectPr w:rsidR="009C335B" w:rsidSect="00A16F50">
      <w:headerReference w:type="default" r:id="rId22"/>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6A3" w:rsidRDefault="004826A3">
      <w:r>
        <w:separator/>
      </w:r>
    </w:p>
  </w:endnote>
  <w:endnote w:type="continuationSeparator" w:id="0">
    <w:p w:rsidR="004826A3" w:rsidRDefault="0048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24010">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6A3" w:rsidRDefault="004826A3">
      <w:r>
        <w:separator/>
      </w:r>
    </w:p>
  </w:footnote>
  <w:footnote w:type="continuationSeparator" w:id="0">
    <w:p w:rsidR="004826A3" w:rsidRDefault="004826A3">
      <w:r>
        <w:continuationSeparator/>
      </w:r>
    </w:p>
  </w:footnote>
  <w:footnote w:id="1">
    <w:p w:rsidR="00861DC5" w:rsidRDefault="00861DC5">
      <w:pPr>
        <w:pStyle w:val="FootnoteText"/>
      </w:pPr>
      <w:r>
        <w:rPr>
          <w:rStyle w:val="FootnoteReference"/>
        </w:rPr>
        <w:footnoteRef/>
      </w:r>
      <w:r>
        <w:t xml:space="preserve"> </w:t>
      </w:r>
      <w:r w:rsidRPr="00861DC5">
        <w:t>Order No. PSC-</w:t>
      </w:r>
      <w:r w:rsidR="004C7ABD">
        <w:t>20</w:t>
      </w:r>
      <w:r w:rsidRPr="00861DC5">
        <w:t>1</w:t>
      </w:r>
      <w:r w:rsidR="0096137D">
        <w:t>7-0178-S-EI, issued May 16, 2017</w:t>
      </w:r>
      <w:r w:rsidRPr="00861DC5">
        <w:t>, in Docket No</w:t>
      </w:r>
      <w:r w:rsidR="0096137D">
        <w:t>. 160186</w:t>
      </w:r>
      <w:r w:rsidRPr="00861DC5">
        <w:t xml:space="preserve">-EI, </w:t>
      </w:r>
      <w:r w:rsidRPr="00861DC5">
        <w:rPr>
          <w:i/>
        </w:rPr>
        <w:t>In re: Petition for rate increase by Gulf Power Company</w:t>
      </w:r>
      <w:r w:rsidR="007F1F9C">
        <w:rPr>
          <w:i/>
        </w:rPr>
        <w:t xml:space="preserve">; </w:t>
      </w:r>
      <w:r w:rsidR="0096137D" w:rsidRPr="0096137D">
        <w:t>and Docket No.</w:t>
      </w:r>
      <w:r w:rsidR="00584279">
        <w:t xml:space="preserve"> </w:t>
      </w:r>
      <w:r w:rsidR="0096137D" w:rsidRPr="0096137D">
        <w:t>160170-EI,</w:t>
      </w:r>
      <w:r w:rsidRPr="00861DC5">
        <w:rPr>
          <w:i/>
        </w:rPr>
        <w:t xml:space="preserve"> In re: Petition for approval of 2016 depreciation and dismantlement studies, approval of proposed depreciation rates and annual dismantlement accruals and Plant Smith Units 1 and 2 regulatory asset amortization, by Gulf Power Company</w:t>
      </w:r>
      <w:r w:rsidRPr="00861DC5">
        <w:t>.</w:t>
      </w:r>
    </w:p>
  </w:footnote>
  <w:footnote w:id="2">
    <w:p w:rsidR="00584279" w:rsidRDefault="00584279" w:rsidP="00584279">
      <w:pPr>
        <w:pStyle w:val="FootnoteText"/>
      </w:pPr>
      <w:r>
        <w:rPr>
          <w:rStyle w:val="FootnoteReference"/>
        </w:rPr>
        <w:footnoteRef/>
      </w:r>
      <w:r w:rsidR="0095631F">
        <w:t xml:space="preserve"> See D</w:t>
      </w:r>
      <w:r>
        <w:t>ocument No. 00640-2019 Exhibit C, Page 1 (Gulf Petition).</w:t>
      </w:r>
    </w:p>
  </w:footnote>
  <w:footnote w:id="3">
    <w:p w:rsidR="001A3F22" w:rsidRPr="001A3F22" w:rsidRDefault="001A3F22">
      <w:pPr>
        <w:pStyle w:val="FootnoteText"/>
        <w:rPr>
          <w:i/>
        </w:rPr>
      </w:pPr>
      <w:r>
        <w:rPr>
          <w:rStyle w:val="FootnoteReference"/>
        </w:rPr>
        <w:footnoteRef/>
      </w:r>
      <w:r>
        <w:t xml:space="preserve"> </w:t>
      </w:r>
      <w:r w:rsidRPr="001A3F22">
        <w:t xml:space="preserve">Section E – Cost of Service and Rate Design Schedules Volume Two in Docket No. 20160186-EI, </w:t>
      </w:r>
      <w:r w:rsidRPr="0092556B">
        <w:rPr>
          <w:i/>
        </w:rPr>
        <w:t>In re:</w:t>
      </w:r>
      <w:r w:rsidRPr="001A3F22">
        <w:t xml:space="preserve"> </w:t>
      </w:r>
      <w:r w:rsidRPr="001A3F22">
        <w:rPr>
          <w:i/>
        </w:rPr>
        <w:t>Petition for an increase in rates by Gulf Power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826A3"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20190038-EI</w:t>
    </w:r>
    <w:bookmarkEnd w:id="14"/>
  </w:p>
  <w:p w:rsidR="00BC402E" w:rsidRDefault="00BC402E">
    <w:pPr>
      <w:pStyle w:val="Header"/>
    </w:pPr>
    <w:r>
      <w:t xml:space="preserve">Date: </w:t>
    </w:r>
    <w:r w:rsidR="00711815">
      <w:fldChar w:fldCharType="begin"/>
    </w:r>
    <w:r w:rsidR="00711815">
      <w:instrText xml:space="preserve"> REF FilingDate </w:instrText>
    </w:r>
    <w:r w:rsidR="00711815">
      <w:fldChar w:fldCharType="separate"/>
    </w:r>
    <w:r w:rsidR="00E61828">
      <w:t>May 2, 2019</w:t>
    </w:r>
    <w:r w:rsidR="00711815">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61828">
      <w:t>Docket No.</w:t>
    </w:r>
    <w:r>
      <w:fldChar w:fldCharType="end"/>
    </w:r>
    <w:r>
      <w:t xml:space="preserve"> </w:t>
    </w:r>
    <w:r>
      <w:fldChar w:fldCharType="begin"/>
    </w:r>
    <w:r>
      <w:instrText xml:space="preserve"> REF DocketList</w:instrText>
    </w:r>
    <w:r>
      <w:fldChar w:fldCharType="separate"/>
    </w:r>
    <w:r w:rsidR="00E61828">
      <w:t>20190038-EI</w:t>
    </w:r>
    <w:r>
      <w:fldChar w:fldCharType="end"/>
    </w:r>
    <w:r>
      <w:tab/>
      <w:t xml:space="preserve">Issue </w:t>
    </w:r>
    <w:r w:rsidR="00711815">
      <w:fldChar w:fldCharType="begin"/>
    </w:r>
    <w:r w:rsidR="00711815">
      <w:instrText xml:space="preserve"> Seq Issue \c \* Arabic </w:instrText>
    </w:r>
    <w:r w:rsidR="00711815">
      <w:fldChar w:fldCharType="separate"/>
    </w:r>
    <w:r w:rsidR="00924010">
      <w:rPr>
        <w:noProof/>
      </w:rPr>
      <w:t>4</w:t>
    </w:r>
    <w:r w:rsidR="00711815">
      <w:rPr>
        <w:noProof/>
      </w:rPr>
      <w:fldChar w:fldCharType="end"/>
    </w:r>
  </w:p>
  <w:p w:rsidR="00BC402E" w:rsidRDefault="00BC402E">
    <w:pPr>
      <w:pStyle w:val="Header"/>
    </w:pPr>
    <w:r>
      <w:t xml:space="preserve">Date: </w:t>
    </w:r>
    <w:r w:rsidR="00711815">
      <w:fldChar w:fldCharType="begin"/>
    </w:r>
    <w:r w:rsidR="00711815">
      <w:instrText xml:space="preserve"> REF FilingDate </w:instrText>
    </w:r>
    <w:r w:rsidR="00711815">
      <w:fldChar w:fldCharType="separate"/>
    </w:r>
    <w:r w:rsidR="00E61828">
      <w:t>May 2, 2019</w:t>
    </w:r>
    <w:r w:rsidR="0071181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F50" w:rsidRDefault="00A16F50" w:rsidP="00220732">
    <w:pPr>
      <w:pStyle w:val="Header"/>
      <w:tabs>
        <w:tab w:val="clear" w:pos="4320"/>
        <w:tab w:val="clear" w:pos="8640"/>
        <w:tab w:val="right" w:pos="9360"/>
      </w:tabs>
    </w:pPr>
    <w:r>
      <w:fldChar w:fldCharType="begin"/>
    </w:r>
    <w:r>
      <w:instrText xml:space="preserve"> REF DocketLabel</w:instrText>
    </w:r>
    <w:r>
      <w:fldChar w:fldCharType="separate"/>
    </w:r>
    <w:r w:rsidR="00E61828">
      <w:t>Docket No.</w:t>
    </w:r>
    <w:r>
      <w:fldChar w:fldCharType="end"/>
    </w:r>
    <w:r>
      <w:t xml:space="preserve"> </w:t>
    </w:r>
    <w:r>
      <w:fldChar w:fldCharType="begin"/>
    </w:r>
    <w:r>
      <w:instrText xml:space="preserve"> REF DocketList</w:instrText>
    </w:r>
    <w:r>
      <w:fldChar w:fldCharType="separate"/>
    </w:r>
    <w:r w:rsidR="00E61828">
      <w:t>20190038-EI</w:t>
    </w:r>
    <w:r>
      <w:fldChar w:fldCharType="end"/>
    </w:r>
    <w:r>
      <w:tab/>
      <w:t>Attachment A</w:t>
    </w:r>
  </w:p>
  <w:p w:rsidR="00A16F50" w:rsidRDefault="00A16F50" w:rsidP="00440AEF">
    <w:pPr>
      <w:pStyle w:val="Header"/>
    </w:pPr>
    <w:r>
      <w:t xml:space="preserve">Date: </w:t>
    </w:r>
    <w:fldSimple w:instr=" REF FilingDate ">
      <w:r w:rsidR="00E61828">
        <w:t>May 2, 2019</w:t>
      </w:r>
    </w:fldSimple>
    <w:r>
      <w:tab/>
    </w:r>
    <w:r w:rsidR="00440AEF">
      <w:t xml:space="preserve"> </w:t>
    </w:r>
    <w:r>
      <w:t xml:space="preserve">                                                           </w:t>
    </w:r>
    <w:r>
      <w:tab/>
      <w:t xml:space="preserve">     Page 1 of 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F50" w:rsidRDefault="00A16F50" w:rsidP="00220732">
    <w:pPr>
      <w:pStyle w:val="Header"/>
      <w:tabs>
        <w:tab w:val="clear" w:pos="4320"/>
        <w:tab w:val="clear" w:pos="8640"/>
        <w:tab w:val="right" w:pos="9360"/>
      </w:tabs>
    </w:pPr>
    <w:r>
      <w:fldChar w:fldCharType="begin"/>
    </w:r>
    <w:r>
      <w:instrText xml:space="preserve"> REF DocketLabel</w:instrText>
    </w:r>
    <w:r>
      <w:fldChar w:fldCharType="separate"/>
    </w:r>
    <w:r w:rsidR="00E61828">
      <w:t>Docket No.</w:t>
    </w:r>
    <w:r>
      <w:fldChar w:fldCharType="end"/>
    </w:r>
    <w:r>
      <w:t xml:space="preserve"> </w:t>
    </w:r>
    <w:r>
      <w:fldChar w:fldCharType="begin"/>
    </w:r>
    <w:r>
      <w:instrText xml:space="preserve"> REF DocketList</w:instrText>
    </w:r>
    <w:r>
      <w:fldChar w:fldCharType="separate"/>
    </w:r>
    <w:r w:rsidR="00E61828">
      <w:t>20190038-EI</w:t>
    </w:r>
    <w:r>
      <w:fldChar w:fldCharType="end"/>
    </w:r>
    <w:r>
      <w:tab/>
      <w:t>Attachment A</w:t>
    </w:r>
  </w:p>
  <w:p w:rsidR="00A16F50" w:rsidRDefault="00A16F50">
    <w:pPr>
      <w:pStyle w:val="Header"/>
    </w:pPr>
    <w:r>
      <w:t xml:space="preserve">Date: </w:t>
    </w:r>
    <w:fldSimple w:instr=" REF FilingDate ">
      <w:r w:rsidR="00E61828">
        <w:t>May 2, 2019</w:t>
      </w:r>
    </w:fldSimple>
    <w:r>
      <w:tab/>
      <w:t xml:space="preserve">                                                           </w:t>
    </w:r>
    <w:r>
      <w:tab/>
      <w:t xml:space="preserve">      Page 2 of 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F50" w:rsidRDefault="00A16F50" w:rsidP="00220732">
    <w:pPr>
      <w:pStyle w:val="Header"/>
      <w:tabs>
        <w:tab w:val="clear" w:pos="4320"/>
        <w:tab w:val="clear" w:pos="8640"/>
        <w:tab w:val="right" w:pos="9360"/>
      </w:tabs>
    </w:pPr>
    <w:r>
      <w:fldChar w:fldCharType="begin"/>
    </w:r>
    <w:r>
      <w:instrText xml:space="preserve"> REF DocketLabel</w:instrText>
    </w:r>
    <w:r>
      <w:fldChar w:fldCharType="separate"/>
    </w:r>
    <w:r w:rsidR="00E61828">
      <w:t>Docket No.</w:t>
    </w:r>
    <w:r>
      <w:fldChar w:fldCharType="end"/>
    </w:r>
    <w:r>
      <w:t xml:space="preserve"> </w:t>
    </w:r>
    <w:r>
      <w:fldChar w:fldCharType="begin"/>
    </w:r>
    <w:r>
      <w:instrText xml:space="preserve"> REF DocketList</w:instrText>
    </w:r>
    <w:r>
      <w:fldChar w:fldCharType="separate"/>
    </w:r>
    <w:r w:rsidR="00E61828">
      <w:t>20190038-EI</w:t>
    </w:r>
    <w:r>
      <w:fldChar w:fldCharType="end"/>
    </w:r>
    <w:r>
      <w:tab/>
      <w:t>Attachment A</w:t>
    </w:r>
  </w:p>
  <w:p w:rsidR="00A16F50" w:rsidRDefault="00A16F50">
    <w:pPr>
      <w:pStyle w:val="Header"/>
    </w:pPr>
    <w:r>
      <w:t xml:space="preserve">Date: </w:t>
    </w:r>
    <w:fldSimple w:instr=" REF FilingDate ">
      <w:r w:rsidR="00E61828">
        <w:t>May 2, 2019</w:t>
      </w:r>
    </w:fldSimple>
    <w:r>
      <w:tab/>
      <w:t xml:space="preserve">                                                           </w:t>
    </w:r>
    <w:r>
      <w:tab/>
      <w:t xml:space="preserve">      Page 3 of 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F50" w:rsidRDefault="00A16F50" w:rsidP="00220732">
    <w:pPr>
      <w:pStyle w:val="Header"/>
      <w:tabs>
        <w:tab w:val="clear" w:pos="4320"/>
        <w:tab w:val="clear" w:pos="8640"/>
        <w:tab w:val="right" w:pos="9360"/>
      </w:tabs>
    </w:pPr>
    <w:r>
      <w:fldChar w:fldCharType="begin"/>
    </w:r>
    <w:r>
      <w:instrText xml:space="preserve"> REF DocketLabel</w:instrText>
    </w:r>
    <w:r>
      <w:fldChar w:fldCharType="separate"/>
    </w:r>
    <w:r w:rsidR="00E61828">
      <w:t>Docket No.</w:t>
    </w:r>
    <w:r>
      <w:fldChar w:fldCharType="end"/>
    </w:r>
    <w:r>
      <w:t xml:space="preserve"> </w:t>
    </w:r>
    <w:r>
      <w:fldChar w:fldCharType="begin"/>
    </w:r>
    <w:r>
      <w:instrText xml:space="preserve"> REF DocketList</w:instrText>
    </w:r>
    <w:r>
      <w:fldChar w:fldCharType="separate"/>
    </w:r>
    <w:r w:rsidR="00E61828">
      <w:t>20190038-EI</w:t>
    </w:r>
    <w:r>
      <w:fldChar w:fldCharType="end"/>
    </w:r>
    <w:r>
      <w:tab/>
      <w:t>Attachment A</w:t>
    </w:r>
  </w:p>
  <w:p w:rsidR="00A16F50" w:rsidRDefault="00A16F50">
    <w:pPr>
      <w:pStyle w:val="Header"/>
    </w:pPr>
    <w:r>
      <w:t xml:space="preserve">Date: </w:t>
    </w:r>
    <w:fldSimple w:instr=" REF FilingDate ">
      <w:r w:rsidR="00E61828">
        <w:t>May 2, 2019</w:t>
      </w:r>
    </w:fldSimple>
    <w:r>
      <w:tab/>
      <w:t xml:space="preserve">                                                           </w:t>
    </w:r>
    <w:r>
      <w:tab/>
      <w:t xml:space="preserve">      Page 4 of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93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826A3"/>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900BF"/>
    <w:rsid w:val="000A1FA0"/>
    <w:rsid w:val="000A2B57"/>
    <w:rsid w:val="000A418B"/>
    <w:rsid w:val="000C4431"/>
    <w:rsid w:val="000D1C06"/>
    <w:rsid w:val="000D4319"/>
    <w:rsid w:val="000E5E16"/>
    <w:rsid w:val="000F374A"/>
    <w:rsid w:val="001076AF"/>
    <w:rsid w:val="00113517"/>
    <w:rsid w:val="00117C8C"/>
    <w:rsid w:val="00121DD9"/>
    <w:rsid w:val="00124E2E"/>
    <w:rsid w:val="00125ED4"/>
    <w:rsid w:val="001305E9"/>
    <w:rsid w:val="001307AF"/>
    <w:rsid w:val="00135687"/>
    <w:rsid w:val="0015506E"/>
    <w:rsid w:val="00163031"/>
    <w:rsid w:val="00171A90"/>
    <w:rsid w:val="00180254"/>
    <w:rsid w:val="00191E1F"/>
    <w:rsid w:val="00192943"/>
    <w:rsid w:val="001A3F22"/>
    <w:rsid w:val="001A7235"/>
    <w:rsid w:val="001A7406"/>
    <w:rsid w:val="001B47C0"/>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7493B"/>
    <w:rsid w:val="00292D82"/>
    <w:rsid w:val="002963CB"/>
    <w:rsid w:val="00297E7F"/>
    <w:rsid w:val="002D226D"/>
    <w:rsid w:val="002E7C38"/>
    <w:rsid w:val="002F6030"/>
    <w:rsid w:val="002F622D"/>
    <w:rsid w:val="003037E1"/>
    <w:rsid w:val="00305E09"/>
    <w:rsid w:val="00307E51"/>
    <w:rsid w:val="003103EC"/>
    <w:rsid w:val="00310BC2"/>
    <w:rsid w:val="003144EF"/>
    <w:rsid w:val="003146DA"/>
    <w:rsid w:val="00322F74"/>
    <w:rsid w:val="00340073"/>
    <w:rsid w:val="00355A17"/>
    <w:rsid w:val="003632FD"/>
    <w:rsid w:val="00372805"/>
    <w:rsid w:val="00373180"/>
    <w:rsid w:val="003731C5"/>
    <w:rsid w:val="00375AB9"/>
    <w:rsid w:val="003821A0"/>
    <w:rsid w:val="00385B04"/>
    <w:rsid w:val="003864CF"/>
    <w:rsid w:val="003A22A6"/>
    <w:rsid w:val="003A5494"/>
    <w:rsid w:val="003A54DF"/>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279E"/>
    <w:rsid w:val="004242E6"/>
    <w:rsid w:val="00431598"/>
    <w:rsid w:val="004319AD"/>
    <w:rsid w:val="00440AEF"/>
    <w:rsid w:val="004426B8"/>
    <w:rsid w:val="00444432"/>
    <w:rsid w:val="00465502"/>
    <w:rsid w:val="00471860"/>
    <w:rsid w:val="00477026"/>
    <w:rsid w:val="004826A3"/>
    <w:rsid w:val="004A744D"/>
    <w:rsid w:val="004B60BD"/>
    <w:rsid w:val="004C3150"/>
    <w:rsid w:val="004C3641"/>
    <w:rsid w:val="004C4390"/>
    <w:rsid w:val="004C4AF7"/>
    <w:rsid w:val="004C7ABD"/>
    <w:rsid w:val="004D2881"/>
    <w:rsid w:val="004D385F"/>
    <w:rsid w:val="004D5B39"/>
    <w:rsid w:val="004E330D"/>
    <w:rsid w:val="004E5147"/>
    <w:rsid w:val="004E69B5"/>
    <w:rsid w:val="004F5C43"/>
    <w:rsid w:val="005033DF"/>
    <w:rsid w:val="0050652D"/>
    <w:rsid w:val="00506C03"/>
    <w:rsid w:val="00511A11"/>
    <w:rsid w:val="00516496"/>
    <w:rsid w:val="00523B11"/>
    <w:rsid w:val="0052572A"/>
    <w:rsid w:val="00543CB3"/>
    <w:rsid w:val="005442E4"/>
    <w:rsid w:val="0055529B"/>
    <w:rsid w:val="00560FF0"/>
    <w:rsid w:val="005614BD"/>
    <w:rsid w:val="0057154F"/>
    <w:rsid w:val="00580F69"/>
    <w:rsid w:val="00581CA3"/>
    <w:rsid w:val="00584279"/>
    <w:rsid w:val="00587A44"/>
    <w:rsid w:val="00597730"/>
    <w:rsid w:val="005977EC"/>
    <w:rsid w:val="00597DE7"/>
    <w:rsid w:val="005A4AA2"/>
    <w:rsid w:val="005B34B6"/>
    <w:rsid w:val="005B6C8F"/>
    <w:rsid w:val="005B6EC3"/>
    <w:rsid w:val="005C2412"/>
    <w:rsid w:val="005D0F74"/>
    <w:rsid w:val="005D2E7D"/>
    <w:rsid w:val="005D4870"/>
    <w:rsid w:val="005D4A8F"/>
    <w:rsid w:val="005D561B"/>
    <w:rsid w:val="005D5ECF"/>
    <w:rsid w:val="005E7042"/>
    <w:rsid w:val="005F468D"/>
    <w:rsid w:val="005F69A3"/>
    <w:rsid w:val="00604CC7"/>
    <w:rsid w:val="00613DCE"/>
    <w:rsid w:val="00615423"/>
    <w:rsid w:val="006165B2"/>
    <w:rsid w:val="00617276"/>
    <w:rsid w:val="0062527B"/>
    <w:rsid w:val="00625D97"/>
    <w:rsid w:val="00625F1C"/>
    <w:rsid w:val="006279E1"/>
    <w:rsid w:val="00630CEB"/>
    <w:rsid w:val="00632264"/>
    <w:rsid w:val="00640F7B"/>
    <w:rsid w:val="006470BC"/>
    <w:rsid w:val="006554D3"/>
    <w:rsid w:val="00663C64"/>
    <w:rsid w:val="00667036"/>
    <w:rsid w:val="00673BDB"/>
    <w:rsid w:val="00674341"/>
    <w:rsid w:val="006751E6"/>
    <w:rsid w:val="006771B8"/>
    <w:rsid w:val="006843B6"/>
    <w:rsid w:val="0068481F"/>
    <w:rsid w:val="00696F5D"/>
    <w:rsid w:val="00697249"/>
    <w:rsid w:val="006B3947"/>
    <w:rsid w:val="006B4293"/>
    <w:rsid w:val="006B624F"/>
    <w:rsid w:val="006C0C95"/>
    <w:rsid w:val="006C31E3"/>
    <w:rsid w:val="006C7FBF"/>
    <w:rsid w:val="006D18D3"/>
    <w:rsid w:val="006E08CB"/>
    <w:rsid w:val="006E598D"/>
    <w:rsid w:val="006F5DF1"/>
    <w:rsid w:val="0070437D"/>
    <w:rsid w:val="00704CF1"/>
    <w:rsid w:val="00705B04"/>
    <w:rsid w:val="007171F8"/>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0B87"/>
    <w:rsid w:val="007A1840"/>
    <w:rsid w:val="007C0528"/>
    <w:rsid w:val="007C3D38"/>
    <w:rsid w:val="007D0F35"/>
    <w:rsid w:val="007D4FEB"/>
    <w:rsid w:val="007D5EA9"/>
    <w:rsid w:val="007D6146"/>
    <w:rsid w:val="007E0CE7"/>
    <w:rsid w:val="007E54A8"/>
    <w:rsid w:val="007F1193"/>
    <w:rsid w:val="007F1F9C"/>
    <w:rsid w:val="007F417F"/>
    <w:rsid w:val="007F6965"/>
    <w:rsid w:val="007F7644"/>
    <w:rsid w:val="008042BD"/>
    <w:rsid w:val="008157F4"/>
    <w:rsid w:val="00816624"/>
    <w:rsid w:val="00822427"/>
    <w:rsid w:val="00822562"/>
    <w:rsid w:val="00823663"/>
    <w:rsid w:val="00832DDC"/>
    <w:rsid w:val="00850BAC"/>
    <w:rsid w:val="00854A3E"/>
    <w:rsid w:val="00855D08"/>
    <w:rsid w:val="00861DC5"/>
    <w:rsid w:val="008637EB"/>
    <w:rsid w:val="00874344"/>
    <w:rsid w:val="00882155"/>
    <w:rsid w:val="0088233B"/>
    <w:rsid w:val="00885836"/>
    <w:rsid w:val="0088599E"/>
    <w:rsid w:val="00886C37"/>
    <w:rsid w:val="00891F8B"/>
    <w:rsid w:val="00892D99"/>
    <w:rsid w:val="00893315"/>
    <w:rsid w:val="008A7A8E"/>
    <w:rsid w:val="008B62AE"/>
    <w:rsid w:val="008C04B5"/>
    <w:rsid w:val="008C14FA"/>
    <w:rsid w:val="008C7B0B"/>
    <w:rsid w:val="008D4057"/>
    <w:rsid w:val="008D5C42"/>
    <w:rsid w:val="008E1F19"/>
    <w:rsid w:val="008F170D"/>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10"/>
    <w:rsid w:val="00924020"/>
    <w:rsid w:val="0092556B"/>
    <w:rsid w:val="009271A7"/>
    <w:rsid w:val="0093658B"/>
    <w:rsid w:val="00937D9A"/>
    <w:rsid w:val="00941F79"/>
    <w:rsid w:val="009429FF"/>
    <w:rsid w:val="00945BD6"/>
    <w:rsid w:val="009479FB"/>
    <w:rsid w:val="00951C45"/>
    <w:rsid w:val="0095631F"/>
    <w:rsid w:val="0096137D"/>
    <w:rsid w:val="009656F2"/>
    <w:rsid w:val="00966A08"/>
    <w:rsid w:val="00970654"/>
    <w:rsid w:val="00971207"/>
    <w:rsid w:val="00975CB4"/>
    <w:rsid w:val="009863B0"/>
    <w:rsid w:val="00987DE1"/>
    <w:rsid w:val="00990571"/>
    <w:rsid w:val="0099673A"/>
    <w:rsid w:val="009A3330"/>
    <w:rsid w:val="009A7C96"/>
    <w:rsid w:val="009C335B"/>
    <w:rsid w:val="009C3DB9"/>
    <w:rsid w:val="009D46E5"/>
    <w:rsid w:val="009D568A"/>
    <w:rsid w:val="009F04EC"/>
    <w:rsid w:val="009F2A7C"/>
    <w:rsid w:val="009F3B36"/>
    <w:rsid w:val="00A00A73"/>
    <w:rsid w:val="00A019B9"/>
    <w:rsid w:val="00A12508"/>
    <w:rsid w:val="00A1282B"/>
    <w:rsid w:val="00A13A27"/>
    <w:rsid w:val="00A16F50"/>
    <w:rsid w:val="00A175B6"/>
    <w:rsid w:val="00A21835"/>
    <w:rsid w:val="00A2374B"/>
    <w:rsid w:val="00A27D6E"/>
    <w:rsid w:val="00A328EC"/>
    <w:rsid w:val="00A33A51"/>
    <w:rsid w:val="00A41690"/>
    <w:rsid w:val="00A41CA6"/>
    <w:rsid w:val="00A47927"/>
    <w:rsid w:val="00A47FFC"/>
    <w:rsid w:val="00A51155"/>
    <w:rsid w:val="00A5442F"/>
    <w:rsid w:val="00A54FF9"/>
    <w:rsid w:val="00A56765"/>
    <w:rsid w:val="00A675AC"/>
    <w:rsid w:val="00A7581F"/>
    <w:rsid w:val="00A848EF"/>
    <w:rsid w:val="00A92FB1"/>
    <w:rsid w:val="00A95A0C"/>
    <w:rsid w:val="00AA2765"/>
    <w:rsid w:val="00AA77B5"/>
    <w:rsid w:val="00AB6C5D"/>
    <w:rsid w:val="00AC3401"/>
    <w:rsid w:val="00AC51A7"/>
    <w:rsid w:val="00AD1C48"/>
    <w:rsid w:val="00AD444B"/>
    <w:rsid w:val="00AD4692"/>
    <w:rsid w:val="00AD4E97"/>
    <w:rsid w:val="00AD5614"/>
    <w:rsid w:val="00AD6C78"/>
    <w:rsid w:val="00AE2EAB"/>
    <w:rsid w:val="00AF5F89"/>
    <w:rsid w:val="00AF73CB"/>
    <w:rsid w:val="00B002D6"/>
    <w:rsid w:val="00B03379"/>
    <w:rsid w:val="00B05B51"/>
    <w:rsid w:val="00B14E5A"/>
    <w:rsid w:val="00B15370"/>
    <w:rsid w:val="00B16DA4"/>
    <w:rsid w:val="00B17BEB"/>
    <w:rsid w:val="00B217C7"/>
    <w:rsid w:val="00B21A3C"/>
    <w:rsid w:val="00B223C0"/>
    <w:rsid w:val="00B234ED"/>
    <w:rsid w:val="00B249B2"/>
    <w:rsid w:val="00B25CA3"/>
    <w:rsid w:val="00B2765A"/>
    <w:rsid w:val="00B3109A"/>
    <w:rsid w:val="00B43727"/>
    <w:rsid w:val="00B46D77"/>
    <w:rsid w:val="00B516ED"/>
    <w:rsid w:val="00B57A6A"/>
    <w:rsid w:val="00B760F1"/>
    <w:rsid w:val="00B7669E"/>
    <w:rsid w:val="00B77DA1"/>
    <w:rsid w:val="00B822A0"/>
    <w:rsid w:val="00B858AE"/>
    <w:rsid w:val="00B85964"/>
    <w:rsid w:val="00B93D96"/>
    <w:rsid w:val="00B96250"/>
    <w:rsid w:val="00BA0D55"/>
    <w:rsid w:val="00BA167F"/>
    <w:rsid w:val="00BA37B3"/>
    <w:rsid w:val="00BA4CC6"/>
    <w:rsid w:val="00BB3493"/>
    <w:rsid w:val="00BB682F"/>
    <w:rsid w:val="00BB6C24"/>
    <w:rsid w:val="00BB6CFC"/>
    <w:rsid w:val="00BB7468"/>
    <w:rsid w:val="00BC188A"/>
    <w:rsid w:val="00BC402E"/>
    <w:rsid w:val="00BD0F48"/>
    <w:rsid w:val="00BE6DDB"/>
    <w:rsid w:val="00BF30D5"/>
    <w:rsid w:val="00BF3C33"/>
    <w:rsid w:val="00BF5010"/>
    <w:rsid w:val="00C022F8"/>
    <w:rsid w:val="00C03D5F"/>
    <w:rsid w:val="00C13791"/>
    <w:rsid w:val="00C239BD"/>
    <w:rsid w:val="00C31BB3"/>
    <w:rsid w:val="00C36977"/>
    <w:rsid w:val="00C467DA"/>
    <w:rsid w:val="00C477D9"/>
    <w:rsid w:val="00C557C0"/>
    <w:rsid w:val="00C60BA3"/>
    <w:rsid w:val="00C61DF9"/>
    <w:rsid w:val="00C623F7"/>
    <w:rsid w:val="00C75BC5"/>
    <w:rsid w:val="00C81670"/>
    <w:rsid w:val="00C81773"/>
    <w:rsid w:val="00C82861"/>
    <w:rsid w:val="00C86896"/>
    <w:rsid w:val="00C907A8"/>
    <w:rsid w:val="00C93211"/>
    <w:rsid w:val="00C942EC"/>
    <w:rsid w:val="00C95199"/>
    <w:rsid w:val="00C96047"/>
    <w:rsid w:val="00C979D0"/>
    <w:rsid w:val="00CA0818"/>
    <w:rsid w:val="00CA15C8"/>
    <w:rsid w:val="00CA2C8F"/>
    <w:rsid w:val="00CA30DA"/>
    <w:rsid w:val="00CA3A24"/>
    <w:rsid w:val="00CA3E81"/>
    <w:rsid w:val="00CB1777"/>
    <w:rsid w:val="00CB33E9"/>
    <w:rsid w:val="00CC0AEA"/>
    <w:rsid w:val="00CC10A9"/>
    <w:rsid w:val="00CE2BF8"/>
    <w:rsid w:val="00CE484E"/>
    <w:rsid w:val="00CE656F"/>
    <w:rsid w:val="00CF0DA8"/>
    <w:rsid w:val="00CF2E25"/>
    <w:rsid w:val="00CF4453"/>
    <w:rsid w:val="00CF5D94"/>
    <w:rsid w:val="00CF7E0F"/>
    <w:rsid w:val="00D034D7"/>
    <w:rsid w:val="00D04BE4"/>
    <w:rsid w:val="00D06FC7"/>
    <w:rsid w:val="00D103BA"/>
    <w:rsid w:val="00D12565"/>
    <w:rsid w:val="00D14127"/>
    <w:rsid w:val="00D26062"/>
    <w:rsid w:val="00D370E6"/>
    <w:rsid w:val="00D60B16"/>
    <w:rsid w:val="00D60F02"/>
    <w:rsid w:val="00D66E49"/>
    <w:rsid w:val="00D70D71"/>
    <w:rsid w:val="00D72F74"/>
    <w:rsid w:val="00D81563"/>
    <w:rsid w:val="00D85907"/>
    <w:rsid w:val="00D9073E"/>
    <w:rsid w:val="00D9221D"/>
    <w:rsid w:val="00D958DF"/>
    <w:rsid w:val="00D96DA1"/>
    <w:rsid w:val="00DA51E7"/>
    <w:rsid w:val="00DB0260"/>
    <w:rsid w:val="00DB0942"/>
    <w:rsid w:val="00DB1723"/>
    <w:rsid w:val="00DB1C78"/>
    <w:rsid w:val="00DB7D96"/>
    <w:rsid w:val="00DC23FE"/>
    <w:rsid w:val="00DC3FED"/>
    <w:rsid w:val="00DC59E6"/>
    <w:rsid w:val="00DD150B"/>
    <w:rsid w:val="00DD5025"/>
    <w:rsid w:val="00DF0AD5"/>
    <w:rsid w:val="00DF1510"/>
    <w:rsid w:val="00E00DB8"/>
    <w:rsid w:val="00E02F1F"/>
    <w:rsid w:val="00E06484"/>
    <w:rsid w:val="00E10D2B"/>
    <w:rsid w:val="00E20A7D"/>
    <w:rsid w:val="00E275D8"/>
    <w:rsid w:val="00E30F6A"/>
    <w:rsid w:val="00E3117C"/>
    <w:rsid w:val="00E375CA"/>
    <w:rsid w:val="00E567E8"/>
    <w:rsid w:val="00E61828"/>
    <w:rsid w:val="00E64679"/>
    <w:rsid w:val="00E65EBC"/>
    <w:rsid w:val="00E677FE"/>
    <w:rsid w:val="00E73432"/>
    <w:rsid w:val="00E77B0C"/>
    <w:rsid w:val="00E77FB8"/>
    <w:rsid w:val="00E838B0"/>
    <w:rsid w:val="00E86A7C"/>
    <w:rsid w:val="00E878E1"/>
    <w:rsid w:val="00E87F2C"/>
    <w:rsid w:val="00E95278"/>
    <w:rsid w:val="00EA1684"/>
    <w:rsid w:val="00EA2273"/>
    <w:rsid w:val="00EA427D"/>
    <w:rsid w:val="00EA7C3C"/>
    <w:rsid w:val="00EB2DB3"/>
    <w:rsid w:val="00EC3FBB"/>
    <w:rsid w:val="00EC6B7A"/>
    <w:rsid w:val="00ED3A87"/>
    <w:rsid w:val="00ED5585"/>
    <w:rsid w:val="00ED5B67"/>
    <w:rsid w:val="00EF264C"/>
    <w:rsid w:val="00EF3FEE"/>
    <w:rsid w:val="00F04B59"/>
    <w:rsid w:val="00F11741"/>
    <w:rsid w:val="00F12B1C"/>
    <w:rsid w:val="00F13CF8"/>
    <w:rsid w:val="00F15855"/>
    <w:rsid w:val="00F227DC"/>
    <w:rsid w:val="00F32978"/>
    <w:rsid w:val="00F45CB2"/>
    <w:rsid w:val="00F544C0"/>
    <w:rsid w:val="00F55332"/>
    <w:rsid w:val="00F63D3F"/>
    <w:rsid w:val="00F6504A"/>
    <w:rsid w:val="00F65519"/>
    <w:rsid w:val="00F67BE4"/>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D5AA5"/>
    <w:rsid w:val="00FE0577"/>
    <w:rsid w:val="00FE193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8A7A8E"/>
    <w:rPr>
      <w:vertAlign w:val="superscript"/>
    </w:rPr>
  </w:style>
  <w:style w:type="character" w:styleId="FootnoteReference">
    <w:name w:val="footnote reference"/>
    <w:basedOn w:val="DefaultParagraphFont"/>
    <w:rsid w:val="00A848EF"/>
    <w:rPr>
      <w:vertAlign w:val="superscript"/>
    </w:rPr>
  </w:style>
  <w:style w:type="character" w:customStyle="1" w:styleId="HeaderChar">
    <w:name w:val="Header Char"/>
    <w:basedOn w:val="DefaultParagraphFont"/>
    <w:link w:val="Header"/>
    <w:uiPriority w:val="99"/>
    <w:rsid w:val="00A16F5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8A7A8E"/>
    <w:rPr>
      <w:vertAlign w:val="superscript"/>
    </w:rPr>
  </w:style>
  <w:style w:type="character" w:styleId="FootnoteReference">
    <w:name w:val="footnote reference"/>
    <w:basedOn w:val="DefaultParagraphFont"/>
    <w:rsid w:val="00A848EF"/>
    <w:rPr>
      <w:vertAlign w:val="superscript"/>
    </w:rPr>
  </w:style>
  <w:style w:type="character" w:customStyle="1" w:styleId="HeaderChar">
    <w:name w:val="Header Char"/>
    <w:basedOn w:val="DefaultParagraphFont"/>
    <w:link w:val="Header"/>
    <w:uiPriority w:val="99"/>
    <w:rsid w:val="00A16F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AB18B-2504-422F-8358-EF7ED0E4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1607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Tristen Perez</dc:creator>
  <cp:lastModifiedBy>Shari Cornelius</cp:lastModifiedBy>
  <cp:revision>2</cp:revision>
  <cp:lastPrinted>2019-04-29T15:31:00Z</cp:lastPrinted>
  <dcterms:created xsi:type="dcterms:W3CDTF">2019-05-02T15:05:00Z</dcterms:created>
  <dcterms:modified xsi:type="dcterms:W3CDTF">2019-05-02T15:05:00Z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20190038-EI</vt:lpwstr>
  </property>
  <property fmtid="{D5CDD505-2E9C-101B-9397-08002B2CF9AE}" pid="3" name="MasterDocument">
    <vt:bool>false</vt:bool>
  </property>
  <property fmtid="{D5CDD505-2E9C-101B-9397-08002B2CF9AE}" pid="4" name="_DocHome">
    <vt:i4>811687597</vt:i4>
  </property>
</Properties>
</file>