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532DFB">
            <w:pPr>
              <w:pStyle w:val="MastHeadState"/>
            </w:pPr>
            <w:r>
              <w:t>State of Florida</w:t>
            </w:r>
          </w:p>
          <w:p w:rsidR="007C0528" w:rsidRDefault="00072CCA">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8A1504">
            <w:pPr>
              <w:pStyle w:val="MemoHeading"/>
            </w:pPr>
            <w:bookmarkStart w:id="0" w:name="FilingDate"/>
            <w:r>
              <w:t>August 27</w:t>
            </w:r>
            <w:r w:rsidR="004B203F">
              <w:t>, 2019</w:t>
            </w:r>
            <w:bookmarkEnd w:id="0"/>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BA3844" w:rsidRPr="00BA3844" w:rsidRDefault="004B203F" w:rsidP="00BA3844">
            <w:pPr>
              <w:pStyle w:val="MemoHeading"/>
            </w:pPr>
            <w:bookmarkStart w:id="1" w:name="From"/>
            <w:r>
              <w:t>Office of the General Counsel (King)</w:t>
            </w:r>
          </w:p>
          <w:bookmarkEnd w:id="1"/>
          <w:p w:rsidR="00BA3844" w:rsidRPr="00BA3844" w:rsidRDefault="00BA3844" w:rsidP="00BA3844">
            <w:r>
              <w:t>Division of Economics (Guffey</w:t>
            </w:r>
            <w:r w:rsidR="00A304A6">
              <w:t>, Coston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4B203F">
            <w:pPr>
              <w:pStyle w:val="MemoHeadingRe"/>
            </w:pPr>
            <w:bookmarkStart w:id="2" w:name="Re"/>
            <w:r>
              <w:t>Docket No. 20190041-WS – Proposed adoption of Rule 25-30.0115, F.A.C., Definition of Landlord and Tenant.</w:t>
            </w:r>
            <w:bookmarkEnd w:id="2"/>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4B203F">
            <w:pPr>
              <w:pStyle w:val="MemoHeading"/>
            </w:pPr>
            <w:bookmarkStart w:id="3" w:name="AgendaDate"/>
            <w:r>
              <w:t>09/05/19</w:t>
            </w:r>
            <w:bookmarkEnd w:id="3"/>
            <w:r w:rsidR="007C0528">
              <w:t xml:space="preserve"> – </w:t>
            </w:r>
            <w:bookmarkStart w:id="4" w:name="PermittedStatus"/>
            <w:r>
              <w:t xml:space="preserve">Regular Agenda – </w:t>
            </w:r>
            <w:r w:rsidR="006A7A44">
              <w:t xml:space="preserve">Rule Proposal – </w:t>
            </w:r>
            <w:r>
              <w:t>Interested Persons May Participate</w:t>
            </w:r>
            <w:bookmarkEnd w:id="4"/>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4B203F">
            <w:pPr>
              <w:pStyle w:val="MemoHeading"/>
            </w:pPr>
            <w:bookmarkStart w:id="5" w:name="CommissionersAssigned"/>
            <w:r>
              <w:t>All Commissioners</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4B203F">
            <w:pPr>
              <w:pStyle w:val="MemoHeading"/>
            </w:pPr>
            <w:bookmarkStart w:id="6" w:name="PrehearingOfficer"/>
            <w:r>
              <w:t>Administrative</w:t>
            </w:r>
            <w:bookmarkEnd w:id="6"/>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4B203F" w:rsidP="00506C03">
            <w:pPr>
              <w:pStyle w:val="MemoHeadingLabel"/>
            </w:pPr>
            <w:bookmarkStart w:id="7" w:name="CriticalDatesLabel"/>
            <w:r>
              <w:t>RULE STATUS:</w:t>
            </w:r>
            <w:bookmarkEnd w:id="7"/>
          </w:p>
        </w:tc>
        <w:tc>
          <w:tcPr>
            <w:tcW w:w="5785" w:type="dxa"/>
            <w:tcBorders>
              <w:top w:val="nil"/>
              <w:left w:val="nil"/>
              <w:bottom w:val="nil"/>
              <w:right w:val="nil"/>
            </w:tcBorders>
            <w:shd w:val="clear" w:color="auto" w:fill="auto"/>
          </w:tcPr>
          <w:p w:rsidR="007C0528" w:rsidRDefault="004D34F7">
            <w:pPr>
              <w:pStyle w:val="MemoHeading"/>
            </w:pPr>
            <w:bookmarkStart w:id="8" w:name="CriticalDates"/>
            <w:bookmarkEnd w:id="8"/>
            <w:r>
              <w:t>Proposal may be deferred</w:t>
            </w:r>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4B203F">
            <w:pPr>
              <w:pStyle w:val="MemoHeading"/>
            </w:pPr>
            <w:bookmarkStart w:id="9" w:name="SpecialInstructions"/>
            <w:r>
              <w:t>None</w:t>
            </w:r>
            <w:bookmarkEnd w:id="9"/>
          </w:p>
        </w:tc>
      </w:tr>
    </w:tbl>
    <w:p w:rsidR="007C0528" w:rsidRDefault="007C0528">
      <w:pPr>
        <w:pStyle w:val="BodyText"/>
      </w:pPr>
    </w:p>
    <w:p w:rsidR="007C0528" w:rsidRDefault="007C0528">
      <w:pPr>
        <w:pStyle w:val="RecommendationMajorSectionHeading"/>
      </w:pPr>
      <w:bookmarkStart w:id="10" w:name="RecToC"/>
      <w:bookmarkEnd w:id="10"/>
      <w:r>
        <w:t xml:space="preserve"> </w:t>
      </w:r>
      <w:bookmarkStart w:id="11" w:name="CaseBackground"/>
      <w:r>
        <w:t>Case Background</w:t>
      </w:r>
      <w:r>
        <w:fldChar w:fldCharType="begin"/>
      </w:r>
      <w:r>
        <w:instrText xml:space="preserve"> TC  "</w:instrText>
      </w:r>
      <w:r>
        <w:tab/>
      </w:r>
      <w:bookmarkStart w:id="12" w:name="_Toc94516455"/>
      <w:r>
        <w:instrText>Case Background</w:instrText>
      </w:r>
      <w:bookmarkEnd w:id="12"/>
      <w:r>
        <w:instrText xml:space="preserve">" \l 1 </w:instrText>
      </w:r>
      <w:r>
        <w:fldChar w:fldCharType="end"/>
      </w:r>
    </w:p>
    <w:p w:rsidR="00675515" w:rsidRDefault="001E28A0">
      <w:pPr>
        <w:pStyle w:val="BodyText"/>
      </w:pPr>
      <w:r>
        <w:t>At the January 8, 2019 Agenda Conference, staff brought a recommendation to the Commission in Docket No. 20180142</w:t>
      </w:r>
      <w:r w:rsidR="00514341">
        <w:t>-WS</w:t>
      </w:r>
      <w:r>
        <w:t xml:space="preserve"> </w:t>
      </w:r>
      <w:r w:rsidR="00F34A49">
        <w:t xml:space="preserve">recommending </w:t>
      </w:r>
      <w:r>
        <w:t>that the Commission issue an order to show cause to Palm Tree Acres</w:t>
      </w:r>
      <w:r w:rsidR="003572B4">
        <w:t xml:space="preserve"> for providing water and wastewater services without a certificate of authorization in contravention of Section 367.031, F</w:t>
      </w:r>
      <w:r w:rsidR="00675515">
        <w:t xml:space="preserve">lorida </w:t>
      </w:r>
      <w:r w:rsidR="003572B4">
        <w:t>S</w:t>
      </w:r>
      <w:r w:rsidR="00675515">
        <w:t>tatutes (F.S.)</w:t>
      </w:r>
      <w:r>
        <w:t>.</w:t>
      </w:r>
      <w:r>
        <w:rPr>
          <w:rStyle w:val="FootnoteReference"/>
        </w:rPr>
        <w:footnoteReference w:id="1"/>
      </w:r>
      <w:r>
        <w:t xml:space="preserve"> </w:t>
      </w:r>
      <w:r w:rsidR="006A7A44">
        <w:t>T</w:t>
      </w:r>
      <w:r w:rsidR="00675515">
        <w:t xml:space="preserve">he core issue </w:t>
      </w:r>
      <w:r w:rsidR="008261AB">
        <w:t>was whether Palm Tree Acres i</w:t>
      </w:r>
      <w:r w:rsidR="0054002F" w:rsidRPr="0054002F">
        <w:t>s a utility</w:t>
      </w:r>
      <w:r w:rsidR="008261AB">
        <w:t xml:space="preserve"> subject to the Commission’s jurisdiction.</w:t>
      </w:r>
    </w:p>
    <w:p w:rsidR="0002359A" w:rsidRDefault="00675515">
      <w:pPr>
        <w:pStyle w:val="BodyText"/>
      </w:pPr>
      <w:r>
        <w:t>Section 367.021(12),</w:t>
      </w:r>
      <w:r w:rsidR="008261AB">
        <w:t xml:space="preserve"> </w:t>
      </w:r>
      <w:r w:rsidR="00F34A49">
        <w:t xml:space="preserve">F.S., </w:t>
      </w:r>
      <w:r>
        <w:t>define</w:t>
      </w:r>
      <w:r w:rsidR="0060424E">
        <w:t>s</w:t>
      </w:r>
      <w:r>
        <w:t xml:space="preserve"> </w:t>
      </w:r>
      <w:r w:rsidR="007C3CBA">
        <w:t>a utility subject to the Commission’s jurisdiction</w:t>
      </w:r>
      <w:r w:rsidR="008261AB">
        <w:t xml:space="preserve"> as “</w:t>
      </w:r>
      <w:r w:rsidRPr="0002359A">
        <w:t>every person, lessee, trustee, or receiver owning, operating, managing, or controlling a system, or proposing construction of a system, who is providing, or proposes to provide, water or wastewater service to the public for compensation</w:t>
      </w:r>
      <w:r>
        <w:t xml:space="preserve">,” except for those individuals and entities </w:t>
      </w:r>
      <w:r w:rsidR="006A7A44">
        <w:lastRenderedPageBreak/>
        <w:t>exempted from Commission regulation as a utility in</w:t>
      </w:r>
      <w:r>
        <w:t xml:space="preserve"> Section 367.022, F.S.</w:t>
      </w:r>
      <w:r w:rsidR="0002359A">
        <w:t xml:space="preserve"> </w:t>
      </w:r>
      <w:r w:rsidR="0054002F" w:rsidRPr="0054002F">
        <w:t xml:space="preserve">Palm Tree Acres </w:t>
      </w:r>
      <w:r w:rsidR="008261AB">
        <w:t>argu</w:t>
      </w:r>
      <w:r w:rsidR="0054002F" w:rsidRPr="0054002F">
        <w:t xml:space="preserve">ed that it was </w:t>
      </w:r>
      <w:r w:rsidR="006A7A44">
        <w:t>one of the entities exempted from Commission regulation under</w:t>
      </w:r>
      <w:r w:rsidR="00514341">
        <w:t xml:space="preserve"> Section 367.022, F.S.</w:t>
      </w:r>
      <w:r w:rsidR="0002359A">
        <w:t xml:space="preserve"> </w:t>
      </w:r>
      <w:r w:rsidR="00514341">
        <w:t xml:space="preserve">Specifically, it </w:t>
      </w:r>
      <w:r w:rsidR="006A7A44">
        <w:t>argued</w:t>
      </w:r>
      <w:r w:rsidR="00514341">
        <w:t xml:space="preserve"> that it fit the exemption in Section 367.022(5), F.S., which </w:t>
      </w:r>
      <w:r w:rsidR="00A304A6">
        <w:t>provides that</w:t>
      </w:r>
      <w:r w:rsidR="0002359A">
        <w:t xml:space="preserve"> “[l]</w:t>
      </w:r>
      <w:r w:rsidR="0002359A" w:rsidRPr="0002359A">
        <w:t>andlords providing service to their tenants without specific compensation for the service</w:t>
      </w:r>
      <w:r w:rsidR="0002359A">
        <w:t xml:space="preserve">” </w:t>
      </w:r>
      <w:r w:rsidR="00A304A6">
        <w:t xml:space="preserve">are exempt </w:t>
      </w:r>
      <w:r w:rsidR="0002359A">
        <w:t>from</w:t>
      </w:r>
      <w:r>
        <w:t xml:space="preserve"> the Commission’s jurisdiction.</w:t>
      </w:r>
    </w:p>
    <w:p w:rsidR="00675515" w:rsidRDefault="00675515">
      <w:pPr>
        <w:pStyle w:val="BodyText"/>
      </w:pPr>
      <w:r>
        <w:t>Staff and certain residents of Palm Tree Acres argued that Palm Tree Acres was not a landlord as that term is used in Section 367.022(5), F.S.</w:t>
      </w:r>
      <w:r w:rsidR="006A7A44">
        <w:t>, nor were the residents that owned the</w:t>
      </w:r>
      <w:r w:rsidR="00792FB5">
        <w:t>ir</w:t>
      </w:r>
      <w:r w:rsidR="006A7A44">
        <w:t xml:space="preserve"> lots tenants.</w:t>
      </w:r>
    </w:p>
    <w:p w:rsidR="0068481F" w:rsidRDefault="0002359A">
      <w:pPr>
        <w:pStyle w:val="BodyText"/>
      </w:pPr>
      <w:r>
        <w:t xml:space="preserve">Four days before the January 8, 2019 Agenda Conference, Palm Tree Acres sent </w:t>
      </w:r>
      <w:r w:rsidR="006A7A44">
        <w:t>the Commission</w:t>
      </w:r>
      <w:r>
        <w:t xml:space="preserve"> a letter argui</w:t>
      </w:r>
      <w:r w:rsidR="00053183">
        <w:t>ng that staff’s interpretation</w:t>
      </w:r>
      <w:r>
        <w:t xml:space="preserve"> of </w:t>
      </w:r>
      <w:r w:rsidR="006A7A44">
        <w:t xml:space="preserve">“landlord” and “tenant” in </w:t>
      </w:r>
      <w:r>
        <w:t>Section 367.022(5), F.S., constituted a rule of general applicability that was not adopted pursuant to the requirements of the Administrative Procedure Act</w:t>
      </w:r>
      <w:r w:rsidR="00767ABD">
        <w:t>.</w:t>
      </w:r>
      <w:r>
        <w:t xml:space="preserve"> </w:t>
      </w:r>
      <w:r w:rsidR="00EA4128">
        <w:t>Thus, if the</w:t>
      </w:r>
      <w:r w:rsidR="00053183">
        <w:t xml:space="preserve"> Commission pursued </w:t>
      </w:r>
      <w:r w:rsidR="00EA4128">
        <w:t xml:space="preserve">enforcement action via staff’s interpretation of Section 367.022(5), F.S., </w:t>
      </w:r>
      <w:r>
        <w:t xml:space="preserve">Palm Tree Acres </w:t>
      </w:r>
      <w:r w:rsidR="00053183">
        <w:t>would</w:t>
      </w:r>
      <w:r>
        <w:t xml:space="preserve"> initiate an unadopted rule challenge</w:t>
      </w:r>
      <w:r w:rsidR="00EA4128">
        <w:t>.</w:t>
      </w:r>
      <w:r>
        <w:t xml:space="preserve"> Palm Tree Acres re</w:t>
      </w:r>
      <w:r w:rsidR="00EA4128">
        <w:t>inforced</w:t>
      </w:r>
      <w:r>
        <w:t xml:space="preserve"> this </w:t>
      </w:r>
      <w:r w:rsidR="00EA4128">
        <w:t>intention at the January 8, 2019 Agenda Conference.</w:t>
      </w:r>
    </w:p>
    <w:p w:rsidR="00EA4128" w:rsidRDefault="00514341">
      <w:pPr>
        <w:pStyle w:val="BodyText"/>
      </w:pPr>
      <w:r>
        <w:t>At the January 8, 2019 Agenda Conference, t</w:t>
      </w:r>
      <w:r w:rsidR="00EA4128">
        <w:t>he Commission voted to defer consideration of</w:t>
      </w:r>
      <w:r w:rsidR="004F3FB2">
        <w:t xml:space="preserve"> staff’s</w:t>
      </w:r>
      <w:r w:rsidR="00EA4128">
        <w:t xml:space="preserve"> </w:t>
      </w:r>
      <w:r w:rsidR="006A7A44">
        <w:t>recommendation</w:t>
      </w:r>
      <w:r w:rsidR="00EA4128">
        <w:t xml:space="preserve"> </w:t>
      </w:r>
      <w:r w:rsidR="00675515">
        <w:t>and initiate</w:t>
      </w:r>
      <w:r w:rsidR="006A7A44">
        <w:t>d</w:t>
      </w:r>
      <w:r w:rsidR="00675515">
        <w:t xml:space="preserve"> rulemaking</w:t>
      </w:r>
      <w:r w:rsidR="00EA4128">
        <w:t xml:space="preserve"> to explore the possibility of adopting a rule defining “landlord” and “tenant” </w:t>
      </w:r>
      <w:r w:rsidR="000B25A1">
        <w:t xml:space="preserve">as used </w:t>
      </w:r>
      <w:r w:rsidR="00EA4128">
        <w:t>in Section 367.022(5), F.S.</w:t>
      </w:r>
    </w:p>
    <w:p w:rsidR="00053183" w:rsidRDefault="00675515">
      <w:pPr>
        <w:pStyle w:val="BodyText"/>
      </w:pPr>
      <w:r>
        <w:t>N</w:t>
      </w:r>
      <w:r w:rsidR="00F468FD">
        <w:t xml:space="preserve">otice of </w:t>
      </w:r>
      <w:r>
        <w:t xml:space="preserve">initiation of rulemaking </w:t>
      </w:r>
      <w:r w:rsidR="00F468FD">
        <w:t>appeared in the February 15, 2019 edition of the Florida Administrative Register (vol. 45, issue 32).</w:t>
      </w:r>
      <w:r w:rsidR="00767ABD">
        <w:t xml:space="preserve"> </w:t>
      </w:r>
      <w:r w:rsidR="00F468FD">
        <w:t xml:space="preserve">The </w:t>
      </w:r>
      <w:r w:rsidR="00390A3C">
        <w:t>notice also set</w:t>
      </w:r>
      <w:r w:rsidR="00053183">
        <w:t xml:space="preserve"> the time</w:t>
      </w:r>
      <w:r w:rsidR="00514341">
        <w:t xml:space="preserve"> </w:t>
      </w:r>
      <w:r w:rsidR="00053183">
        <w:t>and place for a staff-</w:t>
      </w:r>
      <w:r w:rsidR="00390A3C">
        <w:t xml:space="preserve">led rule development </w:t>
      </w:r>
      <w:r w:rsidR="00F468FD">
        <w:t>workshop</w:t>
      </w:r>
      <w:r w:rsidR="00390A3C">
        <w:t>, which was held on March 4, 2019. The workshop</w:t>
      </w:r>
      <w:r w:rsidR="00F468FD">
        <w:t xml:space="preserve"> was attended by </w:t>
      </w:r>
      <w:r w:rsidR="00767ABD">
        <w:t>representatives from the Florida Manufact</w:t>
      </w:r>
      <w:r w:rsidR="00605B3D">
        <w:t>ured Housing Association (FMHA);</w:t>
      </w:r>
      <w:r w:rsidR="00767ABD">
        <w:t xml:space="preserve"> the </w:t>
      </w:r>
      <w:r w:rsidR="00DF6B22">
        <w:t xml:space="preserve">Goss family, who </w:t>
      </w:r>
      <w:r w:rsidR="00767ABD">
        <w:t xml:space="preserve">owns </w:t>
      </w:r>
      <w:r w:rsidR="00DF6B22">
        <w:t xml:space="preserve">several mobile home parks in Florida, including </w:t>
      </w:r>
      <w:r w:rsidR="00767ABD">
        <w:t xml:space="preserve">Palm Tree </w:t>
      </w:r>
      <w:r w:rsidR="00605B3D">
        <w:t>Acres;</w:t>
      </w:r>
      <w:r w:rsidR="00767ABD">
        <w:t xml:space="preserve"> and the Office of Public Counsel</w:t>
      </w:r>
      <w:r w:rsidR="00DF6B22">
        <w:t xml:space="preserve"> (OPC)</w:t>
      </w:r>
      <w:r w:rsidR="00767ABD">
        <w:t xml:space="preserve">. All three filed </w:t>
      </w:r>
      <w:r w:rsidR="00D52B57">
        <w:t>post-workshop comments</w:t>
      </w:r>
      <w:r w:rsidR="00F468FD">
        <w:t xml:space="preserve"> on March 18, 2019</w:t>
      </w:r>
      <w:r w:rsidR="00D52B57">
        <w:t>.</w:t>
      </w:r>
    </w:p>
    <w:p w:rsidR="00390A3C" w:rsidRDefault="00DF6B22">
      <w:pPr>
        <w:pStyle w:val="BodyText"/>
      </w:pPr>
      <w:r>
        <w:t xml:space="preserve">This recommendation addresses whether the Commission should propose the adoption of a new rule to define the terms “landlord” and “tenant” in Section 367.022(5), F.S. </w:t>
      </w:r>
      <w:r w:rsidR="00390A3C">
        <w:t xml:space="preserve">The Commission has jurisdiction </w:t>
      </w:r>
      <w:r w:rsidR="006A7A44">
        <w:t>pursuant to Sections 120.54,</w:t>
      </w:r>
      <w:r w:rsidR="00390A3C">
        <w:t xml:space="preserve"> 367.121</w:t>
      </w:r>
      <w:r w:rsidR="00514341">
        <w:t>(1</w:t>
      </w:r>
      <w:proofErr w:type="gramStart"/>
      <w:r w:rsidR="00514341">
        <w:t>)</w:t>
      </w:r>
      <w:r w:rsidR="00390A3C">
        <w:t>(</w:t>
      </w:r>
      <w:proofErr w:type="gramEnd"/>
      <w:r w:rsidR="00390A3C">
        <w:t>f),</w:t>
      </w:r>
      <w:r w:rsidR="006A7A44">
        <w:t xml:space="preserve"> and 367.022,</w:t>
      </w:r>
      <w:r w:rsidR="00390A3C">
        <w:t xml:space="preserve"> F.S.</w:t>
      </w:r>
    </w:p>
    <w:p w:rsidR="007C0528" w:rsidRDefault="007C0528" w:rsidP="0068481F"/>
    <w:bookmarkEnd w:id="11"/>
    <w:p w:rsidR="00EA2273" w:rsidRDefault="00EA2273">
      <w:pPr>
        <w:pStyle w:val="RecommendationMajorSectionHeading"/>
        <w:sectPr w:rsidR="00EA2273">
          <w:headerReference w:type="default" r:id="rId10"/>
          <w:footerReference w:type="default" r:id="rId11"/>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5" w:name="DiscussionOfIssues"/>
      <w:r>
        <w:lastRenderedPageBreak/>
        <w:t>Discussion of Issues</w:t>
      </w:r>
    </w:p>
    <w:bookmarkEnd w:id="15"/>
    <w:p w:rsidR="004B203F" w:rsidRDefault="004B203F">
      <w:pPr>
        <w:pStyle w:val="IssueHeading"/>
        <w:rPr>
          <w:vanish/>
          <w:specVanish/>
        </w:rPr>
      </w:pPr>
      <w:r w:rsidRPr="004C3641">
        <w:t xml:space="preserve">Issue </w:t>
      </w:r>
      <w:fldSimple w:instr=" SEQ Issue \* MERGEFORMAT ">
        <w:r w:rsidR="000E7D9E">
          <w:rPr>
            <w:noProof/>
          </w:rPr>
          <w:t>1</w:t>
        </w:r>
      </w:fldSimple>
      <w:r w:rsidRPr="004C3641">
        <w:t>:</w:t>
      </w:r>
      <w:r>
        <w:fldChar w:fldCharType="begin"/>
      </w:r>
      <w:r>
        <w:instrText xml:space="preserve"> TC "</w:instrText>
      </w:r>
      <w:r>
        <w:fldChar w:fldCharType="begin"/>
      </w:r>
      <w:r>
        <w:instrText xml:space="preserve"> SEQ issue \c </w:instrText>
      </w:r>
      <w:r>
        <w:fldChar w:fldCharType="separate"/>
      </w:r>
      <w:r w:rsidR="000E7D9E">
        <w:rPr>
          <w:noProof/>
        </w:rPr>
        <w:instrText>1</w:instrText>
      </w:r>
      <w:r>
        <w:fldChar w:fldCharType="end"/>
      </w:r>
      <w:r>
        <w:tab/>
        <w:instrText xml:space="preserve">" \l 1 </w:instrText>
      </w:r>
      <w:r>
        <w:fldChar w:fldCharType="end"/>
      </w:r>
      <w:r>
        <w:t> </w:t>
      </w:r>
    </w:p>
    <w:p w:rsidR="004B203F" w:rsidRDefault="004B203F">
      <w:pPr>
        <w:pStyle w:val="BodyText"/>
      </w:pPr>
      <w:r>
        <w:t> </w:t>
      </w:r>
      <w:r w:rsidR="00B74C33">
        <w:t xml:space="preserve">Should the Commission propose the adoption of Rule 25-30.0115, </w:t>
      </w:r>
      <w:r w:rsidR="00605B3D">
        <w:t xml:space="preserve">F.A.C., </w:t>
      </w:r>
      <w:r w:rsidR="00B74C33">
        <w:t>Definitio</w:t>
      </w:r>
      <w:r w:rsidR="00390A3C">
        <w:t>n of Landlord and Tenant</w:t>
      </w:r>
      <w:r w:rsidR="00B74C33">
        <w:t>?</w:t>
      </w:r>
    </w:p>
    <w:p w:rsidR="004B203F" w:rsidRPr="004C3641" w:rsidRDefault="004B203F">
      <w:pPr>
        <w:pStyle w:val="IssueSubsectionHeading"/>
        <w:rPr>
          <w:vanish/>
          <w:specVanish/>
        </w:rPr>
      </w:pPr>
      <w:r w:rsidRPr="004C3641">
        <w:t>Recommendation: </w:t>
      </w:r>
    </w:p>
    <w:p w:rsidR="004B203F" w:rsidRDefault="004B203F">
      <w:pPr>
        <w:pStyle w:val="BodyText"/>
      </w:pPr>
      <w:r>
        <w:t> </w:t>
      </w:r>
      <w:r w:rsidR="00B74C33">
        <w:t xml:space="preserve">Yes, the Commission should propose the adoption of Rule 25-30.0115, F.A.C., as set forth in Attachment A. </w:t>
      </w:r>
      <w:proofErr w:type="gramStart"/>
      <w:r w:rsidR="001312BF">
        <w:t>Additi</w:t>
      </w:r>
      <w:bookmarkStart w:id="16" w:name="_GoBack"/>
      <w:bookmarkEnd w:id="16"/>
      <w:r w:rsidR="001312BF">
        <w:t>onally,</w:t>
      </w:r>
      <w:proofErr w:type="gramEnd"/>
      <w:r w:rsidR="001312BF">
        <w:t xml:space="preserve"> the Commission should certify the rule as a minor violation rule. </w:t>
      </w:r>
      <w:r w:rsidR="00B74C33">
        <w:t>(King</w:t>
      </w:r>
      <w:r w:rsidR="00A6287E">
        <w:t>, Guffey</w:t>
      </w:r>
      <w:r w:rsidR="00B74C33">
        <w:t>)</w:t>
      </w:r>
    </w:p>
    <w:p w:rsidR="004B203F" w:rsidRPr="004C3641" w:rsidRDefault="004B203F">
      <w:pPr>
        <w:pStyle w:val="IssueSubsectionHeading"/>
        <w:rPr>
          <w:vanish/>
          <w:specVanish/>
        </w:rPr>
      </w:pPr>
      <w:r w:rsidRPr="004C3641">
        <w:t>Staff Analysis: </w:t>
      </w:r>
    </w:p>
    <w:p w:rsidR="00D52B57" w:rsidRDefault="004B203F" w:rsidP="00D52B57">
      <w:pPr>
        <w:pStyle w:val="BodyText"/>
      </w:pPr>
      <w:r>
        <w:t> </w:t>
      </w:r>
      <w:r w:rsidR="007C3CBA">
        <w:t xml:space="preserve"> Section 367.021(12), F.S., define</w:t>
      </w:r>
      <w:r w:rsidR="0060424E">
        <w:t>s</w:t>
      </w:r>
      <w:r w:rsidR="007C3CBA">
        <w:t xml:space="preserve"> a utility subject to the Commission’s jurisdiction as “</w:t>
      </w:r>
      <w:r w:rsidR="007C3CBA" w:rsidRPr="0002359A">
        <w:t>every person, lessee, trustee, or receiver owning, operating, managing, or controlling a system, or proposing construction of a system, who is providing, or proposes to provide, water or wastewater service to the public for compensation</w:t>
      </w:r>
      <w:r w:rsidR="006D629A">
        <w:t>.</w:t>
      </w:r>
      <w:r w:rsidR="007C3CBA">
        <w:t>” Section 367.022, F.S.</w:t>
      </w:r>
      <w:r w:rsidR="006D629A">
        <w:t>, provides exemptions from Commission regulation for a finite group of individuals and entities.</w:t>
      </w:r>
      <w:r w:rsidR="007C3CBA">
        <w:t xml:space="preserve"> Section 367.022(5), F.S., contains an exemption for “[l]</w:t>
      </w:r>
      <w:r w:rsidR="007C3CBA" w:rsidRPr="0002359A">
        <w:t>andlords providing service to their tenants without specific compensation for the service</w:t>
      </w:r>
      <w:r w:rsidR="007C3CBA">
        <w:t>.”</w:t>
      </w:r>
      <w:r w:rsidR="00053183">
        <w:t xml:space="preserve"> </w:t>
      </w:r>
      <w:r w:rsidR="00D52B57">
        <w:t>Staff is recommending that the Commission propose a new rule</w:t>
      </w:r>
      <w:r w:rsidR="0063152A">
        <w:t xml:space="preserve"> that</w:t>
      </w:r>
      <w:r w:rsidR="00D52B57">
        <w:t xml:space="preserve"> would </w:t>
      </w:r>
      <w:r w:rsidR="00F468FD">
        <w:t xml:space="preserve">define the terms “landlord” and “tenant,” as used in </w:t>
      </w:r>
      <w:r w:rsidR="009E22F8">
        <w:t>that exemption</w:t>
      </w:r>
      <w:r w:rsidR="00F468FD">
        <w:t xml:space="preserve">. </w:t>
      </w:r>
      <w:r w:rsidR="00DF6B22">
        <w:t>As set forth in Attachment A, staff’s recommended rule language</w:t>
      </w:r>
      <w:r w:rsidR="00F468FD">
        <w:t xml:space="preserve"> read</w:t>
      </w:r>
      <w:r w:rsidR="00DF6B22">
        <w:t>s</w:t>
      </w:r>
      <w:r w:rsidR="00F468FD">
        <w:t xml:space="preserve"> as follows</w:t>
      </w:r>
      <w:r w:rsidR="00D52B57">
        <w:t>:</w:t>
      </w:r>
    </w:p>
    <w:p w:rsidR="0063152A" w:rsidRPr="00652241" w:rsidRDefault="0063152A" w:rsidP="0063152A">
      <w:pPr>
        <w:pStyle w:val="BodyText"/>
        <w:ind w:left="720" w:right="720"/>
        <w:rPr>
          <w:b/>
          <w:u w:val="single"/>
        </w:rPr>
      </w:pPr>
      <w:r w:rsidRPr="00652241">
        <w:rPr>
          <w:b/>
          <w:u w:val="single"/>
        </w:rPr>
        <w:t>25-30.0115 Definition of Landlord and Tenant</w:t>
      </w:r>
    </w:p>
    <w:p w:rsidR="0063152A" w:rsidRPr="00652241" w:rsidRDefault="0063152A" w:rsidP="0063152A">
      <w:pPr>
        <w:pStyle w:val="BodyText"/>
        <w:ind w:left="720" w:right="720"/>
        <w:rPr>
          <w:u w:val="single"/>
        </w:rPr>
      </w:pPr>
      <w:r w:rsidRPr="00652241">
        <w:rPr>
          <w:u w:val="single"/>
        </w:rPr>
        <w:t>As used in Section 367.022(5), F.S.:</w:t>
      </w:r>
    </w:p>
    <w:p w:rsidR="0063152A" w:rsidRPr="00652241" w:rsidRDefault="0063152A" w:rsidP="0063152A">
      <w:pPr>
        <w:pStyle w:val="BodyText"/>
        <w:ind w:left="720" w:right="720"/>
        <w:rPr>
          <w:u w:val="single"/>
        </w:rPr>
      </w:pPr>
      <w:r w:rsidRPr="00652241">
        <w:tab/>
      </w:r>
      <w:r w:rsidRPr="00652241">
        <w:rPr>
          <w:u w:val="single"/>
        </w:rPr>
        <w:t xml:space="preserve">(1) “landlord” is the party who conveys a possessory interest in real property to a tenant by way of </w:t>
      </w:r>
      <w:r w:rsidR="00064BDF">
        <w:rPr>
          <w:u w:val="single"/>
        </w:rPr>
        <w:t>a lease</w:t>
      </w:r>
      <w:r w:rsidRPr="00652241">
        <w:rPr>
          <w:u w:val="single"/>
        </w:rPr>
        <w:t xml:space="preserve"> and who provides water and/or wastewater service to the tenant at that property; and</w:t>
      </w:r>
    </w:p>
    <w:p w:rsidR="0063152A" w:rsidRDefault="0063152A" w:rsidP="0063152A">
      <w:pPr>
        <w:pStyle w:val="BodyText"/>
        <w:ind w:left="720" w:right="720"/>
      </w:pPr>
      <w:r w:rsidRPr="00652241">
        <w:tab/>
      </w:r>
      <w:r w:rsidRPr="00652241">
        <w:rPr>
          <w:u w:val="single"/>
        </w:rPr>
        <w:t>(2) “</w:t>
      </w:r>
      <w:proofErr w:type="gramStart"/>
      <w:r w:rsidRPr="00652241">
        <w:rPr>
          <w:u w:val="single"/>
        </w:rPr>
        <w:t>tenant</w:t>
      </w:r>
      <w:proofErr w:type="gramEnd"/>
      <w:r w:rsidRPr="00652241">
        <w:rPr>
          <w:u w:val="single"/>
        </w:rPr>
        <w:t xml:space="preserve">” is the party to whom the possessory interest in real property is conveyed by the landlord </w:t>
      </w:r>
      <w:r w:rsidR="00165049">
        <w:rPr>
          <w:u w:val="single"/>
        </w:rPr>
        <w:t xml:space="preserve">by way of a lease </w:t>
      </w:r>
      <w:r w:rsidRPr="00652241">
        <w:rPr>
          <w:u w:val="single"/>
        </w:rPr>
        <w:t>and who receives water and/or wastewater service from the landlord at that property.</w:t>
      </w:r>
    </w:p>
    <w:p w:rsidR="00C87F0A" w:rsidRDefault="007C3CBA" w:rsidP="00720B8E">
      <w:pPr>
        <w:pStyle w:val="BodyText"/>
      </w:pPr>
      <w:r>
        <w:t>The</w:t>
      </w:r>
      <w:r w:rsidR="00B535C4">
        <w:t xml:space="preserve"> </w:t>
      </w:r>
      <w:r w:rsidR="00DF6B22">
        <w:t>recommended</w:t>
      </w:r>
      <w:r w:rsidR="00C87F0A">
        <w:t xml:space="preserve"> language is based</w:t>
      </w:r>
      <w:r w:rsidR="00B535C4">
        <w:t xml:space="preserve"> on the plain and ordinary meaning of </w:t>
      </w:r>
      <w:r w:rsidR="0054016F">
        <w:t>landlord</w:t>
      </w:r>
      <w:r w:rsidR="00DF6B22">
        <w:t xml:space="preserve"> and tenant</w:t>
      </w:r>
      <w:r>
        <w:t xml:space="preserve">, and related terms, as defined </w:t>
      </w:r>
      <w:r w:rsidR="00236957">
        <w:t>by</w:t>
      </w:r>
      <w:r>
        <w:t xml:space="preserve"> the eleventh edition of Black’s Law Dictionary.</w:t>
      </w:r>
      <w:r w:rsidR="00B535C4">
        <w:t xml:space="preserve"> </w:t>
      </w:r>
      <w:r w:rsidRPr="00817FAB">
        <w:t>Black’s Law Dictionary defines landlord as “[s]omeone who rents a room, building, or piece of land to someone else.” A lessor, which Black’s deems a synonym to landlord</w:t>
      </w:r>
      <w:r w:rsidR="00236957">
        <w:t>,</w:t>
      </w:r>
      <w:r w:rsidRPr="00817FAB">
        <w:t xml:space="preserve"> is “[s]omeone who conveys real or personal property by lease.” A tenant is “[s]omeone who holds or possesses lands or tenements by any kind of right or title.” And a lessee is “[s]omeone who has a possessory interest in real or personal property under a lease.” </w:t>
      </w:r>
    </w:p>
    <w:p w:rsidR="004E3608" w:rsidRDefault="007C3CBA" w:rsidP="00720B8E">
      <w:pPr>
        <w:pStyle w:val="BodyText"/>
      </w:pPr>
      <w:r w:rsidRPr="00817FAB">
        <w:t xml:space="preserve">Finally, Black’s also defines a “landlord-tenant relationship.” The relationship is created by </w:t>
      </w:r>
      <w:proofErr w:type="gramStart"/>
      <w:r w:rsidR="00C87F0A">
        <w:t>lease</w:t>
      </w:r>
      <w:r w:rsidRPr="00817FAB">
        <w:t>,</w:t>
      </w:r>
      <w:proofErr w:type="gramEnd"/>
      <w:r w:rsidRPr="00817FAB">
        <w:t xml:space="preserve"> either express or implied, and must include “a landlord’s reversion, a tenant’s estate, [and] transfer of possession and control of the premises.”</w:t>
      </w:r>
      <w:r w:rsidR="004E3608" w:rsidRPr="004E3608">
        <w:t xml:space="preserve"> </w:t>
      </w:r>
      <w:r w:rsidR="007D21DB">
        <w:t>During the rulemaking process</w:t>
      </w:r>
      <w:r w:rsidR="00C87F0A">
        <w:t>, staff used the word “agreement” instead of “lease” in discussions of potential rule language. However,</w:t>
      </w:r>
      <w:r w:rsidR="000D2A91">
        <w:t xml:space="preserve"> </w:t>
      </w:r>
      <w:r w:rsidR="00C87F0A">
        <w:t>s</w:t>
      </w:r>
      <w:r w:rsidR="000D2A91">
        <w:t xml:space="preserve">taff </w:t>
      </w:r>
      <w:r w:rsidR="007D21DB">
        <w:t>recommends</w:t>
      </w:r>
      <w:r w:rsidR="000D2A91">
        <w:t xml:space="preserve"> using </w:t>
      </w:r>
      <w:r w:rsidR="007D21DB">
        <w:t>“</w:t>
      </w:r>
      <w:r w:rsidR="000D2A91">
        <w:t>lease</w:t>
      </w:r>
      <w:r w:rsidR="007D21DB">
        <w:t>”</w:t>
      </w:r>
      <w:r w:rsidR="000D2A91">
        <w:t xml:space="preserve"> </w:t>
      </w:r>
      <w:r w:rsidR="00C87F0A">
        <w:t xml:space="preserve">instead of </w:t>
      </w:r>
      <w:r w:rsidR="007D21DB">
        <w:t>“</w:t>
      </w:r>
      <w:r w:rsidR="00C87F0A">
        <w:t>agreement</w:t>
      </w:r>
      <w:r w:rsidR="007D21DB">
        <w:t>”</w:t>
      </w:r>
      <w:r w:rsidR="00C87F0A">
        <w:t xml:space="preserve"> </w:t>
      </w:r>
      <w:r w:rsidR="000D2A91">
        <w:t xml:space="preserve">because </w:t>
      </w:r>
      <w:r w:rsidR="00C87F0A">
        <w:t xml:space="preserve">the former </w:t>
      </w:r>
      <w:r w:rsidR="000D2A91">
        <w:t>is more precise.</w:t>
      </w:r>
    </w:p>
    <w:p w:rsidR="00C52557" w:rsidRDefault="004E3608" w:rsidP="0063152A">
      <w:pPr>
        <w:pStyle w:val="BodyText"/>
      </w:pPr>
      <w:r>
        <w:lastRenderedPageBreak/>
        <w:t xml:space="preserve">The only addition </w:t>
      </w:r>
      <w:r w:rsidR="00236957">
        <w:t xml:space="preserve">staff made </w:t>
      </w:r>
      <w:r>
        <w:t xml:space="preserve">to these dictionary definitions was </w:t>
      </w:r>
      <w:r w:rsidRPr="009113B0">
        <w:t xml:space="preserve">a clause </w:t>
      </w:r>
      <w:r>
        <w:t>mandating</w:t>
      </w:r>
      <w:r w:rsidRPr="009113B0">
        <w:t xml:space="preserve"> that the </w:t>
      </w:r>
      <w:r>
        <w:t xml:space="preserve">landlord provide and the tenant receive the </w:t>
      </w:r>
      <w:r w:rsidRPr="009113B0">
        <w:t xml:space="preserve">water and wastewater services </w:t>
      </w:r>
      <w:r>
        <w:t>at the conveyed property. This requirement comports with a plain reading of the text of Section 367.022</w:t>
      </w:r>
      <w:r w:rsidR="004F3FB2">
        <w:t>(5)</w:t>
      </w:r>
      <w:r w:rsidR="00DF6B22">
        <w:t>, F.S.,</w:t>
      </w:r>
      <w:r>
        <w:t xml:space="preserve"> and the </w:t>
      </w:r>
      <w:r w:rsidR="0060424E">
        <w:t>Legislature</w:t>
      </w:r>
      <w:r>
        <w:t xml:space="preserve">’s declared intent </w:t>
      </w:r>
      <w:r w:rsidR="00B640EB">
        <w:t xml:space="preserve">of Commission regulation of water and wastewater utilities </w:t>
      </w:r>
      <w:r>
        <w:t>as it appears in Section 367.011, F.S</w:t>
      </w:r>
      <w:r w:rsidRPr="009113B0">
        <w:t xml:space="preserve">. </w:t>
      </w:r>
    </w:p>
    <w:p w:rsidR="007F053D" w:rsidRDefault="00DF6B22" w:rsidP="0063152A">
      <w:pPr>
        <w:pStyle w:val="BodyText"/>
      </w:pPr>
      <w:r>
        <w:t>Staff’s recommended</w:t>
      </w:r>
      <w:r w:rsidR="0054016F">
        <w:t xml:space="preserve"> definitions of </w:t>
      </w:r>
      <w:r w:rsidR="007F053D">
        <w:t>landlord and tenant are also consistent with previous Commission practice.</w:t>
      </w:r>
      <w:r w:rsidR="00776732">
        <w:rPr>
          <w:rStyle w:val="FootnoteReference"/>
        </w:rPr>
        <w:footnoteReference w:id="2"/>
      </w:r>
      <w:r w:rsidR="004A64B0">
        <w:t xml:space="preserve"> </w:t>
      </w:r>
      <w:proofErr w:type="gramStart"/>
      <w:r w:rsidR="00982F90">
        <w:t>The decision in Order No.</w:t>
      </w:r>
      <w:proofErr w:type="gramEnd"/>
      <w:r w:rsidR="00982F90">
        <w:t xml:space="preserve"> PSC-92-0746-FOF-WU is on point.</w:t>
      </w:r>
      <w:r w:rsidR="004A64B0">
        <w:t xml:space="preserve"> </w:t>
      </w:r>
      <w:r w:rsidR="00982F90">
        <w:t xml:space="preserve">In that case, the </w:t>
      </w:r>
      <w:r w:rsidR="004A64B0">
        <w:t xml:space="preserve">Commission denied Gem Estates’ request for an exemption </w:t>
      </w:r>
      <w:r w:rsidR="00776732">
        <w:t>from</w:t>
      </w:r>
      <w:r w:rsidR="004A64B0">
        <w:t xml:space="preserve"> Commission jurisdiction under Section 367.022(5), F.S., because the mobile home owners in Gem Estates owned their own land.</w:t>
      </w:r>
      <w:r w:rsidR="00776732">
        <w:rPr>
          <w:rStyle w:val="FootnoteReference"/>
        </w:rPr>
        <w:footnoteReference w:id="3"/>
      </w:r>
      <w:r w:rsidR="004A64B0">
        <w:t xml:space="preserve"> </w:t>
      </w:r>
      <w:r w:rsidR="00776732">
        <w:t>Because the residents owned their lots, the subdivision owner was not a landlord</w:t>
      </w:r>
      <w:r w:rsidR="004A64B0">
        <w:t>.</w:t>
      </w:r>
    </w:p>
    <w:p w:rsidR="009113B0" w:rsidRDefault="00DF6B22" w:rsidP="00FC1756">
      <w:pPr>
        <w:pStyle w:val="First-LevelSubheading"/>
      </w:pPr>
      <w:r>
        <w:t>Stakeholder Comments</w:t>
      </w:r>
    </w:p>
    <w:p w:rsidR="00C020B5" w:rsidRDefault="00DF6B22" w:rsidP="00FC1756">
      <w:pPr>
        <w:pStyle w:val="BodyText"/>
      </w:pPr>
      <w:r>
        <w:t xml:space="preserve">Staff received comments from the Goss family, FMHA, and OPC. </w:t>
      </w:r>
      <w:r w:rsidR="00C020B5">
        <w:t xml:space="preserve">OPC and the Goss family also submitted suggested changes to staff’s recommended language. </w:t>
      </w:r>
      <w:r>
        <w:t xml:space="preserve">The Goss family and FMHA </w:t>
      </w:r>
      <w:r w:rsidR="00605B3D">
        <w:t>disagreed</w:t>
      </w:r>
      <w:r>
        <w:t xml:space="preserve"> w</w:t>
      </w:r>
      <w:r w:rsidR="0018114D">
        <w:t>ith staff’s recommended language, and the Goss family</w:t>
      </w:r>
      <w:r w:rsidR="00982F90">
        <w:t>’s suggested</w:t>
      </w:r>
      <w:r w:rsidR="0018114D">
        <w:t xml:space="preserve"> language</w:t>
      </w:r>
      <w:r w:rsidR="00394CED">
        <w:t xml:space="preserve"> is</w:t>
      </w:r>
      <w:r w:rsidR="0018114D">
        <w:t xml:space="preserve"> substantially different from staff’s recommended language</w:t>
      </w:r>
      <w:r>
        <w:t>. OPC, on the other hand, generally agreed with staff’s recommended language, but made one suggested change</w:t>
      </w:r>
      <w:r w:rsidR="00982F90">
        <w:t xml:space="preserve"> that does not change the substance of staff’s recommended language</w:t>
      </w:r>
      <w:r>
        <w:t xml:space="preserve">.  </w:t>
      </w:r>
    </w:p>
    <w:p w:rsidR="00FC1756" w:rsidRDefault="006D629A" w:rsidP="00FC1756">
      <w:pPr>
        <w:pStyle w:val="BodyText"/>
      </w:pPr>
      <w:r>
        <w:t xml:space="preserve">The Goss family owns 27 mobile home parks </w:t>
      </w:r>
      <w:r w:rsidR="00FC1756">
        <w:t>in</w:t>
      </w:r>
      <w:r>
        <w:t xml:space="preserve"> Florida, including Palm Tree Acres.</w:t>
      </w:r>
      <w:r w:rsidR="004337D7">
        <w:t xml:space="preserve"> </w:t>
      </w:r>
      <w:r w:rsidR="003D69E2">
        <w:t>The crux of its argument i</w:t>
      </w:r>
      <w:r w:rsidR="004337D7">
        <w:t xml:space="preserve">s that staff’s </w:t>
      </w:r>
      <w:r w:rsidR="003D69E2">
        <w:t>definitions of</w:t>
      </w:r>
      <w:r w:rsidR="0054016F">
        <w:t xml:space="preserve"> </w:t>
      </w:r>
      <w:r w:rsidR="004337D7">
        <w:t xml:space="preserve">landlord and tenant </w:t>
      </w:r>
      <w:r w:rsidR="003D69E2">
        <w:t>are too narrow and</w:t>
      </w:r>
      <w:r w:rsidR="004337D7">
        <w:t xml:space="preserve"> ignor</w:t>
      </w:r>
      <w:r w:rsidR="003D69E2">
        <w:t>e</w:t>
      </w:r>
      <w:r w:rsidR="004337D7">
        <w:t xml:space="preserve"> certain </w:t>
      </w:r>
      <w:r w:rsidR="003D69E2">
        <w:t>landlord-tenant relationships</w:t>
      </w:r>
      <w:r w:rsidR="00394CED">
        <w:t xml:space="preserve"> recognized in Chapter 723, F.S</w:t>
      </w:r>
      <w:r w:rsidR="004337D7">
        <w:t>.</w:t>
      </w:r>
      <w:r>
        <w:t xml:space="preserve"> Consistent with its argument that </w:t>
      </w:r>
      <w:r w:rsidR="00982F90">
        <w:t xml:space="preserve">both </w:t>
      </w:r>
      <w:r>
        <w:t xml:space="preserve">mobile home park and </w:t>
      </w:r>
      <w:r w:rsidR="00982F90">
        <w:t xml:space="preserve">mobile home </w:t>
      </w:r>
      <w:r>
        <w:t xml:space="preserve">subdivision owners </w:t>
      </w:r>
      <w:r w:rsidR="004337D7">
        <w:t>should be considered</w:t>
      </w:r>
      <w:r>
        <w:t xml:space="preserve"> landlords</w:t>
      </w:r>
      <w:r w:rsidR="00FC1756">
        <w:t xml:space="preserve">, the Goss family </w:t>
      </w:r>
      <w:r w:rsidR="00C020B5">
        <w:t>suggests</w:t>
      </w:r>
      <w:r w:rsidR="00FC1756">
        <w:t xml:space="preserve"> the following changes to staff’</w:t>
      </w:r>
      <w:r w:rsidR="00165049">
        <w:t>s recommended language:</w:t>
      </w:r>
    </w:p>
    <w:p w:rsidR="00FC1756" w:rsidRPr="00FC1756" w:rsidRDefault="00FC1756" w:rsidP="00FC1756">
      <w:pPr>
        <w:pStyle w:val="BodyText"/>
        <w:ind w:left="720" w:right="720"/>
        <w:rPr>
          <w:u w:val="single"/>
        </w:rPr>
      </w:pPr>
      <w:r w:rsidRPr="00FC1756">
        <w:tab/>
      </w:r>
      <w:r w:rsidRPr="00FC1756">
        <w:rPr>
          <w:u w:val="single"/>
        </w:rPr>
        <w:t>(1) “landlord” is the party who conveys a possessory interest in</w:t>
      </w:r>
      <w:r>
        <w:rPr>
          <w:i/>
          <w:u w:val="single"/>
        </w:rPr>
        <w:t>, or access to,</w:t>
      </w:r>
      <w:r w:rsidRPr="00FC1756">
        <w:rPr>
          <w:u w:val="single"/>
        </w:rPr>
        <w:t xml:space="preserve"> real property to a tenant by way of </w:t>
      </w:r>
      <w:r w:rsidR="00064BDF">
        <w:rPr>
          <w:u w:val="single"/>
        </w:rPr>
        <w:t>agreement</w:t>
      </w:r>
      <w:r w:rsidR="00C87F0A">
        <w:rPr>
          <w:rStyle w:val="FootnoteReference"/>
          <w:u w:val="single"/>
        </w:rPr>
        <w:footnoteReference w:id="4"/>
      </w:r>
      <w:r w:rsidRPr="00FC1756">
        <w:rPr>
          <w:u w:val="single"/>
        </w:rPr>
        <w:t xml:space="preserve"> </w:t>
      </w:r>
      <w:r w:rsidR="000D2A91">
        <w:rPr>
          <w:u w:val="single"/>
        </w:rPr>
        <w:t xml:space="preserve">between the two parties </w:t>
      </w:r>
      <w:r w:rsidRPr="00FC1756">
        <w:rPr>
          <w:u w:val="single"/>
        </w:rPr>
        <w:t xml:space="preserve">and </w:t>
      </w:r>
      <w:r w:rsidRPr="00FC1756">
        <w:rPr>
          <w:u w:val="single"/>
        </w:rPr>
        <w:lastRenderedPageBreak/>
        <w:t xml:space="preserve">who provides water and/or wastewater service to the tenant </w:t>
      </w:r>
      <w:r>
        <w:rPr>
          <w:i/>
          <w:u w:val="single"/>
        </w:rPr>
        <w:t xml:space="preserve">as part of that conveyance </w:t>
      </w:r>
      <w:r w:rsidRPr="00FC1756">
        <w:rPr>
          <w:strike/>
          <w:u w:val="single"/>
        </w:rPr>
        <w:t>at that property</w:t>
      </w:r>
      <w:r w:rsidRPr="00FC1756">
        <w:rPr>
          <w:u w:val="single"/>
        </w:rPr>
        <w:t>; and</w:t>
      </w:r>
    </w:p>
    <w:p w:rsidR="00FC1756" w:rsidRDefault="00FC1756" w:rsidP="00FC1756">
      <w:pPr>
        <w:pStyle w:val="BodyText"/>
        <w:ind w:left="720" w:right="720"/>
      </w:pPr>
      <w:r w:rsidRPr="00FC1756">
        <w:tab/>
      </w:r>
      <w:r w:rsidRPr="00FC1756">
        <w:rPr>
          <w:u w:val="single"/>
        </w:rPr>
        <w:t>(2) “</w:t>
      </w:r>
      <w:proofErr w:type="gramStart"/>
      <w:r w:rsidRPr="00FC1756">
        <w:rPr>
          <w:u w:val="single"/>
        </w:rPr>
        <w:t>tenant</w:t>
      </w:r>
      <w:proofErr w:type="gramEnd"/>
      <w:r w:rsidRPr="00FC1756">
        <w:rPr>
          <w:u w:val="single"/>
        </w:rPr>
        <w:t>” is the party to whom the possessory interest in</w:t>
      </w:r>
      <w:r>
        <w:rPr>
          <w:i/>
          <w:u w:val="single"/>
        </w:rPr>
        <w:t>, or access to,</w:t>
      </w:r>
      <w:r w:rsidRPr="00FC1756">
        <w:rPr>
          <w:u w:val="single"/>
        </w:rPr>
        <w:t xml:space="preserve"> real property is conveyed by the landlord and who receives water and/or wastewater service from the landlord</w:t>
      </w:r>
      <w:r>
        <w:rPr>
          <w:u w:val="single"/>
        </w:rPr>
        <w:t xml:space="preserve"> </w:t>
      </w:r>
      <w:r>
        <w:rPr>
          <w:i/>
          <w:u w:val="single"/>
        </w:rPr>
        <w:t>as part of that conveyance</w:t>
      </w:r>
      <w:r w:rsidRPr="00FC1756">
        <w:rPr>
          <w:u w:val="single"/>
        </w:rPr>
        <w:t xml:space="preserve"> </w:t>
      </w:r>
      <w:r w:rsidRPr="00FC1756">
        <w:rPr>
          <w:strike/>
          <w:u w:val="single"/>
        </w:rPr>
        <w:t>at that property</w:t>
      </w:r>
      <w:r w:rsidRPr="00FC1756">
        <w:rPr>
          <w:u w:val="single"/>
        </w:rPr>
        <w:t>.</w:t>
      </w:r>
    </w:p>
    <w:p w:rsidR="00814D2B" w:rsidRDefault="00814D2B" w:rsidP="004337D7">
      <w:pPr>
        <w:pStyle w:val="Second-LevelSubheading"/>
      </w:pPr>
      <w:r>
        <w:t>The Florida Mobile Home Act</w:t>
      </w:r>
    </w:p>
    <w:p w:rsidR="003F3465" w:rsidRDefault="00C020B5" w:rsidP="004337D7">
      <w:pPr>
        <w:pStyle w:val="BodyText"/>
      </w:pPr>
      <w:r>
        <w:t>T</w:t>
      </w:r>
      <w:r w:rsidR="006D629A">
        <w:t>he Goss family</w:t>
      </w:r>
      <w:r w:rsidR="009C05C8">
        <w:t xml:space="preserve">’s suggested </w:t>
      </w:r>
      <w:r w:rsidR="00982F90">
        <w:t>language</w:t>
      </w:r>
      <w:r w:rsidR="009C05C8">
        <w:t>, which is based mainly on Chapter 723 of the Florida Statutes,</w:t>
      </w:r>
      <w:r w:rsidR="00982F90">
        <w:t xml:space="preserve"> </w:t>
      </w:r>
      <w:r w:rsidR="009C05C8">
        <w:t xml:space="preserve">is </w:t>
      </w:r>
      <w:r w:rsidR="00982F90">
        <w:t>substantially different fr</w:t>
      </w:r>
      <w:r w:rsidR="009C05C8">
        <w:t>om staff’s recommended language</w:t>
      </w:r>
      <w:r w:rsidR="00982F90">
        <w:t xml:space="preserve">. Specifically, the Goss family </w:t>
      </w:r>
      <w:r w:rsidR="00431BC2">
        <w:t>argue</w:t>
      </w:r>
      <w:r>
        <w:t>s</w:t>
      </w:r>
      <w:r w:rsidR="00431BC2">
        <w:t xml:space="preserve"> that Chapter 723</w:t>
      </w:r>
      <w:r w:rsidR="000F26C8">
        <w:t xml:space="preserve">, also known as </w:t>
      </w:r>
      <w:r w:rsidR="006A2D23">
        <w:t>the Florida Mob</w:t>
      </w:r>
      <w:r w:rsidR="000F26C8">
        <w:t xml:space="preserve">ile Home Act, </w:t>
      </w:r>
      <w:r w:rsidR="00431BC2">
        <w:t xml:space="preserve">labels </w:t>
      </w:r>
      <w:r w:rsidR="00FC1756">
        <w:t xml:space="preserve">mobile home </w:t>
      </w:r>
      <w:r w:rsidR="00431BC2">
        <w:t>subdivision owners</w:t>
      </w:r>
      <w:r w:rsidR="00DF23A7">
        <w:t xml:space="preserve"> as landlords and</w:t>
      </w:r>
      <w:r w:rsidR="00C4648C">
        <w:t xml:space="preserve"> labels</w:t>
      </w:r>
      <w:r w:rsidR="00431BC2">
        <w:t xml:space="preserve"> </w:t>
      </w:r>
      <w:r w:rsidR="006A2D23">
        <w:t>owners</w:t>
      </w:r>
      <w:r w:rsidR="00DF23A7">
        <w:t xml:space="preserve"> of lots in that subdivision</w:t>
      </w:r>
      <w:r w:rsidR="003F3465">
        <w:t xml:space="preserve"> as tenants.</w:t>
      </w:r>
      <w:r w:rsidR="00D56312">
        <w:t xml:space="preserve"> </w:t>
      </w:r>
      <w:r w:rsidR="000F26C8">
        <w:t>Therefore</w:t>
      </w:r>
      <w:r w:rsidR="00D56312">
        <w:t xml:space="preserve">, the </w:t>
      </w:r>
      <w:r w:rsidR="00A304A6">
        <w:t xml:space="preserve">Goss family </w:t>
      </w:r>
      <w:r w:rsidR="000F26C8">
        <w:t>argues</w:t>
      </w:r>
      <w:r w:rsidR="00A304A6">
        <w:t xml:space="preserve"> the </w:t>
      </w:r>
      <w:r w:rsidR="00D56312">
        <w:t xml:space="preserve">Commission should </w:t>
      </w:r>
      <w:r w:rsidR="000F26C8">
        <w:t>likewise</w:t>
      </w:r>
      <w:r w:rsidR="00D56312">
        <w:t xml:space="preserve"> recognize </w:t>
      </w:r>
      <w:r w:rsidR="00A304A6">
        <w:t>mobile home subdivision owners</w:t>
      </w:r>
      <w:r w:rsidR="00D56312">
        <w:t xml:space="preserve"> as </w:t>
      </w:r>
      <w:r w:rsidR="00A304A6">
        <w:t>landlords</w:t>
      </w:r>
      <w:r w:rsidR="00D56312">
        <w:t xml:space="preserve"> </w:t>
      </w:r>
      <w:r w:rsidR="00394CED">
        <w:t>in interpreting the exemption in</w:t>
      </w:r>
      <w:r w:rsidR="00D56312">
        <w:t xml:space="preserve"> Section 367.022(5), F.S.</w:t>
      </w:r>
      <w:r w:rsidR="00FC1756">
        <w:t xml:space="preserve"> FMHA echoed this argument in its post-workshop comments, but it did not suggest </w:t>
      </w:r>
      <w:r>
        <w:t xml:space="preserve">specific </w:t>
      </w:r>
      <w:r w:rsidR="00165049">
        <w:t>rule</w:t>
      </w:r>
      <w:r w:rsidR="00D56312">
        <w:t xml:space="preserve"> language</w:t>
      </w:r>
      <w:r w:rsidR="00A71E68">
        <w:t>.</w:t>
      </w:r>
    </w:p>
    <w:p w:rsidR="00121E90" w:rsidRDefault="00814D2B" w:rsidP="00121E90">
      <w:pPr>
        <w:pStyle w:val="BodyText"/>
      </w:pPr>
      <w:r>
        <w:t xml:space="preserve">The Goss family supports this argument with the example of Palm Tree Acres, which </w:t>
      </w:r>
      <w:proofErr w:type="gramStart"/>
      <w:r>
        <w:t>is</w:t>
      </w:r>
      <w:proofErr w:type="gramEnd"/>
      <w:r>
        <w:t xml:space="preserve"> both a mobile home park and </w:t>
      </w:r>
      <w:r w:rsidR="000F26C8">
        <w:t xml:space="preserve">a mobile home </w:t>
      </w:r>
      <w:r>
        <w:t xml:space="preserve">subdivision regulated under Chapter 723. The Goss family argues that Palm Tree Acres </w:t>
      </w:r>
      <w:r w:rsidRPr="00814D2B">
        <w:t xml:space="preserve">is a landlord </w:t>
      </w:r>
      <w:r>
        <w:t xml:space="preserve">in its capacity as a mobile home subdivision </w:t>
      </w:r>
      <w:r w:rsidRPr="00814D2B">
        <w:t xml:space="preserve">because </w:t>
      </w:r>
      <w:r w:rsidR="003D69E2">
        <w:t xml:space="preserve">even though it does not rent the lot owners their lots, </w:t>
      </w:r>
      <w:r w:rsidR="004073CE">
        <w:t xml:space="preserve">it is </w:t>
      </w:r>
      <w:r w:rsidRPr="00814D2B">
        <w:t>renting the lot owners access to and use of common amenities in the park/subdivision. This argument trades on a conflation of two terms of property law: license and lease.</w:t>
      </w:r>
      <w:r w:rsidR="00F10C1F">
        <w:t xml:space="preserve"> </w:t>
      </w:r>
    </w:p>
    <w:p w:rsidR="00121E90" w:rsidRDefault="00121E90" w:rsidP="00121E90">
      <w:pPr>
        <w:pStyle w:val="BodyText"/>
        <w:ind w:left="720" w:right="720"/>
      </w:pPr>
      <w:r>
        <w:t xml:space="preserve">A tenant under a lease is one who has been given a possession of land which is “exclusive even of the landlord except as the lease permits his </w:t>
      </w:r>
      <w:proofErr w:type="gramStart"/>
      <w:r>
        <w:t>entry,</w:t>
      </w:r>
      <w:proofErr w:type="gramEnd"/>
      <w:r>
        <w:t xml:space="preserve"> and saving always the landlord’s right to enter to demand rent or to make repairs.” A licensee is one who has a “mere permission to use land, dominion over it remaining in the owner and no interest in or exclusive possession of it being given” to the occupant.</w:t>
      </w:r>
    </w:p>
    <w:p w:rsidR="00814D2B" w:rsidRDefault="00121E90" w:rsidP="003140FF">
      <w:pPr>
        <w:pStyle w:val="BodyText"/>
      </w:pPr>
      <w:r>
        <w:rPr>
          <w:i/>
        </w:rPr>
        <w:t>Turner v. Fla. State Fair Auth.</w:t>
      </w:r>
      <w:r>
        <w:t xml:space="preserve">, 974 So. 2d 470, 473–74 (Fla. 2d DCA 2008) (quoting </w:t>
      </w:r>
      <w:r w:rsidRPr="00121E90">
        <w:rPr>
          <w:i/>
        </w:rPr>
        <w:t>Seabloom v. Krier</w:t>
      </w:r>
      <w:r>
        <w:t xml:space="preserve">, 219 Minn. 362, 18 N.W.2d 88, 91 (1945)); </w:t>
      </w:r>
      <w:r w:rsidRPr="00814D2B">
        <w:rPr>
          <w:i/>
        </w:rPr>
        <w:t>License</w:t>
      </w:r>
      <w:r>
        <w:t>,</w:t>
      </w:r>
      <w:r w:rsidRPr="00814D2B">
        <w:t xml:space="preserve"> Black’s Law Dictionary (11th ed. 2019)</w:t>
      </w:r>
      <w:r>
        <w:t xml:space="preserve">. </w:t>
      </w:r>
      <w:r w:rsidR="00C4648C">
        <w:t>Staff believes that b</w:t>
      </w:r>
      <w:r w:rsidR="00814D2B" w:rsidRPr="00814D2B">
        <w:t>y granting lot owners</w:t>
      </w:r>
      <w:r>
        <w:t xml:space="preserve"> </w:t>
      </w:r>
      <w:r w:rsidR="00814D2B" w:rsidRPr="00814D2B">
        <w:rPr>
          <w:i/>
        </w:rPr>
        <w:t>access to and use of</w:t>
      </w:r>
      <w:r w:rsidR="00C4648C">
        <w:t xml:space="preserve"> a</w:t>
      </w:r>
      <w:r w:rsidR="00814D2B" w:rsidRPr="00814D2B">
        <w:t xml:space="preserve"> park’s common areas</w:t>
      </w:r>
      <w:r>
        <w:t xml:space="preserve">, </w:t>
      </w:r>
      <w:r w:rsidR="00C4648C">
        <w:t xml:space="preserve">a mobile home subdivision owner creates a </w:t>
      </w:r>
      <w:r w:rsidRPr="00121E90">
        <w:t>licensor-licensee relationship rather than a landlord-tenant relationship.</w:t>
      </w:r>
      <w:r w:rsidR="00C4648C">
        <w:t xml:space="preserve"> </w:t>
      </w:r>
      <w:r w:rsidR="00C4648C">
        <w:rPr>
          <w:i/>
        </w:rPr>
        <w:t>See</w:t>
      </w:r>
      <w:r>
        <w:t xml:space="preserve"> </w:t>
      </w:r>
      <w:r w:rsidRPr="00121E90">
        <w:rPr>
          <w:i/>
          <w:iCs/>
        </w:rPr>
        <w:t>Napoleon v. Glass</w:t>
      </w:r>
      <w:r w:rsidRPr="00121E90">
        <w:t xml:space="preserve">, 229 So. </w:t>
      </w:r>
      <w:proofErr w:type="gramStart"/>
      <w:r w:rsidRPr="00121E90">
        <w:t>2d 883, 885 (Fla. 3d DCA 1969)</w:t>
      </w:r>
      <w:r w:rsidR="00814D2B" w:rsidRPr="00814D2B">
        <w:t>.</w:t>
      </w:r>
      <w:proofErr w:type="gramEnd"/>
    </w:p>
    <w:p w:rsidR="007C7FE1" w:rsidRDefault="007C7FE1" w:rsidP="003140FF">
      <w:pPr>
        <w:pStyle w:val="BodyText"/>
      </w:pPr>
      <w:r>
        <w:t xml:space="preserve">To conform the Commission’s definitions of landlord and tenant to </w:t>
      </w:r>
      <w:r w:rsidR="00394CED">
        <w:t>the Goss family’s</w:t>
      </w:r>
      <w:r>
        <w:t xml:space="preserve"> interpretation of Chapter 723, F.S., the Goss family’s suggested rule language, unlike staff’s recommended language, does not include the phrase “at the property.” Instead, the Goss family suggests that </w:t>
      </w:r>
      <w:r w:rsidR="00031F08">
        <w:t xml:space="preserve">the </w:t>
      </w:r>
      <w:r>
        <w:t>definition</w:t>
      </w:r>
      <w:r w:rsidR="00031F08">
        <w:t>s</w:t>
      </w:r>
      <w:r>
        <w:t xml:space="preserve"> require that the provision water and wastewater services be part of the conveyance to the lot owners of access to or use of other property and services.</w:t>
      </w:r>
    </w:p>
    <w:p w:rsidR="007C7FE1" w:rsidRDefault="007C7FE1" w:rsidP="003140FF">
      <w:pPr>
        <w:pStyle w:val="BodyText"/>
      </w:pPr>
      <w:r>
        <w:t xml:space="preserve">However, the </w:t>
      </w:r>
      <w:r w:rsidRPr="007C7FE1">
        <w:t xml:space="preserve">landlord/tenant exemption makes little sense if the water and wastewater services are not provided at the leased property. In Section 367.011(3), F.S., the </w:t>
      </w:r>
      <w:r w:rsidR="0060424E">
        <w:t>Legislature</w:t>
      </w:r>
      <w:r w:rsidRPr="007C7FE1">
        <w:t xml:space="preserve"> specifically declared that Commission regulation of water and wastewater utilities is predicated on</w:t>
      </w:r>
      <w:r w:rsidR="0082671C">
        <w:t xml:space="preserve"> concerns about</w:t>
      </w:r>
      <w:r w:rsidRPr="007C7FE1">
        <w:t xml:space="preserve"> public health, safety, and welfare. Such concerns arise in the context o</w:t>
      </w:r>
      <w:r w:rsidR="0082671C">
        <w:t xml:space="preserve">f public utilities </w:t>
      </w:r>
      <w:r w:rsidR="0082671C">
        <w:lastRenderedPageBreak/>
        <w:t>because the service is essential</w:t>
      </w:r>
      <w:r w:rsidRPr="007C7FE1">
        <w:t xml:space="preserve"> and</w:t>
      </w:r>
      <w:r w:rsidR="0082671C">
        <w:t xml:space="preserve"> the customer</w:t>
      </w:r>
      <w:r w:rsidRPr="007C7FE1">
        <w:t xml:space="preserve"> only has one choice of provider at any given location. But </w:t>
      </w:r>
      <w:proofErr w:type="gramStart"/>
      <w:r w:rsidRPr="007C7FE1">
        <w:t>a tenant</w:t>
      </w:r>
      <w:proofErr w:type="gramEnd"/>
      <w:r w:rsidRPr="007C7FE1">
        <w:t xml:space="preserve"> purchasing water and wastewater services from his or her landlord for delivery at the real property </w:t>
      </w:r>
      <w:r w:rsidR="00031F08">
        <w:t>conveyed by the parties</w:t>
      </w:r>
      <w:r w:rsidRPr="007C7FE1">
        <w:t>’</w:t>
      </w:r>
      <w:r w:rsidR="0082671C">
        <w:t xml:space="preserve"> </w:t>
      </w:r>
      <w:r w:rsidR="00185934">
        <w:t>lease</w:t>
      </w:r>
      <w:r w:rsidRPr="007C7FE1">
        <w:t xml:space="preserve"> has the ability to switch utilities by moving at the end of the lease. Landowners lack this ability because to move they would have to sell their property, presumably at a significant loss if the sole utility provides subpar </w:t>
      </w:r>
      <w:r w:rsidR="00C4648C">
        <w:t>services,</w:t>
      </w:r>
      <w:r w:rsidRPr="007C7FE1">
        <w:t xml:space="preserve"> </w:t>
      </w:r>
      <w:r w:rsidR="00C4648C">
        <w:t>charges excessive</w:t>
      </w:r>
      <w:r w:rsidRPr="007C7FE1">
        <w:t xml:space="preserve"> </w:t>
      </w:r>
      <w:r w:rsidR="00C4648C">
        <w:t>rates, or disconnects service to the property</w:t>
      </w:r>
      <w:r w:rsidRPr="007C7FE1">
        <w:t>.</w:t>
      </w:r>
    </w:p>
    <w:p w:rsidR="00D56312" w:rsidRDefault="00814D2B" w:rsidP="003140FF">
      <w:pPr>
        <w:pStyle w:val="BodyText"/>
      </w:pPr>
      <w:r>
        <w:t xml:space="preserve">Additionally, staff </w:t>
      </w:r>
      <w:r w:rsidR="007D17EC">
        <w:t>disagrees with</w:t>
      </w:r>
      <w:r>
        <w:t xml:space="preserve"> the broader arguments of the Goss family and FMHA that</w:t>
      </w:r>
      <w:r w:rsidR="00886327">
        <w:t xml:space="preserve"> Chapter 723</w:t>
      </w:r>
      <w:r>
        <w:t xml:space="preserve"> defines mobile home subdivision owners as landlords and the owners </w:t>
      </w:r>
      <w:r w:rsidR="00886327">
        <w:t xml:space="preserve">of lots mobile home subdivisions as tenants. Chapter 723 is aimed primarily at regulating the relationship between a mobile home park owner and </w:t>
      </w:r>
      <w:r w:rsidR="00394CED">
        <w:t>a mobile home owner who rents a</w:t>
      </w:r>
      <w:r w:rsidR="00886327">
        <w:t xml:space="preserve"> lot from the park. </w:t>
      </w:r>
      <w:r w:rsidR="00886327">
        <w:rPr>
          <w:i/>
        </w:rPr>
        <w:t>See</w:t>
      </w:r>
      <w:r w:rsidR="00886327">
        <w:t xml:space="preserve"> § 723.004, F.S. </w:t>
      </w:r>
      <w:r w:rsidR="00262BFF">
        <w:t>(finding t</w:t>
      </w:r>
      <w:r w:rsidR="00262BFF" w:rsidRPr="00262BFF">
        <w:t xml:space="preserve">here are factors unique to the relationship between a mobile home </w:t>
      </w:r>
      <w:r w:rsidR="00262BFF">
        <w:t xml:space="preserve">park </w:t>
      </w:r>
      <w:r w:rsidR="00262BFF" w:rsidRPr="00262BFF">
        <w:t>own</w:t>
      </w:r>
      <w:r w:rsidR="00262BFF">
        <w:t xml:space="preserve">er and one who rents a lot from a mobile home park owner). </w:t>
      </w:r>
      <w:r w:rsidR="00886327">
        <w:t xml:space="preserve">Given the plain and ordinary definition of a landlord-tenant relationship is based on the conveyance of a possessory interest in real property, it </w:t>
      </w:r>
      <w:r w:rsidR="00730273">
        <w:t>should be no surprise</w:t>
      </w:r>
      <w:r w:rsidR="00886327">
        <w:t xml:space="preserve"> that those terms would appear in statutes </w:t>
      </w:r>
      <w:r w:rsidR="00730273">
        <w:t xml:space="preserve">primarily </w:t>
      </w:r>
      <w:r w:rsidR="00886327">
        <w:t xml:space="preserve">regulating a relationship in which one person—a mobile home park owner—conveys a possessory interest in real property to another—a mobile home owner. </w:t>
      </w:r>
      <w:r w:rsidR="00394CED">
        <w:t xml:space="preserve">The Goss family appears to argue that because Section 723.002(2), F.S., applies 8 of Chapter 723’s almost 70 sections to mobile home subdivision owners and owners of lots in mobile home subdivisions, that somehow a landlord-tenant relationship is created between the subdivision owner and the lot owner. However, none of those 8 sections create a landlord-tenant relationship between </w:t>
      </w:r>
      <w:r w:rsidR="004334DC">
        <w:t xml:space="preserve">mobile home subdivision owners and </w:t>
      </w:r>
      <w:r w:rsidR="00346CDF">
        <w:t>lot owners</w:t>
      </w:r>
      <w:r w:rsidR="00394CED">
        <w:t>.</w:t>
      </w:r>
    </w:p>
    <w:p w:rsidR="00886327" w:rsidRDefault="00886327" w:rsidP="003140FF">
      <w:pPr>
        <w:pStyle w:val="BodyText"/>
      </w:pPr>
      <w:r>
        <w:t>It is telling that the Goss family relies mainly on Section 723.058(3), F.S., to support its argument that Chapter 723 labels mobile home subdivision owners as landlords. That section provides that</w:t>
      </w:r>
    </w:p>
    <w:p w:rsidR="00886327" w:rsidRDefault="00886327" w:rsidP="00886327">
      <w:pPr>
        <w:pStyle w:val="BodyText"/>
        <w:ind w:left="720" w:right="720"/>
      </w:pPr>
      <w:r w:rsidRPr="004C146E">
        <w:t>No mobile home owner, owner of a lot in a mobile home subdivision, or purchaser of an existing mobile home located within a park or mobile home subdivision, as a condition of tenancy, or to qualify for tenancy, or to obtain approval for tenancy in a mobile home park or mobile home subdivision, shall be required to enter into, extend, or renew a resale agreement.</w:t>
      </w:r>
    </w:p>
    <w:p w:rsidR="00886327" w:rsidRDefault="00D56312" w:rsidP="009A0847">
      <w:pPr>
        <w:pStyle w:val="BodyText"/>
      </w:pPr>
      <w:r>
        <w:t>At best, Section 723.058(3), F.S., uses the terms</w:t>
      </w:r>
      <w:r w:rsidR="00886327">
        <w:t xml:space="preserve"> “lot owner” and “tenancy” in the same sentence. </w:t>
      </w:r>
      <w:r>
        <w:t>However, nowhere does</w:t>
      </w:r>
      <w:r w:rsidR="00886327">
        <w:t xml:space="preserve"> Section 723.058(3), F.S., </w:t>
      </w:r>
      <w:r>
        <w:t>define</w:t>
      </w:r>
      <w:r w:rsidR="00886327">
        <w:t xml:space="preserve"> a lot owner as a tenant</w:t>
      </w:r>
      <w:r w:rsidR="00096816">
        <w:t xml:space="preserve"> or a subdivision owner as a landlord</w:t>
      </w:r>
      <w:r w:rsidR="00886327">
        <w:t>.</w:t>
      </w:r>
      <w:r w:rsidR="00C22470">
        <w:t xml:space="preserve"> The term “tenancy” is used</w:t>
      </w:r>
      <w:r w:rsidR="009A0847">
        <w:t xml:space="preserve">, not as a </w:t>
      </w:r>
      <w:r w:rsidR="00FD461F">
        <w:t xml:space="preserve">term of art, but colloquially </w:t>
      </w:r>
      <w:r w:rsidR="009A0847">
        <w:t>as a term to describe one’s ability to take up residence in the park/subdivision.</w:t>
      </w:r>
      <w:r w:rsidR="00C22470">
        <w:t xml:space="preserve"> </w:t>
      </w:r>
      <w:r w:rsidR="00886327">
        <w:t xml:space="preserve">In short, the section prohibits a mobile home park or subdivision owner from conditioning one’s ability to reside in the park or subdivision on the execution of a resale agreement. </w:t>
      </w:r>
      <w:r w:rsidR="007D17EC">
        <w:t>Using</w:t>
      </w:r>
      <w:r w:rsidR="00886327">
        <w:t xml:space="preserve"> Section 723.058(3), F.S., </w:t>
      </w:r>
      <w:r w:rsidR="00792FB5">
        <w:t xml:space="preserve">to imply that the entire chapter is intended to create a landlord-tenant relationship between a mobile home subdivision owner and a lot owner is not </w:t>
      </w:r>
      <w:r w:rsidR="00FD461F">
        <w:t xml:space="preserve">supported </w:t>
      </w:r>
      <w:r w:rsidR="00F10C1F">
        <w:t>by the law</w:t>
      </w:r>
      <w:r w:rsidR="00886327">
        <w:t>.</w:t>
      </w:r>
    </w:p>
    <w:p w:rsidR="00792FB5" w:rsidRDefault="00F10C1F" w:rsidP="009A0847">
      <w:pPr>
        <w:pStyle w:val="BodyText"/>
      </w:pPr>
      <w:r>
        <w:t>Additionally</w:t>
      </w:r>
      <w:r w:rsidR="00792FB5">
        <w:t xml:space="preserve">, staff believes it is outside the scope of the Commission’s statutory authority to interpret Section 367.022(5), F.S., in a way that goes beyond the plain and ordinary meaning of the terms used by the </w:t>
      </w:r>
      <w:r w:rsidR="0060424E">
        <w:t>Legislature</w:t>
      </w:r>
      <w:r w:rsidR="00792FB5">
        <w:t xml:space="preserve"> in that section. Nothing in Chapters 723 or 367 indicate that the Commission should refer to Chapter 723 in defining terms used in Section 367.022(5), F.S. </w:t>
      </w:r>
      <w:r>
        <w:lastRenderedPageBreak/>
        <w:t>Moreover</w:t>
      </w:r>
      <w:r w:rsidR="00792FB5">
        <w:t xml:space="preserve">, as discussed above, the Commission </w:t>
      </w:r>
      <w:r>
        <w:t>h</w:t>
      </w:r>
      <w:r w:rsidR="00792FB5">
        <w:t>as consistently used the plain and ordinary meaning of the terms “landlord” and “tenant” when applying Section 367.022(5), F.S.</w:t>
      </w:r>
    </w:p>
    <w:p w:rsidR="00814D2B" w:rsidRDefault="00814D2B" w:rsidP="009A0847">
      <w:pPr>
        <w:pStyle w:val="Second-LevelSubheading"/>
      </w:pPr>
      <w:r>
        <w:t>The Cost of Regulation</w:t>
      </w:r>
    </w:p>
    <w:p w:rsidR="00431BC2" w:rsidRDefault="00814D2B" w:rsidP="009A0847">
      <w:pPr>
        <w:pStyle w:val="BodyText"/>
      </w:pPr>
      <w:r>
        <w:t>The Goss family</w:t>
      </w:r>
      <w:r w:rsidR="001F0784">
        <w:t xml:space="preserve"> and FMHA’s second argument is that regulating mobile home subdivisions as utilities will saddle the subdivision’s residents with much higher </w:t>
      </w:r>
      <w:r w:rsidR="00F10C1F">
        <w:t xml:space="preserve">costs for </w:t>
      </w:r>
      <w:r w:rsidR="001F0784">
        <w:t xml:space="preserve">water and wastewater </w:t>
      </w:r>
      <w:r w:rsidR="00F10C1F">
        <w:t>services</w:t>
      </w:r>
      <w:r w:rsidR="001F0784">
        <w:t xml:space="preserve">; therefore, the Commission should interpret “landlord” and “tenant” in a way that avoids imposing these costs. In a May 4, 2018 letter to the Commission’s </w:t>
      </w:r>
      <w:r w:rsidR="00F10C1F">
        <w:t xml:space="preserve">General Counsel, FMHA </w:t>
      </w:r>
      <w:r w:rsidR="001F0784">
        <w:t xml:space="preserve">argued that </w:t>
      </w:r>
      <w:r w:rsidR="000C150F">
        <w:t xml:space="preserve">staff’s interpretation of Section 367.022(5), F.S., would subject “many of its </w:t>
      </w:r>
      <w:proofErr w:type="gramStart"/>
      <w:r w:rsidR="000C150F">
        <w:t>member[</w:t>
      </w:r>
      <w:proofErr w:type="gramEnd"/>
      <w:r w:rsidR="000C150F">
        <w:t>]” parks and subdivisions to costly regulation</w:t>
      </w:r>
      <w:r w:rsidR="00431BC2">
        <w:t>.</w:t>
      </w:r>
      <w:r w:rsidR="000C150F">
        <w:t xml:space="preserve"> But in its post-workshop comments, FMHA stated that it could identify few </w:t>
      </w:r>
      <w:r w:rsidR="009A0847">
        <w:t xml:space="preserve">parks and </w:t>
      </w:r>
      <w:r w:rsidR="000C150F">
        <w:t>subdivisions</w:t>
      </w:r>
      <w:r w:rsidR="00FD461F">
        <w:t xml:space="preserve">, if </w:t>
      </w:r>
      <w:proofErr w:type="gramStart"/>
      <w:r w:rsidR="00FD461F">
        <w:t>any,</w:t>
      </w:r>
      <w:r w:rsidR="000C150F">
        <w:t xml:space="preserve"> that</w:t>
      </w:r>
      <w:proofErr w:type="gramEnd"/>
      <w:r w:rsidR="000C150F">
        <w:t xml:space="preserve"> would be subject to regulation under staff’s </w:t>
      </w:r>
      <w:r w:rsidR="007D17EC">
        <w:t>recommended rule</w:t>
      </w:r>
      <w:r w:rsidR="000C150F">
        <w:t>.</w:t>
      </w:r>
    </w:p>
    <w:p w:rsidR="004337D7" w:rsidRDefault="004337D7" w:rsidP="009A0847">
      <w:pPr>
        <w:pStyle w:val="BodyText"/>
      </w:pPr>
      <w:r>
        <w:t xml:space="preserve">The Goss family again turned to Palm Tree Acres as an example of these increased costs. </w:t>
      </w:r>
      <w:r w:rsidR="009A0847">
        <w:t>It presented analysis</w:t>
      </w:r>
      <w:r w:rsidR="00271F01">
        <w:t xml:space="preserve"> show</w:t>
      </w:r>
      <w:r w:rsidR="009A0847">
        <w:t>ing</w:t>
      </w:r>
      <w:r w:rsidR="00271F01">
        <w:t xml:space="preserve"> that </w:t>
      </w:r>
      <w:r w:rsidR="009A0847">
        <w:t>Palm Tree Acres’</w:t>
      </w:r>
      <w:r w:rsidR="00271F01">
        <w:t xml:space="preserve"> 19 </w:t>
      </w:r>
      <w:r w:rsidR="00C72E1A">
        <w:t xml:space="preserve">lot owners </w:t>
      </w:r>
      <w:r w:rsidR="00271F01">
        <w:t>would pay approximately $469 per month for water and wastewater services if Palm Tree Acres was regulated by the Commission.</w:t>
      </w:r>
      <w:r w:rsidR="00C72E1A">
        <w:t xml:space="preserve"> However,</w:t>
      </w:r>
      <w:r w:rsidR="00271F01">
        <w:t xml:space="preserve"> </w:t>
      </w:r>
      <w:r w:rsidR="00C72E1A">
        <w:t xml:space="preserve">it appears that the analysis allocates </w:t>
      </w:r>
      <w:r w:rsidR="0060424E">
        <w:t>regulatory costs</w:t>
      </w:r>
      <w:r w:rsidR="00C72E1A">
        <w:t xml:space="preserve"> to only those 19 customers, even though the utility currently has 244 customers. If the analysis had properly allocated those costs to all 244 customers, the monthly cost for those 19 customers would likely be considerably lower.</w:t>
      </w:r>
    </w:p>
    <w:p w:rsidR="004B203F" w:rsidRDefault="000C150F" w:rsidP="00D52B57">
      <w:pPr>
        <w:pStyle w:val="BodyText"/>
      </w:pPr>
      <w:r>
        <w:t xml:space="preserve">Staff has considered </w:t>
      </w:r>
      <w:r w:rsidR="007F053D">
        <w:t xml:space="preserve">the </w:t>
      </w:r>
      <w:r w:rsidR="007D17EC">
        <w:t>stakeholder comments</w:t>
      </w:r>
      <w:r w:rsidR="007F053D">
        <w:t xml:space="preserve"> regarding the alleged increased costs of regulation</w:t>
      </w:r>
      <w:r>
        <w:t xml:space="preserve">, but finds them unpersuasive. First, as explained above, </w:t>
      </w:r>
      <w:r w:rsidR="007E510B">
        <w:t>staff’s recommended language</w:t>
      </w:r>
      <w:r>
        <w:t xml:space="preserve"> is consistent with previous Commission practice. The scope of the Commission’s</w:t>
      </w:r>
      <w:r w:rsidR="007F053D">
        <w:t xml:space="preserve"> jurisdiction remains unchanged, which means</w:t>
      </w:r>
      <w:r>
        <w:t xml:space="preserve"> </w:t>
      </w:r>
      <w:r w:rsidR="007F053D">
        <w:t xml:space="preserve">the rule </w:t>
      </w:r>
      <w:r w:rsidR="007E510B">
        <w:t>would</w:t>
      </w:r>
      <w:r w:rsidR="007F053D">
        <w:t xml:space="preserve"> </w:t>
      </w:r>
      <w:r w:rsidR="009A0847">
        <w:t>not bring any entities under the Commission’s jurisdiction that were not previously subject to its jurisdiction</w:t>
      </w:r>
      <w:r w:rsidR="007F053D">
        <w:t>.</w:t>
      </w:r>
    </w:p>
    <w:p w:rsidR="0022458A" w:rsidRPr="007D17EC" w:rsidRDefault="000C150F" w:rsidP="00DC2E78">
      <w:pPr>
        <w:pStyle w:val="BodyText"/>
      </w:pPr>
      <w:r>
        <w:t xml:space="preserve">Second, as explained above, the Goss family’s </w:t>
      </w:r>
      <w:r w:rsidR="007D17EC">
        <w:t>suggested</w:t>
      </w:r>
      <w:r>
        <w:t xml:space="preserve"> changes are not consistent with the plain and ordinary meaning of the terms</w:t>
      </w:r>
      <w:r w:rsidR="007D17EC">
        <w:t xml:space="preserve"> landlord and tenant</w:t>
      </w:r>
      <w:r>
        <w:t xml:space="preserve">. </w:t>
      </w:r>
      <w:r w:rsidR="00DC2E78" w:rsidRPr="00DC2E78">
        <w:t>Staff recommends</w:t>
      </w:r>
      <w:r w:rsidR="00AE3C6B">
        <w:t xml:space="preserve"> definitions that hew</w:t>
      </w:r>
      <w:r w:rsidR="00DC2E78" w:rsidRPr="00DC2E78">
        <w:t xml:space="preserve"> to the </w:t>
      </w:r>
      <w:r w:rsidR="00DC2E78">
        <w:t>plain and ordinary definitions of those words as found in Black’s Law D</w:t>
      </w:r>
      <w:r w:rsidR="00DC2E78" w:rsidRPr="00DC2E78">
        <w:t xml:space="preserve">ictionary for two reasons. </w:t>
      </w:r>
      <w:r w:rsidR="00DC2E78">
        <w:t>One</w:t>
      </w:r>
      <w:r w:rsidR="00DC2E78" w:rsidRPr="00DC2E78">
        <w:t xml:space="preserve">, Florida courts have developed well-established law guiding statutory interpretation that is based on using the plain and ordinary meaning of words as discerned by dictionaries. </w:t>
      </w:r>
      <w:r w:rsidR="00DC2E78" w:rsidRPr="00DC2E78">
        <w:rPr>
          <w:i/>
        </w:rPr>
        <w:t>W. Fla. Reg’l Med. Ctr., Inc. v. See</w:t>
      </w:r>
      <w:r w:rsidR="00777A81">
        <w:t xml:space="preserve">, 79 So. </w:t>
      </w:r>
      <w:proofErr w:type="gramStart"/>
      <w:r w:rsidR="00777A81">
        <w:t>3d 1, 8–9 (Fla. 2012)</w:t>
      </w:r>
      <w:r w:rsidR="00DC2E78" w:rsidRPr="00DC2E78">
        <w:t>.</w:t>
      </w:r>
      <w:proofErr w:type="gramEnd"/>
      <w:r w:rsidR="00DC2E78">
        <w:t xml:space="preserve"> Two</w:t>
      </w:r>
      <w:r w:rsidR="00DC2E78" w:rsidRPr="00DC2E78">
        <w:t xml:space="preserve">, the Commission’s interpretation of statutes is no longer afforded deference when reviewed by courts. Art. </w:t>
      </w:r>
      <w:proofErr w:type="gramStart"/>
      <w:r w:rsidR="00DC2E78" w:rsidRPr="00DC2E78">
        <w:t xml:space="preserve">V, § 21, Fla. Const.; </w:t>
      </w:r>
      <w:r w:rsidR="00DC2E78" w:rsidRPr="00DC2E78">
        <w:rPr>
          <w:i/>
        </w:rPr>
        <w:t>Citizens v. Brown</w:t>
      </w:r>
      <w:r w:rsidR="00DC2E78" w:rsidRPr="00DC2E78">
        <w:t>, 269 So.</w:t>
      </w:r>
      <w:proofErr w:type="gramEnd"/>
      <w:r w:rsidR="00DC2E78" w:rsidRPr="00DC2E78">
        <w:t xml:space="preserve"> </w:t>
      </w:r>
      <w:proofErr w:type="gramStart"/>
      <w:r w:rsidR="00DC2E78" w:rsidRPr="00DC2E78">
        <w:t>3d 498, 504 (Fla. 2019).</w:t>
      </w:r>
      <w:proofErr w:type="gramEnd"/>
      <w:r w:rsidR="00DC2E78">
        <w:t xml:space="preserve"> </w:t>
      </w:r>
      <w:r w:rsidR="00DC2E78" w:rsidRPr="00DC2E78">
        <w:t xml:space="preserve">Therefore, if a court was asked to review the Commission’s interpretation of Section 367.022(5), F.S., as embodied in Rule 25-30.0115, F.A.C., the validity of the Commission’s interpretation would depend </w:t>
      </w:r>
      <w:r w:rsidR="00777A81">
        <w:t>almost completely</w:t>
      </w:r>
      <w:r w:rsidR="00DC2E78" w:rsidRPr="00DC2E78">
        <w:t xml:space="preserve"> on whether its interpretation conformed to the well-established rules of statutory interpretation used by courts.</w:t>
      </w:r>
      <w:r w:rsidR="00DC2E78">
        <w:t xml:space="preserve"> </w:t>
      </w:r>
      <w:r w:rsidR="007D17EC">
        <w:rPr>
          <w:i/>
        </w:rPr>
        <w:t>See W. Fla. Reg’l Med. Ctr.</w:t>
      </w:r>
      <w:r w:rsidR="007D17EC">
        <w:t>, 79 So. 3d at 8–9.</w:t>
      </w:r>
    </w:p>
    <w:p w:rsidR="000C150F" w:rsidRDefault="0022458A" w:rsidP="00DC2E78">
      <w:pPr>
        <w:pStyle w:val="BodyText"/>
      </w:pPr>
      <w:r>
        <w:t>T</w:t>
      </w:r>
      <w:r w:rsidR="00DC2E78">
        <w:t xml:space="preserve">he Commission’s rules </w:t>
      </w:r>
      <w:r>
        <w:t xml:space="preserve">are designed to </w:t>
      </w:r>
      <w:r w:rsidR="009C6FEE">
        <w:t>implement</w:t>
      </w:r>
      <w:r w:rsidR="00DC2E78">
        <w:t xml:space="preserve"> </w:t>
      </w:r>
      <w:r>
        <w:t xml:space="preserve">the purposes of </w:t>
      </w:r>
      <w:r w:rsidR="00DC2E78">
        <w:t>statutes</w:t>
      </w:r>
      <w:r>
        <w:t>. Many of those statutes</w:t>
      </w:r>
      <w:r w:rsidR="00DC2E78">
        <w:t xml:space="preserve"> </w:t>
      </w:r>
      <w:r>
        <w:t xml:space="preserve">contain broad policy goals that </w:t>
      </w:r>
      <w:r w:rsidR="00DC2E78">
        <w:t xml:space="preserve">afford the Commission discretion in crafting programs to achieve those </w:t>
      </w:r>
      <w:r>
        <w:t>purposes</w:t>
      </w:r>
      <w:r w:rsidR="00DC2E78">
        <w:t xml:space="preserve">. But Section 367.022, F.S., is different. </w:t>
      </w:r>
      <w:r>
        <w:t>It</w:t>
      </w:r>
      <w:r w:rsidR="00DC2E78">
        <w:t xml:space="preserve"> </w:t>
      </w:r>
      <w:r>
        <w:t>prescribes</w:t>
      </w:r>
      <w:r w:rsidR="00DC2E78">
        <w:t xml:space="preserve"> the Commission’s jurisdiction </w:t>
      </w:r>
      <w:r>
        <w:t>in clear and definite terms</w:t>
      </w:r>
      <w:r w:rsidR="000C150F">
        <w:t>.</w:t>
      </w:r>
      <w:r>
        <w:t xml:space="preserve"> </w:t>
      </w:r>
      <w:r w:rsidR="009C6FEE">
        <w:t xml:space="preserve">It does not give the Commission discretion to decide </w:t>
      </w:r>
      <w:r w:rsidR="009760B7">
        <w:t>the limits of its jurisdiction</w:t>
      </w:r>
      <w:r w:rsidR="009C6FEE">
        <w:t xml:space="preserve">. </w:t>
      </w:r>
      <w:r>
        <w:t xml:space="preserve">When the terms of a statute are plain and unambiguous, changing that plain meaning is solely within the purview of the </w:t>
      </w:r>
      <w:r w:rsidR="0060424E">
        <w:t>Legislature</w:t>
      </w:r>
      <w:r>
        <w:t>.</w:t>
      </w:r>
    </w:p>
    <w:p w:rsidR="00FA1D47" w:rsidRDefault="003140FF" w:rsidP="003140FF">
      <w:pPr>
        <w:pStyle w:val="Second-LevelSubheading"/>
      </w:pPr>
      <w:r>
        <w:lastRenderedPageBreak/>
        <w:t>Written or Oral Agreements</w:t>
      </w:r>
    </w:p>
    <w:p w:rsidR="007D17EC" w:rsidRPr="00583EAA" w:rsidRDefault="00FA1D47" w:rsidP="00583EAA">
      <w:pPr>
        <w:pStyle w:val="BodyText"/>
      </w:pPr>
      <w:r>
        <w:t xml:space="preserve">OPC largely agreed with staff’s proposed rule language. It did, however, suggest </w:t>
      </w:r>
      <w:r w:rsidR="003140FF">
        <w:t>the following change:</w:t>
      </w:r>
      <w:r w:rsidR="00583EAA">
        <w:t xml:space="preserve"> “</w:t>
      </w:r>
      <w:r w:rsidR="00583EAA" w:rsidRPr="00583EAA">
        <w:t>(1) ‘landlord’</w:t>
      </w:r>
      <w:r w:rsidR="003140FF" w:rsidRPr="00583EAA">
        <w:t xml:space="preserve"> is the party who conveys a possessory interest in real property to a tenant by way of agreement</w:t>
      </w:r>
      <w:r w:rsidR="003140FF" w:rsidRPr="009760B7">
        <w:rPr>
          <w:u w:val="single"/>
        </w:rPr>
        <w:t>,</w:t>
      </w:r>
      <w:r w:rsidR="007D21DB">
        <w:rPr>
          <w:rStyle w:val="FootnoteReference"/>
          <w:u w:val="single"/>
        </w:rPr>
        <w:footnoteReference w:id="5"/>
      </w:r>
      <w:r w:rsidR="003140FF" w:rsidRPr="009760B7">
        <w:rPr>
          <w:u w:val="single"/>
        </w:rPr>
        <w:t xml:space="preserve"> either written or oral,</w:t>
      </w:r>
      <w:r w:rsidR="003140FF" w:rsidRPr="00583EAA">
        <w:t xml:space="preserve"> and who provides water and/or wastewater service to </w:t>
      </w:r>
      <w:r w:rsidR="007E510B">
        <w:t>the tenant at that property</w:t>
      </w:r>
      <w:r w:rsidR="00583EAA" w:rsidRPr="00583EAA">
        <w:t xml:space="preserve"> . . . .</w:t>
      </w:r>
      <w:r w:rsidR="00583EAA">
        <w:t>”</w:t>
      </w:r>
    </w:p>
    <w:p w:rsidR="001312BF" w:rsidRDefault="004D1F71" w:rsidP="00D52B57">
      <w:pPr>
        <w:pStyle w:val="BodyText"/>
      </w:pPr>
      <w:r>
        <w:t>OPC’s concern i</w:t>
      </w:r>
      <w:r w:rsidR="00FA1D47">
        <w:t>s that</w:t>
      </w:r>
      <w:r w:rsidR="007A7143">
        <w:t>,</w:t>
      </w:r>
      <w:r w:rsidR="00FA1D47">
        <w:t xml:space="preserve"> </w:t>
      </w:r>
      <w:r w:rsidR="00C963DE">
        <w:t>in the absence of its suggested addition</w:t>
      </w:r>
      <w:r w:rsidR="007A7143">
        <w:t xml:space="preserve">, </w:t>
      </w:r>
      <w:r w:rsidR="00FA1D47">
        <w:t>a landlord-tenant rela</w:t>
      </w:r>
      <w:r w:rsidR="003140FF">
        <w:t xml:space="preserve">tionship could be limited based on whether the </w:t>
      </w:r>
      <w:r w:rsidR="00A73D11">
        <w:t>lease</w:t>
      </w:r>
      <w:r w:rsidR="003140FF">
        <w:t xml:space="preserve"> is written or oral</w:t>
      </w:r>
      <w:r w:rsidR="00FA1D47">
        <w:t xml:space="preserve">. Staff </w:t>
      </w:r>
      <w:r w:rsidR="007A7143">
        <w:t>recommends the Commission</w:t>
      </w:r>
      <w:r w:rsidR="00FA1D47">
        <w:t xml:space="preserve"> </w:t>
      </w:r>
      <w:r w:rsidR="007A7143">
        <w:t xml:space="preserve">determine that </w:t>
      </w:r>
      <w:r w:rsidR="00FA1D47">
        <w:t>th</w:t>
      </w:r>
      <w:r w:rsidR="007A7143">
        <w:t>is clarification is unnecessary.</w:t>
      </w:r>
      <w:r w:rsidR="00FA1D47">
        <w:t xml:space="preserve"> </w:t>
      </w:r>
      <w:r w:rsidR="007A7143">
        <w:t>A</w:t>
      </w:r>
      <w:r w:rsidR="00A73D11">
        <w:t xml:space="preserve"> lease of</w:t>
      </w:r>
      <w:r w:rsidR="00FA1D47">
        <w:t xml:space="preserve"> real property can be</w:t>
      </w:r>
      <w:r w:rsidR="009C6FEE">
        <w:t xml:space="preserve"> made orally</w:t>
      </w:r>
      <w:r w:rsidR="009C6FEE">
        <w:rPr>
          <w:rStyle w:val="FootnoteReference"/>
        </w:rPr>
        <w:footnoteReference w:id="6"/>
      </w:r>
      <w:r w:rsidR="009C6FEE">
        <w:t xml:space="preserve"> or in writing</w:t>
      </w:r>
      <w:r w:rsidR="00B74C33">
        <w:t>,</w:t>
      </w:r>
      <w:r w:rsidR="009C6FEE">
        <w:t xml:space="preserve"> and the current lang</w:t>
      </w:r>
      <w:r w:rsidR="00B74C33">
        <w:t xml:space="preserve">uage incorporates </w:t>
      </w:r>
      <w:r w:rsidR="007A7143">
        <w:t>both</w:t>
      </w:r>
      <w:r w:rsidR="00B74C33">
        <w:t>.</w:t>
      </w:r>
    </w:p>
    <w:p w:rsidR="00B74C33" w:rsidRDefault="00E35BF0" w:rsidP="00B74C33">
      <w:pPr>
        <w:pStyle w:val="First-LevelSubheading"/>
      </w:pPr>
      <w:r>
        <w:t>Minor Violation Rules Certification</w:t>
      </w:r>
    </w:p>
    <w:p w:rsidR="00B74C33" w:rsidRDefault="00E35BF0" w:rsidP="00D52B57">
      <w:pPr>
        <w:pStyle w:val="BodyText"/>
      </w:pPr>
      <w:r>
        <w:t>Pursuant to Section 120.695, F.S., beginning July 1, 2017, for each rule filed for adoption</w:t>
      </w:r>
      <w:r w:rsidR="001B1FFD">
        <w:t>,</w:t>
      </w:r>
      <w:r>
        <w:t xml:space="preserve"> the agency head must certify whether any part of the rule is designated as a rule the violation of which would be a minor violation. </w:t>
      </w:r>
      <w:r w:rsidR="001B1FFD">
        <w:t>Under Section 120.695</w:t>
      </w:r>
      <w:r w:rsidR="00F34A49">
        <w:t>(2</w:t>
      </w:r>
      <w:proofErr w:type="gramStart"/>
      <w:r w:rsidR="001B1FFD">
        <w:t>)(</w:t>
      </w:r>
      <w:proofErr w:type="gramEnd"/>
      <w:r w:rsidR="001B1FFD">
        <w:t>b), F.S., a violation of a rule is minor if it does not result in economic or physical harm to a person or adversely affect the public health, safety, or welfare or create a significant threat of such harm. Rule</w:t>
      </w:r>
      <w:r>
        <w:t xml:space="preserve"> 25-30.</w:t>
      </w:r>
      <w:r w:rsidR="001B1FFD">
        <w:t>0115</w:t>
      </w:r>
      <w:r>
        <w:t xml:space="preserve">, F.A.C., </w:t>
      </w:r>
      <w:r w:rsidR="00C963DE">
        <w:t xml:space="preserve">will be </w:t>
      </w:r>
      <w:r w:rsidR="001B1FFD">
        <w:t>a</w:t>
      </w:r>
      <w:r>
        <w:t xml:space="preserve"> minor violation rule</w:t>
      </w:r>
      <w:r w:rsidR="001B1FFD">
        <w:t>. The rule is purely informational</w:t>
      </w:r>
      <w:r w:rsidR="00F34A49">
        <w:t>; therefore, a violation</w:t>
      </w:r>
      <w:r w:rsidR="001B1FFD">
        <w:t xml:space="preserve"> </w:t>
      </w:r>
      <w:r w:rsidR="00F34A49">
        <w:t xml:space="preserve">will </w:t>
      </w:r>
      <w:r w:rsidR="001B1FFD">
        <w:t xml:space="preserve">not </w:t>
      </w:r>
      <w:r>
        <w:t>result in economic or physical harm to a person or an adverse effect on the public health, safety, or welfare or create a si</w:t>
      </w:r>
      <w:r w:rsidR="001B1FFD">
        <w:t xml:space="preserve">gnificant threat of such harm. Therefore, </w:t>
      </w:r>
      <w:r w:rsidR="001B1FFD" w:rsidRPr="001B1FFD">
        <w:t>for the purposes of filing the r</w:t>
      </w:r>
      <w:r w:rsidR="00583EAA">
        <w:t>ule</w:t>
      </w:r>
      <w:r w:rsidR="001B1FFD" w:rsidRPr="001B1FFD">
        <w:t xml:space="preserve"> for adoption with the Department of State, staff recommends that the Commission certify proposed Rule 25-30.</w:t>
      </w:r>
      <w:r w:rsidR="001312BF">
        <w:t>0115,</w:t>
      </w:r>
      <w:r w:rsidR="001B1FFD" w:rsidRPr="001B1FFD">
        <w:t xml:space="preserve"> </w:t>
      </w:r>
      <w:r w:rsidR="00F34A49">
        <w:t>F.A.C., as a minor violation rule</w:t>
      </w:r>
      <w:r w:rsidR="001B1FFD" w:rsidRPr="001B1FFD">
        <w:t>.</w:t>
      </w:r>
    </w:p>
    <w:p w:rsidR="00B74C33" w:rsidRDefault="001312BF" w:rsidP="001312BF">
      <w:pPr>
        <w:pStyle w:val="First-LevelSubheading"/>
      </w:pPr>
      <w:r>
        <w:t>Statement of Estimated Regulatory Costs</w:t>
      </w:r>
    </w:p>
    <w:p w:rsidR="001312BF" w:rsidRPr="00017271" w:rsidRDefault="001312BF" w:rsidP="001312BF">
      <w:pPr>
        <w:jc w:val="both"/>
      </w:pPr>
      <w:r w:rsidRPr="00017271">
        <w:t xml:space="preserve">Pursuant to </w:t>
      </w:r>
      <w:r>
        <w:t>Section</w:t>
      </w:r>
      <w:r w:rsidRPr="00017271">
        <w:t xml:space="preserve"> 120.54</w:t>
      </w:r>
      <w:r>
        <w:t>(3</w:t>
      </w:r>
      <w:proofErr w:type="gramStart"/>
      <w:r>
        <w:t>)(</w:t>
      </w:r>
      <w:proofErr w:type="gramEnd"/>
      <w:r>
        <w:t>b)1.</w:t>
      </w:r>
      <w:r w:rsidRPr="00017271">
        <w:t>, F.S., agencies are encouraged to prepare a statement of estimated regulatory costs (SERC) before the adoption, am</w:t>
      </w:r>
      <w:r>
        <w:t>endment, or repeal of any rule.</w:t>
      </w:r>
      <w:r w:rsidRPr="00017271">
        <w:t xml:space="preserve"> </w:t>
      </w:r>
      <w:r>
        <w:t>A SERC was prepared for this rulemaking and</w:t>
      </w:r>
      <w:r w:rsidRPr="00017271">
        <w:t xml:space="preserve"> is appended as Attachment B. </w:t>
      </w:r>
      <w:r>
        <w:t>As required by Section 120.541(2</w:t>
      </w:r>
      <w:proofErr w:type="gramStart"/>
      <w:r>
        <w:t>)(</w:t>
      </w:r>
      <w:proofErr w:type="gramEnd"/>
      <w:r>
        <w:t>a)1., F.S., t</w:t>
      </w:r>
      <w:r w:rsidRPr="00017271">
        <w:t xml:space="preserve">he SERC analysis includes whether the rule </w:t>
      </w:r>
      <w:r w:rsidR="007A7143">
        <w:t>is</w:t>
      </w:r>
      <w:r w:rsidRPr="00017271">
        <w:t xml:space="preserve"> likely to have an adverse impact on </w:t>
      </w:r>
      <w:r>
        <w:t xml:space="preserve">economic </w:t>
      </w:r>
      <w:r w:rsidRPr="00017271">
        <w:t xml:space="preserve">growth, private sector job creation or employment, or private sector investment in excess of $1 million in the aggregate within </w:t>
      </w:r>
      <w:r>
        <w:t>5</w:t>
      </w:r>
      <w:r w:rsidRPr="00017271">
        <w:t xml:space="preserve"> years after im</w:t>
      </w:r>
      <w:r>
        <w:t>plementation. The adoption of this rule will not cause any of the impact/cost criteria to be exceeded.</w:t>
      </w:r>
    </w:p>
    <w:p w:rsidR="001312BF" w:rsidRPr="00017271" w:rsidRDefault="001312BF" w:rsidP="001312BF">
      <w:pPr>
        <w:jc w:val="both"/>
      </w:pPr>
    </w:p>
    <w:p w:rsidR="001312BF" w:rsidRDefault="001312BF" w:rsidP="001312BF">
      <w:pPr>
        <w:pStyle w:val="BodyText"/>
        <w:spacing w:after="0"/>
      </w:pPr>
      <w:r w:rsidRPr="00017271">
        <w:t xml:space="preserve">The SERC concludes that the </w:t>
      </w:r>
      <w:r w:rsidR="007A7143">
        <w:t>rule</w:t>
      </w:r>
      <w:r w:rsidRPr="00017271">
        <w:t xml:space="preserve"> will </w:t>
      </w:r>
      <w:r w:rsidR="00605B3D">
        <w:t xml:space="preserve">not likely </w:t>
      </w:r>
      <w:r w:rsidRPr="00017271">
        <w:t>increase</w:t>
      </w:r>
      <w:r w:rsidR="00605B3D">
        <w:t>,</w:t>
      </w:r>
      <w:r w:rsidR="00605B3D" w:rsidRPr="00605B3D">
        <w:t xml:space="preserve"> </w:t>
      </w:r>
      <w:r w:rsidR="00605B3D" w:rsidRPr="00017271">
        <w:t>directly or indirectly</w:t>
      </w:r>
      <w:r w:rsidR="00605B3D">
        <w:t>,</w:t>
      </w:r>
      <w:r w:rsidRPr="00017271">
        <w:t xml:space="preserve"> regulatory costs in excess of $200,000 in </w:t>
      </w:r>
      <w:r>
        <w:t xml:space="preserve">the </w:t>
      </w:r>
      <w:r w:rsidRPr="00017271">
        <w:t xml:space="preserve">aggregate in Florida within 1 year after implementation. Further, the SERC concludes that the </w:t>
      </w:r>
      <w:r w:rsidR="007A7143">
        <w:t>rule</w:t>
      </w:r>
      <w:r>
        <w:t xml:space="preserve"> </w:t>
      </w:r>
      <w:r w:rsidRPr="00017271">
        <w:t xml:space="preserve">will not likely </w:t>
      </w:r>
      <w:r>
        <w:t xml:space="preserve">increase regulatory costs, including any transactional costs or </w:t>
      </w:r>
      <w:r w:rsidRPr="00017271">
        <w:t xml:space="preserve">have an adverse impact on business competitiveness, productivity, or innovation in excess of $1 million in the aggregate within 5 years of implementation. Thus, the </w:t>
      </w:r>
      <w:r w:rsidR="007A7143">
        <w:t>rule does</w:t>
      </w:r>
      <w:r w:rsidRPr="00017271">
        <w:t xml:space="preserve"> not require legislative ratification, pursuant to S</w:t>
      </w:r>
      <w:r>
        <w:t>ection</w:t>
      </w:r>
      <w:r w:rsidRPr="00017271">
        <w:t xml:space="preserve"> 120.541(3), F.S.  </w:t>
      </w:r>
    </w:p>
    <w:p w:rsidR="001312BF" w:rsidRDefault="001312BF" w:rsidP="001312BF">
      <w:pPr>
        <w:pStyle w:val="BodyText"/>
        <w:spacing w:after="0"/>
      </w:pPr>
    </w:p>
    <w:p w:rsidR="001312BF" w:rsidRDefault="001312BF" w:rsidP="001312BF">
      <w:pPr>
        <w:pStyle w:val="BodyText"/>
      </w:pPr>
      <w:r w:rsidRPr="00017271">
        <w:t xml:space="preserve">In addition, the SERC states that the </w:t>
      </w:r>
      <w:r>
        <w:t>rule</w:t>
      </w:r>
      <w:r w:rsidRPr="00017271">
        <w:t xml:space="preserve"> would have </w:t>
      </w:r>
      <w:r>
        <w:t>no</w:t>
      </w:r>
      <w:r w:rsidRPr="00017271">
        <w:t xml:space="preserve"> impact on small businesses, would have no implementation or enforcement cost on the Commission or any other state and local government entity, and would have no impact on small cities or small counties. The SERC states </w:t>
      </w:r>
      <w:r w:rsidRPr="00017271">
        <w:lastRenderedPageBreak/>
        <w:t>that</w:t>
      </w:r>
      <w:r>
        <w:t xml:space="preserve"> there will be no</w:t>
      </w:r>
      <w:r w:rsidRPr="00017271">
        <w:t xml:space="preserve"> transactional costs </w:t>
      </w:r>
      <w:r>
        <w:t>likely to be incurred by individuals and entities required to comply with the requirements</w:t>
      </w:r>
      <w:r w:rsidRPr="00017271">
        <w:t>.</w:t>
      </w:r>
    </w:p>
    <w:p w:rsidR="001312BF" w:rsidRDefault="001312BF" w:rsidP="007E510B">
      <w:pPr>
        <w:pStyle w:val="First-LevelSubheading"/>
        <w:keepNext/>
      </w:pPr>
      <w:r>
        <w:t>Conclusion</w:t>
      </w:r>
    </w:p>
    <w:p w:rsidR="001312BF" w:rsidRDefault="001312BF" w:rsidP="001312BF">
      <w:pPr>
        <w:pStyle w:val="BodyText"/>
      </w:pPr>
      <w:r>
        <w:t xml:space="preserve">The Commission should propose the adoption of Rule 25-30.0115, F.A.C., as set forth in Attachment A. </w:t>
      </w:r>
      <w:proofErr w:type="gramStart"/>
      <w:r>
        <w:t>Additionally,</w:t>
      </w:r>
      <w:proofErr w:type="gramEnd"/>
      <w:r>
        <w:t xml:space="preserve"> the Commission should certify the rule as a minor violation rule.</w:t>
      </w:r>
    </w:p>
    <w:p w:rsidR="004B203F" w:rsidRDefault="004B203F">
      <w:pPr>
        <w:pStyle w:val="IssueHeading"/>
        <w:rPr>
          <w:vanish/>
          <w:specVanish/>
        </w:rPr>
      </w:pPr>
      <w:r w:rsidRPr="004C3641">
        <w:rPr>
          <w:b w:val="0"/>
          <w:i w:val="0"/>
        </w:rPr>
        <w:br w:type="page"/>
      </w:r>
      <w:r w:rsidRPr="004C3641">
        <w:lastRenderedPageBreak/>
        <w:t xml:space="preserve">Issue </w:t>
      </w:r>
      <w:fldSimple w:instr=" SEQ Issue \* MERGEFORMAT ">
        <w:r w:rsidR="000E7D9E">
          <w:rPr>
            <w:noProof/>
          </w:rPr>
          <w:t>2</w:t>
        </w:r>
      </w:fldSimple>
      <w:r w:rsidRPr="004C3641">
        <w:t>:</w:t>
      </w:r>
      <w:r>
        <w:fldChar w:fldCharType="begin"/>
      </w:r>
      <w:r>
        <w:instrText xml:space="preserve"> TC "</w:instrText>
      </w:r>
      <w:r>
        <w:fldChar w:fldCharType="begin"/>
      </w:r>
      <w:r>
        <w:instrText xml:space="preserve"> SEQ issue \c </w:instrText>
      </w:r>
      <w:r>
        <w:fldChar w:fldCharType="separate"/>
      </w:r>
      <w:r w:rsidR="000E7D9E">
        <w:rPr>
          <w:noProof/>
        </w:rPr>
        <w:instrText>2</w:instrText>
      </w:r>
      <w:r>
        <w:fldChar w:fldCharType="end"/>
      </w:r>
      <w:r>
        <w:tab/>
        <w:instrText xml:space="preserve">" \l 1 </w:instrText>
      </w:r>
      <w:r>
        <w:fldChar w:fldCharType="end"/>
      </w:r>
      <w:r>
        <w:t> </w:t>
      </w:r>
    </w:p>
    <w:p w:rsidR="004B203F" w:rsidRDefault="004B203F">
      <w:pPr>
        <w:pStyle w:val="BodyText"/>
      </w:pPr>
      <w:r>
        <w:t> Should this docket be closed?</w:t>
      </w:r>
    </w:p>
    <w:p w:rsidR="004B203F" w:rsidRPr="004C3641" w:rsidRDefault="004B203F">
      <w:pPr>
        <w:pStyle w:val="IssueSubsectionHeading"/>
        <w:rPr>
          <w:vanish/>
          <w:specVanish/>
        </w:rPr>
      </w:pPr>
      <w:r w:rsidRPr="004C3641">
        <w:t>Recommendation: </w:t>
      </w:r>
    </w:p>
    <w:p w:rsidR="004B203F" w:rsidRDefault="004B203F">
      <w:pPr>
        <w:pStyle w:val="BodyText"/>
      </w:pPr>
      <w:r>
        <w:t> </w:t>
      </w:r>
      <w:r w:rsidR="00B74C33">
        <w:t>Yes. If no requests for hearing or comments are filed, the rule should be filed with the Department of State, and the docket should be closed.</w:t>
      </w:r>
      <w:r>
        <w:t xml:space="preserve"> </w:t>
      </w:r>
      <w:r w:rsidR="00B74C33">
        <w:t>(King)</w:t>
      </w:r>
    </w:p>
    <w:p w:rsidR="004B203F" w:rsidRPr="004C3641" w:rsidRDefault="004B203F">
      <w:pPr>
        <w:pStyle w:val="IssueSubsectionHeading"/>
        <w:rPr>
          <w:vanish/>
          <w:specVanish/>
        </w:rPr>
      </w:pPr>
      <w:r w:rsidRPr="004C3641">
        <w:t>Staff Analysis: </w:t>
      </w:r>
    </w:p>
    <w:p w:rsidR="004B203F" w:rsidRDefault="004B203F">
      <w:pPr>
        <w:pStyle w:val="BodyText"/>
      </w:pPr>
      <w:r>
        <w:t> </w:t>
      </w:r>
      <w:r w:rsidR="00B74C33">
        <w:t>If no requests for hearing or comments are filed, the rule should be filed with the Department of State, and the docket should be closed.</w:t>
      </w:r>
    </w:p>
    <w:p w:rsidR="00E06484" w:rsidRDefault="00E06484" w:rsidP="00E275D8">
      <w:pPr>
        <w:pStyle w:val="BodyText"/>
      </w:pPr>
    </w:p>
    <w:p w:rsidR="00187020" w:rsidRDefault="00187020" w:rsidP="00187020">
      <w:pPr>
        <w:pStyle w:val="BodyText"/>
        <w:sectPr w:rsidR="00187020" w:rsidSect="0068481F">
          <w:headerReference w:type="default" r:id="rId12"/>
          <w:headerReference w:type="first" r:id="rId13"/>
          <w:footerReference w:type="first" r:id="rId14"/>
          <w:pgSz w:w="12240" w:h="15840" w:code="1"/>
          <w:pgMar w:top="1584" w:right="1440" w:bottom="1440" w:left="1440" w:header="720" w:footer="720" w:gutter="0"/>
          <w:cols w:space="720"/>
          <w:formProt w:val="0"/>
          <w:docGrid w:linePitch="360"/>
        </w:sectPr>
      </w:pPr>
    </w:p>
    <w:p w:rsidR="00187020" w:rsidRPr="00C166CC" w:rsidRDefault="00187020" w:rsidP="00C166CC">
      <w:pPr>
        <w:pStyle w:val="Rule"/>
        <w:tabs>
          <w:tab w:val="clear" w:pos="720"/>
          <w:tab w:val="left" w:pos="360"/>
        </w:tabs>
        <w:rPr>
          <w:b/>
          <w:u w:val="single"/>
        </w:rPr>
      </w:pPr>
      <w:r w:rsidRPr="00C166CC">
        <w:lastRenderedPageBreak/>
        <w:tab/>
      </w:r>
      <w:r w:rsidRPr="00C166CC">
        <w:rPr>
          <w:b/>
          <w:u w:val="single"/>
        </w:rPr>
        <w:t>25-30.0115 Definition of Landlord and Tenant</w:t>
      </w:r>
    </w:p>
    <w:p w:rsidR="00187020" w:rsidRPr="00B373D1" w:rsidRDefault="00187020" w:rsidP="00C166CC">
      <w:pPr>
        <w:pStyle w:val="Rule"/>
        <w:tabs>
          <w:tab w:val="clear" w:pos="720"/>
          <w:tab w:val="left" w:pos="360"/>
        </w:tabs>
        <w:rPr>
          <w:u w:val="single"/>
        </w:rPr>
      </w:pPr>
      <w:r w:rsidRPr="00B373D1">
        <w:rPr>
          <w:u w:val="single"/>
        </w:rPr>
        <w:t>As used in Section 367.022(5), F.S.:</w:t>
      </w:r>
    </w:p>
    <w:p w:rsidR="00187020" w:rsidRPr="00B373D1" w:rsidRDefault="00187020" w:rsidP="00C166CC">
      <w:pPr>
        <w:pStyle w:val="Rule"/>
        <w:tabs>
          <w:tab w:val="clear" w:pos="720"/>
          <w:tab w:val="left" w:pos="360"/>
        </w:tabs>
        <w:rPr>
          <w:u w:val="single"/>
        </w:rPr>
      </w:pPr>
      <w:r w:rsidRPr="00B373D1">
        <w:tab/>
      </w:r>
      <w:r w:rsidRPr="00B373D1">
        <w:rPr>
          <w:u w:val="single"/>
        </w:rPr>
        <w:t xml:space="preserve">(1) “landlord” is the party who conveys a possessory interest in real property to a tenant </w:t>
      </w:r>
      <w:r>
        <w:rPr>
          <w:u w:val="single"/>
        </w:rPr>
        <w:t xml:space="preserve">by way of </w:t>
      </w:r>
      <w:r w:rsidR="00064BDF">
        <w:rPr>
          <w:u w:val="single"/>
        </w:rPr>
        <w:t>a lease</w:t>
      </w:r>
      <w:r>
        <w:rPr>
          <w:u w:val="single"/>
        </w:rPr>
        <w:t xml:space="preserve"> </w:t>
      </w:r>
      <w:r w:rsidRPr="00B373D1">
        <w:rPr>
          <w:u w:val="single"/>
        </w:rPr>
        <w:t>and who provides water and/or wastewater service to the tenant at that property; and</w:t>
      </w:r>
    </w:p>
    <w:p w:rsidR="00187020" w:rsidRPr="00C166CC" w:rsidRDefault="00187020" w:rsidP="00C166CC">
      <w:pPr>
        <w:pStyle w:val="Rule"/>
        <w:tabs>
          <w:tab w:val="clear" w:pos="720"/>
          <w:tab w:val="left" w:pos="360"/>
        </w:tabs>
      </w:pPr>
      <w:r w:rsidRPr="00B373D1">
        <w:tab/>
      </w:r>
      <w:r w:rsidRPr="00B373D1">
        <w:rPr>
          <w:u w:val="single"/>
        </w:rPr>
        <w:t>(2) “</w:t>
      </w:r>
      <w:proofErr w:type="gramStart"/>
      <w:r w:rsidRPr="00B373D1">
        <w:rPr>
          <w:u w:val="single"/>
        </w:rPr>
        <w:t>tenant</w:t>
      </w:r>
      <w:proofErr w:type="gramEnd"/>
      <w:r w:rsidRPr="00B373D1">
        <w:rPr>
          <w:u w:val="single"/>
        </w:rPr>
        <w:t xml:space="preserve">” is the party to whom the possessory interest in real property is conveyed by the landlord </w:t>
      </w:r>
      <w:r w:rsidR="00A73D11">
        <w:rPr>
          <w:u w:val="single"/>
        </w:rPr>
        <w:t xml:space="preserve">by way of a lease </w:t>
      </w:r>
      <w:r w:rsidRPr="00B373D1">
        <w:rPr>
          <w:u w:val="single"/>
        </w:rPr>
        <w:t>and who receives water and/or wastewater service from the landlord at that property.</w:t>
      </w:r>
    </w:p>
    <w:p w:rsidR="00187020" w:rsidRPr="00601F50" w:rsidRDefault="00187020" w:rsidP="00C166CC">
      <w:pPr>
        <w:pStyle w:val="Rule"/>
        <w:tabs>
          <w:tab w:val="clear" w:pos="720"/>
          <w:tab w:val="left" w:pos="360"/>
        </w:tabs>
        <w:rPr>
          <w:i/>
          <w:u w:val="single"/>
        </w:rPr>
      </w:pPr>
      <w:r>
        <w:rPr>
          <w:i/>
          <w:u w:val="single"/>
        </w:rPr>
        <w:t>Rulemaking Authority 350.127(2), 367.121(1</w:t>
      </w:r>
      <w:proofErr w:type="gramStart"/>
      <w:r>
        <w:rPr>
          <w:i/>
          <w:u w:val="single"/>
        </w:rPr>
        <w:t>)(</w:t>
      </w:r>
      <w:proofErr w:type="gramEnd"/>
      <w:r>
        <w:rPr>
          <w:i/>
          <w:u w:val="single"/>
        </w:rPr>
        <w:t xml:space="preserve">f) FS. Law Implemented 367.022(5) FS. </w:t>
      </w:r>
      <w:proofErr w:type="gramStart"/>
      <w:r>
        <w:rPr>
          <w:i/>
          <w:u w:val="single"/>
        </w:rPr>
        <w:t>History-New ______.</w:t>
      </w:r>
      <w:proofErr w:type="gramEnd"/>
    </w:p>
    <w:p w:rsidR="00187020" w:rsidRDefault="00187020" w:rsidP="00187020">
      <w:pPr>
        <w:pStyle w:val="BodyText"/>
        <w:sectPr w:rsidR="00187020" w:rsidSect="00AF1FEC">
          <w:headerReference w:type="even" r:id="rId15"/>
          <w:headerReference w:type="default" r:id="rId16"/>
          <w:footerReference w:type="even" r:id="rId17"/>
          <w:footerReference w:type="default" r:id="rId18"/>
          <w:headerReference w:type="first" r:id="rId19"/>
          <w:footerReference w:type="first" r:id="rId20"/>
          <w:pgSz w:w="12240" w:h="15840" w:code="1"/>
          <w:pgMar w:top="360" w:right="720" w:bottom="360" w:left="2405" w:header="360" w:footer="360" w:gutter="0"/>
          <w:cols w:space="720"/>
          <w:formProt w:val="0"/>
          <w:docGrid w:linePitch="360"/>
        </w:sectPr>
      </w:pPr>
    </w:p>
    <w:p w:rsidR="00187020" w:rsidRDefault="00187020" w:rsidP="00187020">
      <w:pPr>
        <w:pStyle w:val="BodyText"/>
      </w:pPr>
      <w:r>
        <w:rPr>
          <w:noProof/>
        </w:rPr>
        <w:lastRenderedPageBreak/>
        <w:drawing>
          <wp:inline distT="0" distB="0" distL="0" distR="0">
            <wp:extent cx="5943600" cy="7693025"/>
            <wp:effectExtent l="0" t="0" r="0" b="3175"/>
            <wp:docPr id="14" name="Picture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7693025"/>
                    </a:xfrm>
                    <a:prstGeom prst="rect">
                      <a:avLst/>
                    </a:prstGeom>
                  </pic:spPr>
                </pic:pic>
              </a:graphicData>
            </a:graphic>
          </wp:inline>
        </w:drawing>
      </w:r>
    </w:p>
    <w:p w:rsidR="00187020" w:rsidRDefault="00187020" w:rsidP="00187020">
      <w:r>
        <w:br w:type="page"/>
      </w:r>
    </w:p>
    <w:p w:rsidR="00187020" w:rsidRDefault="00187020" w:rsidP="00187020">
      <w:pPr>
        <w:pStyle w:val="BodyText"/>
      </w:pPr>
      <w:r>
        <w:rPr>
          <w:noProof/>
        </w:rPr>
        <w:lastRenderedPageBreak/>
        <w:drawing>
          <wp:inline distT="0" distB="0" distL="0" distR="0">
            <wp:extent cx="5943600" cy="7675245"/>
            <wp:effectExtent l="0" t="0" r="0" b="1905"/>
            <wp:docPr id="15" name="Picture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7675245"/>
                    </a:xfrm>
                    <a:prstGeom prst="rect">
                      <a:avLst/>
                    </a:prstGeom>
                  </pic:spPr>
                </pic:pic>
              </a:graphicData>
            </a:graphic>
          </wp:inline>
        </w:drawing>
      </w:r>
    </w:p>
    <w:p w:rsidR="00187020" w:rsidRDefault="00187020" w:rsidP="00187020">
      <w:r>
        <w:br w:type="page"/>
      </w:r>
    </w:p>
    <w:p w:rsidR="00187020" w:rsidRDefault="00187020" w:rsidP="00187020">
      <w:pPr>
        <w:pStyle w:val="BodyText"/>
      </w:pPr>
      <w:r>
        <w:rPr>
          <w:noProof/>
        </w:rPr>
        <w:lastRenderedPageBreak/>
        <w:drawing>
          <wp:inline distT="0" distB="0" distL="0" distR="0">
            <wp:extent cx="5943600" cy="7675245"/>
            <wp:effectExtent l="0" t="0" r="0" b="1905"/>
            <wp:docPr id="16" name="Pictur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7675245"/>
                    </a:xfrm>
                    <a:prstGeom prst="rect">
                      <a:avLst/>
                    </a:prstGeom>
                  </pic:spPr>
                </pic:pic>
              </a:graphicData>
            </a:graphic>
          </wp:inline>
        </w:drawing>
      </w:r>
    </w:p>
    <w:p w:rsidR="00187020" w:rsidRDefault="00187020" w:rsidP="00187020">
      <w:r>
        <w:br w:type="page"/>
      </w:r>
    </w:p>
    <w:p w:rsidR="00187020" w:rsidRDefault="00187020" w:rsidP="00187020">
      <w:pPr>
        <w:pStyle w:val="BodyText"/>
      </w:pPr>
      <w:r>
        <w:rPr>
          <w:noProof/>
        </w:rPr>
        <w:lastRenderedPageBreak/>
        <w:drawing>
          <wp:inline distT="0" distB="0" distL="0" distR="0">
            <wp:extent cx="5943600" cy="7687945"/>
            <wp:effectExtent l="0" t="0" r="0" b="8255"/>
            <wp:docPr id="17" name="Picture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7687945"/>
                    </a:xfrm>
                    <a:prstGeom prst="rect">
                      <a:avLst/>
                    </a:prstGeom>
                  </pic:spPr>
                </pic:pic>
              </a:graphicData>
            </a:graphic>
          </wp:inline>
        </w:drawing>
      </w:r>
    </w:p>
    <w:p w:rsidR="00187020" w:rsidRDefault="00187020" w:rsidP="00187020">
      <w:r>
        <w:br w:type="page"/>
      </w:r>
    </w:p>
    <w:p w:rsidR="00187020" w:rsidRDefault="00187020" w:rsidP="00187020">
      <w:pPr>
        <w:pStyle w:val="BodyText"/>
      </w:pPr>
      <w:r>
        <w:rPr>
          <w:noProof/>
        </w:rPr>
        <w:lastRenderedPageBreak/>
        <w:drawing>
          <wp:inline distT="0" distB="0" distL="0" distR="0">
            <wp:extent cx="5943600" cy="7679055"/>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7679055"/>
                    </a:xfrm>
                    <a:prstGeom prst="rect">
                      <a:avLst/>
                    </a:prstGeom>
                  </pic:spPr>
                </pic:pic>
              </a:graphicData>
            </a:graphic>
          </wp:inline>
        </w:drawing>
      </w:r>
    </w:p>
    <w:sectPr w:rsidR="00187020" w:rsidSect="00187020">
      <w:headerReference w:type="default" r:id="rId26"/>
      <w:footerReference w:type="default" r:id="rId27"/>
      <w:pgSz w:w="12240" w:h="15840" w:code="1"/>
      <w:pgMar w:top="1440" w:right="1440" w:bottom="1440" w:left="1440" w:header="360" w:footer="36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203F" w:rsidRDefault="004B203F">
      <w:r>
        <w:separator/>
      </w:r>
    </w:p>
  </w:endnote>
  <w:endnote w:type="continuationSeparator" w:id="0">
    <w:p w:rsidR="004B203F" w:rsidRDefault="004B20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4F304B">
      <w:rPr>
        <w:rStyle w:val="PageNumber"/>
        <w:noProof/>
      </w:rPr>
      <w:t>2</w:t>
    </w:r>
    <w:r>
      <w:rPr>
        <w:rStyle w:val="PageNumber"/>
      </w:rPr>
      <w:fldChar w:fldCharType="end"/>
    </w: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7F54F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AD53F9">
    <w:pPr>
      <w:pStyle w:val="Footer"/>
    </w:pPr>
    <w:r>
      <w:t xml:space="preserve">CODING: Words </w:t>
    </w:r>
    <w:r>
      <w:rPr>
        <w:u w:val="single"/>
      </w:rPr>
      <w:t>underlined</w:t>
    </w:r>
    <w:r>
      <w:t xml:space="preserve"> are additions; words in </w:t>
    </w:r>
    <w:r>
      <w:rPr>
        <w:strike/>
      </w:rPr>
      <w:t>struck through</w:t>
    </w:r>
    <w:r>
      <w:t xml:space="preserve"> type are deletions from existing law.</w:t>
    </w:r>
  </w:p>
  <w:p w:rsidR="00FF1497" w:rsidRDefault="00AD53F9">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4F304B">
      <w:rPr>
        <w:rStyle w:val="PageNumber"/>
        <w:noProof/>
      </w:rPr>
      <w:t>11</w:t>
    </w:r>
    <w:r>
      <w:rPr>
        <w:rStyle w:val="PageNumber"/>
      </w:rPr>
      <w:fldChar w:fldCharType="end"/>
    </w:r>
    <w:r>
      <w:rPr>
        <w:rStyle w:val="PageNumber"/>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AD53F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FF1497" w:rsidRDefault="00AD53F9">
    <w:pPr>
      <w:pStyle w:val="Footer"/>
    </w:pPr>
    <w:r>
      <w:t xml:space="preserve">CODING: Words </w:t>
    </w:r>
    <w:r>
      <w:rPr>
        <w:u w:val="single"/>
      </w:rPr>
      <w:t>underlined</w:t>
    </w:r>
    <w:r>
      <w:t xml:space="preserve"> are additions; words in struck through type are deletions from existing law.</w:t>
    </w:r>
  </w:p>
  <w:p w:rsidR="00FF1497" w:rsidRDefault="00AD53F9">
    <w:pPr>
      <w:pStyle w:val="Footer"/>
    </w:pPr>
    <w: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020" w:rsidRDefault="00187020">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4F304B">
      <w:rPr>
        <w:rStyle w:val="PageNumber"/>
        <w:noProof/>
      </w:rPr>
      <w:t>16</w:t>
    </w:r>
    <w:r>
      <w:rPr>
        <w:rStyle w:val="PageNumber"/>
      </w:rPr>
      <w:fldChar w:fldCharType="end"/>
    </w:r>
    <w:r>
      <w:rPr>
        <w:rStyle w:val="PageNumbe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203F" w:rsidRDefault="004B203F">
      <w:r>
        <w:separator/>
      </w:r>
    </w:p>
  </w:footnote>
  <w:footnote w:type="continuationSeparator" w:id="0">
    <w:p w:rsidR="004B203F" w:rsidRDefault="004B203F">
      <w:r>
        <w:continuationSeparator/>
      </w:r>
    </w:p>
  </w:footnote>
  <w:footnote w:id="1">
    <w:p w:rsidR="001E28A0" w:rsidRPr="001E28A0" w:rsidRDefault="001E28A0">
      <w:pPr>
        <w:pStyle w:val="FootnoteText"/>
      </w:pPr>
      <w:r>
        <w:rPr>
          <w:rStyle w:val="FootnoteReference"/>
        </w:rPr>
        <w:footnoteRef/>
      </w:r>
      <w:r>
        <w:t xml:space="preserve"> Document No. 07686-2018, filed in Docket No. 20180142, </w:t>
      </w:r>
      <w:r>
        <w:rPr>
          <w:i/>
        </w:rPr>
        <w:t>Initiation of show cause proceedings against Pal</w:t>
      </w:r>
      <w:r w:rsidR="00792FB5">
        <w:rPr>
          <w:i/>
        </w:rPr>
        <w:t>m</w:t>
      </w:r>
      <w:r>
        <w:rPr>
          <w:i/>
        </w:rPr>
        <w:t xml:space="preserve"> Tree Acres Mobile Home Park, in Pasco County, for Noncompliance with Section 367.031, F.S., and Rule 25-30.033, F.A.C.</w:t>
      </w:r>
    </w:p>
  </w:footnote>
  <w:footnote w:id="2">
    <w:p w:rsidR="00776732" w:rsidRPr="00991C9B" w:rsidRDefault="00776732" w:rsidP="00776732">
      <w:pPr>
        <w:pStyle w:val="FootnoteText"/>
      </w:pPr>
      <w:r>
        <w:rPr>
          <w:rStyle w:val="FootnoteReference"/>
        </w:rPr>
        <w:footnoteRef/>
      </w:r>
      <w:r>
        <w:t xml:space="preserve"> </w:t>
      </w:r>
      <w:r w:rsidR="00982F90">
        <w:rPr>
          <w:i/>
        </w:rPr>
        <w:t>E.g.</w:t>
      </w:r>
      <w:r w:rsidR="00982F90">
        <w:t xml:space="preserve">, </w:t>
      </w:r>
      <w:r>
        <w:t xml:space="preserve">Order 24806, issued July 11, 1991, in Docket 19910385-SU, </w:t>
      </w:r>
      <w:r>
        <w:rPr>
          <w:i/>
        </w:rPr>
        <w:t>In re: Request for exemption from Florida Public Service Commission regulation for a wastewater treatment plant in High</w:t>
      </w:r>
      <w:r w:rsidR="00605B3D">
        <w:rPr>
          <w:i/>
        </w:rPr>
        <w:t>lands County by Oak Leafe Waste</w:t>
      </w:r>
      <w:r>
        <w:rPr>
          <w:i/>
        </w:rPr>
        <w:t>water Treatment Plant</w:t>
      </w:r>
      <w:r>
        <w:t xml:space="preserve"> (noting “some of Oak Leafe’s residents will own their lots,” citing the definition for “tenant” in Section 83.43(4), F.S., and declaring that Oak Leafe will not provide service solely to tenants);</w:t>
      </w:r>
      <w:r w:rsidR="0018114D">
        <w:t xml:space="preserve"> Order 21711, issued August 10, 1989, in Docket No. 19890514-WS, </w:t>
      </w:r>
      <w:r w:rsidR="0018114D">
        <w:rPr>
          <w:i/>
        </w:rPr>
        <w:t xml:space="preserve">In Re: Request by Rubidel Recreation, Inc. for Exemption from FPSC Regulation for Water and Sewage Treatment Facilities in Lake </w:t>
      </w:r>
      <w:r w:rsidR="00644F45">
        <w:rPr>
          <w:i/>
        </w:rPr>
        <w:t>County</w:t>
      </w:r>
      <w:r w:rsidR="00644F45">
        <w:t xml:space="preserve"> (“Because there will be property owners in the [utility’s] service area . . . , . . . the utility does not meet the requirements of [the exemption in Section 367.022(5), F.S.].”)</w:t>
      </w:r>
      <w:r w:rsidR="0018114D">
        <w:t>;</w:t>
      </w:r>
      <w:r>
        <w:t xml:space="preserve"> </w:t>
      </w:r>
      <w:r>
        <w:rPr>
          <w:i/>
        </w:rPr>
        <w:t>see</w:t>
      </w:r>
      <w:r w:rsidR="00982F90">
        <w:rPr>
          <w:i/>
        </w:rPr>
        <w:t>, e.g.</w:t>
      </w:r>
      <w:r w:rsidR="00982F90">
        <w:t>,</w:t>
      </w:r>
      <w:r>
        <w:t xml:space="preserve"> </w:t>
      </w:r>
      <w:r w:rsidR="00644F45">
        <w:t xml:space="preserve">Order 24311, issued April 2, 1991, in Docket No. 1990733-WS, </w:t>
      </w:r>
      <w:r w:rsidR="00644F45">
        <w:rPr>
          <w:i/>
        </w:rPr>
        <w:t>In Re: Request for Exemption from Florida Public Service Commission Regulation for Water and Wastewater Systems in Lake County by Stewart/Barth Utility</w:t>
      </w:r>
      <w:r w:rsidR="00644F45">
        <w:t xml:space="preserve"> (holding that the utility was not a landlord for the tenants of condominiums not owned by the utility)</w:t>
      </w:r>
      <w:r w:rsidR="00644F45" w:rsidRPr="00644F45">
        <w:t xml:space="preserve">; </w:t>
      </w:r>
      <w:r>
        <w:t xml:space="preserve">Order 23150, issued July 5, 1990, in Docket No. 19870060-WS, </w:t>
      </w:r>
      <w:r>
        <w:rPr>
          <w:i/>
        </w:rPr>
        <w:t>In re: Resolution by Board of Sumter County Commissioners declaring Sumter County subject to jurisdiction of Florida Public Service Commission</w:t>
      </w:r>
      <w:r>
        <w:t xml:space="preserve"> (deciding that </w:t>
      </w:r>
      <w:r w:rsidR="0054016F">
        <w:t xml:space="preserve">a </w:t>
      </w:r>
      <w:r>
        <w:t xml:space="preserve">mobile home park owner qualified as a landlord </w:t>
      </w:r>
      <w:r w:rsidR="0054016F">
        <w:t>where</w:t>
      </w:r>
      <w:r>
        <w:t xml:space="preserve"> several of its resident</w:t>
      </w:r>
      <w:r w:rsidR="0054016F">
        <w:t>s possessed their lots under 99-</w:t>
      </w:r>
      <w:r>
        <w:t>year leases).</w:t>
      </w:r>
    </w:p>
  </w:footnote>
  <w:footnote w:id="3">
    <w:p w:rsidR="00776732" w:rsidRPr="00776732" w:rsidRDefault="00776732" w:rsidP="00776732">
      <w:pPr>
        <w:pStyle w:val="FootnoteText"/>
      </w:pPr>
      <w:r>
        <w:rPr>
          <w:rStyle w:val="FootnoteReference"/>
        </w:rPr>
        <w:footnoteRef/>
      </w:r>
      <w:r>
        <w:t xml:space="preserve"> Issued August 4, 1992, in Docket No. 19920281-WU, </w:t>
      </w:r>
      <w:r>
        <w:rPr>
          <w:i/>
        </w:rPr>
        <w:t>In re: Request for exemption from Florida Public Service Commission regulation for provision of water service by Gem Estates Water System in Pasco County</w:t>
      </w:r>
      <w:r>
        <w:t>.</w:t>
      </w:r>
    </w:p>
  </w:footnote>
  <w:footnote w:id="4">
    <w:p w:rsidR="00C87F0A" w:rsidRDefault="00C87F0A">
      <w:pPr>
        <w:pStyle w:val="FootnoteText"/>
      </w:pPr>
      <w:r>
        <w:rPr>
          <w:rStyle w:val="FootnoteReference"/>
        </w:rPr>
        <w:footnoteRef/>
      </w:r>
      <w:r>
        <w:t xml:space="preserve"> As previously discussed, the word “agreement” </w:t>
      </w:r>
      <w:r w:rsidR="00A73D11">
        <w:t>was</w:t>
      </w:r>
      <w:r>
        <w:t xml:space="preserve"> used in earlier drafts of the rule</w:t>
      </w:r>
      <w:r w:rsidR="00A73D11">
        <w:t>, but staff is recommending</w:t>
      </w:r>
      <w:r w:rsidR="007D21DB">
        <w:t xml:space="preserve"> that the proposed rule use “lease” instead of “agreement” because the former is more precise.</w:t>
      </w:r>
    </w:p>
  </w:footnote>
  <w:footnote w:id="5">
    <w:p w:rsidR="007D21DB" w:rsidRDefault="007D21DB">
      <w:pPr>
        <w:pStyle w:val="FootnoteText"/>
      </w:pPr>
      <w:r>
        <w:rPr>
          <w:rStyle w:val="FootnoteReference"/>
        </w:rPr>
        <w:footnoteRef/>
      </w:r>
      <w:r>
        <w:t xml:space="preserve"> </w:t>
      </w:r>
      <w:r w:rsidR="00185934">
        <w:t>As previously discussed, the word “agreement” was used in earlier drafts of the rule, but staff is recommending that the proposed rule use “lease” instead of “agreement” because the former is more precise</w:t>
      </w:r>
      <w:r>
        <w:t>.</w:t>
      </w:r>
    </w:p>
  </w:footnote>
  <w:footnote w:id="6">
    <w:p w:rsidR="009C6FEE" w:rsidRDefault="009C6FEE" w:rsidP="009C6FEE">
      <w:pPr>
        <w:pStyle w:val="FootnoteText"/>
      </w:pPr>
      <w:r>
        <w:rPr>
          <w:rStyle w:val="FootnoteReference"/>
        </w:rPr>
        <w:footnoteRef/>
      </w:r>
      <w:r>
        <w:t xml:space="preserve"> Florida’s Statute of Frauds, which can be found in Section 725.01, F.S., limits an oral lease of real property to a length of one year or less.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4B203F" w:rsidP="00220732">
    <w:pPr>
      <w:pStyle w:val="Header"/>
      <w:tabs>
        <w:tab w:val="clear" w:pos="4320"/>
        <w:tab w:val="clear" w:pos="8640"/>
        <w:tab w:val="right" w:pos="9360"/>
      </w:tabs>
    </w:pPr>
    <w:bookmarkStart w:id="13" w:name="DocketLabel"/>
    <w:r>
      <w:t>Docket No.</w:t>
    </w:r>
    <w:bookmarkEnd w:id="13"/>
    <w:r w:rsidR="00BC402E">
      <w:t xml:space="preserve"> </w:t>
    </w:r>
    <w:bookmarkStart w:id="14" w:name="DocketList"/>
    <w:r>
      <w:t>20190041-WS</w:t>
    </w:r>
    <w:bookmarkEnd w:id="14"/>
  </w:p>
  <w:p w:rsidR="00BC402E" w:rsidRDefault="00BC402E">
    <w:pPr>
      <w:pStyle w:val="Header"/>
    </w:pPr>
    <w:r>
      <w:t xml:space="preserve">Date: </w:t>
    </w:r>
    <w:fldSimple w:instr=" REF FilingDate ">
      <w:r w:rsidR="000E7D9E">
        <w:t>August 27, 2019</w:t>
      </w:r>
    </w:fldSimple>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0E7D9E">
      <w:t>Docket No.</w:t>
    </w:r>
    <w:r>
      <w:fldChar w:fldCharType="end"/>
    </w:r>
    <w:r>
      <w:t xml:space="preserve"> </w:t>
    </w:r>
    <w:r>
      <w:fldChar w:fldCharType="begin"/>
    </w:r>
    <w:r>
      <w:instrText xml:space="preserve"> REF DocketList</w:instrText>
    </w:r>
    <w:r>
      <w:fldChar w:fldCharType="separate"/>
    </w:r>
    <w:r w:rsidR="000E7D9E">
      <w:t>20190041-WS</w:t>
    </w:r>
    <w:r>
      <w:fldChar w:fldCharType="end"/>
    </w:r>
    <w:r>
      <w:tab/>
      <w:t xml:space="preserve">Issue </w:t>
    </w:r>
    <w:fldSimple w:instr=" Seq Issue \c \* Arabic ">
      <w:r w:rsidR="004F304B">
        <w:rPr>
          <w:noProof/>
        </w:rPr>
        <w:t>1</w:t>
      </w:r>
    </w:fldSimple>
  </w:p>
  <w:p w:rsidR="00BC402E" w:rsidRDefault="00BC402E">
    <w:pPr>
      <w:pStyle w:val="Header"/>
    </w:pPr>
    <w:r>
      <w:t xml:space="preserve">Date: </w:t>
    </w:r>
    <w:fldSimple w:instr=" REF FilingDate ">
      <w:r w:rsidR="000E7D9E">
        <w:t>August 27, 2019</w:t>
      </w:r>
    </w:fldSimple>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7F54F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020" w:rsidRDefault="00187020" w:rsidP="00187020">
    <w:pPr>
      <w:pStyle w:val="Header"/>
      <w:tabs>
        <w:tab w:val="clear" w:pos="4320"/>
        <w:tab w:val="clear" w:pos="8640"/>
        <w:tab w:val="right" w:pos="9360"/>
      </w:tabs>
    </w:pPr>
    <w:r>
      <w:fldChar w:fldCharType="begin"/>
    </w:r>
    <w:r>
      <w:instrText xml:space="preserve"> REF DocketLabel</w:instrText>
    </w:r>
    <w:r>
      <w:fldChar w:fldCharType="separate"/>
    </w:r>
    <w:r w:rsidR="000E7D9E">
      <w:t>Docket No.</w:t>
    </w:r>
    <w:r>
      <w:fldChar w:fldCharType="end"/>
    </w:r>
    <w:r>
      <w:t xml:space="preserve"> </w:t>
    </w:r>
    <w:r>
      <w:fldChar w:fldCharType="begin"/>
    </w:r>
    <w:r>
      <w:instrText xml:space="preserve"> REF DocketList</w:instrText>
    </w:r>
    <w:r>
      <w:fldChar w:fldCharType="separate"/>
    </w:r>
    <w:r w:rsidR="000E7D9E">
      <w:t>20190041-WS</w:t>
    </w:r>
    <w:r>
      <w:fldChar w:fldCharType="end"/>
    </w:r>
    <w:r>
      <w:tab/>
      <w:t>ATTACHMENT A</w:t>
    </w:r>
  </w:p>
  <w:p w:rsidR="00187020" w:rsidRDefault="00187020" w:rsidP="00187020">
    <w:pPr>
      <w:pStyle w:val="Header"/>
    </w:pPr>
    <w:r>
      <w:t xml:space="preserve">Date: </w:t>
    </w:r>
    <w:fldSimple w:instr=" REF FilingDate ">
      <w:r w:rsidR="000E7D9E">
        <w:t>August 27, 2019</w:t>
      </w:r>
    </w:fldSimple>
  </w:p>
  <w:p w:rsidR="00FF1497" w:rsidRDefault="00AD53F9">
    <w:pPr>
      <w:tabs>
        <w:tab w:val="left" w:pos="3770"/>
      </w:tabs>
      <w:rPr>
        <w:b/>
      </w:rPr>
    </w:pPr>
    <w:r>
      <w:rPr>
        <w:b/>
        <w:noProof/>
      </w:rPr>
      <mc:AlternateContent>
        <mc:Choice Requires="wps">
          <w:drawing>
            <wp:anchor distT="0" distB="0" distL="114300" distR="114300" simplePos="0" relativeHeight="251659264" behindDoc="0" locked="0" layoutInCell="1" allowOverlap="1" wp14:anchorId="213114BC" wp14:editId="72F52AE3">
              <wp:simplePos x="0" y="0"/>
              <wp:positionH relativeFrom="page">
                <wp:posOffset>1463040</wp:posOffset>
              </wp:positionH>
              <wp:positionV relativeFrom="page">
                <wp:posOffset>914400</wp:posOffset>
              </wp:positionV>
              <wp:extent cx="0" cy="8321040"/>
              <wp:effectExtent l="5715" t="9525" r="13335" b="13335"/>
              <wp:wrapNone/>
              <wp:docPr id="8"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5.2pt,1in" to="11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f/GAIAAC0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">
              <w10:wrap anchorx="page" anchory="page"/>
            </v:line>
          </w:pict>
        </mc:Fallback>
      </mc:AlternateContent>
    </w:r>
    <w:r>
      <w:rPr>
        <w:b/>
        <w:noProof/>
      </w:rPr>
      <mc:AlternateContent>
        <mc:Choice Requires="wps">
          <w:drawing>
            <wp:anchor distT="0" distB="0" distL="114300" distR="114300" simplePos="0" relativeHeight="251662336" behindDoc="0" locked="0" layoutInCell="1" allowOverlap="1" wp14:anchorId="427B4851" wp14:editId="0E921D07">
              <wp:simplePos x="0" y="0"/>
              <wp:positionH relativeFrom="page">
                <wp:posOffset>887095</wp:posOffset>
              </wp:positionH>
              <wp:positionV relativeFrom="margin">
                <wp:posOffset>0</wp:posOffset>
              </wp:positionV>
              <wp:extent cx="457200" cy="8686800"/>
              <wp:effectExtent l="1270" t="0" r="0" b="0"/>
              <wp:wrapNone/>
              <wp:docPr id="7"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497" w:rsidRDefault="00AD53F9">
                          <w:pPr>
                            <w:pStyle w:val="RuleHeader"/>
                            <w:rPr>
                              <w:rStyle w:val="RuleChar"/>
                            </w:rPr>
                          </w:pPr>
                          <w:r>
                            <w:t>1</w:t>
                          </w:r>
                        </w:p>
                        <w:p w:rsidR="00FF1497" w:rsidRDefault="00AD53F9">
                          <w:pPr>
                            <w:pStyle w:val="RuleHeader"/>
                          </w:pPr>
                          <w:r>
                            <w:t>2</w:t>
                          </w:r>
                        </w:p>
                        <w:p w:rsidR="00FF1497" w:rsidRDefault="00AD53F9">
                          <w:pPr>
                            <w:pStyle w:val="RuleHeader"/>
                          </w:pPr>
                          <w:r>
                            <w:t>3</w:t>
                          </w:r>
                        </w:p>
                        <w:p w:rsidR="00FF1497" w:rsidRDefault="00AD53F9">
                          <w:pPr>
                            <w:pStyle w:val="RuleHeader"/>
                          </w:pPr>
                          <w:r>
                            <w:t>4</w:t>
                          </w:r>
                        </w:p>
                        <w:p w:rsidR="00FF1497" w:rsidRDefault="00AD53F9">
                          <w:pPr>
                            <w:pStyle w:val="RuleHeader"/>
                          </w:pPr>
                          <w:r>
                            <w:t>5</w:t>
                          </w:r>
                        </w:p>
                        <w:p w:rsidR="00FF1497" w:rsidRDefault="00AD53F9">
                          <w:pPr>
                            <w:pStyle w:val="RuleHeader"/>
                          </w:pPr>
                          <w:r>
                            <w:t>6</w:t>
                          </w:r>
                        </w:p>
                        <w:p w:rsidR="00FF1497" w:rsidRDefault="00AD53F9">
                          <w:pPr>
                            <w:pStyle w:val="RuleHeader"/>
                          </w:pPr>
                          <w:r>
                            <w:t>7</w:t>
                          </w:r>
                        </w:p>
                        <w:p w:rsidR="00FF1497" w:rsidRDefault="00AD53F9">
                          <w:pPr>
                            <w:pStyle w:val="RuleHeader"/>
                          </w:pPr>
                          <w:r>
                            <w:t>8</w:t>
                          </w:r>
                        </w:p>
                        <w:p w:rsidR="00FF1497" w:rsidRDefault="00AD53F9">
                          <w:pPr>
                            <w:pStyle w:val="RuleHeader"/>
                          </w:pPr>
                          <w:r>
                            <w:t>9</w:t>
                          </w:r>
                        </w:p>
                        <w:p w:rsidR="00FF1497" w:rsidRDefault="00AD53F9">
                          <w:pPr>
                            <w:pStyle w:val="RuleHeader"/>
                          </w:pPr>
                          <w:r>
                            <w:t>10</w:t>
                          </w:r>
                        </w:p>
                        <w:p w:rsidR="00FF1497" w:rsidRDefault="00AD53F9">
                          <w:pPr>
                            <w:pStyle w:val="RuleHeader"/>
                          </w:pPr>
                          <w:r>
                            <w:t>11</w:t>
                          </w:r>
                        </w:p>
                        <w:p w:rsidR="00FF1497" w:rsidRDefault="00AD53F9">
                          <w:pPr>
                            <w:pStyle w:val="RuleHeader"/>
                          </w:pPr>
                          <w:r>
                            <w:t>12</w:t>
                          </w:r>
                        </w:p>
                        <w:p w:rsidR="00FF1497" w:rsidRDefault="00AD53F9">
                          <w:pPr>
                            <w:pStyle w:val="RuleHeader"/>
                          </w:pPr>
                          <w:r>
                            <w:t>13</w:t>
                          </w:r>
                        </w:p>
                        <w:p w:rsidR="00FF1497" w:rsidRDefault="00AD53F9">
                          <w:pPr>
                            <w:pStyle w:val="RuleHeader"/>
                          </w:pPr>
                          <w:r>
                            <w:t>14</w:t>
                          </w:r>
                        </w:p>
                        <w:p w:rsidR="00FF1497" w:rsidRDefault="00AD53F9">
                          <w:pPr>
                            <w:pStyle w:val="RuleHeader"/>
                          </w:pPr>
                          <w:r>
                            <w:t>15</w:t>
                          </w:r>
                        </w:p>
                        <w:p w:rsidR="00FF1497" w:rsidRDefault="00AD53F9">
                          <w:pPr>
                            <w:pStyle w:val="RuleHeader"/>
                          </w:pPr>
                          <w:r>
                            <w:t>16</w:t>
                          </w:r>
                        </w:p>
                        <w:p w:rsidR="00FF1497" w:rsidRDefault="00AD53F9">
                          <w:pPr>
                            <w:pStyle w:val="RuleHeader"/>
                          </w:pPr>
                          <w:r>
                            <w:t>17</w:t>
                          </w:r>
                        </w:p>
                        <w:p w:rsidR="00FF1497" w:rsidRDefault="00AD53F9">
                          <w:pPr>
                            <w:pStyle w:val="RuleHeader"/>
                          </w:pPr>
                          <w:r>
                            <w:t>18</w:t>
                          </w:r>
                        </w:p>
                        <w:p w:rsidR="00FF1497" w:rsidRDefault="00AD53F9">
                          <w:pPr>
                            <w:pStyle w:val="RuleHeader"/>
                          </w:pPr>
                          <w:r>
                            <w:t>19</w:t>
                          </w:r>
                        </w:p>
                        <w:p w:rsidR="00FF1497" w:rsidRDefault="00AD53F9">
                          <w:pPr>
                            <w:pStyle w:val="RuleHeader"/>
                          </w:pPr>
                          <w:r>
                            <w:t>20</w:t>
                          </w:r>
                        </w:p>
                        <w:p w:rsidR="00FF1497" w:rsidRDefault="00AD53F9">
                          <w:pPr>
                            <w:pStyle w:val="RuleHeader"/>
                          </w:pPr>
                          <w:r>
                            <w:t>21</w:t>
                          </w:r>
                        </w:p>
                        <w:p w:rsidR="00FF1497" w:rsidRDefault="00AD53F9">
                          <w:pPr>
                            <w:pStyle w:val="RuleHeader"/>
                          </w:pPr>
                          <w:r>
                            <w:t>22</w:t>
                          </w:r>
                        </w:p>
                        <w:p w:rsidR="00FF1497" w:rsidRDefault="00AD53F9">
                          <w:pPr>
                            <w:pStyle w:val="RuleHeader"/>
                          </w:pPr>
                          <w:r>
                            <w:t>23</w:t>
                          </w:r>
                        </w:p>
                        <w:p w:rsidR="00FF1497" w:rsidRDefault="00AD53F9">
                          <w:pPr>
                            <w:pStyle w:val="RuleHeader"/>
                          </w:pPr>
                          <w:r>
                            <w:t>24</w:t>
                          </w:r>
                        </w:p>
                        <w:p w:rsidR="00FF1497" w:rsidRDefault="00AD53F9">
                          <w:pPr>
                            <w:pStyle w:val="RuleHeader"/>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LineNumbers" o:spid="_x0000_s1026" type="#_x0000_t202" style="position:absolute;margin-left:69.85pt;margin-top:0;width:36pt;height:68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" stroked="f">
              <v:textbox inset="0,0,0,0">
                <w:txbxContent>
                  <w:p w:rsidR="00FF1497" w:rsidRDefault="00AD53F9">
                    <w:pPr>
                      <w:pStyle w:val="RuleHeader"/>
                      <w:rPr>
                        <w:rStyle w:val="RuleChar"/>
                      </w:rPr>
                    </w:pPr>
                    <w:r>
                      <w:t>1</w:t>
                    </w:r>
                  </w:p>
                  <w:p w:rsidR="00FF1497" w:rsidRDefault="00AD53F9">
                    <w:pPr>
                      <w:pStyle w:val="RuleHeader"/>
                    </w:pPr>
                    <w:r>
                      <w:t>2</w:t>
                    </w:r>
                  </w:p>
                  <w:p w:rsidR="00FF1497" w:rsidRDefault="00AD53F9">
                    <w:pPr>
                      <w:pStyle w:val="RuleHeader"/>
                    </w:pPr>
                    <w:r>
                      <w:t>3</w:t>
                    </w:r>
                  </w:p>
                  <w:p w:rsidR="00FF1497" w:rsidRDefault="00AD53F9">
                    <w:pPr>
                      <w:pStyle w:val="RuleHeader"/>
                    </w:pPr>
                    <w:r>
                      <w:t>4</w:t>
                    </w:r>
                  </w:p>
                  <w:p w:rsidR="00FF1497" w:rsidRDefault="00AD53F9">
                    <w:pPr>
                      <w:pStyle w:val="RuleHeader"/>
                    </w:pPr>
                    <w:r>
                      <w:t>5</w:t>
                    </w:r>
                  </w:p>
                  <w:p w:rsidR="00FF1497" w:rsidRDefault="00AD53F9">
                    <w:pPr>
                      <w:pStyle w:val="RuleHeader"/>
                    </w:pPr>
                    <w:r>
                      <w:t>6</w:t>
                    </w:r>
                  </w:p>
                  <w:p w:rsidR="00FF1497" w:rsidRDefault="00AD53F9">
                    <w:pPr>
                      <w:pStyle w:val="RuleHeader"/>
                    </w:pPr>
                    <w:r>
                      <w:t>7</w:t>
                    </w:r>
                  </w:p>
                  <w:p w:rsidR="00FF1497" w:rsidRDefault="00AD53F9">
                    <w:pPr>
                      <w:pStyle w:val="RuleHeader"/>
                    </w:pPr>
                    <w:r>
                      <w:t>8</w:t>
                    </w:r>
                  </w:p>
                  <w:p w:rsidR="00FF1497" w:rsidRDefault="00AD53F9">
                    <w:pPr>
                      <w:pStyle w:val="RuleHeader"/>
                    </w:pPr>
                    <w:r>
                      <w:t>9</w:t>
                    </w:r>
                  </w:p>
                  <w:p w:rsidR="00FF1497" w:rsidRDefault="00AD53F9">
                    <w:pPr>
                      <w:pStyle w:val="RuleHeader"/>
                    </w:pPr>
                    <w:r>
                      <w:t>10</w:t>
                    </w:r>
                  </w:p>
                  <w:p w:rsidR="00FF1497" w:rsidRDefault="00AD53F9">
                    <w:pPr>
                      <w:pStyle w:val="RuleHeader"/>
                    </w:pPr>
                    <w:r>
                      <w:t>11</w:t>
                    </w:r>
                  </w:p>
                  <w:p w:rsidR="00FF1497" w:rsidRDefault="00AD53F9">
                    <w:pPr>
                      <w:pStyle w:val="RuleHeader"/>
                    </w:pPr>
                    <w:r>
                      <w:t>12</w:t>
                    </w:r>
                  </w:p>
                  <w:p w:rsidR="00FF1497" w:rsidRDefault="00AD53F9">
                    <w:pPr>
                      <w:pStyle w:val="RuleHeader"/>
                    </w:pPr>
                    <w:r>
                      <w:t>13</w:t>
                    </w:r>
                  </w:p>
                  <w:p w:rsidR="00FF1497" w:rsidRDefault="00AD53F9">
                    <w:pPr>
                      <w:pStyle w:val="RuleHeader"/>
                    </w:pPr>
                    <w:r>
                      <w:t>14</w:t>
                    </w:r>
                  </w:p>
                  <w:p w:rsidR="00FF1497" w:rsidRDefault="00AD53F9">
                    <w:pPr>
                      <w:pStyle w:val="RuleHeader"/>
                    </w:pPr>
                    <w:r>
                      <w:t>15</w:t>
                    </w:r>
                  </w:p>
                  <w:p w:rsidR="00FF1497" w:rsidRDefault="00AD53F9">
                    <w:pPr>
                      <w:pStyle w:val="RuleHeader"/>
                    </w:pPr>
                    <w:r>
                      <w:t>16</w:t>
                    </w:r>
                  </w:p>
                  <w:p w:rsidR="00FF1497" w:rsidRDefault="00AD53F9">
                    <w:pPr>
                      <w:pStyle w:val="RuleHeader"/>
                    </w:pPr>
                    <w:r>
                      <w:t>17</w:t>
                    </w:r>
                  </w:p>
                  <w:p w:rsidR="00FF1497" w:rsidRDefault="00AD53F9">
                    <w:pPr>
                      <w:pStyle w:val="RuleHeader"/>
                    </w:pPr>
                    <w:r>
                      <w:t>18</w:t>
                    </w:r>
                  </w:p>
                  <w:p w:rsidR="00FF1497" w:rsidRDefault="00AD53F9">
                    <w:pPr>
                      <w:pStyle w:val="RuleHeader"/>
                    </w:pPr>
                    <w:r>
                      <w:t>19</w:t>
                    </w:r>
                  </w:p>
                  <w:p w:rsidR="00FF1497" w:rsidRDefault="00AD53F9">
                    <w:pPr>
                      <w:pStyle w:val="RuleHeader"/>
                    </w:pPr>
                    <w:r>
                      <w:t>20</w:t>
                    </w:r>
                  </w:p>
                  <w:p w:rsidR="00FF1497" w:rsidRDefault="00AD53F9">
                    <w:pPr>
                      <w:pStyle w:val="RuleHeader"/>
                    </w:pPr>
                    <w:r>
                      <w:t>21</w:t>
                    </w:r>
                  </w:p>
                  <w:p w:rsidR="00FF1497" w:rsidRDefault="00AD53F9">
                    <w:pPr>
                      <w:pStyle w:val="RuleHeader"/>
                    </w:pPr>
                    <w:r>
                      <w:t>22</w:t>
                    </w:r>
                  </w:p>
                  <w:p w:rsidR="00FF1497" w:rsidRDefault="00AD53F9">
                    <w:pPr>
                      <w:pStyle w:val="RuleHeader"/>
                    </w:pPr>
                    <w:r>
                      <w:t>23</w:t>
                    </w:r>
                  </w:p>
                  <w:p w:rsidR="00FF1497" w:rsidRDefault="00AD53F9">
                    <w:pPr>
                      <w:pStyle w:val="RuleHeader"/>
                    </w:pPr>
                    <w:r>
                      <w:t>24</w:t>
                    </w:r>
                  </w:p>
                  <w:p w:rsidR="00FF1497" w:rsidRDefault="00AD53F9">
                    <w:pPr>
                      <w:pStyle w:val="RuleHeader"/>
                    </w:pPr>
                    <w:r>
                      <w:t>25</w:t>
                    </w:r>
                  </w:p>
                </w:txbxContent>
              </v:textbox>
              <w10:wrap anchorx="page" anchory="margin"/>
            </v:shape>
          </w:pict>
        </mc:Fallback>
      </mc:AlternateContent>
    </w:r>
    <w:r>
      <w:rPr>
        <w:b/>
        <w:noProof/>
      </w:rPr>
      <mc:AlternateContent>
        <mc:Choice Requires="wps">
          <w:drawing>
            <wp:anchor distT="0" distB="0" distL="114300" distR="114300" simplePos="0" relativeHeight="251661312" behindDoc="0" locked="0" layoutInCell="1" allowOverlap="1" wp14:anchorId="1670419B" wp14:editId="6B91834A">
              <wp:simplePos x="0" y="0"/>
              <wp:positionH relativeFrom="margin">
                <wp:posOffset>5943600</wp:posOffset>
              </wp:positionH>
              <wp:positionV relativeFrom="page">
                <wp:posOffset>0</wp:posOffset>
              </wp:positionV>
              <wp:extent cx="0" cy="10058400"/>
              <wp:effectExtent l="9525" t="9525" r="9525" b="9525"/>
              <wp:wrapNone/>
              <wp:docPr id="6"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61312;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SmJHgIAADk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z7kpiR4CAAA5BAAADgAAAAAAAAAAAAAAAAAuAgAAZHJzL2Uyb0RvYy54bWxQSwEC&#10;LQAUAAYACAAAACEAdm5VWt0AAAAJAQAADwAAAAAAAAAAAAAAAAB4BAAAZHJzL2Rvd25yZXYueG1s&#10;UEsFBgAAAAAEAAQA8wAAAIIFAAAAAA==&#10;">
              <w10:wrap anchorx="margin" anchory="page"/>
            </v:line>
          </w:pict>
        </mc:Fallback>
      </mc:AlternateContent>
    </w:r>
    <w:r>
      <w:rPr>
        <w:b/>
        <w:noProof/>
      </w:rPr>
      <mc:AlternateContent>
        <mc:Choice Requires="wps">
          <w:drawing>
            <wp:anchor distT="0" distB="0" distL="114300" distR="114300" simplePos="0" relativeHeight="251660288" behindDoc="0" locked="0" layoutInCell="1" allowOverlap="1" wp14:anchorId="48669FA0" wp14:editId="24068CA0">
              <wp:simplePos x="0" y="0"/>
              <wp:positionH relativeFrom="margin">
                <wp:posOffset>-91440</wp:posOffset>
              </wp:positionH>
              <wp:positionV relativeFrom="page">
                <wp:posOffset>0</wp:posOffset>
              </wp:positionV>
              <wp:extent cx="0" cy="10058400"/>
              <wp:effectExtent l="13335" t="9525" r="5715" b="9525"/>
              <wp:wrapNone/>
              <wp:docPr id="5"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6028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">
              <w10:wrap anchorx="margin" anchory="page"/>
            </v:lin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AD53F9">
    <w:pPr>
      <w:tabs>
        <w:tab w:val="left" w:pos="3770"/>
      </w:tabs>
    </w:pPr>
    <w:r>
      <w:rPr>
        <w:noProof/>
      </w:rPr>
      <mc:AlternateContent>
        <mc:Choice Requires="wps">
          <w:drawing>
            <wp:anchor distT="0" distB="0" distL="114300" distR="114300" simplePos="0" relativeHeight="251663360" behindDoc="0" locked="0" layoutInCell="1" allowOverlap="1" wp14:anchorId="7256DF1F" wp14:editId="09BA9716">
              <wp:simplePos x="0" y="0"/>
              <wp:positionH relativeFrom="margin">
                <wp:posOffset>-66040</wp:posOffset>
              </wp:positionH>
              <wp:positionV relativeFrom="page">
                <wp:posOffset>914400</wp:posOffset>
              </wp:positionV>
              <wp:extent cx="0" cy="8321040"/>
              <wp:effectExtent l="10160" t="9525" r="8890" b="13335"/>
              <wp:wrapNone/>
              <wp:docPr id="4"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pt,1in" to="-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VXvGAIAAC0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">
              <w10:wrap anchorx="margin" anchory="page"/>
            </v:line>
          </w:pict>
        </mc:Fallback>
      </mc:AlternateContent>
    </w:r>
    <w:r>
      <w:rPr>
        <w:noProof/>
      </w:rPr>
      <mc:AlternateContent>
        <mc:Choice Requires="wps">
          <w:drawing>
            <wp:anchor distT="0" distB="0" distL="114300" distR="114300" simplePos="0" relativeHeight="251666432" behindDoc="0" locked="0" layoutInCell="1" allowOverlap="1" wp14:anchorId="5642CCFB" wp14:editId="5BBE968B">
              <wp:simplePos x="0" y="0"/>
              <wp:positionH relativeFrom="margin">
                <wp:posOffset>-640080</wp:posOffset>
              </wp:positionH>
              <wp:positionV relativeFrom="margin">
                <wp:posOffset>0</wp:posOffset>
              </wp:positionV>
              <wp:extent cx="457200" cy="8686800"/>
              <wp:effectExtent l="0" t="0" r="1905" b="0"/>
              <wp:wrapNone/>
              <wp:docPr id="3"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497" w:rsidRDefault="00AD53F9">
                          <w:pPr>
                            <w:jc w:val="right"/>
                          </w:pPr>
                          <w:r>
                            <w:t>1</w:t>
                          </w:r>
                        </w:p>
                        <w:p w:rsidR="00FF1497" w:rsidRDefault="00AD53F9">
                          <w:pPr>
                            <w:jc w:val="right"/>
                          </w:pPr>
                          <w:r>
                            <w:t>2</w:t>
                          </w:r>
                        </w:p>
                        <w:p w:rsidR="00FF1497" w:rsidRDefault="00AD53F9">
                          <w:pPr>
                            <w:jc w:val="right"/>
                          </w:pPr>
                          <w:r>
                            <w:t>3</w:t>
                          </w:r>
                        </w:p>
                        <w:p w:rsidR="00FF1497" w:rsidRDefault="00AD53F9">
                          <w:pPr>
                            <w:jc w:val="right"/>
                          </w:pPr>
                          <w:r>
                            <w:t>4</w:t>
                          </w:r>
                        </w:p>
                        <w:p w:rsidR="00FF1497" w:rsidRDefault="00AD53F9">
                          <w:pPr>
                            <w:jc w:val="right"/>
                          </w:pPr>
                          <w:r>
                            <w:t>5</w:t>
                          </w:r>
                        </w:p>
                        <w:p w:rsidR="00FF1497" w:rsidRDefault="00AD53F9">
                          <w:pPr>
                            <w:jc w:val="right"/>
                          </w:pPr>
                          <w:r>
                            <w:t>6</w:t>
                          </w:r>
                        </w:p>
                        <w:p w:rsidR="00FF1497" w:rsidRDefault="00AD53F9">
                          <w:pPr>
                            <w:jc w:val="right"/>
                          </w:pPr>
                          <w:r>
                            <w:t>7</w:t>
                          </w:r>
                        </w:p>
                        <w:p w:rsidR="00FF1497" w:rsidRDefault="00AD53F9">
                          <w:pPr>
                            <w:jc w:val="right"/>
                          </w:pPr>
                          <w:r>
                            <w:t>8</w:t>
                          </w:r>
                        </w:p>
                        <w:p w:rsidR="00FF1497" w:rsidRDefault="00AD53F9">
                          <w:pPr>
                            <w:jc w:val="right"/>
                          </w:pPr>
                          <w:r>
                            <w:t>9</w:t>
                          </w:r>
                        </w:p>
                        <w:p w:rsidR="00FF1497" w:rsidRDefault="00AD53F9">
                          <w:pPr>
                            <w:jc w:val="right"/>
                          </w:pPr>
                          <w:r>
                            <w:t>10</w:t>
                          </w:r>
                        </w:p>
                        <w:p w:rsidR="00FF1497" w:rsidRDefault="00AD53F9">
                          <w:pPr>
                            <w:jc w:val="right"/>
                          </w:pPr>
                          <w:r>
                            <w:t>11</w:t>
                          </w:r>
                        </w:p>
                        <w:p w:rsidR="00FF1497" w:rsidRDefault="00AD53F9">
                          <w:pPr>
                            <w:jc w:val="right"/>
                          </w:pPr>
                          <w:r>
                            <w:t>12</w:t>
                          </w:r>
                        </w:p>
                        <w:p w:rsidR="00FF1497" w:rsidRDefault="00AD53F9">
                          <w:pPr>
                            <w:jc w:val="right"/>
                          </w:pPr>
                          <w:r>
                            <w:t>13</w:t>
                          </w:r>
                        </w:p>
                        <w:p w:rsidR="00FF1497" w:rsidRDefault="00AD53F9">
                          <w:pPr>
                            <w:jc w:val="right"/>
                          </w:pPr>
                          <w:r>
                            <w:t>14</w:t>
                          </w:r>
                        </w:p>
                        <w:p w:rsidR="00FF1497" w:rsidRDefault="00AD53F9">
                          <w:pPr>
                            <w:jc w:val="right"/>
                          </w:pPr>
                          <w:r>
                            <w:t>15</w:t>
                          </w:r>
                        </w:p>
                        <w:p w:rsidR="00FF1497" w:rsidRDefault="00AD53F9">
                          <w:pPr>
                            <w:jc w:val="right"/>
                          </w:pPr>
                          <w:r>
                            <w:t>16</w:t>
                          </w:r>
                        </w:p>
                        <w:p w:rsidR="00FF1497" w:rsidRDefault="00AD53F9">
                          <w:pPr>
                            <w:jc w:val="right"/>
                          </w:pPr>
                          <w:r>
                            <w:t>17</w:t>
                          </w:r>
                        </w:p>
                        <w:p w:rsidR="00FF1497" w:rsidRDefault="00AD53F9">
                          <w:pPr>
                            <w:jc w:val="right"/>
                          </w:pPr>
                          <w:r>
                            <w:t>18</w:t>
                          </w:r>
                        </w:p>
                        <w:p w:rsidR="00FF1497" w:rsidRDefault="00AD53F9">
                          <w:pPr>
                            <w:jc w:val="right"/>
                          </w:pPr>
                          <w:r>
                            <w:t>19</w:t>
                          </w:r>
                        </w:p>
                        <w:p w:rsidR="00FF1497" w:rsidRDefault="00AD53F9">
                          <w:pPr>
                            <w:jc w:val="right"/>
                          </w:pPr>
                          <w:r>
                            <w:t>20</w:t>
                          </w:r>
                        </w:p>
                        <w:p w:rsidR="00FF1497" w:rsidRDefault="00AD53F9">
                          <w:pPr>
                            <w:jc w:val="right"/>
                          </w:pPr>
                          <w:r>
                            <w:t>21</w:t>
                          </w:r>
                        </w:p>
                        <w:p w:rsidR="00FF1497" w:rsidRDefault="00AD53F9">
                          <w:pPr>
                            <w:jc w:val="right"/>
                          </w:pPr>
                          <w:r>
                            <w:t>22</w:t>
                          </w:r>
                        </w:p>
                        <w:p w:rsidR="00FF1497" w:rsidRDefault="00AD53F9">
                          <w:pPr>
                            <w:jc w:val="right"/>
                          </w:pPr>
                          <w:r>
                            <w:t>23</w:t>
                          </w:r>
                        </w:p>
                        <w:p w:rsidR="00FF1497" w:rsidRDefault="00AD53F9">
                          <w:pPr>
                            <w:jc w:val="right"/>
                          </w:pPr>
                          <w:r>
                            <w:t>24</w:t>
                          </w:r>
                        </w:p>
                        <w:p w:rsidR="00FF1497" w:rsidRDefault="00AD53F9">
                          <w:pPr>
                            <w:jc w:val="right"/>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50.4pt;margin-top:0;width:36pt;height:684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" stroked="f">
              <v:textbox inset="0,0,0,0">
                <w:txbxContent>
                  <w:p w:rsidR="00FF1497" w:rsidRDefault="00AD53F9">
                    <w:pPr>
                      <w:jc w:val="right"/>
                    </w:pPr>
                    <w:r>
                      <w:t>1</w:t>
                    </w:r>
                  </w:p>
                  <w:p w:rsidR="00FF1497" w:rsidRDefault="00AD53F9">
                    <w:pPr>
                      <w:jc w:val="right"/>
                    </w:pPr>
                    <w:r>
                      <w:t>2</w:t>
                    </w:r>
                  </w:p>
                  <w:p w:rsidR="00FF1497" w:rsidRDefault="00AD53F9">
                    <w:pPr>
                      <w:jc w:val="right"/>
                    </w:pPr>
                    <w:r>
                      <w:t>3</w:t>
                    </w:r>
                  </w:p>
                  <w:p w:rsidR="00FF1497" w:rsidRDefault="00AD53F9">
                    <w:pPr>
                      <w:jc w:val="right"/>
                    </w:pPr>
                    <w:r>
                      <w:t>4</w:t>
                    </w:r>
                  </w:p>
                  <w:p w:rsidR="00FF1497" w:rsidRDefault="00AD53F9">
                    <w:pPr>
                      <w:jc w:val="right"/>
                    </w:pPr>
                    <w:r>
                      <w:t>5</w:t>
                    </w:r>
                  </w:p>
                  <w:p w:rsidR="00FF1497" w:rsidRDefault="00AD53F9">
                    <w:pPr>
                      <w:jc w:val="right"/>
                    </w:pPr>
                    <w:r>
                      <w:t>6</w:t>
                    </w:r>
                  </w:p>
                  <w:p w:rsidR="00FF1497" w:rsidRDefault="00AD53F9">
                    <w:pPr>
                      <w:jc w:val="right"/>
                    </w:pPr>
                    <w:r>
                      <w:t>7</w:t>
                    </w:r>
                  </w:p>
                  <w:p w:rsidR="00FF1497" w:rsidRDefault="00AD53F9">
                    <w:pPr>
                      <w:jc w:val="right"/>
                    </w:pPr>
                    <w:r>
                      <w:t>8</w:t>
                    </w:r>
                  </w:p>
                  <w:p w:rsidR="00FF1497" w:rsidRDefault="00AD53F9">
                    <w:pPr>
                      <w:jc w:val="right"/>
                    </w:pPr>
                    <w:r>
                      <w:t>9</w:t>
                    </w:r>
                  </w:p>
                  <w:p w:rsidR="00FF1497" w:rsidRDefault="00AD53F9">
                    <w:pPr>
                      <w:jc w:val="right"/>
                    </w:pPr>
                    <w:r>
                      <w:t>10</w:t>
                    </w:r>
                  </w:p>
                  <w:p w:rsidR="00FF1497" w:rsidRDefault="00AD53F9">
                    <w:pPr>
                      <w:jc w:val="right"/>
                    </w:pPr>
                    <w:r>
                      <w:t>11</w:t>
                    </w:r>
                  </w:p>
                  <w:p w:rsidR="00FF1497" w:rsidRDefault="00AD53F9">
                    <w:pPr>
                      <w:jc w:val="right"/>
                    </w:pPr>
                    <w:r>
                      <w:t>12</w:t>
                    </w:r>
                  </w:p>
                  <w:p w:rsidR="00FF1497" w:rsidRDefault="00AD53F9">
                    <w:pPr>
                      <w:jc w:val="right"/>
                    </w:pPr>
                    <w:r>
                      <w:t>13</w:t>
                    </w:r>
                  </w:p>
                  <w:p w:rsidR="00FF1497" w:rsidRDefault="00AD53F9">
                    <w:pPr>
                      <w:jc w:val="right"/>
                    </w:pPr>
                    <w:r>
                      <w:t>14</w:t>
                    </w:r>
                  </w:p>
                  <w:p w:rsidR="00FF1497" w:rsidRDefault="00AD53F9">
                    <w:pPr>
                      <w:jc w:val="right"/>
                    </w:pPr>
                    <w:r>
                      <w:t>15</w:t>
                    </w:r>
                  </w:p>
                  <w:p w:rsidR="00FF1497" w:rsidRDefault="00AD53F9">
                    <w:pPr>
                      <w:jc w:val="right"/>
                    </w:pPr>
                    <w:r>
                      <w:t>16</w:t>
                    </w:r>
                  </w:p>
                  <w:p w:rsidR="00FF1497" w:rsidRDefault="00AD53F9">
                    <w:pPr>
                      <w:jc w:val="right"/>
                    </w:pPr>
                    <w:r>
                      <w:t>17</w:t>
                    </w:r>
                  </w:p>
                  <w:p w:rsidR="00FF1497" w:rsidRDefault="00AD53F9">
                    <w:pPr>
                      <w:jc w:val="right"/>
                    </w:pPr>
                    <w:r>
                      <w:t>18</w:t>
                    </w:r>
                  </w:p>
                  <w:p w:rsidR="00FF1497" w:rsidRDefault="00AD53F9">
                    <w:pPr>
                      <w:jc w:val="right"/>
                    </w:pPr>
                    <w:r>
                      <w:t>19</w:t>
                    </w:r>
                  </w:p>
                  <w:p w:rsidR="00FF1497" w:rsidRDefault="00AD53F9">
                    <w:pPr>
                      <w:jc w:val="right"/>
                    </w:pPr>
                    <w:r>
                      <w:t>20</w:t>
                    </w:r>
                  </w:p>
                  <w:p w:rsidR="00FF1497" w:rsidRDefault="00AD53F9">
                    <w:pPr>
                      <w:jc w:val="right"/>
                    </w:pPr>
                    <w:r>
                      <w:t>21</w:t>
                    </w:r>
                  </w:p>
                  <w:p w:rsidR="00FF1497" w:rsidRDefault="00AD53F9">
                    <w:pPr>
                      <w:jc w:val="right"/>
                    </w:pPr>
                    <w:r>
                      <w:t>22</w:t>
                    </w:r>
                  </w:p>
                  <w:p w:rsidR="00FF1497" w:rsidRDefault="00AD53F9">
                    <w:pPr>
                      <w:jc w:val="right"/>
                    </w:pPr>
                    <w:r>
                      <w:t>23</w:t>
                    </w:r>
                  </w:p>
                  <w:p w:rsidR="00FF1497" w:rsidRDefault="00AD53F9">
                    <w:pPr>
                      <w:jc w:val="right"/>
                    </w:pPr>
                    <w:r>
                      <w:t>24</w:t>
                    </w:r>
                  </w:p>
                  <w:p w:rsidR="00FF1497" w:rsidRDefault="00AD53F9">
                    <w:pPr>
                      <w:jc w:val="right"/>
                    </w:pPr>
                    <w:r>
                      <w:t>25</w:t>
                    </w:r>
                  </w:p>
                </w:txbxContent>
              </v:textbox>
              <w10:wrap anchorx="margin" anchory="margin"/>
            </v:shape>
          </w:pict>
        </mc:Fallback>
      </mc:AlternateContent>
    </w:r>
    <w:r>
      <w:rPr>
        <w:noProof/>
      </w:rPr>
      <mc:AlternateContent>
        <mc:Choice Requires="wps">
          <w:drawing>
            <wp:anchor distT="0" distB="0" distL="114300" distR="114300" simplePos="0" relativeHeight="251665408" behindDoc="0" locked="0" layoutInCell="1" allowOverlap="1" wp14:anchorId="39A238C6" wp14:editId="1F68DB73">
              <wp:simplePos x="0" y="0"/>
              <wp:positionH relativeFrom="margin">
                <wp:posOffset>5943600</wp:posOffset>
              </wp:positionH>
              <wp:positionV relativeFrom="page">
                <wp:posOffset>0</wp:posOffset>
              </wp:positionV>
              <wp:extent cx="0" cy="10058400"/>
              <wp:effectExtent l="9525" t="9525" r="9525" b="9525"/>
              <wp:wrapNone/>
              <wp:docPr id="2"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6540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W10HgIAADk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x7ltdB4CAAA5BAAADgAAAAAAAAAAAAAAAAAuAgAAZHJzL2Uyb0RvYy54bWxQSwEC&#10;LQAUAAYACAAAACEAdm5VWt0AAAAJAQAADwAAAAAAAAAAAAAAAAB4BAAAZHJzL2Rvd25yZXYueG1s&#10;UEsFBgAAAAAEAAQA8wAAAIIFAAAAAA==&#10;">
              <w10:wrap anchorx="margin" anchory="page"/>
            </v:line>
          </w:pict>
        </mc:Fallback>
      </mc:AlternateContent>
    </w:r>
    <w:r>
      <w:rPr>
        <w:noProof/>
      </w:rPr>
      <mc:AlternateContent>
        <mc:Choice Requires="wps">
          <w:drawing>
            <wp:anchor distT="0" distB="0" distL="114300" distR="114300" simplePos="0" relativeHeight="251664384" behindDoc="0" locked="0" layoutInCell="1" allowOverlap="1" wp14:anchorId="14B78440" wp14:editId="5F594AF0">
              <wp:simplePos x="0" y="0"/>
              <wp:positionH relativeFrom="margin">
                <wp:posOffset>-91440</wp:posOffset>
              </wp:positionH>
              <wp:positionV relativeFrom="page">
                <wp:posOffset>0</wp:posOffset>
              </wp:positionV>
              <wp:extent cx="0" cy="10058400"/>
              <wp:effectExtent l="13335" t="9525" r="5715" b="9525"/>
              <wp:wrapNone/>
              <wp:docPr id="9"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64384;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">
              <w10:wrap anchorx="margin" anchory="page"/>
            </v: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020" w:rsidRDefault="00187020" w:rsidP="00187020">
    <w:pPr>
      <w:pStyle w:val="Header"/>
      <w:tabs>
        <w:tab w:val="clear" w:pos="4320"/>
        <w:tab w:val="clear" w:pos="8640"/>
        <w:tab w:val="right" w:pos="9360"/>
      </w:tabs>
    </w:pPr>
    <w:r>
      <w:fldChar w:fldCharType="begin"/>
    </w:r>
    <w:r>
      <w:instrText xml:space="preserve"> REF DocketLabel</w:instrText>
    </w:r>
    <w:r>
      <w:fldChar w:fldCharType="separate"/>
    </w:r>
    <w:r w:rsidR="000E7D9E">
      <w:t>Docket No.</w:t>
    </w:r>
    <w:r>
      <w:fldChar w:fldCharType="end"/>
    </w:r>
    <w:r>
      <w:t xml:space="preserve"> </w:t>
    </w:r>
    <w:r>
      <w:fldChar w:fldCharType="begin"/>
    </w:r>
    <w:r>
      <w:instrText xml:space="preserve"> REF DocketList</w:instrText>
    </w:r>
    <w:r>
      <w:fldChar w:fldCharType="separate"/>
    </w:r>
    <w:r w:rsidR="000E7D9E">
      <w:t>20190041-WS</w:t>
    </w:r>
    <w:r>
      <w:fldChar w:fldCharType="end"/>
    </w:r>
    <w:r>
      <w:tab/>
      <w:t>ATTACHMENT B</w:t>
    </w:r>
  </w:p>
  <w:p w:rsidR="00187020" w:rsidRDefault="00187020" w:rsidP="00187020">
    <w:pPr>
      <w:pStyle w:val="Header"/>
    </w:pPr>
    <w:r>
      <w:t xml:space="preserve">Date: </w:t>
    </w:r>
    <w:fldSimple w:instr=" REF FilingDate ">
      <w:r w:rsidR="000E7D9E">
        <w:t>August 27, 2019</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es-MX" w:vendorID="64" w:dllVersion="131078" w:nlCheck="1" w:checkStyle="1"/>
  <w:proofState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36865"/>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4B203F"/>
    <w:rsid w:val="000043D5"/>
    <w:rsid w:val="00006170"/>
    <w:rsid w:val="00010E37"/>
    <w:rsid w:val="000172DA"/>
    <w:rsid w:val="0002359A"/>
    <w:rsid w:val="000247C5"/>
    <w:rsid w:val="000277C2"/>
    <w:rsid w:val="00031F08"/>
    <w:rsid w:val="00035B48"/>
    <w:rsid w:val="00036CE2"/>
    <w:rsid w:val="000437FE"/>
    <w:rsid w:val="000513BE"/>
    <w:rsid w:val="00053183"/>
    <w:rsid w:val="00064BDF"/>
    <w:rsid w:val="00065A06"/>
    <w:rsid w:val="000666F3"/>
    <w:rsid w:val="00070DCB"/>
    <w:rsid w:val="00072CCA"/>
    <w:rsid w:val="00073120"/>
    <w:rsid w:val="000764D0"/>
    <w:rsid w:val="000828D3"/>
    <w:rsid w:val="00082A38"/>
    <w:rsid w:val="00096816"/>
    <w:rsid w:val="000A2B57"/>
    <w:rsid w:val="000A418B"/>
    <w:rsid w:val="000B25A1"/>
    <w:rsid w:val="000C150F"/>
    <w:rsid w:val="000C4431"/>
    <w:rsid w:val="000D1C06"/>
    <w:rsid w:val="000D2A91"/>
    <w:rsid w:val="000D4319"/>
    <w:rsid w:val="000E7586"/>
    <w:rsid w:val="000E7D9E"/>
    <w:rsid w:val="000F26C8"/>
    <w:rsid w:val="000F374A"/>
    <w:rsid w:val="00101DCA"/>
    <w:rsid w:val="001076AF"/>
    <w:rsid w:val="00117C8C"/>
    <w:rsid w:val="00121E90"/>
    <w:rsid w:val="00124C38"/>
    <w:rsid w:val="00124E2E"/>
    <w:rsid w:val="00125ED4"/>
    <w:rsid w:val="001305E9"/>
    <w:rsid w:val="001307AF"/>
    <w:rsid w:val="001312BF"/>
    <w:rsid w:val="00135687"/>
    <w:rsid w:val="0015506E"/>
    <w:rsid w:val="00163031"/>
    <w:rsid w:val="00165049"/>
    <w:rsid w:val="00171A90"/>
    <w:rsid w:val="001768DB"/>
    <w:rsid w:val="00180030"/>
    <w:rsid w:val="00180254"/>
    <w:rsid w:val="0018114D"/>
    <w:rsid w:val="00185934"/>
    <w:rsid w:val="00187020"/>
    <w:rsid w:val="00191E1F"/>
    <w:rsid w:val="00192943"/>
    <w:rsid w:val="001A7406"/>
    <w:rsid w:val="001B1FFD"/>
    <w:rsid w:val="001B4FEE"/>
    <w:rsid w:val="001B51C5"/>
    <w:rsid w:val="001B5C8B"/>
    <w:rsid w:val="001B6F3F"/>
    <w:rsid w:val="001C52B5"/>
    <w:rsid w:val="001D0D3E"/>
    <w:rsid w:val="001D4B6E"/>
    <w:rsid w:val="001E28A0"/>
    <w:rsid w:val="001F0784"/>
    <w:rsid w:val="001F2245"/>
    <w:rsid w:val="001F2C63"/>
    <w:rsid w:val="001F48C7"/>
    <w:rsid w:val="001F6DA1"/>
    <w:rsid w:val="002044E6"/>
    <w:rsid w:val="00205C82"/>
    <w:rsid w:val="00205DC2"/>
    <w:rsid w:val="00212B17"/>
    <w:rsid w:val="002163B6"/>
    <w:rsid w:val="00220732"/>
    <w:rsid w:val="00221D32"/>
    <w:rsid w:val="0022458A"/>
    <w:rsid w:val="00225C3F"/>
    <w:rsid w:val="00236957"/>
    <w:rsid w:val="00262BFF"/>
    <w:rsid w:val="00263D44"/>
    <w:rsid w:val="002702AD"/>
    <w:rsid w:val="00271F01"/>
    <w:rsid w:val="00292D82"/>
    <w:rsid w:val="002963CB"/>
    <w:rsid w:val="002B4A01"/>
    <w:rsid w:val="002D226D"/>
    <w:rsid w:val="002F6030"/>
    <w:rsid w:val="003037E1"/>
    <w:rsid w:val="00307E51"/>
    <w:rsid w:val="003103EC"/>
    <w:rsid w:val="003140FF"/>
    <w:rsid w:val="003144EF"/>
    <w:rsid w:val="00322F74"/>
    <w:rsid w:val="00340073"/>
    <w:rsid w:val="00346CDF"/>
    <w:rsid w:val="003572B4"/>
    <w:rsid w:val="003632FD"/>
    <w:rsid w:val="00372805"/>
    <w:rsid w:val="00373180"/>
    <w:rsid w:val="00375AB9"/>
    <w:rsid w:val="003821A0"/>
    <w:rsid w:val="003821C1"/>
    <w:rsid w:val="00385B04"/>
    <w:rsid w:val="003864CF"/>
    <w:rsid w:val="00390A3C"/>
    <w:rsid w:val="003948AE"/>
    <w:rsid w:val="00394CED"/>
    <w:rsid w:val="003A22A6"/>
    <w:rsid w:val="003A5494"/>
    <w:rsid w:val="003B2510"/>
    <w:rsid w:val="003C2CC4"/>
    <w:rsid w:val="003C3710"/>
    <w:rsid w:val="003D69E2"/>
    <w:rsid w:val="003E0EFC"/>
    <w:rsid w:val="003E4A2B"/>
    <w:rsid w:val="003E76C2"/>
    <w:rsid w:val="003F1679"/>
    <w:rsid w:val="003F21EB"/>
    <w:rsid w:val="003F3465"/>
    <w:rsid w:val="003F4A35"/>
    <w:rsid w:val="003F7FDD"/>
    <w:rsid w:val="00402481"/>
    <w:rsid w:val="004042B4"/>
    <w:rsid w:val="004073CE"/>
    <w:rsid w:val="00410DC4"/>
    <w:rsid w:val="00412DAE"/>
    <w:rsid w:val="004242E6"/>
    <w:rsid w:val="00431598"/>
    <w:rsid w:val="004319AD"/>
    <w:rsid w:val="00431BC2"/>
    <w:rsid w:val="004334DC"/>
    <w:rsid w:val="004337D7"/>
    <w:rsid w:val="004426B8"/>
    <w:rsid w:val="0044295A"/>
    <w:rsid w:val="0044440D"/>
    <w:rsid w:val="00444432"/>
    <w:rsid w:val="00471860"/>
    <w:rsid w:val="00477026"/>
    <w:rsid w:val="0049257E"/>
    <w:rsid w:val="004A64B0"/>
    <w:rsid w:val="004A744D"/>
    <w:rsid w:val="004B203F"/>
    <w:rsid w:val="004B60BD"/>
    <w:rsid w:val="004C146E"/>
    <w:rsid w:val="004C3150"/>
    <w:rsid w:val="004C3641"/>
    <w:rsid w:val="004C4390"/>
    <w:rsid w:val="004C4AF7"/>
    <w:rsid w:val="004D1F71"/>
    <w:rsid w:val="004D2881"/>
    <w:rsid w:val="004D34F7"/>
    <w:rsid w:val="004D385F"/>
    <w:rsid w:val="004D5B39"/>
    <w:rsid w:val="004E330D"/>
    <w:rsid w:val="004E3608"/>
    <w:rsid w:val="004E5147"/>
    <w:rsid w:val="004E5A98"/>
    <w:rsid w:val="004E69B5"/>
    <w:rsid w:val="004F304B"/>
    <w:rsid w:val="004F3FB2"/>
    <w:rsid w:val="004F5C43"/>
    <w:rsid w:val="00504927"/>
    <w:rsid w:val="0050652D"/>
    <w:rsid w:val="00506C03"/>
    <w:rsid w:val="005106A8"/>
    <w:rsid w:val="00511A11"/>
    <w:rsid w:val="00514341"/>
    <w:rsid w:val="00516496"/>
    <w:rsid w:val="00523B11"/>
    <w:rsid w:val="0052572A"/>
    <w:rsid w:val="00532DFB"/>
    <w:rsid w:val="0054002F"/>
    <w:rsid w:val="0054016F"/>
    <w:rsid w:val="00543CB3"/>
    <w:rsid w:val="005442E4"/>
    <w:rsid w:val="0055529B"/>
    <w:rsid w:val="00560FF0"/>
    <w:rsid w:val="005614BD"/>
    <w:rsid w:val="0057154F"/>
    <w:rsid w:val="00572115"/>
    <w:rsid w:val="00580F69"/>
    <w:rsid w:val="00581CA3"/>
    <w:rsid w:val="00583EAA"/>
    <w:rsid w:val="00587A44"/>
    <w:rsid w:val="00591079"/>
    <w:rsid w:val="005932DF"/>
    <w:rsid w:val="00597730"/>
    <w:rsid w:val="005977EC"/>
    <w:rsid w:val="00597DE7"/>
    <w:rsid w:val="005A4AA2"/>
    <w:rsid w:val="005B34B6"/>
    <w:rsid w:val="005B6C8F"/>
    <w:rsid w:val="005B6EC3"/>
    <w:rsid w:val="005D0F74"/>
    <w:rsid w:val="005D2E7D"/>
    <w:rsid w:val="005D4A8F"/>
    <w:rsid w:val="005D561B"/>
    <w:rsid w:val="005D5ECF"/>
    <w:rsid w:val="005E417C"/>
    <w:rsid w:val="005F468D"/>
    <w:rsid w:val="005F69A3"/>
    <w:rsid w:val="0060424E"/>
    <w:rsid w:val="00604CC7"/>
    <w:rsid w:val="00605B3D"/>
    <w:rsid w:val="00614F48"/>
    <w:rsid w:val="00615423"/>
    <w:rsid w:val="006165B2"/>
    <w:rsid w:val="00617276"/>
    <w:rsid w:val="00617E32"/>
    <w:rsid w:val="0062527B"/>
    <w:rsid w:val="00625D97"/>
    <w:rsid w:val="00625F1C"/>
    <w:rsid w:val="006279E1"/>
    <w:rsid w:val="00630CEB"/>
    <w:rsid w:val="0063152A"/>
    <w:rsid w:val="00632264"/>
    <w:rsid w:val="00644F45"/>
    <w:rsid w:val="006470BC"/>
    <w:rsid w:val="00652241"/>
    <w:rsid w:val="006554D3"/>
    <w:rsid w:val="00667036"/>
    <w:rsid w:val="00673BDB"/>
    <w:rsid w:val="00674341"/>
    <w:rsid w:val="00675515"/>
    <w:rsid w:val="006771B8"/>
    <w:rsid w:val="006843B6"/>
    <w:rsid w:val="0068481F"/>
    <w:rsid w:val="00696F5D"/>
    <w:rsid w:val="00697249"/>
    <w:rsid w:val="006A2D23"/>
    <w:rsid w:val="006A7A44"/>
    <w:rsid w:val="006B3947"/>
    <w:rsid w:val="006B4293"/>
    <w:rsid w:val="006B624F"/>
    <w:rsid w:val="006C0C95"/>
    <w:rsid w:val="006C31E3"/>
    <w:rsid w:val="006C7068"/>
    <w:rsid w:val="006D18D3"/>
    <w:rsid w:val="006D629A"/>
    <w:rsid w:val="006E08CB"/>
    <w:rsid w:val="006E598D"/>
    <w:rsid w:val="006F3F1D"/>
    <w:rsid w:val="0070437D"/>
    <w:rsid w:val="00704CF1"/>
    <w:rsid w:val="00705B04"/>
    <w:rsid w:val="007135A7"/>
    <w:rsid w:val="00720B8E"/>
    <w:rsid w:val="00724992"/>
    <w:rsid w:val="00730273"/>
    <w:rsid w:val="0073122C"/>
    <w:rsid w:val="00734820"/>
    <w:rsid w:val="007349DC"/>
    <w:rsid w:val="0074365E"/>
    <w:rsid w:val="00744B55"/>
    <w:rsid w:val="007515FD"/>
    <w:rsid w:val="00756FDD"/>
    <w:rsid w:val="00760D1B"/>
    <w:rsid w:val="00760D80"/>
    <w:rsid w:val="00762714"/>
    <w:rsid w:val="00767ABD"/>
    <w:rsid w:val="00776732"/>
    <w:rsid w:val="00777A81"/>
    <w:rsid w:val="00780C09"/>
    <w:rsid w:val="00780DDF"/>
    <w:rsid w:val="007834E9"/>
    <w:rsid w:val="00787DBC"/>
    <w:rsid w:val="0079019A"/>
    <w:rsid w:val="00792935"/>
    <w:rsid w:val="00792FB5"/>
    <w:rsid w:val="007A04A1"/>
    <w:rsid w:val="007A1840"/>
    <w:rsid w:val="007A7143"/>
    <w:rsid w:val="007B12F3"/>
    <w:rsid w:val="007C0528"/>
    <w:rsid w:val="007C3CBA"/>
    <w:rsid w:val="007C3D38"/>
    <w:rsid w:val="007C7822"/>
    <w:rsid w:val="007C7FE1"/>
    <w:rsid w:val="007D0F35"/>
    <w:rsid w:val="007D17EC"/>
    <w:rsid w:val="007D21DB"/>
    <w:rsid w:val="007D4FEB"/>
    <w:rsid w:val="007D6146"/>
    <w:rsid w:val="007E0CE7"/>
    <w:rsid w:val="007E1A3D"/>
    <w:rsid w:val="007E510B"/>
    <w:rsid w:val="007F053D"/>
    <w:rsid w:val="007F1193"/>
    <w:rsid w:val="007F417F"/>
    <w:rsid w:val="007F7644"/>
    <w:rsid w:val="008042BD"/>
    <w:rsid w:val="00814D2B"/>
    <w:rsid w:val="00815CAB"/>
    <w:rsid w:val="00816624"/>
    <w:rsid w:val="00817FAB"/>
    <w:rsid w:val="008203B8"/>
    <w:rsid w:val="00822427"/>
    <w:rsid w:val="00822562"/>
    <w:rsid w:val="00823663"/>
    <w:rsid w:val="008261AB"/>
    <w:rsid w:val="0082671C"/>
    <w:rsid w:val="00832DDC"/>
    <w:rsid w:val="00835C40"/>
    <w:rsid w:val="00850BAC"/>
    <w:rsid w:val="00854A3E"/>
    <w:rsid w:val="00855D08"/>
    <w:rsid w:val="00862DE4"/>
    <w:rsid w:val="00874344"/>
    <w:rsid w:val="008768C9"/>
    <w:rsid w:val="00880E54"/>
    <w:rsid w:val="00882155"/>
    <w:rsid w:val="0088233B"/>
    <w:rsid w:val="0088599E"/>
    <w:rsid w:val="00886327"/>
    <w:rsid w:val="00886C37"/>
    <w:rsid w:val="00892D99"/>
    <w:rsid w:val="00893315"/>
    <w:rsid w:val="008A1504"/>
    <w:rsid w:val="008A7B35"/>
    <w:rsid w:val="008B62AE"/>
    <w:rsid w:val="008C04B5"/>
    <w:rsid w:val="008C14FA"/>
    <w:rsid w:val="008C7B0B"/>
    <w:rsid w:val="008D3C2B"/>
    <w:rsid w:val="008D4057"/>
    <w:rsid w:val="008E14FE"/>
    <w:rsid w:val="008E1F19"/>
    <w:rsid w:val="008F2262"/>
    <w:rsid w:val="008F4D2B"/>
    <w:rsid w:val="008F7736"/>
    <w:rsid w:val="0090019E"/>
    <w:rsid w:val="00901086"/>
    <w:rsid w:val="00901C8A"/>
    <w:rsid w:val="00905886"/>
    <w:rsid w:val="009070D6"/>
    <w:rsid w:val="009076C6"/>
    <w:rsid w:val="0091019E"/>
    <w:rsid w:val="009106F1"/>
    <w:rsid w:val="009113B0"/>
    <w:rsid w:val="00912404"/>
    <w:rsid w:val="009145D6"/>
    <w:rsid w:val="00920E64"/>
    <w:rsid w:val="00922002"/>
    <w:rsid w:val="00922DCD"/>
    <w:rsid w:val="00924020"/>
    <w:rsid w:val="009271A7"/>
    <w:rsid w:val="009315B7"/>
    <w:rsid w:val="0093658B"/>
    <w:rsid w:val="009429FF"/>
    <w:rsid w:val="00945BD6"/>
    <w:rsid w:val="009479FB"/>
    <w:rsid w:val="00951C45"/>
    <w:rsid w:val="00963751"/>
    <w:rsid w:val="009656F2"/>
    <w:rsid w:val="00966A08"/>
    <w:rsid w:val="00971207"/>
    <w:rsid w:val="00975CB4"/>
    <w:rsid w:val="009760B7"/>
    <w:rsid w:val="00982F90"/>
    <w:rsid w:val="009863B0"/>
    <w:rsid w:val="00987DE1"/>
    <w:rsid w:val="00990571"/>
    <w:rsid w:val="00991C9B"/>
    <w:rsid w:val="0099673A"/>
    <w:rsid w:val="009A0847"/>
    <w:rsid w:val="009A3330"/>
    <w:rsid w:val="009A7C96"/>
    <w:rsid w:val="009C05C8"/>
    <w:rsid w:val="009C3DB9"/>
    <w:rsid w:val="009C6FEE"/>
    <w:rsid w:val="009D46E5"/>
    <w:rsid w:val="009D568A"/>
    <w:rsid w:val="009D720F"/>
    <w:rsid w:val="009E22F8"/>
    <w:rsid w:val="009F04EC"/>
    <w:rsid w:val="009F2A7C"/>
    <w:rsid w:val="009F3B36"/>
    <w:rsid w:val="00A019B9"/>
    <w:rsid w:val="00A12508"/>
    <w:rsid w:val="00A1282B"/>
    <w:rsid w:val="00A13A27"/>
    <w:rsid w:val="00A173AB"/>
    <w:rsid w:val="00A175B6"/>
    <w:rsid w:val="00A21835"/>
    <w:rsid w:val="00A2374B"/>
    <w:rsid w:val="00A27D6E"/>
    <w:rsid w:val="00A304A6"/>
    <w:rsid w:val="00A328EC"/>
    <w:rsid w:val="00A33A51"/>
    <w:rsid w:val="00A355E9"/>
    <w:rsid w:val="00A41CA6"/>
    <w:rsid w:val="00A47040"/>
    <w:rsid w:val="00A47927"/>
    <w:rsid w:val="00A47FFC"/>
    <w:rsid w:val="00A5442F"/>
    <w:rsid w:val="00A5463D"/>
    <w:rsid w:val="00A54FF9"/>
    <w:rsid w:val="00A56765"/>
    <w:rsid w:val="00A6287E"/>
    <w:rsid w:val="00A675AC"/>
    <w:rsid w:val="00A71E68"/>
    <w:rsid w:val="00A73D11"/>
    <w:rsid w:val="00A7581F"/>
    <w:rsid w:val="00A771F4"/>
    <w:rsid w:val="00A92FB1"/>
    <w:rsid w:val="00A95A0C"/>
    <w:rsid w:val="00AA2765"/>
    <w:rsid w:val="00AA77B5"/>
    <w:rsid w:val="00AB6C5D"/>
    <w:rsid w:val="00AC3401"/>
    <w:rsid w:val="00AC51A7"/>
    <w:rsid w:val="00AD0EF9"/>
    <w:rsid w:val="00AD444B"/>
    <w:rsid w:val="00AD53F9"/>
    <w:rsid w:val="00AD5614"/>
    <w:rsid w:val="00AD6C78"/>
    <w:rsid w:val="00AE2EAB"/>
    <w:rsid w:val="00AE3C6B"/>
    <w:rsid w:val="00AF05EC"/>
    <w:rsid w:val="00AF5F89"/>
    <w:rsid w:val="00AF73CB"/>
    <w:rsid w:val="00B002D6"/>
    <w:rsid w:val="00B03379"/>
    <w:rsid w:val="00B05B51"/>
    <w:rsid w:val="00B14E5A"/>
    <w:rsid w:val="00B15370"/>
    <w:rsid w:val="00B16DA4"/>
    <w:rsid w:val="00B17BEB"/>
    <w:rsid w:val="00B21A3C"/>
    <w:rsid w:val="00B223C0"/>
    <w:rsid w:val="00B234ED"/>
    <w:rsid w:val="00B249B2"/>
    <w:rsid w:val="00B25CA3"/>
    <w:rsid w:val="00B2765A"/>
    <w:rsid w:val="00B3109A"/>
    <w:rsid w:val="00B3377E"/>
    <w:rsid w:val="00B422E9"/>
    <w:rsid w:val="00B46419"/>
    <w:rsid w:val="00B516ED"/>
    <w:rsid w:val="00B535C4"/>
    <w:rsid w:val="00B57A6A"/>
    <w:rsid w:val="00B640EB"/>
    <w:rsid w:val="00B74C33"/>
    <w:rsid w:val="00B760F1"/>
    <w:rsid w:val="00B7669E"/>
    <w:rsid w:val="00B76DA7"/>
    <w:rsid w:val="00B77DA1"/>
    <w:rsid w:val="00B822A0"/>
    <w:rsid w:val="00B858AE"/>
    <w:rsid w:val="00B85964"/>
    <w:rsid w:val="00B96016"/>
    <w:rsid w:val="00B96250"/>
    <w:rsid w:val="00BA0D55"/>
    <w:rsid w:val="00BA37B3"/>
    <w:rsid w:val="00BA3844"/>
    <w:rsid w:val="00BA4CC6"/>
    <w:rsid w:val="00BB3493"/>
    <w:rsid w:val="00BB69D5"/>
    <w:rsid w:val="00BB7468"/>
    <w:rsid w:val="00BC188A"/>
    <w:rsid w:val="00BC20CF"/>
    <w:rsid w:val="00BC402E"/>
    <w:rsid w:val="00BD0F48"/>
    <w:rsid w:val="00BD3F05"/>
    <w:rsid w:val="00BE6DDB"/>
    <w:rsid w:val="00BF5010"/>
    <w:rsid w:val="00C020B5"/>
    <w:rsid w:val="00C03D5F"/>
    <w:rsid w:val="00C06A97"/>
    <w:rsid w:val="00C13791"/>
    <w:rsid w:val="00C22470"/>
    <w:rsid w:val="00C31BB3"/>
    <w:rsid w:val="00C36977"/>
    <w:rsid w:val="00C4648C"/>
    <w:rsid w:val="00C467DA"/>
    <w:rsid w:val="00C477D9"/>
    <w:rsid w:val="00C52557"/>
    <w:rsid w:val="00C60BA3"/>
    <w:rsid w:val="00C623F7"/>
    <w:rsid w:val="00C62A81"/>
    <w:rsid w:val="00C72E1A"/>
    <w:rsid w:val="00C75BC5"/>
    <w:rsid w:val="00C81670"/>
    <w:rsid w:val="00C81773"/>
    <w:rsid w:val="00C82861"/>
    <w:rsid w:val="00C86896"/>
    <w:rsid w:val="00C87F0A"/>
    <w:rsid w:val="00C907A8"/>
    <w:rsid w:val="00C93211"/>
    <w:rsid w:val="00C942EC"/>
    <w:rsid w:val="00C96047"/>
    <w:rsid w:val="00C963DE"/>
    <w:rsid w:val="00C979D0"/>
    <w:rsid w:val="00CA0818"/>
    <w:rsid w:val="00CA15C8"/>
    <w:rsid w:val="00CA2C8F"/>
    <w:rsid w:val="00CA30DA"/>
    <w:rsid w:val="00CA3A24"/>
    <w:rsid w:val="00CB1777"/>
    <w:rsid w:val="00CB33E9"/>
    <w:rsid w:val="00CB34D7"/>
    <w:rsid w:val="00CC10A9"/>
    <w:rsid w:val="00CE2BF8"/>
    <w:rsid w:val="00CE484E"/>
    <w:rsid w:val="00CE656F"/>
    <w:rsid w:val="00CF0DA8"/>
    <w:rsid w:val="00CF2E25"/>
    <w:rsid w:val="00CF4453"/>
    <w:rsid w:val="00CF5D94"/>
    <w:rsid w:val="00CF7E0F"/>
    <w:rsid w:val="00D034D7"/>
    <w:rsid w:val="00D04BE4"/>
    <w:rsid w:val="00D06FC7"/>
    <w:rsid w:val="00D12565"/>
    <w:rsid w:val="00D14127"/>
    <w:rsid w:val="00D1642A"/>
    <w:rsid w:val="00D35A7A"/>
    <w:rsid w:val="00D52B57"/>
    <w:rsid w:val="00D56312"/>
    <w:rsid w:val="00D57592"/>
    <w:rsid w:val="00D60B16"/>
    <w:rsid w:val="00D60F02"/>
    <w:rsid w:val="00D66B5C"/>
    <w:rsid w:val="00D66E49"/>
    <w:rsid w:val="00D70D71"/>
    <w:rsid w:val="00D71EA5"/>
    <w:rsid w:val="00D72F74"/>
    <w:rsid w:val="00D81563"/>
    <w:rsid w:val="00D85907"/>
    <w:rsid w:val="00D9073E"/>
    <w:rsid w:val="00D9221D"/>
    <w:rsid w:val="00D958DF"/>
    <w:rsid w:val="00D96DA1"/>
    <w:rsid w:val="00D976BF"/>
    <w:rsid w:val="00DA51E7"/>
    <w:rsid w:val="00DB0260"/>
    <w:rsid w:val="00DB1C78"/>
    <w:rsid w:val="00DB7D96"/>
    <w:rsid w:val="00DC23FE"/>
    <w:rsid w:val="00DC2E78"/>
    <w:rsid w:val="00DC59E6"/>
    <w:rsid w:val="00DD150B"/>
    <w:rsid w:val="00DD5025"/>
    <w:rsid w:val="00DE2B8F"/>
    <w:rsid w:val="00DF1510"/>
    <w:rsid w:val="00DF23A7"/>
    <w:rsid w:val="00DF6B22"/>
    <w:rsid w:val="00E014C3"/>
    <w:rsid w:val="00E02F1F"/>
    <w:rsid w:val="00E06484"/>
    <w:rsid w:val="00E20A7D"/>
    <w:rsid w:val="00E275D8"/>
    <w:rsid w:val="00E30F6A"/>
    <w:rsid w:val="00E3117C"/>
    <w:rsid w:val="00E35BF0"/>
    <w:rsid w:val="00E375CA"/>
    <w:rsid w:val="00E5364F"/>
    <w:rsid w:val="00E567E8"/>
    <w:rsid w:val="00E64679"/>
    <w:rsid w:val="00E65EBC"/>
    <w:rsid w:val="00E677FE"/>
    <w:rsid w:val="00E73432"/>
    <w:rsid w:val="00E77B0C"/>
    <w:rsid w:val="00E77FB8"/>
    <w:rsid w:val="00E838B0"/>
    <w:rsid w:val="00E86A7C"/>
    <w:rsid w:val="00E878E1"/>
    <w:rsid w:val="00E87F2C"/>
    <w:rsid w:val="00E95278"/>
    <w:rsid w:val="00EA2273"/>
    <w:rsid w:val="00EA4128"/>
    <w:rsid w:val="00EA7C3C"/>
    <w:rsid w:val="00EB2DB3"/>
    <w:rsid w:val="00EB5202"/>
    <w:rsid w:val="00EC3FBB"/>
    <w:rsid w:val="00EC6B7A"/>
    <w:rsid w:val="00ED3A87"/>
    <w:rsid w:val="00ED5B67"/>
    <w:rsid w:val="00EE4BFB"/>
    <w:rsid w:val="00EF264C"/>
    <w:rsid w:val="00EF3FEE"/>
    <w:rsid w:val="00F04B59"/>
    <w:rsid w:val="00F10C1F"/>
    <w:rsid w:val="00F11741"/>
    <w:rsid w:val="00F12B1C"/>
    <w:rsid w:val="00F13CF8"/>
    <w:rsid w:val="00F1547B"/>
    <w:rsid w:val="00F15855"/>
    <w:rsid w:val="00F200B2"/>
    <w:rsid w:val="00F227DC"/>
    <w:rsid w:val="00F32978"/>
    <w:rsid w:val="00F34A49"/>
    <w:rsid w:val="00F45CB2"/>
    <w:rsid w:val="00F468FD"/>
    <w:rsid w:val="00F544C0"/>
    <w:rsid w:val="00F55332"/>
    <w:rsid w:val="00F6504A"/>
    <w:rsid w:val="00F65519"/>
    <w:rsid w:val="00F713C0"/>
    <w:rsid w:val="00F75DDC"/>
    <w:rsid w:val="00F7792F"/>
    <w:rsid w:val="00F842AA"/>
    <w:rsid w:val="00F8476F"/>
    <w:rsid w:val="00F853E1"/>
    <w:rsid w:val="00F85604"/>
    <w:rsid w:val="00F94B7A"/>
    <w:rsid w:val="00FA17AC"/>
    <w:rsid w:val="00FA1D47"/>
    <w:rsid w:val="00FA32DE"/>
    <w:rsid w:val="00FA3382"/>
    <w:rsid w:val="00FA59CD"/>
    <w:rsid w:val="00FB1740"/>
    <w:rsid w:val="00FC1756"/>
    <w:rsid w:val="00FC5469"/>
    <w:rsid w:val="00FC6D7D"/>
    <w:rsid w:val="00FD16B0"/>
    <w:rsid w:val="00FD461F"/>
    <w:rsid w:val="00FD4FED"/>
    <w:rsid w:val="00FE0577"/>
    <w:rsid w:val="00FE59EC"/>
    <w:rsid w:val="00FE5B67"/>
    <w:rsid w:val="00FE60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1756"/>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semiHidden/>
    <w:unhideWhenUsed/>
    <w:rsid w:val="006C7068"/>
    <w:rPr>
      <w:vertAlign w:val="superscript"/>
    </w:rPr>
  </w:style>
  <w:style w:type="paragraph" w:customStyle="1" w:styleId="Rule">
    <w:name w:val="Rule"/>
    <w:link w:val="RuleChar"/>
    <w:rsid w:val="00187020"/>
    <w:pPr>
      <w:widowControl w:val="0"/>
      <w:tabs>
        <w:tab w:val="left" w:pos="720"/>
      </w:tabs>
      <w:spacing w:line="536" w:lineRule="exact"/>
    </w:pPr>
    <w:rPr>
      <w:sz w:val="24"/>
      <w:szCs w:val="24"/>
    </w:rPr>
  </w:style>
  <w:style w:type="character" w:customStyle="1" w:styleId="RuleChar">
    <w:name w:val="Rule Char"/>
    <w:link w:val="Rule"/>
    <w:rsid w:val="00187020"/>
    <w:rPr>
      <w:sz w:val="24"/>
      <w:szCs w:val="24"/>
    </w:rPr>
  </w:style>
  <w:style w:type="paragraph" w:customStyle="1" w:styleId="RuleHeader">
    <w:name w:val="Rule Header"/>
    <w:basedOn w:val="Rule"/>
    <w:rsid w:val="00187020"/>
    <w:pPr>
      <w:jc w:val="right"/>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1756"/>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semiHidden/>
    <w:unhideWhenUsed/>
    <w:rsid w:val="006C7068"/>
    <w:rPr>
      <w:vertAlign w:val="superscript"/>
    </w:rPr>
  </w:style>
  <w:style w:type="paragraph" w:customStyle="1" w:styleId="Rule">
    <w:name w:val="Rule"/>
    <w:link w:val="RuleChar"/>
    <w:rsid w:val="00187020"/>
    <w:pPr>
      <w:widowControl w:val="0"/>
      <w:tabs>
        <w:tab w:val="left" w:pos="720"/>
      </w:tabs>
      <w:spacing w:line="536" w:lineRule="exact"/>
    </w:pPr>
    <w:rPr>
      <w:sz w:val="24"/>
      <w:szCs w:val="24"/>
    </w:rPr>
  </w:style>
  <w:style w:type="character" w:customStyle="1" w:styleId="RuleChar">
    <w:name w:val="Rule Char"/>
    <w:link w:val="Rule"/>
    <w:rsid w:val="00187020"/>
    <w:rPr>
      <w:sz w:val="24"/>
      <w:szCs w:val="24"/>
    </w:rPr>
  </w:style>
  <w:style w:type="paragraph" w:customStyle="1" w:styleId="RuleHeader">
    <w:name w:val="Rule Header"/>
    <w:basedOn w:val="Rule"/>
    <w:rsid w:val="00187020"/>
    <w:pPr>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938942">
      <w:bodyDiv w:val="1"/>
      <w:marLeft w:val="0"/>
      <w:marRight w:val="0"/>
      <w:marTop w:val="0"/>
      <w:marBottom w:val="0"/>
      <w:divBdr>
        <w:top w:val="none" w:sz="0" w:space="0" w:color="auto"/>
        <w:left w:val="none" w:sz="0" w:space="0" w:color="auto"/>
        <w:bottom w:val="none" w:sz="0" w:space="0" w:color="auto"/>
        <w:right w:val="none" w:sz="0" w:space="0" w:color="auto"/>
      </w:divBdr>
    </w:div>
    <w:div w:id="301007372">
      <w:bodyDiv w:val="1"/>
      <w:marLeft w:val="0"/>
      <w:marRight w:val="0"/>
      <w:marTop w:val="0"/>
      <w:marBottom w:val="0"/>
      <w:divBdr>
        <w:top w:val="none" w:sz="0" w:space="0" w:color="auto"/>
        <w:left w:val="none" w:sz="0" w:space="0" w:color="auto"/>
        <w:bottom w:val="none" w:sz="0" w:space="0" w:color="auto"/>
        <w:right w:val="none" w:sz="0" w:space="0" w:color="auto"/>
      </w:divBdr>
    </w:div>
    <w:div w:id="349722610">
      <w:bodyDiv w:val="1"/>
      <w:marLeft w:val="0"/>
      <w:marRight w:val="0"/>
      <w:marTop w:val="0"/>
      <w:marBottom w:val="0"/>
      <w:divBdr>
        <w:top w:val="none" w:sz="0" w:space="0" w:color="auto"/>
        <w:left w:val="none" w:sz="0" w:space="0" w:color="auto"/>
        <w:bottom w:val="none" w:sz="0" w:space="0" w:color="auto"/>
        <w:right w:val="none" w:sz="0" w:space="0" w:color="auto"/>
      </w:divBdr>
    </w:div>
    <w:div w:id="932934108">
      <w:bodyDiv w:val="1"/>
      <w:marLeft w:val="0"/>
      <w:marRight w:val="0"/>
      <w:marTop w:val="0"/>
      <w:marBottom w:val="0"/>
      <w:divBdr>
        <w:top w:val="none" w:sz="0" w:space="0" w:color="auto"/>
        <w:left w:val="none" w:sz="0" w:space="0" w:color="auto"/>
        <w:bottom w:val="none" w:sz="0" w:space="0" w:color="auto"/>
        <w:right w:val="none" w:sz="0" w:space="0" w:color="auto"/>
      </w:divBdr>
    </w:div>
    <w:div w:id="1173297465">
      <w:bodyDiv w:val="1"/>
      <w:marLeft w:val="0"/>
      <w:marRight w:val="0"/>
      <w:marTop w:val="0"/>
      <w:marBottom w:val="0"/>
      <w:divBdr>
        <w:top w:val="none" w:sz="0" w:space="0" w:color="auto"/>
        <w:left w:val="none" w:sz="0" w:space="0" w:color="auto"/>
        <w:bottom w:val="none" w:sz="0" w:space="0" w:color="auto"/>
        <w:right w:val="none" w:sz="0" w:space="0" w:color="auto"/>
      </w:divBdr>
    </w:div>
    <w:div w:id="1771579568">
      <w:bodyDiv w:val="1"/>
      <w:marLeft w:val="0"/>
      <w:marRight w:val="0"/>
      <w:marTop w:val="0"/>
      <w:marBottom w:val="0"/>
      <w:divBdr>
        <w:top w:val="none" w:sz="0" w:space="0" w:color="auto"/>
        <w:left w:val="none" w:sz="0" w:space="0" w:color="auto"/>
        <w:bottom w:val="none" w:sz="0" w:space="0" w:color="auto"/>
        <w:right w:val="none" w:sz="0" w:space="0" w:color="auto"/>
      </w:divBdr>
      <w:divsChild>
        <w:div w:id="1471052540">
          <w:marLeft w:val="0"/>
          <w:marRight w:val="0"/>
          <w:marTop w:val="0"/>
          <w:marBottom w:val="0"/>
          <w:divBdr>
            <w:top w:val="none" w:sz="0" w:space="0" w:color="auto"/>
            <w:left w:val="none" w:sz="0" w:space="0" w:color="auto"/>
            <w:bottom w:val="none" w:sz="0" w:space="0" w:color="auto"/>
            <w:right w:val="none" w:sz="0" w:space="0" w:color="auto"/>
          </w:divBdr>
        </w:div>
        <w:div w:id="1022124322">
          <w:marLeft w:val="0"/>
          <w:marRight w:val="0"/>
          <w:marTop w:val="240"/>
          <w:marBottom w:val="0"/>
          <w:divBdr>
            <w:top w:val="none" w:sz="0" w:space="0" w:color="auto"/>
            <w:left w:val="none" w:sz="0" w:space="0" w:color="auto"/>
            <w:bottom w:val="none" w:sz="0" w:space="0" w:color="auto"/>
            <w:right w:val="none" w:sz="0" w:space="0" w:color="auto"/>
          </w:divBdr>
        </w:div>
      </w:divsChild>
    </w:div>
    <w:div w:id="1944146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image" Target="media/image2.JP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5.JP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4.JP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3.JPG"/><Relationship Id="rId27" Type="http://schemas.openxmlformats.org/officeDocument/2006/relationships/footer" Target="foot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8BE95F-9DA2-4648-9D66-8F369B31BE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(Regular).dotm</Template>
  <TotalTime>0</TotalTime>
  <Pages>16</Pages>
  <Words>3656</Words>
  <Characters>19873</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23483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Julie Phillips</dc:creator>
  <cp:lastModifiedBy>Julie Phillips</cp:lastModifiedBy>
  <cp:revision>2</cp:revision>
  <cp:lastPrinted>2019-08-27T19:01:00Z</cp:lastPrinted>
  <dcterms:created xsi:type="dcterms:W3CDTF">2019-08-27T19:06:00Z</dcterms:created>
  <dcterms:modified xsi:type="dcterms:W3CDTF">2019-08-27T19:06:00Z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20190041-WS</vt:lpwstr>
  </property>
  <property fmtid="{D5CDD505-2E9C-101B-9397-08002B2CF9AE}" pid="3" name="MasterDocument">
    <vt:bool>false</vt:bool>
  </property>
</Properties>
</file>