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408" w:rsidRDefault="00776408">
      <w:bookmarkStart w:id="0" w:name="_GoBack"/>
      <w:bookmarkEnd w:id="0"/>
    </w:p>
    <w:p w:rsidR="00776408" w:rsidRDefault="00776408"/>
    <w:p w:rsidR="00776408" w:rsidRDefault="00776408"/>
    <w:p w:rsidR="00776408" w:rsidRDefault="007764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493977C1" wp14:editId="3CB4158F">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D74E2">
            <w:pPr>
              <w:pStyle w:val="MemoHeading"/>
            </w:pPr>
            <w:bookmarkStart w:id="1" w:name="FilingDate"/>
            <w:r>
              <w:t>September 20,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D74E2" w:rsidRDefault="001D74E2">
            <w:pPr>
              <w:pStyle w:val="MemoHeading"/>
            </w:pPr>
            <w:bookmarkStart w:id="2" w:name="From"/>
            <w:r>
              <w:t>Division of Economics (Guffey, Coston)</w:t>
            </w:r>
          </w:p>
          <w:p w:rsidR="007C0528" w:rsidRDefault="001D74E2">
            <w:pPr>
              <w:pStyle w:val="MemoHeading"/>
            </w:pPr>
            <w:r>
              <w:t>Office of the General Counsel (Trierweiler)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D74E2">
            <w:pPr>
              <w:pStyle w:val="MemoHeadingRe"/>
            </w:pPr>
            <w:bookmarkStart w:id="3" w:name="Re"/>
            <w:r>
              <w:t xml:space="preserve">Docket No. 20190137-EU – Joint petition for approval of territorial agreement in Marion County, by </w:t>
            </w:r>
            <w:r w:rsidR="00C85394">
              <w:t>Clay</w:t>
            </w:r>
            <w:r>
              <w:t xml:space="preserve"> Electric Cooperative, Inc. and City of Ocala.</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D74E2">
            <w:pPr>
              <w:pStyle w:val="MemoHeading"/>
            </w:pPr>
            <w:bookmarkStart w:id="4" w:name="AgendaDate"/>
            <w:r>
              <w:t>10/03/19</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D74E2">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D74E2">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D74E2">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D74E2">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56417D" w:rsidRDefault="009944BC">
      <w:pPr>
        <w:pStyle w:val="BodyText"/>
      </w:pPr>
      <w:r>
        <w:t>On July 2, 2019</w:t>
      </w:r>
      <w:r w:rsidR="00C85394">
        <w:t>,</w:t>
      </w:r>
      <w:r>
        <w:t xml:space="preserve"> </w:t>
      </w:r>
      <w:r w:rsidR="00C85394">
        <w:t>Clay</w:t>
      </w:r>
      <w:r>
        <w:t xml:space="preserve"> Electric Cooperative, Inc. (</w:t>
      </w:r>
      <w:r w:rsidR="00C85394">
        <w:t>Clay</w:t>
      </w:r>
      <w:r>
        <w:t>) and the City of Ocala Electric Utility (Ocala), collectively the joint petitioners</w:t>
      </w:r>
      <w:r w:rsidR="00DD22A7">
        <w:t>,</w:t>
      </w:r>
      <w:r>
        <w:t xml:space="preserve"> filed a petition seeking </w:t>
      </w:r>
      <w:r w:rsidR="00392C82">
        <w:t xml:space="preserve">Commission </w:t>
      </w:r>
      <w:r>
        <w:t xml:space="preserve">approval of a territorial agreement </w:t>
      </w:r>
      <w:r w:rsidR="001D15D7">
        <w:t xml:space="preserve">(agreement) </w:t>
      </w:r>
      <w:r w:rsidR="00060569" w:rsidRPr="00060569">
        <w:t>delineating their respective modified service boundaries</w:t>
      </w:r>
      <w:r w:rsidR="00060569">
        <w:t xml:space="preserve"> </w:t>
      </w:r>
      <w:r>
        <w:t>in Mario</w:t>
      </w:r>
      <w:r w:rsidR="001D15D7">
        <w:t xml:space="preserve">n County. </w:t>
      </w:r>
      <w:r w:rsidR="00A540CB">
        <w:t xml:space="preserve">The proposed agreement, </w:t>
      </w:r>
      <w:r w:rsidR="00C77C12">
        <w:t>map depicting the current service territories and proposed changes</w:t>
      </w:r>
      <w:r w:rsidR="00A540CB">
        <w:t>,</w:t>
      </w:r>
      <w:r w:rsidR="00306D51">
        <w:t xml:space="preserve"> </w:t>
      </w:r>
      <w:r w:rsidR="00A540CB">
        <w:t>and w</w:t>
      </w:r>
      <w:r w:rsidR="00392C82">
        <w:t>ritten descriptions of the territorial boundaries are</w:t>
      </w:r>
      <w:r w:rsidR="00E62041">
        <w:t xml:space="preserve"> provided in </w:t>
      </w:r>
      <w:r w:rsidR="00A540CB">
        <w:t>Attachment A to this recommendation</w:t>
      </w:r>
      <w:r w:rsidR="00E62041">
        <w:t>.</w:t>
      </w:r>
      <w:r w:rsidR="00C77C12">
        <w:t xml:space="preserve"> </w:t>
      </w:r>
    </w:p>
    <w:p w:rsidR="00011C7E" w:rsidRDefault="0056417D">
      <w:pPr>
        <w:pStyle w:val="BodyText"/>
      </w:pPr>
      <w:r>
        <w:lastRenderedPageBreak/>
        <w:t xml:space="preserve">In 1986, the Commission approved a territorial agreement that established the boundaries for </w:t>
      </w:r>
      <w:r w:rsidR="00C85394">
        <w:t>Clay</w:t>
      </w:r>
      <w:r>
        <w:t xml:space="preserve"> and Ocala</w:t>
      </w:r>
      <w:r w:rsidR="003E11D5">
        <w:t>’s</w:t>
      </w:r>
      <w:r>
        <w:t xml:space="preserve"> service territories in Marion County.</w:t>
      </w:r>
      <w:r>
        <w:rPr>
          <w:rStyle w:val="FootnoteReference"/>
        </w:rPr>
        <w:footnoteReference w:id="1"/>
      </w:r>
      <w:r>
        <w:t xml:space="preserve"> </w:t>
      </w:r>
      <w:r w:rsidR="00011C7E">
        <w:t>The 1986 agreement</w:t>
      </w:r>
      <w:r w:rsidR="001D15D7">
        <w:t xml:space="preserve"> was a 2</w:t>
      </w:r>
      <w:r w:rsidR="00955639">
        <w:t xml:space="preserve">5-year </w:t>
      </w:r>
      <w:r w:rsidR="001D15D7">
        <w:t xml:space="preserve">agreement which </w:t>
      </w:r>
      <w:r w:rsidR="00955639">
        <w:t>was effective from January 7, 1987 to January 7, 2012.</w:t>
      </w:r>
      <w:r w:rsidR="001D15D7">
        <w:t xml:space="preserve"> </w:t>
      </w:r>
      <w:r w:rsidR="00DD22A7">
        <w:t>Since 2012, the parties</w:t>
      </w:r>
      <w:r w:rsidR="00C85394">
        <w:t xml:space="preserve"> state that they</w:t>
      </w:r>
      <w:r w:rsidR="00DD22A7">
        <w:t xml:space="preserve"> have continued to honor and operate pursuant to the terms of the 1986 agreement.</w:t>
      </w:r>
      <w:r w:rsidR="00060569">
        <w:t xml:space="preserve"> </w:t>
      </w:r>
      <w:r w:rsidR="00D45134" w:rsidRPr="00060569">
        <w:t>Pursuant to Section 6.1, t</w:t>
      </w:r>
      <w:r w:rsidR="00CA7939" w:rsidRPr="00060569">
        <w:t xml:space="preserve">he proposed agreement will </w:t>
      </w:r>
      <w:r w:rsidR="00D45134" w:rsidRPr="00060569">
        <w:t xml:space="preserve">be in effect </w:t>
      </w:r>
      <w:r w:rsidR="00CA7939" w:rsidRPr="00060569">
        <w:t>for a term of 25 years</w:t>
      </w:r>
      <w:r w:rsidR="00D45134" w:rsidRPr="00060569">
        <w:t xml:space="preserve"> from the date of the iss</w:t>
      </w:r>
      <w:r w:rsidR="005E7F16" w:rsidRPr="00060569">
        <w:t>uance of the Commission Order</w:t>
      </w:r>
      <w:r w:rsidR="00CA7939" w:rsidRPr="00060569">
        <w:t>.</w:t>
      </w:r>
      <w:r w:rsidR="00CA7939">
        <w:t xml:space="preserve"> </w:t>
      </w:r>
    </w:p>
    <w:p w:rsidR="007C0528" w:rsidRDefault="00011C7E" w:rsidP="00AA3803">
      <w:pPr>
        <w:jc w:val="both"/>
      </w:pPr>
      <w:r>
        <w:t xml:space="preserve">During the review of this joint petition, staff issued a data request </w:t>
      </w:r>
      <w:r w:rsidR="00DD22A7">
        <w:t xml:space="preserve">to </w:t>
      </w:r>
      <w:r w:rsidR="00C85394">
        <w:t>Clay</w:t>
      </w:r>
      <w:r>
        <w:t xml:space="preserve"> and Ocala on July 19, 2019, for which responses were received on August </w:t>
      </w:r>
      <w:r w:rsidR="00776408">
        <w:t>8</w:t>
      </w:r>
      <w:r>
        <w:t xml:space="preserve">, 2019. The responses have been placed in the docket file. The Commission has jurisdiction over this matter pursuant to Section 366.04, Florida Statutes (F.S.). </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A3803" w:rsidRDefault="00AA3803">
      <w:pPr>
        <w:pStyle w:val="IssueHeading"/>
        <w:rPr>
          <w:vanish/>
          <w:specVanish/>
        </w:rPr>
      </w:pPr>
      <w:r w:rsidRPr="004C3641">
        <w:t xml:space="preserve">Issue </w:t>
      </w:r>
      <w:fldSimple w:instr=" SEQ Issue \* MERGEFORMAT ">
        <w:r w:rsidR="002A3051">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2A3051">
        <w:rPr>
          <w:noProof/>
        </w:rPr>
        <w:instrText>1</w:instrText>
      </w:r>
      <w:r>
        <w:fldChar w:fldCharType="end"/>
      </w:r>
      <w:r>
        <w:tab/>
        <w:instrText xml:space="preserve">(Guffey)" \l 1 </w:instrText>
      </w:r>
      <w:r>
        <w:fldChar w:fldCharType="end"/>
      </w:r>
      <w:r>
        <w:t> </w:t>
      </w:r>
    </w:p>
    <w:p w:rsidR="00AA3803" w:rsidRDefault="00AA3803">
      <w:pPr>
        <w:pStyle w:val="BodyText"/>
      </w:pPr>
      <w:r>
        <w:t xml:space="preserve"> Should the Commission approve the </w:t>
      </w:r>
      <w:r w:rsidR="00392C82">
        <w:t xml:space="preserve">proposed amended territorial agreement between </w:t>
      </w:r>
      <w:r w:rsidR="00C85394">
        <w:t>Clay</w:t>
      </w:r>
      <w:r>
        <w:t xml:space="preserve"> and Ocala in Marion County?</w:t>
      </w:r>
    </w:p>
    <w:p w:rsidR="00AA3803" w:rsidRPr="004C3641" w:rsidRDefault="00AA3803">
      <w:pPr>
        <w:pStyle w:val="IssueSubsectionHeading"/>
        <w:rPr>
          <w:vanish/>
          <w:specVanish/>
        </w:rPr>
      </w:pPr>
      <w:r w:rsidRPr="004C3641">
        <w:t>Recommendation: </w:t>
      </w:r>
    </w:p>
    <w:p w:rsidR="00AA3803" w:rsidRDefault="00AA3803">
      <w:pPr>
        <w:pStyle w:val="BodyText"/>
      </w:pPr>
      <w:r>
        <w:t> </w:t>
      </w:r>
      <w:r w:rsidR="001D6247">
        <w:t>Yes, the Commission should approve the</w:t>
      </w:r>
      <w:r w:rsidR="00392C82">
        <w:t xml:space="preserve"> amended territorial agreement between </w:t>
      </w:r>
      <w:r w:rsidR="00C85394">
        <w:t>Clay</w:t>
      </w:r>
      <w:r w:rsidR="001D6247">
        <w:t xml:space="preserve"> and Ocala in Marion County. The proposed territorial agreement is in the public interest and it will enable </w:t>
      </w:r>
      <w:r w:rsidR="00C85394">
        <w:t>Clay</w:t>
      </w:r>
      <w:r w:rsidR="001D6247">
        <w:t xml:space="preserve"> and Ocala to serve their customers in an efficient manner.</w:t>
      </w:r>
      <w:r>
        <w:t xml:space="preserve"> (Guffey)</w:t>
      </w:r>
    </w:p>
    <w:p w:rsidR="00AA3803" w:rsidRPr="004C3641" w:rsidRDefault="00AA3803">
      <w:pPr>
        <w:pStyle w:val="IssueSubsectionHeading"/>
        <w:rPr>
          <w:vanish/>
          <w:specVanish/>
        </w:rPr>
      </w:pPr>
      <w:r w:rsidRPr="004C3641">
        <w:t>Staff Analysis: </w:t>
      </w:r>
    </w:p>
    <w:p w:rsidR="00AA3803" w:rsidRDefault="00AA3803">
      <w:pPr>
        <w:pStyle w:val="BodyText"/>
      </w:pPr>
      <w:r>
        <w:t> </w:t>
      </w:r>
      <w:r w:rsidR="006A6FC7">
        <w:t xml:space="preserve">Pursuant to Section 366.04(2)(d), F.S., and Rule 25-6.0440, Florida Administrative Code (F.A.C.), the Commission has the jurisdiction to approve territorial agreements between and among rural electric </w:t>
      </w:r>
      <w:r w:rsidR="009E47E1">
        <w:t>cooperatives</w:t>
      </w:r>
      <w:r w:rsidR="006A6FC7">
        <w:t>, municipal electric utilities, and other electric utilities. Unless the Commission determines that the agreement will cause a detriment to the public interest, the agreement should be approved.</w:t>
      </w:r>
      <w:r w:rsidR="006A6FC7">
        <w:rPr>
          <w:rStyle w:val="FootnoteReference"/>
        </w:rPr>
        <w:footnoteReference w:id="2"/>
      </w:r>
    </w:p>
    <w:p w:rsidR="00A8642E" w:rsidRDefault="00F214EE" w:rsidP="00E275D8">
      <w:pPr>
        <w:pStyle w:val="BodyText"/>
      </w:pPr>
      <w:r>
        <w:t xml:space="preserve">Prior to the 1986 agreement, parts of Marion County and </w:t>
      </w:r>
      <w:r w:rsidR="00DD22A7">
        <w:t xml:space="preserve">areas </w:t>
      </w:r>
      <w:r>
        <w:t xml:space="preserve">east of </w:t>
      </w:r>
      <w:r w:rsidR="00FA2618">
        <w:t xml:space="preserve">City of </w:t>
      </w:r>
      <w:r>
        <w:t xml:space="preserve">Ocala were being served by both utilities. The 1986 agreement delineated and </w:t>
      </w:r>
      <w:r w:rsidR="00C85394">
        <w:t xml:space="preserve">established </w:t>
      </w:r>
      <w:r w:rsidR="007B42F9">
        <w:t xml:space="preserve">specific </w:t>
      </w:r>
      <w:r w:rsidR="00C85394">
        <w:t>service territories</w:t>
      </w:r>
      <w:r>
        <w:t xml:space="preserve"> in Marion County </w:t>
      </w:r>
      <w:r w:rsidR="00CF6475">
        <w:t>for</w:t>
      </w:r>
      <w:r>
        <w:t xml:space="preserve"> </w:t>
      </w:r>
      <w:r w:rsidR="00C85394">
        <w:t>Clay</w:t>
      </w:r>
      <w:r>
        <w:t xml:space="preserve"> and Ocala.</w:t>
      </w:r>
      <w:r w:rsidR="00FA2618">
        <w:rPr>
          <w:rStyle w:val="FootnoteReference"/>
        </w:rPr>
        <w:footnoteReference w:id="3"/>
      </w:r>
      <w:r>
        <w:t xml:space="preserve"> In the instant docket, the parties </w:t>
      </w:r>
      <w:r w:rsidR="00DD22A7">
        <w:t xml:space="preserve">state that they </w:t>
      </w:r>
      <w:r>
        <w:t xml:space="preserve">have </w:t>
      </w:r>
      <w:r w:rsidR="004D2DB1">
        <w:t>made modest modifications to their service boundaries in order to</w:t>
      </w:r>
      <w:r w:rsidR="00FA2618">
        <w:t xml:space="preserve"> accurately reflect land development</w:t>
      </w:r>
      <w:r w:rsidR="003E11D5">
        <w:t xml:space="preserve"> that has </w:t>
      </w:r>
      <w:r w:rsidR="009F3A8B">
        <w:t>occurred</w:t>
      </w:r>
      <w:r w:rsidR="00FA2618">
        <w:t xml:space="preserve"> since </w:t>
      </w:r>
      <w:r w:rsidR="00C85394">
        <w:t>1986</w:t>
      </w:r>
      <w:r w:rsidR="002A23E8">
        <w:t xml:space="preserve"> and to</w:t>
      </w:r>
      <w:r w:rsidR="004D2DB1">
        <w:t xml:space="preserve"> provide </w:t>
      </w:r>
      <w:r w:rsidR="00FA2618">
        <w:t xml:space="preserve">reliable and </w:t>
      </w:r>
      <w:r w:rsidR="004D2DB1">
        <w:t>efficient service</w:t>
      </w:r>
      <w:r w:rsidR="00DD22A7">
        <w:t xml:space="preserve"> to the impacted customers</w:t>
      </w:r>
      <w:r w:rsidR="004D2DB1">
        <w:t xml:space="preserve">. </w:t>
      </w:r>
    </w:p>
    <w:p w:rsidR="00D10D2A" w:rsidRDefault="009935FB" w:rsidP="00E275D8">
      <w:pPr>
        <w:pStyle w:val="BodyText"/>
      </w:pPr>
      <w:r>
        <w:t xml:space="preserve">Through the proposed agreement, the joint petitioners </w:t>
      </w:r>
      <w:r w:rsidR="002A23E8">
        <w:t>will</w:t>
      </w:r>
      <w:r>
        <w:t xml:space="preserve"> </w:t>
      </w:r>
      <w:r w:rsidR="00374577">
        <w:t xml:space="preserve">transfer 30 </w:t>
      </w:r>
      <w:r w:rsidR="006A467D">
        <w:t xml:space="preserve">(25 residential and 5 general service commercial) customers </w:t>
      </w:r>
      <w:r w:rsidR="00374577">
        <w:t xml:space="preserve">from </w:t>
      </w:r>
      <w:r w:rsidR="00C85394">
        <w:t>Clay</w:t>
      </w:r>
      <w:r w:rsidR="00374577">
        <w:t xml:space="preserve"> to Ocala. </w:t>
      </w:r>
      <w:r w:rsidR="00444DB8">
        <w:t>In addition,</w:t>
      </w:r>
      <w:r w:rsidR="00FE7BAA">
        <w:t xml:space="preserve"> three</w:t>
      </w:r>
      <w:r w:rsidR="00BB763B">
        <w:t xml:space="preserve"> residential and </w:t>
      </w:r>
      <w:r w:rsidR="00FE7BAA">
        <w:t>two</w:t>
      </w:r>
      <w:r w:rsidR="00BB763B">
        <w:t xml:space="preserve"> general service commercial</w:t>
      </w:r>
      <w:r w:rsidR="00FE7BAA">
        <w:t xml:space="preserve"> Clay customers will be transferred to Ocala</w:t>
      </w:r>
      <w:r w:rsidR="006A467D">
        <w:t xml:space="preserve">. </w:t>
      </w:r>
      <w:r w:rsidR="00557581">
        <w:t xml:space="preserve">The joint petitioners </w:t>
      </w:r>
      <w:r w:rsidR="00CC55A0">
        <w:t xml:space="preserve">explained </w:t>
      </w:r>
      <w:r w:rsidR="00003CB4">
        <w:t xml:space="preserve">that customer transfers will be completed within 36 months of the order approving the </w:t>
      </w:r>
      <w:r w:rsidR="00FE7BAA">
        <w:t>agreement;</w:t>
      </w:r>
      <w:r w:rsidR="00003CB4">
        <w:t xml:space="preserve"> however, </w:t>
      </w:r>
      <w:r w:rsidR="00CC55A0">
        <w:t xml:space="preserve">to make the process easy and simple for customers, the utilities have agreed not to immediately transfer any customers. Customer transfers will occur when a customer applies for </w:t>
      </w:r>
      <w:r w:rsidR="003F3E00">
        <w:t xml:space="preserve">service at a </w:t>
      </w:r>
      <w:r w:rsidR="00CC55A0">
        <w:t xml:space="preserve">new </w:t>
      </w:r>
      <w:r w:rsidR="003F3E00">
        <w:t xml:space="preserve">location </w:t>
      </w:r>
      <w:r w:rsidR="00CC55A0">
        <w:t>or when a customer changes the type of account (i.e., residential to commercial</w:t>
      </w:r>
      <w:r w:rsidR="00003CB4">
        <w:t>)</w:t>
      </w:r>
      <w:r w:rsidR="00CC55A0">
        <w:t>.</w:t>
      </w:r>
      <w:r w:rsidR="007B4AE1">
        <w:rPr>
          <w:rStyle w:val="FootnoteReference"/>
        </w:rPr>
        <w:footnoteReference w:id="4"/>
      </w:r>
      <w:r w:rsidR="00557581">
        <w:t xml:space="preserve"> </w:t>
      </w:r>
      <w:r w:rsidR="00003CB4">
        <w:t>T</w:t>
      </w:r>
      <w:r w:rsidR="00CC55A0">
        <w:t xml:space="preserve">he joint petitioners </w:t>
      </w:r>
      <w:r w:rsidR="00003CB4">
        <w:t xml:space="preserve">further </w:t>
      </w:r>
      <w:r w:rsidR="00CC55A0">
        <w:t xml:space="preserve">stated that </w:t>
      </w:r>
      <w:r w:rsidR="00003CB4">
        <w:t xml:space="preserve">any customers not transferred as a result of a change in service or type of account </w:t>
      </w:r>
      <w:r w:rsidR="00CC55A0">
        <w:t xml:space="preserve">will be </w:t>
      </w:r>
      <w:r w:rsidR="00003CB4">
        <w:t>transferred</w:t>
      </w:r>
      <w:r w:rsidR="00CC55A0">
        <w:t xml:space="preserve"> </w:t>
      </w:r>
      <w:r w:rsidR="00003CB4">
        <w:t>prior to the expiration of the</w:t>
      </w:r>
      <w:r w:rsidR="00CC55A0">
        <w:t xml:space="preserve"> 36 months.</w:t>
      </w:r>
      <w:r w:rsidR="00D10D2A">
        <w:t xml:space="preserve"> In response to staff’s data request, the joint petitioners stated that when </w:t>
      </w:r>
      <w:r w:rsidR="00896529">
        <w:t>the 30 CEC customers are transferred to Ocala, they will be billed pursuant to Ocala’s approved tariffs and when five Ocala customers are transferred to CEC, they will be billed pursuant to CEC’s approved tariffs. No special or temporary tariff rates are anticipated for the transferred customers of both utilities.</w:t>
      </w:r>
      <w:r w:rsidR="00896529">
        <w:rPr>
          <w:rStyle w:val="FootnoteReference"/>
        </w:rPr>
        <w:footnoteReference w:id="5"/>
      </w:r>
    </w:p>
    <w:p w:rsidR="00A8642E" w:rsidRDefault="005E43DB" w:rsidP="00A8642E">
      <w:pPr>
        <w:pStyle w:val="BodyText"/>
      </w:pPr>
      <w:r>
        <w:t xml:space="preserve">The amended territorial agreement also contemplates the transfer of </w:t>
      </w:r>
      <w:r w:rsidR="00444DB8">
        <w:t xml:space="preserve">certain secondary service distribution </w:t>
      </w:r>
      <w:r>
        <w:t>facilities</w:t>
      </w:r>
      <w:r w:rsidR="00CF6475">
        <w:t xml:space="preserve"> between the parties</w:t>
      </w:r>
      <w:r>
        <w:t xml:space="preserve">. </w:t>
      </w:r>
      <w:r w:rsidR="00A8642E">
        <w:t>In response to staff’s data request, the petitioners stated t</w:t>
      </w:r>
      <w:r>
        <w:t xml:space="preserve">hese facilities have been </w:t>
      </w:r>
      <w:r w:rsidR="00444DB8">
        <w:t xml:space="preserve">fully </w:t>
      </w:r>
      <w:r>
        <w:t>depreciated due to age and condition and there</w:t>
      </w:r>
      <w:r w:rsidR="00444DB8">
        <w:t>fore</w:t>
      </w:r>
      <w:r>
        <w:t xml:space="preserve"> no purchase </w:t>
      </w:r>
      <w:r>
        <w:lastRenderedPageBreak/>
        <w:t>price</w:t>
      </w:r>
      <w:r w:rsidR="00444DB8">
        <w:t xml:space="preserve"> is assessed</w:t>
      </w:r>
      <w:r>
        <w:t xml:space="preserve">. </w:t>
      </w:r>
      <w:r w:rsidR="00444DB8" w:rsidRPr="00060569">
        <w:t>Rather, t</w:t>
      </w:r>
      <w:r w:rsidRPr="00060569">
        <w:t xml:space="preserve">he parties will exchange the facilities </w:t>
      </w:r>
      <w:r w:rsidR="00A8642E" w:rsidRPr="00060569">
        <w:t>on a like-kind basis.</w:t>
      </w:r>
      <w:r>
        <w:t xml:space="preserve"> </w:t>
      </w:r>
      <w:r w:rsidR="00A8642E">
        <w:t>The joint petitioners assert that the proposed amended territorial agreement will prevent uneconomic duplication of facilities</w:t>
      </w:r>
      <w:r w:rsidR="00C933D2">
        <w:t xml:space="preserve"> and</w:t>
      </w:r>
      <w:r w:rsidR="00444DB8">
        <w:t>,</w:t>
      </w:r>
      <w:r w:rsidR="00C933D2">
        <w:t xml:space="preserve"> </w:t>
      </w:r>
      <w:r w:rsidR="00A8642E" w:rsidRPr="005E7F16">
        <w:t>if approved, shall continue and remain in effect for a period of 25 years</w:t>
      </w:r>
      <w:r w:rsidR="005E7F16">
        <w:t xml:space="preserve"> from the date of the Commission</w:t>
      </w:r>
      <w:r w:rsidR="009F3A8B">
        <w:t>’s</w:t>
      </w:r>
      <w:r w:rsidR="005E7F16">
        <w:t xml:space="preserve"> Order</w:t>
      </w:r>
      <w:r w:rsidR="00A8642E" w:rsidRPr="005E7F16">
        <w:t>.</w:t>
      </w:r>
    </w:p>
    <w:p w:rsidR="00517080" w:rsidRDefault="00517080" w:rsidP="00517080">
      <w:pPr>
        <w:pStyle w:val="First-LevelSubheading"/>
      </w:pPr>
      <w:r>
        <w:t xml:space="preserve">Customer Notification </w:t>
      </w:r>
    </w:p>
    <w:p w:rsidR="00517080" w:rsidRDefault="00517080" w:rsidP="00A8642E">
      <w:pPr>
        <w:pStyle w:val="BodyText"/>
      </w:pPr>
      <w:r>
        <w:t>In accordance with Rule 25-6.0440(1)(d), F.A.C., the petitioners state that prior to the filing of this petition, the impacted customers were notified by mail of the transfer and provided a description of the differences in rates between Clay and Ocala</w:t>
      </w:r>
      <w:r w:rsidR="00991EA5">
        <w:t>.</w:t>
      </w:r>
      <w:r w:rsidR="00991EA5">
        <w:rPr>
          <w:rStyle w:val="FootnoteReference"/>
        </w:rPr>
        <w:footnoteReference w:id="6"/>
      </w:r>
      <w:r w:rsidR="00991EA5">
        <w:t xml:space="preserve"> In response to staff’s data request, the </w:t>
      </w:r>
      <w:r w:rsidR="00C22375">
        <w:t>utilities</w:t>
      </w:r>
      <w:r w:rsidR="00991EA5">
        <w:t xml:space="preserve"> </w:t>
      </w:r>
      <w:r w:rsidR="00C22375">
        <w:t>stated that they have not received any negative responses from impacted customers. The Commission has</w:t>
      </w:r>
      <w:r w:rsidR="00181FB0">
        <w:t xml:space="preserve"> not received any objections from impacted customers either. In response to staff’s data request, the petitioners </w:t>
      </w:r>
      <w:r w:rsidR="00991EA5">
        <w:t>provided updated customer notification letters.</w:t>
      </w:r>
      <w:r w:rsidR="00991EA5">
        <w:rPr>
          <w:rStyle w:val="FootnoteReference"/>
        </w:rPr>
        <w:footnoteReference w:id="7"/>
      </w:r>
      <w:r w:rsidR="00991EA5">
        <w:t xml:space="preserve"> </w:t>
      </w:r>
      <w:r w:rsidR="000424C8">
        <w:t>As of June 2018, the bill for a Clay residential customer using 1,000 kilowatt</w:t>
      </w:r>
      <w:r w:rsidR="002A23E8">
        <w:t>-</w:t>
      </w:r>
      <w:r w:rsidR="000424C8">
        <w:t xml:space="preserve">hours (kWh) per month was $112.90 and the bill for an Ocala residential customer using 1,000 kWh per month was $114.64. </w:t>
      </w:r>
    </w:p>
    <w:p w:rsidR="00D75107" w:rsidRDefault="00D75107" w:rsidP="00D75107">
      <w:pPr>
        <w:pStyle w:val="First-LevelSubheading"/>
      </w:pPr>
      <w:r>
        <w:t>Conclusion</w:t>
      </w:r>
    </w:p>
    <w:p w:rsidR="00BB763B" w:rsidRDefault="00BB763B" w:rsidP="00E275D8">
      <w:pPr>
        <w:pStyle w:val="BodyText"/>
      </w:pPr>
      <w:r>
        <w:t xml:space="preserve">After review of the petition and the petitioners’ joint responses to staff’s data request, staff believes that the proposed agreement is in the public interest and will enable </w:t>
      </w:r>
      <w:r w:rsidR="00C85394">
        <w:t>C</w:t>
      </w:r>
      <w:r w:rsidR="007B42F9">
        <w:t>lay</w:t>
      </w:r>
      <w:r>
        <w:t xml:space="preserve"> and Ocala to serve their </w:t>
      </w:r>
      <w:r w:rsidR="00C933D2">
        <w:t xml:space="preserve">current and future </w:t>
      </w:r>
      <w:r>
        <w:t>customers efficiently. I</w:t>
      </w:r>
      <w:r w:rsidR="00C933D2">
        <w:t>t</w:t>
      </w:r>
      <w:r>
        <w:t xml:space="preserve"> appears that the proposed agreement eliminates any potential uneconomic duplication of facilities and will not cause a decrease in reliability of electric service. As such, staff believes that the proposed agreement between </w:t>
      </w:r>
      <w:r w:rsidR="00C85394">
        <w:t>C</w:t>
      </w:r>
      <w:r w:rsidR="007B42F9">
        <w:t>lay</w:t>
      </w:r>
      <w:r>
        <w:t xml:space="preserve"> and Ocala will not cause a detriment to the public interest and recomme</w:t>
      </w:r>
      <w:r w:rsidR="00C933D2">
        <w:t>nds Commission approv</w:t>
      </w:r>
      <w:r w:rsidR="00EE392E">
        <w:t>al</w:t>
      </w:r>
      <w:r>
        <w:t>.</w:t>
      </w:r>
    </w:p>
    <w:p w:rsidR="00BB763B" w:rsidRDefault="00BB763B" w:rsidP="00E275D8">
      <w:pPr>
        <w:pStyle w:val="BodyText"/>
      </w:pPr>
      <w:r>
        <w:t xml:space="preserve"> </w:t>
      </w:r>
    </w:p>
    <w:p w:rsidR="00815E12" w:rsidRDefault="00815E12">
      <w:pPr>
        <w:pStyle w:val="IssueHeading"/>
        <w:rPr>
          <w:vanish/>
          <w:specVanish/>
        </w:rPr>
      </w:pPr>
      <w:r w:rsidRPr="004C3641">
        <w:rPr>
          <w:b w:val="0"/>
          <w:i w:val="0"/>
        </w:rPr>
        <w:br w:type="page"/>
      </w:r>
      <w:r w:rsidRPr="004C3641">
        <w:lastRenderedPageBreak/>
        <w:t xml:space="preserve">Issue </w:t>
      </w:r>
      <w:fldSimple w:instr=" SEQ Issue \* MERGEFORMAT ">
        <w:r w:rsidR="002A3051">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2A3051">
        <w:rPr>
          <w:noProof/>
        </w:rPr>
        <w:instrText>2</w:instrText>
      </w:r>
      <w:r>
        <w:fldChar w:fldCharType="end"/>
      </w:r>
      <w:r>
        <w:tab/>
        <w:instrText xml:space="preserve">(Trieweiler)" \l 1 </w:instrText>
      </w:r>
      <w:r>
        <w:fldChar w:fldCharType="end"/>
      </w:r>
      <w:r>
        <w:t> </w:t>
      </w:r>
    </w:p>
    <w:p w:rsidR="00815E12" w:rsidRDefault="00815E12">
      <w:pPr>
        <w:pStyle w:val="BodyText"/>
      </w:pPr>
      <w:r>
        <w:t> Should this docket be closed?</w:t>
      </w:r>
    </w:p>
    <w:p w:rsidR="00815E12" w:rsidRPr="004C3641" w:rsidRDefault="00815E12">
      <w:pPr>
        <w:pStyle w:val="IssueSubsectionHeading"/>
        <w:rPr>
          <w:vanish/>
          <w:specVanish/>
        </w:rPr>
      </w:pPr>
      <w:r w:rsidRPr="004C3641">
        <w:t>Recommendation: </w:t>
      </w:r>
    </w:p>
    <w:p w:rsidR="00815E12" w:rsidRDefault="00815E12">
      <w:pPr>
        <w:pStyle w:val="BodyText"/>
      </w:pPr>
      <w:r>
        <w:t> If no protest is filed by a person whose substantial interests are affected within 21 days of the issuance of the Order, this docket should be closed upon the issuance of a Consummating Order. (Trierweiler)</w:t>
      </w:r>
    </w:p>
    <w:p w:rsidR="00815E12" w:rsidRPr="004C3641" w:rsidRDefault="00815E12">
      <w:pPr>
        <w:pStyle w:val="IssueSubsectionHeading"/>
        <w:rPr>
          <w:vanish/>
          <w:specVanish/>
        </w:rPr>
      </w:pPr>
      <w:r w:rsidRPr="004C3641">
        <w:t>Staff Analysis: </w:t>
      </w:r>
    </w:p>
    <w:p w:rsidR="00815E12" w:rsidRDefault="00815E12">
      <w:pPr>
        <w:pStyle w:val="BodyText"/>
      </w:pPr>
      <w:r>
        <w:t> If no protest is filed by a person whose substantial interests are affected within 21 days of the issuance of the Order, this docket should be closed upon the issuance of a Consummating Order.</w:t>
      </w:r>
    </w:p>
    <w:p w:rsidR="00025793" w:rsidRDefault="00025793">
      <w:pPr>
        <w:pStyle w:val="BodyText"/>
        <w:sectPr w:rsidR="00025793"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7061D" w:rsidRDefault="0097061D">
      <w:pPr>
        <w:pStyle w:val="BodyText"/>
        <w:rPr>
          <w:noProof/>
        </w:rPr>
      </w:pPr>
      <w:r>
        <w:rPr>
          <w:noProof/>
        </w:rPr>
        <w:lastRenderedPageBreak/>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061D" w:rsidRDefault="0097061D">
      <w:pPr>
        <w:rPr>
          <w:noProof/>
        </w:rPr>
      </w:pPr>
      <w:r>
        <w:rPr>
          <w:noProof/>
        </w:rPr>
        <w:br w:type="page"/>
      </w:r>
    </w:p>
    <w:p w:rsidR="0097061D" w:rsidRDefault="002516DF">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061D" w:rsidRDefault="0097061D">
      <w:r>
        <w:br w:type="page"/>
      </w:r>
    </w:p>
    <w:p w:rsidR="0097061D" w:rsidRDefault="0097061D">
      <w:pPr>
        <w:pStyle w:val="BodyText"/>
      </w:pPr>
      <w:r>
        <w:rPr>
          <w:noProof/>
        </w:rPr>
        <w:lastRenderedPageBreak/>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061D" w:rsidRDefault="0097061D">
      <w:r>
        <w:br w:type="page"/>
      </w:r>
    </w:p>
    <w:p w:rsidR="0097061D" w:rsidRDefault="002516DF">
      <w:pPr>
        <w:pStyle w:val="BodyText"/>
      </w:pPr>
      <w:r>
        <w:rPr>
          <w:noProof/>
        </w:rPr>
        <w:lastRenderedPageBreak/>
        <w:drawing>
          <wp:inline distT="0" distB="0" distL="0" distR="0">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extent cx="5264150" cy="813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4150" cy="8138160"/>
                    </a:xfrm>
                    <a:prstGeom prst="rect">
                      <a:avLst/>
                    </a:prstGeom>
                  </pic:spPr>
                </pic:pic>
              </a:graphicData>
            </a:graphic>
          </wp:inline>
        </w:drawing>
      </w:r>
      <w:r>
        <w:rPr>
          <w:noProof/>
        </w:rPr>
        <w:lastRenderedPageBreak/>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97061D" w:rsidRDefault="0097061D">
      <w:r>
        <w:br w:type="page"/>
      </w:r>
    </w:p>
    <w:p w:rsidR="0097061D" w:rsidRDefault="0097061D">
      <w:pPr>
        <w:pStyle w:val="BodyText"/>
      </w:pPr>
      <w:r>
        <w:rPr>
          <w:noProof/>
        </w:rPr>
        <w:lastRenderedPageBreak/>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Maps_Page_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7061D" w:rsidRDefault="0097061D">
      <w:r>
        <w:br w:type="page"/>
      </w:r>
    </w:p>
    <w:p w:rsidR="00025793" w:rsidRDefault="00E1453A">
      <w:pPr>
        <w:pStyle w:val="BodyText"/>
      </w:pPr>
      <w:r>
        <w:rPr>
          <w:noProof/>
        </w:rPr>
        <w:lastRenderedPageBreak/>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2.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 &amp; Maps_Page_23.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5E12" w:rsidRDefault="00815E12" w:rsidP="00E275D8">
      <w:pPr>
        <w:pStyle w:val="BodyText"/>
      </w:pPr>
    </w:p>
    <w:sectPr w:rsidR="00815E12" w:rsidSect="0068481F">
      <w:headerReference w:type="default" r:id="rId3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4E2" w:rsidRDefault="001D74E2">
      <w:r>
        <w:separator/>
      </w:r>
    </w:p>
  </w:endnote>
  <w:endnote w:type="continuationSeparator" w:id="0">
    <w:p w:rsidR="001D74E2" w:rsidRDefault="001D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F06E8">
      <w:rPr>
        <w:rStyle w:val="PageNumber"/>
        <w:noProof/>
      </w:rPr>
      <w:t>28</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4E2" w:rsidRDefault="001D74E2">
      <w:r>
        <w:separator/>
      </w:r>
    </w:p>
  </w:footnote>
  <w:footnote w:type="continuationSeparator" w:id="0">
    <w:p w:rsidR="001D74E2" w:rsidRDefault="001D74E2">
      <w:r>
        <w:continuationSeparator/>
      </w:r>
    </w:p>
  </w:footnote>
  <w:footnote w:id="1">
    <w:p w:rsidR="0056417D" w:rsidRDefault="0056417D">
      <w:pPr>
        <w:pStyle w:val="FootnoteText"/>
      </w:pPr>
      <w:r>
        <w:rPr>
          <w:rStyle w:val="FootnoteReference"/>
        </w:rPr>
        <w:footnoteRef/>
      </w:r>
      <w:r>
        <w:t xml:space="preserve"> Order No. 16967, issued December 17, 1986, in Docket No. 860658-EU, </w:t>
      </w:r>
      <w:r w:rsidRPr="00011C7E">
        <w:rPr>
          <w:i/>
        </w:rPr>
        <w:t>In re: Joint Petition for Approval of Territorial Agreement Between the City of Ocala and Clay Electric Cooperative, Inc.</w:t>
      </w:r>
      <w:r>
        <w:t xml:space="preserve"> </w:t>
      </w:r>
    </w:p>
  </w:footnote>
  <w:footnote w:id="2">
    <w:p w:rsidR="006A6FC7" w:rsidRDefault="006A6FC7">
      <w:pPr>
        <w:pStyle w:val="FootnoteText"/>
      </w:pPr>
      <w:r>
        <w:rPr>
          <w:rStyle w:val="FootnoteReference"/>
        </w:rPr>
        <w:footnoteRef/>
      </w:r>
      <w:r>
        <w:t xml:space="preserve"> </w:t>
      </w:r>
      <w:r w:rsidRPr="00C22375">
        <w:rPr>
          <w:i/>
        </w:rPr>
        <w:t>Utilities Commission of the City of New Smyrna Beach v. Florida Public Service Commission</w:t>
      </w:r>
      <w:r>
        <w:t>, 469 So. 2d 731 (Fla. 1985).</w:t>
      </w:r>
    </w:p>
  </w:footnote>
  <w:footnote w:id="3">
    <w:p w:rsidR="00FA2618" w:rsidRDefault="00FA2618">
      <w:pPr>
        <w:pStyle w:val="FootnoteText"/>
      </w:pPr>
      <w:r>
        <w:rPr>
          <w:rStyle w:val="FootnoteReference"/>
        </w:rPr>
        <w:footnoteRef/>
      </w:r>
      <w:r>
        <w:t xml:space="preserve"> Order No. 16967, issued December 17, 1986, in Docket No. 860658-EU, </w:t>
      </w:r>
      <w:r w:rsidRPr="00011C7E">
        <w:rPr>
          <w:i/>
        </w:rPr>
        <w:t>In re: Joint Petition for Approval of Territorial Agreement Between the City of Ocala and Clay Electric Cooperative, Inc.</w:t>
      </w:r>
    </w:p>
  </w:footnote>
  <w:footnote w:id="4">
    <w:p w:rsidR="007B4AE1" w:rsidRDefault="007B4AE1">
      <w:pPr>
        <w:pStyle w:val="FootnoteText"/>
      </w:pPr>
      <w:r>
        <w:rPr>
          <w:rStyle w:val="FootnoteReference"/>
        </w:rPr>
        <w:footnoteRef/>
      </w:r>
      <w:r>
        <w:t xml:space="preserve"> Response #4 in Staff’s first Data Request.</w:t>
      </w:r>
    </w:p>
  </w:footnote>
  <w:footnote w:id="5">
    <w:p w:rsidR="00896529" w:rsidRDefault="00896529">
      <w:pPr>
        <w:pStyle w:val="FootnoteText"/>
      </w:pPr>
      <w:r>
        <w:rPr>
          <w:rStyle w:val="FootnoteReference"/>
        </w:rPr>
        <w:footnoteRef/>
      </w:r>
      <w:r>
        <w:t xml:space="preserve"> Joint response to questions 16 and 17 in Staff’s First Data Request.</w:t>
      </w:r>
    </w:p>
  </w:footnote>
  <w:footnote w:id="6">
    <w:p w:rsidR="00991EA5" w:rsidRDefault="00991EA5">
      <w:pPr>
        <w:pStyle w:val="FootnoteText"/>
      </w:pPr>
      <w:r>
        <w:rPr>
          <w:rStyle w:val="FootnoteReference"/>
        </w:rPr>
        <w:footnoteRef/>
      </w:r>
      <w:r>
        <w:t xml:space="preserve"> Exhibit D of the petition.</w:t>
      </w:r>
    </w:p>
  </w:footnote>
  <w:footnote w:id="7">
    <w:p w:rsidR="00991EA5" w:rsidRDefault="00991EA5">
      <w:pPr>
        <w:pStyle w:val="FootnoteText"/>
      </w:pPr>
      <w:r>
        <w:rPr>
          <w:rStyle w:val="FootnoteReference"/>
        </w:rPr>
        <w:footnoteRef/>
      </w:r>
      <w:r>
        <w:t xml:space="preserve"> </w:t>
      </w:r>
      <w:r w:rsidR="000424C8">
        <w:t xml:space="preserve">Response #13 and </w:t>
      </w:r>
      <w:r>
        <w:t xml:space="preserve">Exhibits 2 and 3 in response #14 </w:t>
      </w:r>
      <w:r w:rsidR="00306D51">
        <w:t>to</w:t>
      </w:r>
      <w:r>
        <w:t xml:space="preserve"> Staff’s First Data </w:t>
      </w:r>
      <w:r w:rsidR="000424C8">
        <w:t>Request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1D74E2"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20190137-EU</w:t>
    </w:r>
    <w:bookmarkEnd w:id="15"/>
  </w:p>
  <w:p w:rsidR="00BC402E" w:rsidRDefault="00BC402E">
    <w:pPr>
      <w:pStyle w:val="Header"/>
    </w:pPr>
    <w:r>
      <w:t xml:space="preserve">Date: </w:t>
    </w:r>
    <w:fldSimple w:instr=" REF FilingDate ">
      <w:r w:rsidR="002A3051">
        <w:t>September 20,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A3051">
      <w:t>Docket No.</w:t>
    </w:r>
    <w:r>
      <w:fldChar w:fldCharType="end"/>
    </w:r>
    <w:r>
      <w:t xml:space="preserve"> </w:t>
    </w:r>
    <w:r>
      <w:fldChar w:fldCharType="begin"/>
    </w:r>
    <w:r>
      <w:instrText xml:space="preserve"> REF DocketList</w:instrText>
    </w:r>
    <w:r>
      <w:fldChar w:fldCharType="separate"/>
    </w:r>
    <w:r w:rsidR="002A3051">
      <w:t>20190137-EU</w:t>
    </w:r>
    <w:r>
      <w:fldChar w:fldCharType="end"/>
    </w:r>
    <w:r>
      <w:tab/>
      <w:t xml:space="preserve">Issue </w:t>
    </w:r>
    <w:fldSimple w:instr=" Seq Issue \c \* Arabic ">
      <w:r w:rsidR="001F06E8">
        <w:rPr>
          <w:noProof/>
        </w:rPr>
        <w:t>2</w:t>
      </w:r>
    </w:fldSimple>
  </w:p>
  <w:p w:rsidR="00BC402E" w:rsidRDefault="00BC402E">
    <w:pPr>
      <w:pStyle w:val="Header"/>
    </w:pPr>
    <w:r>
      <w:t xml:space="preserve">Date: </w:t>
    </w:r>
    <w:fldSimple w:instr=" REF FilingDate ">
      <w:r w:rsidR="002A3051">
        <w:t>September 20,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793" w:rsidRDefault="00025793" w:rsidP="00220732">
    <w:pPr>
      <w:pStyle w:val="Header"/>
      <w:tabs>
        <w:tab w:val="clear" w:pos="4320"/>
        <w:tab w:val="clear" w:pos="8640"/>
        <w:tab w:val="right" w:pos="9360"/>
      </w:tabs>
    </w:pPr>
    <w:r>
      <w:fldChar w:fldCharType="begin"/>
    </w:r>
    <w:r>
      <w:instrText xml:space="preserve"> REF DocketLabel</w:instrText>
    </w:r>
    <w:r>
      <w:fldChar w:fldCharType="separate"/>
    </w:r>
    <w:r w:rsidR="002A3051">
      <w:t>Docket No.</w:t>
    </w:r>
    <w:r>
      <w:fldChar w:fldCharType="end"/>
    </w:r>
    <w:r>
      <w:t xml:space="preserve"> </w:t>
    </w:r>
    <w:r>
      <w:fldChar w:fldCharType="begin"/>
    </w:r>
    <w:r>
      <w:instrText xml:space="preserve"> REF DocketList</w:instrText>
    </w:r>
    <w:r>
      <w:fldChar w:fldCharType="separate"/>
    </w:r>
    <w:r w:rsidR="002A3051">
      <w:t>20190137-EU</w:t>
    </w:r>
    <w:r>
      <w:fldChar w:fldCharType="end"/>
    </w:r>
    <w:r>
      <w:tab/>
      <w:t>Attachment A</w:t>
    </w:r>
  </w:p>
  <w:p w:rsidR="00025793" w:rsidRDefault="00025793" w:rsidP="00257C8D">
    <w:pPr>
      <w:pStyle w:val="Header"/>
      <w:tabs>
        <w:tab w:val="left" w:pos="8010"/>
      </w:tabs>
    </w:pPr>
    <w:r>
      <w:t xml:space="preserve">Date: </w:t>
    </w:r>
    <w:fldSimple w:instr=" REF FilingDate ">
      <w:r w:rsidR="002A3051">
        <w:t>September 20, 2019</w:t>
      </w:r>
    </w:fldSimple>
    <w:r w:rsidR="00257C8D">
      <w:tab/>
    </w:r>
    <w:r w:rsidR="00257C8D">
      <w:tab/>
      <w:t xml:space="preserve">Page </w:t>
    </w:r>
    <w:r w:rsidR="00257C8D">
      <w:fldChar w:fldCharType="begin"/>
    </w:r>
    <w:r w:rsidR="00257C8D">
      <w:instrText xml:space="preserve">= </w:instrText>
    </w:r>
    <w:r w:rsidR="00257C8D">
      <w:fldChar w:fldCharType="begin"/>
    </w:r>
    <w:r w:rsidR="00257C8D">
      <w:instrText xml:space="preserve"> Page </w:instrText>
    </w:r>
    <w:r w:rsidR="00257C8D">
      <w:fldChar w:fldCharType="separate"/>
    </w:r>
    <w:r w:rsidR="001F06E8">
      <w:rPr>
        <w:noProof/>
      </w:rPr>
      <w:instrText>28</w:instrText>
    </w:r>
    <w:r w:rsidR="00257C8D">
      <w:fldChar w:fldCharType="end"/>
    </w:r>
    <w:r w:rsidR="00257C8D">
      <w:instrText xml:space="preserve">- 5 </w:instrText>
    </w:r>
    <w:r w:rsidR="00257C8D">
      <w:fldChar w:fldCharType="separate"/>
    </w:r>
    <w:r w:rsidR="001F06E8">
      <w:rPr>
        <w:noProof/>
      </w:rPr>
      <w:t>23</w:t>
    </w:r>
    <w:r w:rsidR="00257C8D">
      <w:fldChar w:fldCharType="end"/>
    </w:r>
    <w:r w:rsidR="00257C8D">
      <w:t xml:space="preserve"> of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D74E2"/>
    <w:rsid w:val="00003CB4"/>
    <w:rsid w:val="000043D5"/>
    <w:rsid w:val="00006170"/>
    <w:rsid w:val="00010E37"/>
    <w:rsid w:val="00011C7E"/>
    <w:rsid w:val="000172DA"/>
    <w:rsid w:val="000247C5"/>
    <w:rsid w:val="00025793"/>
    <w:rsid w:val="000277C2"/>
    <w:rsid w:val="00035B48"/>
    <w:rsid w:val="00036CE2"/>
    <w:rsid w:val="000424C8"/>
    <w:rsid w:val="000437FE"/>
    <w:rsid w:val="000513BE"/>
    <w:rsid w:val="00060569"/>
    <w:rsid w:val="00065A06"/>
    <w:rsid w:val="000666F3"/>
    <w:rsid w:val="00070DCB"/>
    <w:rsid w:val="00072CCA"/>
    <w:rsid w:val="00073120"/>
    <w:rsid w:val="000764D0"/>
    <w:rsid w:val="00081E12"/>
    <w:rsid w:val="000828D3"/>
    <w:rsid w:val="000A2B57"/>
    <w:rsid w:val="000A418B"/>
    <w:rsid w:val="000C4431"/>
    <w:rsid w:val="000C5DA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81FB0"/>
    <w:rsid w:val="00191E1F"/>
    <w:rsid w:val="00192943"/>
    <w:rsid w:val="001A7406"/>
    <w:rsid w:val="001B4FEE"/>
    <w:rsid w:val="001B51C5"/>
    <w:rsid w:val="001B6F3F"/>
    <w:rsid w:val="001C52B5"/>
    <w:rsid w:val="001D0D3E"/>
    <w:rsid w:val="001D15D7"/>
    <w:rsid w:val="001D6247"/>
    <w:rsid w:val="001D6E1F"/>
    <w:rsid w:val="001D74E2"/>
    <w:rsid w:val="001F06E8"/>
    <w:rsid w:val="001F2245"/>
    <w:rsid w:val="001F2C63"/>
    <w:rsid w:val="001F48C7"/>
    <w:rsid w:val="001F6DA1"/>
    <w:rsid w:val="002044E6"/>
    <w:rsid w:val="00205C82"/>
    <w:rsid w:val="00205DC2"/>
    <w:rsid w:val="00211A81"/>
    <w:rsid w:val="00212B17"/>
    <w:rsid w:val="002163B6"/>
    <w:rsid w:val="00220732"/>
    <w:rsid w:val="00221D32"/>
    <w:rsid w:val="00225C3F"/>
    <w:rsid w:val="002516DF"/>
    <w:rsid w:val="00257C8D"/>
    <w:rsid w:val="00263D44"/>
    <w:rsid w:val="002702AD"/>
    <w:rsid w:val="00292D82"/>
    <w:rsid w:val="002963CB"/>
    <w:rsid w:val="002A23E8"/>
    <w:rsid w:val="002A3051"/>
    <w:rsid w:val="002B4A01"/>
    <w:rsid w:val="002D226D"/>
    <w:rsid w:val="002F6030"/>
    <w:rsid w:val="003037E1"/>
    <w:rsid w:val="00306D51"/>
    <w:rsid w:val="00307E51"/>
    <w:rsid w:val="003103EC"/>
    <w:rsid w:val="003144EF"/>
    <w:rsid w:val="00322F74"/>
    <w:rsid w:val="00340073"/>
    <w:rsid w:val="003632FD"/>
    <w:rsid w:val="00372805"/>
    <w:rsid w:val="00373180"/>
    <w:rsid w:val="00374577"/>
    <w:rsid w:val="00375AB9"/>
    <w:rsid w:val="003821A0"/>
    <w:rsid w:val="00385B04"/>
    <w:rsid w:val="003864CF"/>
    <w:rsid w:val="00392C82"/>
    <w:rsid w:val="003A22A6"/>
    <w:rsid w:val="003A5494"/>
    <w:rsid w:val="003B2510"/>
    <w:rsid w:val="003C2CC4"/>
    <w:rsid w:val="003C3710"/>
    <w:rsid w:val="003E0EFC"/>
    <w:rsid w:val="003E11D5"/>
    <w:rsid w:val="003E4A2B"/>
    <w:rsid w:val="003E76C2"/>
    <w:rsid w:val="003F1679"/>
    <w:rsid w:val="003F21EB"/>
    <w:rsid w:val="003F3E00"/>
    <w:rsid w:val="003F4A35"/>
    <w:rsid w:val="003F7FDD"/>
    <w:rsid w:val="00402481"/>
    <w:rsid w:val="004042B4"/>
    <w:rsid w:val="00410DC4"/>
    <w:rsid w:val="00412DAE"/>
    <w:rsid w:val="004242E6"/>
    <w:rsid w:val="00431598"/>
    <w:rsid w:val="004319AD"/>
    <w:rsid w:val="004426B8"/>
    <w:rsid w:val="00444432"/>
    <w:rsid w:val="00444DB8"/>
    <w:rsid w:val="00471860"/>
    <w:rsid w:val="00477026"/>
    <w:rsid w:val="004910AD"/>
    <w:rsid w:val="004A744D"/>
    <w:rsid w:val="004B60BD"/>
    <w:rsid w:val="004C3150"/>
    <w:rsid w:val="004C3641"/>
    <w:rsid w:val="004C4390"/>
    <w:rsid w:val="004C4AF7"/>
    <w:rsid w:val="004D2881"/>
    <w:rsid w:val="004D2DB1"/>
    <w:rsid w:val="004D385F"/>
    <w:rsid w:val="004D5B39"/>
    <w:rsid w:val="004E330D"/>
    <w:rsid w:val="004E5147"/>
    <w:rsid w:val="004E69B5"/>
    <w:rsid w:val="004F5C43"/>
    <w:rsid w:val="0050652D"/>
    <w:rsid w:val="00506C03"/>
    <w:rsid w:val="00511A11"/>
    <w:rsid w:val="00516496"/>
    <w:rsid w:val="00517080"/>
    <w:rsid w:val="00523B11"/>
    <w:rsid w:val="0052572A"/>
    <w:rsid w:val="00532DFB"/>
    <w:rsid w:val="0053764A"/>
    <w:rsid w:val="00543CB3"/>
    <w:rsid w:val="005442E4"/>
    <w:rsid w:val="0055529B"/>
    <w:rsid w:val="00557581"/>
    <w:rsid w:val="00560FF0"/>
    <w:rsid w:val="005614BD"/>
    <w:rsid w:val="0056417D"/>
    <w:rsid w:val="0057154F"/>
    <w:rsid w:val="00580F69"/>
    <w:rsid w:val="00581CA3"/>
    <w:rsid w:val="00586B1D"/>
    <w:rsid w:val="00587A44"/>
    <w:rsid w:val="00597730"/>
    <w:rsid w:val="005977EC"/>
    <w:rsid w:val="00597DE7"/>
    <w:rsid w:val="005A4AA2"/>
    <w:rsid w:val="005B34B6"/>
    <w:rsid w:val="005B6C8F"/>
    <w:rsid w:val="005B6EC3"/>
    <w:rsid w:val="005D0F74"/>
    <w:rsid w:val="005D2E7D"/>
    <w:rsid w:val="005D4A8F"/>
    <w:rsid w:val="005D561B"/>
    <w:rsid w:val="005D5ECF"/>
    <w:rsid w:val="005E43DB"/>
    <w:rsid w:val="005E7F16"/>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A467D"/>
    <w:rsid w:val="006A6FC7"/>
    <w:rsid w:val="006B3947"/>
    <w:rsid w:val="006B4293"/>
    <w:rsid w:val="006B624F"/>
    <w:rsid w:val="006C0C95"/>
    <w:rsid w:val="006C31E3"/>
    <w:rsid w:val="006D18D3"/>
    <w:rsid w:val="006D4834"/>
    <w:rsid w:val="006E08CB"/>
    <w:rsid w:val="006E598D"/>
    <w:rsid w:val="0070437D"/>
    <w:rsid w:val="00704CF1"/>
    <w:rsid w:val="00705B04"/>
    <w:rsid w:val="00724992"/>
    <w:rsid w:val="00734820"/>
    <w:rsid w:val="007349DC"/>
    <w:rsid w:val="0074365E"/>
    <w:rsid w:val="00744B55"/>
    <w:rsid w:val="007515FD"/>
    <w:rsid w:val="00760D80"/>
    <w:rsid w:val="00776408"/>
    <w:rsid w:val="00780C09"/>
    <w:rsid w:val="00780DDF"/>
    <w:rsid w:val="007834E9"/>
    <w:rsid w:val="00787DBC"/>
    <w:rsid w:val="0079019A"/>
    <w:rsid w:val="00792935"/>
    <w:rsid w:val="007A04A1"/>
    <w:rsid w:val="007A1840"/>
    <w:rsid w:val="007B1E2B"/>
    <w:rsid w:val="007B42F9"/>
    <w:rsid w:val="007B4AE1"/>
    <w:rsid w:val="007C0528"/>
    <w:rsid w:val="007C3D38"/>
    <w:rsid w:val="007D0F35"/>
    <w:rsid w:val="007D4FEB"/>
    <w:rsid w:val="007D6146"/>
    <w:rsid w:val="007E0CE7"/>
    <w:rsid w:val="007F1193"/>
    <w:rsid w:val="007F417F"/>
    <w:rsid w:val="007F7644"/>
    <w:rsid w:val="008042BD"/>
    <w:rsid w:val="008118CB"/>
    <w:rsid w:val="00815E12"/>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96529"/>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5639"/>
    <w:rsid w:val="009656F2"/>
    <w:rsid w:val="00966A08"/>
    <w:rsid w:val="0097061D"/>
    <w:rsid w:val="00971207"/>
    <w:rsid w:val="00975CB4"/>
    <w:rsid w:val="009863B0"/>
    <w:rsid w:val="00987DE1"/>
    <w:rsid w:val="00990571"/>
    <w:rsid w:val="00991EA5"/>
    <w:rsid w:val="009935FB"/>
    <w:rsid w:val="009944BC"/>
    <w:rsid w:val="0099673A"/>
    <w:rsid w:val="009A3330"/>
    <w:rsid w:val="009A7C96"/>
    <w:rsid w:val="009C3DB9"/>
    <w:rsid w:val="009D46E5"/>
    <w:rsid w:val="009D568A"/>
    <w:rsid w:val="009E47E1"/>
    <w:rsid w:val="009F04EC"/>
    <w:rsid w:val="009F2A7C"/>
    <w:rsid w:val="009F3A8B"/>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0CB"/>
    <w:rsid w:val="00A5442F"/>
    <w:rsid w:val="00A54FF9"/>
    <w:rsid w:val="00A56765"/>
    <w:rsid w:val="00A675AC"/>
    <w:rsid w:val="00A7581F"/>
    <w:rsid w:val="00A8642E"/>
    <w:rsid w:val="00A92FB1"/>
    <w:rsid w:val="00A95A0C"/>
    <w:rsid w:val="00AA2765"/>
    <w:rsid w:val="00AA3803"/>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B763B"/>
    <w:rsid w:val="00BC188A"/>
    <w:rsid w:val="00BC402E"/>
    <w:rsid w:val="00BD0F48"/>
    <w:rsid w:val="00BE6DDB"/>
    <w:rsid w:val="00BF3C3F"/>
    <w:rsid w:val="00BF5010"/>
    <w:rsid w:val="00BF78E4"/>
    <w:rsid w:val="00C03D5F"/>
    <w:rsid w:val="00C13791"/>
    <w:rsid w:val="00C22375"/>
    <w:rsid w:val="00C31BB3"/>
    <w:rsid w:val="00C36977"/>
    <w:rsid w:val="00C467DA"/>
    <w:rsid w:val="00C477D9"/>
    <w:rsid w:val="00C60BA3"/>
    <w:rsid w:val="00C623F7"/>
    <w:rsid w:val="00C75BC5"/>
    <w:rsid w:val="00C77C12"/>
    <w:rsid w:val="00C81670"/>
    <w:rsid w:val="00C81773"/>
    <w:rsid w:val="00C82861"/>
    <w:rsid w:val="00C85394"/>
    <w:rsid w:val="00C86896"/>
    <w:rsid w:val="00C907A8"/>
    <w:rsid w:val="00C93211"/>
    <w:rsid w:val="00C933D2"/>
    <w:rsid w:val="00C942EC"/>
    <w:rsid w:val="00C96047"/>
    <w:rsid w:val="00C979D0"/>
    <w:rsid w:val="00CA0818"/>
    <w:rsid w:val="00CA15C8"/>
    <w:rsid w:val="00CA2C8F"/>
    <w:rsid w:val="00CA30DA"/>
    <w:rsid w:val="00CA3A24"/>
    <w:rsid w:val="00CA7939"/>
    <w:rsid w:val="00CB1777"/>
    <w:rsid w:val="00CB33E9"/>
    <w:rsid w:val="00CC10A9"/>
    <w:rsid w:val="00CC55A0"/>
    <w:rsid w:val="00CE2BF8"/>
    <w:rsid w:val="00CE484E"/>
    <w:rsid w:val="00CE656F"/>
    <w:rsid w:val="00CF0DA8"/>
    <w:rsid w:val="00CF2E25"/>
    <w:rsid w:val="00CF4453"/>
    <w:rsid w:val="00CF5D94"/>
    <w:rsid w:val="00CF6475"/>
    <w:rsid w:val="00CF7E0F"/>
    <w:rsid w:val="00D034D7"/>
    <w:rsid w:val="00D04BE4"/>
    <w:rsid w:val="00D06FC7"/>
    <w:rsid w:val="00D10D2A"/>
    <w:rsid w:val="00D12565"/>
    <w:rsid w:val="00D14127"/>
    <w:rsid w:val="00D45134"/>
    <w:rsid w:val="00D60B16"/>
    <w:rsid w:val="00D60F02"/>
    <w:rsid w:val="00D66E49"/>
    <w:rsid w:val="00D70D71"/>
    <w:rsid w:val="00D72F74"/>
    <w:rsid w:val="00D75107"/>
    <w:rsid w:val="00D81563"/>
    <w:rsid w:val="00D85907"/>
    <w:rsid w:val="00D9073E"/>
    <w:rsid w:val="00D9221D"/>
    <w:rsid w:val="00D958DF"/>
    <w:rsid w:val="00D96DA1"/>
    <w:rsid w:val="00DA51E7"/>
    <w:rsid w:val="00DB0260"/>
    <w:rsid w:val="00DB1C78"/>
    <w:rsid w:val="00DB7D96"/>
    <w:rsid w:val="00DC23FE"/>
    <w:rsid w:val="00DC59E6"/>
    <w:rsid w:val="00DD150B"/>
    <w:rsid w:val="00DD22A7"/>
    <w:rsid w:val="00DD5025"/>
    <w:rsid w:val="00DF1510"/>
    <w:rsid w:val="00E02F1F"/>
    <w:rsid w:val="00E06484"/>
    <w:rsid w:val="00E1453A"/>
    <w:rsid w:val="00E20A7D"/>
    <w:rsid w:val="00E275D8"/>
    <w:rsid w:val="00E30F6A"/>
    <w:rsid w:val="00E3117C"/>
    <w:rsid w:val="00E375CA"/>
    <w:rsid w:val="00E567E8"/>
    <w:rsid w:val="00E62041"/>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E392E"/>
    <w:rsid w:val="00EF264C"/>
    <w:rsid w:val="00EF3FEE"/>
    <w:rsid w:val="00F04B59"/>
    <w:rsid w:val="00F11741"/>
    <w:rsid w:val="00F12B1C"/>
    <w:rsid w:val="00F13CF8"/>
    <w:rsid w:val="00F15855"/>
    <w:rsid w:val="00F1692F"/>
    <w:rsid w:val="00F200B2"/>
    <w:rsid w:val="00F214EE"/>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2618"/>
    <w:rsid w:val="00FA32DE"/>
    <w:rsid w:val="00FA3382"/>
    <w:rsid w:val="00FA59CD"/>
    <w:rsid w:val="00FB1740"/>
    <w:rsid w:val="00FC5469"/>
    <w:rsid w:val="00FC6D7D"/>
    <w:rsid w:val="00FD16B0"/>
    <w:rsid w:val="00FD4FED"/>
    <w:rsid w:val="00FE0577"/>
    <w:rsid w:val="00FE59EC"/>
    <w:rsid w:val="00FE5B67"/>
    <w:rsid w:val="00FE60D6"/>
    <w:rsid w:val="00FE7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641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5641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8017-2261-4026-B0D0-3484356E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28</Pages>
  <Words>1074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2019-09-18T12:20:00Z</cp:lastPrinted>
  <dcterms:created xsi:type="dcterms:W3CDTF">2019-09-20T13:41:00Z</dcterms:created>
  <dcterms:modified xsi:type="dcterms:W3CDTF">2019-09-20T13:41:00Z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20190137-EU</vt:lpwstr>
  </property>
  <property fmtid="{D5CDD505-2E9C-101B-9397-08002B2CF9AE}" pid="3" name="MasterDocument">
    <vt:bool>false</vt:bool>
  </property>
</Properties>
</file>