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9675AA">
            <w:pPr>
              <w:pStyle w:val="MemoHeading"/>
            </w:pPr>
            <w:bookmarkStart w:id="1" w:name="FilingDate"/>
            <w:r>
              <w:t>January 23,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9675AA" w:rsidRDefault="009675AA">
            <w:pPr>
              <w:pStyle w:val="MemoHeading"/>
            </w:pPr>
            <w:bookmarkStart w:id="2" w:name="From"/>
            <w:r>
              <w:t>Division of Economics (Guffey)</w:t>
            </w:r>
          </w:p>
          <w:p w:rsidR="007C0528" w:rsidRDefault="009675AA">
            <w:pPr>
              <w:pStyle w:val="MemoHeading"/>
            </w:pPr>
            <w:r>
              <w:t>Office of the General Counsel (Lherisson)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9675AA">
            <w:pPr>
              <w:pStyle w:val="MemoHeadingRe"/>
            </w:pPr>
            <w:bookmarkStart w:id="3" w:name="Re"/>
            <w:r>
              <w:t>Docket No. 20190201-GU – Petition for authority for approval of revised transportation nomination tariffs, by Florida Public Utilities Company and Florida Public Utilities Company-Fort Meade.</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9675AA">
            <w:pPr>
              <w:pStyle w:val="MemoHeading"/>
            </w:pPr>
            <w:bookmarkStart w:id="4" w:name="AgendaDate"/>
            <w:r>
              <w:t>02/04/20</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9675AA">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9675AA">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9675AA" w:rsidP="001A1E75">
            <w:pPr>
              <w:pStyle w:val="MemoHeading"/>
            </w:pPr>
            <w:bookmarkStart w:id="9" w:name="CriticalDates"/>
            <w:r>
              <w:t xml:space="preserve">01/07/20 (60-Day Suspension Date waived by the </w:t>
            </w:r>
            <w:r w:rsidR="001A1E75">
              <w:t>company</w:t>
            </w:r>
            <w:r>
              <w:t xml:space="preserve"> until 2/4/2020.)</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9675A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FC3203">
      <w:pPr>
        <w:pStyle w:val="BodyText"/>
      </w:pPr>
      <w:r>
        <w:t xml:space="preserve">On November 8, 2019, Florida Public Utilities Company (FPUC) and Florida Public Utilities Company-Fort Meade (FPUC-Fort Meade) </w:t>
      </w:r>
      <w:r w:rsidR="00320ECB">
        <w:t>(</w:t>
      </w:r>
      <w:r>
        <w:t>collectively</w:t>
      </w:r>
      <w:r w:rsidR="00320ECB">
        <w:t xml:space="preserve"> Companies)</w:t>
      </w:r>
      <w:r>
        <w:t xml:space="preserve"> filed a petition </w:t>
      </w:r>
      <w:r w:rsidR="00320ECB">
        <w:t>for</w:t>
      </w:r>
      <w:r>
        <w:t xml:space="preserve"> approval of revised tariffs related to </w:t>
      </w:r>
      <w:r w:rsidR="009D5DD7">
        <w:t xml:space="preserve">gas </w:t>
      </w:r>
      <w:r>
        <w:t>transportation nomination</w:t>
      </w:r>
      <w:r w:rsidR="00320ECB">
        <w:t xml:space="preserve"> methodology</w:t>
      </w:r>
      <w:r>
        <w:t xml:space="preserve">. The </w:t>
      </w:r>
      <w:r w:rsidR="00E0731A">
        <w:t xml:space="preserve">intent of the </w:t>
      </w:r>
      <w:r>
        <w:t xml:space="preserve">revised tariffs </w:t>
      </w:r>
      <w:r w:rsidR="00E0731A">
        <w:t>is to</w:t>
      </w:r>
      <w:r>
        <w:t xml:space="preserve"> </w:t>
      </w:r>
      <w:r w:rsidR="00E0731A">
        <w:t>allow</w:t>
      </w:r>
      <w:r w:rsidR="009D5DD7">
        <w:t xml:space="preserve"> pool managers one mid-month </w:t>
      </w:r>
      <w:r w:rsidR="00E0731A">
        <w:t xml:space="preserve">gas </w:t>
      </w:r>
      <w:r w:rsidR="009D5DD7">
        <w:t>nomination change, no later than the 15</w:t>
      </w:r>
      <w:r w:rsidR="009D5DD7" w:rsidRPr="009D5DD7">
        <w:rPr>
          <w:vertAlign w:val="superscript"/>
        </w:rPr>
        <w:t>th</w:t>
      </w:r>
      <w:r w:rsidR="009D5DD7">
        <w:t xml:space="preserve"> of each month</w:t>
      </w:r>
      <w:r w:rsidR="003435A8">
        <w:t>,</w:t>
      </w:r>
      <w:r w:rsidR="009D5DD7">
        <w:t xml:space="preserve"> to adjust the quantities of gas delivered to FPUC and FPUC-Fort Meade. </w:t>
      </w:r>
    </w:p>
    <w:p w:rsidR="000A0294" w:rsidRDefault="000A0294" w:rsidP="000A0294">
      <w:pPr>
        <w:pStyle w:val="BodyText"/>
      </w:pPr>
      <w:r>
        <w:t xml:space="preserve">Gas is delivered by the pool managers to the </w:t>
      </w:r>
      <w:r w:rsidR="00E34915">
        <w:t>Local Distribution Company’s (</w:t>
      </w:r>
      <w:r>
        <w:t>LDC</w:t>
      </w:r>
      <w:r w:rsidR="00E34915">
        <w:t>)</w:t>
      </w:r>
      <w:r>
        <w:t xml:space="preserve"> gate station at a constant level daily even though transportation customers’ daily therm usage varies, creating negative or positive imbalances. At the end of each month, the Companies calculate each pool manager’s imbalance level by aggregating customer usage in their pool and comparing it to </w:t>
      </w:r>
      <w:r w:rsidR="00E34915">
        <w:t>each</w:t>
      </w:r>
      <w:r>
        <w:t xml:space="preserve"> pool manager’s natural gas deliveries. </w:t>
      </w:r>
    </w:p>
    <w:p w:rsidR="000A0294" w:rsidRDefault="000A0294" w:rsidP="000A0294">
      <w:pPr>
        <w:pStyle w:val="BodyText"/>
      </w:pPr>
      <w:r>
        <w:lastRenderedPageBreak/>
        <w:t>A negative (short) imbalance results when the gas consumption of a transportation customer pool exceeds what the pool manager delivered that month; therefore, the Companies sell natural gas to the pool manager. A positive (long) imbalance results when more natural gas was delivered than was needed for the transportation customers; therefore, the Companies purchase the excess gas delivered by the pool manager.</w:t>
      </w:r>
    </w:p>
    <w:p w:rsidR="009D5DD7" w:rsidRDefault="009D5DD7">
      <w:pPr>
        <w:pStyle w:val="BodyText"/>
      </w:pPr>
      <w:r>
        <w:t>During the review process of th</w:t>
      </w:r>
      <w:r w:rsidR="00320ECB">
        <w:t>e</w:t>
      </w:r>
      <w:r>
        <w:t xml:space="preserve"> petition, </w:t>
      </w:r>
      <w:r w:rsidR="00320ECB">
        <w:t xml:space="preserve">Commission </w:t>
      </w:r>
      <w:r>
        <w:t xml:space="preserve">staff issued a data request to the </w:t>
      </w:r>
      <w:r w:rsidR="00320ECB">
        <w:t>Companies</w:t>
      </w:r>
      <w:r w:rsidR="00C915D4">
        <w:t>,</w:t>
      </w:r>
      <w:r>
        <w:t xml:space="preserve"> for which the responses were received on </w:t>
      </w:r>
      <w:r w:rsidR="009741CA">
        <w:t>December 19, 2019</w:t>
      </w:r>
      <w:r>
        <w:t xml:space="preserve">. The revised tariff pages of FPUC are in Attachment 1 and revised tariff pages for FPUC-Fort Meade are in Attachment 2 to this recommendation. </w:t>
      </w:r>
      <w:r w:rsidR="00C915D4">
        <w:t>On November 15, 2019, t</w:t>
      </w:r>
      <w:r>
        <w:t xml:space="preserve">he </w:t>
      </w:r>
      <w:r w:rsidR="003435A8">
        <w:t>Companies</w:t>
      </w:r>
      <w:r>
        <w:t xml:space="preserve"> provided </w:t>
      </w:r>
      <w:r w:rsidR="00C915D4">
        <w:t xml:space="preserve">a waiver of </w:t>
      </w:r>
      <w:r>
        <w:t>the 60-day file and suspend provision of Section 366.06(3), Florida Statu</w:t>
      </w:r>
      <w:r w:rsidR="0099213C">
        <w:t>t</w:t>
      </w:r>
      <w:r>
        <w:t>es (F.S.)</w:t>
      </w:r>
      <w:r w:rsidR="00E34915">
        <w:t>,</w:t>
      </w:r>
      <w:r w:rsidR="003435A8">
        <w:t xml:space="preserve"> until the February 4, 2020 Agenda Conference</w:t>
      </w:r>
      <w:r>
        <w:t>. The Commission has jurisdiction over this matter pursuant to Sections 366.03, 366.04, 366.05, and 366.06,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0609B" w:rsidRDefault="0060609B">
      <w:pPr>
        <w:pStyle w:val="IssueHeading"/>
        <w:rPr>
          <w:vanish/>
          <w:specVanish/>
        </w:rPr>
      </w:pPr>
      <w:r w:rsidRPr="004C3641">
        <w:t xml:space="preserve">Issue </w:t>
      </w:r>
      <w:r w:rsidR="00282844">
        <w:fldChar w:fldCharType="begin"/>
      </w:r>
      <w:r w:rsidR="00282844">
        <w:instrText xml:space="preserve"> SEQ Issue \* MERGEFORMAT </w:instrText>
      </w:r>
      <w:r w:rsidR="00282844">
        <w:fldChar w:fldCharType="separate"/>
      </w:r>
      <w:r w:rsidR="004D1FAE">
        <w:rPr>
          <w:noProof/>
        </w:rPr>
        <w:t>1</w:t>
      </w:r>
      <w:r w:rsidR="0028284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1FAE">
        <w:rPr>
          <w:noProof/>
        </w:rPr>
        <w:instrText>1</w:instrText>
      </w:r>
      <w:r>
        <w:fldChar w:fldCharType="end"/>
      </w:r>
      <w:r>
        <w:tab/>
        <w:instrText xml:space="preserve">(Guffey)" \l 1 </w:instrText>
      </w:r>
      <w:r>
        <w:fldChar w:fldCharType="end"/>
      </w:r>
      <w:r>
        <w:t> </w:t>
      </w:r>
    </w:p>
    <w:p w:rsidR="0060609B" w:rsidRDefault="0060609B">
      <w:pPr>
        <w:pStyle w:val="BodyText"/>
      </w:pPr>
      <w:r>
        <w:t xml:space="preserve"> Should the Commission approve FPUC and FPUC-Fort Meade's </w:t>
      </w:r>
      <w:r w:rsidR="009741CA">
        <w:t>revised</w:t>
      </w:r>
      <w:r>
        <w:t xml:space="preserve"> </w:t>
      </w:r>
      <w:r w:rsidR="009741CA">
        <w:t xml:space="preserve">gas transportation nomination </w:t>
      </w:r>
      <w:r>
        <w:t xml:space="preserve">methodology </w:t>
      </w:r>
      <w:r w:rsidR="009741CA">
        <w:t>tariffs contained in Attachments 1 and 2 to this recommendation?</w:t>
      </w:r>
    </w:p>
    <w:p w:rsidR="0060609B" w:rsidRPr="004C3641" w:rsidRDefault="0060609B">
      <w:pPr>
        <w:pStyle w:val="IssueSubsectionHeading"/>
        <w:rPr>
          <w:vanish/>
          <w:specVanish/>
        </w:rPr>
      </w:pPr>
      <w:r w:rsidRPr="004C3641">
        <w:t>Recommendation: </w:t>
      </w:r>
    </w:p>
    <w:p w:rsidR="0060609B" w:rsidRDefault="0060609B">
      <w:pPr>
        <w:pStyle w:val="BodyText"/>
      </w:pPr>
      <w:r>
        <w:t> </w:t>
      </w:r>
      <w:r w:rsidR="00304A5C">
        <w:t xml:space="preserve">Yes, the Commission should approve FPUC and FPUC-Fort Meade's </w:t>
      </w:r>
      <w:r w:rsidR="009741CA">
        <w:t xml:space="preserve">revised gas transportation nomination methodology tariffs contained in Attachments 1 and 2 to this recommendation. The proposed revisions are designed to allow pool managers an additional opportunity during the month to address their gas imbalances. The revised tariffs should become effective </w:t>
      </w:r>
      <w:r w:rsidR="00923729">
        <w:t xml:space="preserve">with </w:t>
      </w:r>
      <w:r w:rsidR="00E34915">
        <w:t xml:space="preserve">the </w:t>
      </w:r>
      <w:r w:rsidR="00923729">
        <w:t>Commission</w:t>
      </w:r>
      <w:r w:rsidR="00E34915">
        <w:t>’s</w:t>
      </w:r>
      <w:r w:rsidR="00923729">
        <w:t xml:space="preserve"> vote </w:t>
      </w:r>
      <w:r w:rsidR="009741CA">
        <w:t>on February 4, 2020.</w:t>
      </w:r>
      <w:r>
        <w:t xml:space="preserve"> (Guffey)</w:t>
      </w:r>
    </w:p>
    <w:p w:rsidR="0060609B" w:rsidRPr="004C3641" w:rsidRDefault="0060609B">
      <w:pPr>
        <w:pStyle w:val="IssueSubsectionHeading"/>
        <w:rPr>
          <w:vanish/>
          <w:specVanish/>
        </w:rPr>
      </w:pPr>
      <w:r w:rsidRPr="004C3641">
        <w:t>Staff Analysis: </w:t>
      </w:r>
    </w:p>
    <w:p w:rsidR="00E0731A" w:rsidRDefault="0060609B">
      <w:pPr>
        <w:pStyle w:val="BodyText"/>
      </w:pPr>
      <w:r>
        <w:t> </w:t>
      </w:r>
      <w:r w:rsidR="00E0731A" w:rsidRPr="00AD637A">
        <w:t>Rule 25-7.0335, Florida Administrative Code (F.A.C.), requires local distribution companies (LDCs), such as FPUC and FPUC</w:t>
      </w:r>
      <w:r w:rsidR="006D51E9">
        <w:t>-</w:t>
      </w:r>
      <w:r w:rsidR="00E0731A" w:rsidRPr="00AD637A">
        <w:t>Fort Meade, to make gas transportation service available to non-residential customers.</w:t>
      </w:r>
      <w:r w:rsidR="00E0731A">
        <w:t xml:space="preserve"> </w:t>
      </w:r>
      <w:r w:rsidR="00E0731A" w:rsidRPr="00AD637A">
        <w:t xml:space="preserve">Transportation service is a voluntary program that allows customers </w:t>
      </w:r>
      <w:r w:rsidR="00E34915">
        <w:t>to use a pool manager, or third-</w:t>
      </w:r>
      <w:r w:rsidR="00E0731A" w:rsidRPr="00AD637A">
        <w:t>party marketer</w:t>
      </w:r>
      <w:r w:rsidR="00E20DD0">
        <w:t>/</w:t>
      </w:r>
      <w:r w:rsidR="00E0731A" w:rsidRPr="00AD637A">
        <w:t>shipper, rather than the LDC</w:t>
      </w:r>
      <w:r w:rsidR="00E20DD0">
        <w:t>,</w:t>
      </w:r>
      <w:r w:rsidR="00E0731A" w:rsidRPr="00AD637A">
        <w:t xml:space="preserve"> to </w:t>
      </w:r>
      <w:r w:rsidR="00E20DD0">
        <w:t>supply</w:t>
      </w:r>
      <w:r w:rsidR="00E0731A" w:rsidRPr="00AD637A">
        <w:t xml:space="preserve"> their natural gas requirements.</w:t>
      </w:r>
    </w:p>
    <w:p w:rsidR="00CF3D60" w:rsidRDefault="00CF3D60">
      <w:pPr>
        <w:pStyle w:val="BodyText"/>
      </w:pPr>
      <w:r>
        <w:t>Both FPUC and FPUC-Fort Meade function as traditional LDCs providing gas service for sales customers and provide optional transportation service as required by Rule 25-7.0335, F.A.C.</w:t>
      </w:r>
      <w:r w:rsidR="009828A5">
        <w:rPr>
          <w:rStyle w:val="FootnoteReference"/>
        </w:rPr>
        <w:footnoteReference w:id="1"/>
      </w:r>
      <w:r>
        <w:t xml:space="preserve"> Currently</w:t>
      </w:r>
      <w:r w:rsidR="00C915D4">
        <w:t>,</w:t>
      </w:r>
      <w:r>
        <w:t xml:space="preserve"> there are 12 pool managers for FPUC and Fort Meade </w:t>
      </w:r>
      <w:r w:rsidR="00C915D4">
        <w:t>combined</w:t>
      </w:r>
      <w:r w:rsidR="00923729">
        <w:t>.</w:t>
      </w:r>
      <w:r>
        <w:t xml:space="preserve"> </w:t>
      </w:r>
      <w:r w:rsidR="009828A5">
        <w:t xml:space="preserve">The transportation customers pay the pool manager’s charges for </w:t>
      </w:r>
      <w:r w:rsidR="00E20DD0">
        <w:t xml:space="preserve">the supply of </w:t>
      </w:r>
      <w:r w:rsidR="009828A5">
        <w:t>natural gas and are not subject to the Companies’ Commission-approved Purchased Gas Adjustment (PGA) rates</w:t>
      </w:r>
      <w:r w:rsidR="00E20DD0">
        <w:t xml:space="preserve">. </w:t>
      </w:r>
      <w:r w:rsidR="009828A5">
        <w:t xml:space="preserve">The Commission does not approve or review the natural gas prices </w:t>
      </w:r>
      <w:r w:rsidR="00C915D4">
        <w:t>of third-party marketers</w:t>
      </w:r>
      <w:r w:rsidR="009828A5">
        <w:t>.</w:t>
      </w:r>
    </w:p>
    <w:p w:rsidR="0060609B" w:rsidRDefault="00FD3792">
      <w:pPr>
        <w:pStyle w:val="BodyText"/>
      </w:pPr>
      <w:r>
        <w:t>In April 2019, the Commission approved tariff revisions</w:t>
      </w:r>
      <w:r w:rsidR="00866F52">
        <w:t>,</w:t>
      </w:r>
      <w:r w:rsidR="00866F52" w:rsidRPr="00866F52">
        <w:rPr>
          <w:rStyle w:val="FootnoteReference"/>
        </w:rPr>
        <w:t xml:space="preserve"> </w:t>
      </w:r>
      <w:r w:rsidR="00866F52">
        <w:rPr>
          <w:rStyle w:val="FootnoteReference"/>
        </w:rPr>
        <w:footnoteReference w:id="2"/>
      </w:r>
      <w:r>
        <w:t xml:space="preserve"> which allowed FPUC and FPUC-Fort Meade to</w:t>
      </w:r>
      <w:r w:rsidR="00A22AB2">
        <w:t xml:space="preserve"> modify pool manager </w:t>
      </w:r>
      <w:r w:rsidR="00E0731A">
        <w:t xml:space="preserve">monthly </w:t>
      </w:r>
      <w:r w:rsidR="00A22AB2">
        <w:t xml:space="preserve">imbalance </w:t>
      </w:r>
      <w:r w:rsidR="00A22AB2" w:rsidRPr="00585BBB">
        <w:t>cash out tiers</w:t>
      </w:r>
      <w:r w:rsidR="00A22AB2">
        <w:t xml:space="preserve"> and the associated </w:t>
      </w:r>
      <w:r w:rsidR="00A22AB2" w:rsidRPr="00585BBB">
        <w:t>cash out rates.</w:t>
      </w:r>
      <w:r w:rsidR="006E4DA0">
        <w:rPr>
          <w:rStyle w:val="FootnoteReference"/>
        </w:rPr>
        <w:footnoteReference w:id="3"/>
      </w:r>
      <w:r w:rsidR="003E19B6" w:rsidRPr="003E19B6">
        <w:rPr>
          <w:rStyle w:val="FootnoteReference"/>
        </w:rPr>
        <w:t xml:space="preserve"> </w:t>
      </w:r>
      <w:r w:rsidR="00E0731A" w:rsidRPr="00AD637A">
        <w:t xml:space="preserve">The imbalance tariffs apply to pool managers who are responsible for </w:t>
      </w:r>
      <w:r w:rsidR="00E0731A">
        <w:t>purchasing natural gas for the C</w:t>
      </w:r>
      <w:r w:rsidR="00E0731A" w:rsidRPr="00AD637A">
        <w:t>ompanies’ transportation customers</w:t>
      </w:r>
      <w:r w:rsidR="00E0731A">
        <w:t xml:space="preserve">. </w:t>
      </w:r>
      <w:r w:rsidR="00A22AB2">
        <w:t xml:space="preserve">The intent of </w:t>
      </w:r>
      <w:r w:rsidR="00E34915">
        <w:t xml:space="preserve">the </w:t>
      </w:r>
      <w:r w:rsidR="00152507">
        <w:t>April 2019</w:t>
      </w:r>
      <w:r w:rsidR="00A22AB2">
        <w:t xml:space="preserve"> revisions </w:t>
      </w:r>
      <w:r w:rsidR="00DF1568">
        <w:t>was</w:t>
      </w:r>
      <w:r w:rsidR="00A22AB2">
        <w:t xml:space="preserve"> to discourage pool managers from purchasing extra quantities of gas and then selling the excess gas back to the </w:t>
      </w:r>
      <w:r w:rsidR="003E19B6">
        <w:t>C</w:t>
      </w:r>
      <w:r w:rsidR="00A22AB2">
        <w:t>ompan</w:t>
      </w:r>
      <w:r w:rsidR="003E19B6">
        <w:t>ies</w:t>
      </w:r>
      <w:r w:rsidR="00A22AB2">
        <w:t xml:space="preserve"> at the </w:t>
      </w:r>
      <w:r w:rsidR="00856BA6">
        <w:t>PGA rate</w:t>
      </w:r>
      <w:r w:rsidR="00A22AB2">
        <w:t xml:space="preserve">. </w:t>
      </w:r>
    </w:p>
    <w:p w:rsidR="00A22AB2" w:rsidRDefault="00A22AB2">
      <w:pPr>
        <w:pStyle w:val="BodyText"/>
      </w:pPr>
      <w:r>
        <w:t xml:space="preserve">In the instant docket, the </w:t>
      </w:r>
      <w:r w:rsidR="005633F6">
        <w:t>Companies</w:t>
      </w:r>
      <w:r>
        <w:t xml:space="preserve"> state that subsequent to the above approval, pool managers expressed concern over the penalties pool mangers may incur on their </w:t>
      </w:r>
      <w:r w:rsidR="001F566D">
        <w:t>daily de</w:t>
      </w:r>
      <w:r w:rsidR="000755A6">
        <w:t>livery</w:t>
      </w:r>
      <w:r w:rsidR="001F566D">
        <w:t xml:space="preserve"> quantit</w:t>
      </w:r>
      <w:r w:rsidR="000755A6">
        <w:t>ies</w:t>
      </w:r>
      <w:r w:rsidR="001F566D">
        <w:t xml:space="preserve"> (</w:t>
      </w:r>
      <w:r>
        <w:t>DDQ</w:t>
      </w:r>
      <w:r w:rsidR="001F566D">
        <w:t>)</w:t>
      </w:r>
      <w:r>
        <w:t xml:space="preserve"> that are assigned to the </w:t>
      </w:r>
      <w:r w:rsidR="00152507">
        <w:t>C</w:t>
      </w:r>
      <w:r>
        <w:t>ompan</w:t>
      </w:r>
      <w:r w:rsidR="00866F52">
        <w:t>ies</w:t>
      </w:r>
      <w:r>
        <w:t xml:space="preserve">. </w:t>
      </w:r>
      <w:r w:rsidR="004A3BFA">
        <w:t xml:space="preserve">Currently, the tariff allows the </w:t>
      </w:r>
      <w:r w:rsidR="00E34915">
        <w:t>C</w:t>
      </w:r>
      <w:r w:rsidR="004A3BFA">
        <w:t xml:space="preserve">ompanies to assess </w:t>
      </w:r>
      <w:r w:rsidR="007E199C">
        <w:t>a</w:t>
      </w:r>
      <w:r w:rsidR="004A3BFA">
        <w:t xml:space="preserve"> </w:t>
      </w:r>
      <w:r w:rsidR="004A3BFA" w:rsidRPr="007E199C">
        <w:t>penalt</w:t>
      </w:r>
      <w:r w:rsidR="007E199C" w:rsidRPr="007E199C">
        <w:t>y</w:t>
      </w:r>
      <w:r w:rsidR="004A3BFA" w:rsidRPr="007E199C">
        <w:t xml:space="preserve"> </w:t>
      </w:r>
      <w:r w:rsidR="000A0294">
        <w:t xml:space="preserve">for pool managers </w:t>
      </w:r>
      <w:r w:rsidR="007E199C">
        <w:t>who deliver more natural gas than what is consumed by the pool managers’ customers</w:t>
      </w:r>
      <w:r w:rsidR="00866F52">
        <w:t>,</w:t>
      </w:r>
      <w:r w:rsidR="007E199C">
        <w:t xml:space="preserve"> and the Companies must pay the pool mangers the full PGA rate for the excess gas. </w:t>
      </w:r>
      <w:r w:rsidR="00DF1568">
        <w:t xml:space="preserve">Pursuant to the petition, the pool managers assert that they lack the ability to avoid </w:t>
      </w:r>
      <w:r w:rsidR="00DF1568">
        <w:lastRenderedPageBreak/>
        <w:t xml:space="preserve">penalties described in FPUC Tariff sheet No. </w:t>
      </w:r>
      <w:r w:rsidR="00856BA6">
        <w:t>33.2 and FPUC-F</w:t>
      </w:r>
      <w:r w:rsidR="00DF1568">
        <w:t>ort Meade Tariff Sheet No. 52.1</w:t>
      </w:r>
      <w:r w:rsidR="00152507">
        <w:t>,</w:t>
      </w:r>
      <w:r w:rsidR="00DF1568">
        <w:t xml:space="preserve"> because they do not have the opportunity to adjust </w:t>
      </w:r>
      <w:r w:rsidR="000755A6">
        <w:t>nominated</w:t>
      </w:r>
      <w:r w:rsidR="00DF1568">
        <w:t xml:space="preserve"> </w:t>
      </w:r>
      <w:r w:rsidR="00CE5788">
        <w:t>quantities</w:t>
      </w:r>
      <w:r w:rsidR="00DF1568">
        <w:t xml:space="preserve"> </w:t>
      </w:r>
      <w:r w:rsidR="005633F6">
        <w:t xml:space="preserve">of gas </w:t>
      </w:r>
      <w:r w:rsidR="00DF1568">
        <w:t xml:space="preserve">during the month. </w:t>
      </w:r>
    </w:p>
    <w:p w:rsidR="003E19B6" w:rsidRDefault="00CE5788">
      <w:pPr>
        <w:pStyle w:val="BodyText"/>
      </w:pPr>
      <w:r>
        <w:t>In order to remedy the pool manager</w:t>
      </w:r>
      <w:r w:rsidR="00E34915">
        <w:t>s’</w:t>
      </w:r>
      <w:r>
        <w:t xml:space="preserve"> concerns, FPUC and FPUC-Fort Meade in the instant docket </w:t>
      </w:r>
      <w:r w:rsidR="00856BA6">
        <w:t>are</w:t>
      </w:r>
      <w:r>
        <w:t xml:space="preserve"> proposing to allow pool managers one mid-month </w:t>
      </w:r>
      <w:r w:rsidRPr="000755A6">
        <w:t>nomination</w:t>
      </w:r>
      <w:r>
        <w:t xml:space="preserve"> change, no later than the 15</w:t>
      </w:r>
      <w:r w:rsidRPr="00DF1568">
        <w:rPr>
          <w:vertAlign w:val="superscript"/>
        </w:rPr>
        <w:t>th</w:t>
      </w:r>
      <w:r>
        <w:t xml:space="preserve"> of each month, allowing them to adjust the quantities of gas delivered to the Company. </w:t>
      </w:r>
      <w:r w:rsidR="00DF1568">
        <w:t>The proposed tariff revisions are to FPUC tariff sheets</w:t>
      </w:r>
      <w:r w:rsidR="00856BA6">
        <w:t xml:space="preserve"> 33.1, 33.2, and 35.1 and FPUC-F</w:t>
      </w:r>
      <w:r w:rsidR="00DF1568">
        <w:t xml:space="preserve">ort Meade tariff revisions are to sheets 52.1, 53, 53.1, and 60. </w:t>
      </w:r>
    </w:p>
    <w:p w:rsidR="00DF1568" w:rsidRDefault="004403D4">
      <w:pPr>
        <w:pStyle w:val="BodyText"/>
      </w:pPr>
      <w:r>
        <w:t xml:space="preserve">The proposed revisions also include requirements of additional information </w:t>
      </w:r>
      <w:r w:rsidR="003E19B6">
        <w:t>to be provided by the pool managers</w:t>
      </w:r>
      <w:r w:rsidR="00F566E2">
        <w:t xml:space="preserve"> twice a month</w:t>
      </w:r>
      <w:r w:rsidR="003E19B6">
        <w:t xml:space="preserve"> to the Companies </w:t>
      </w:r>
      <w:r>
        <w:t>such as customer</w:t>
      </w:r>
      <w:r w:rsidR="00E20DD0">
        <w:t xml:space="preserve"> name</w:t>
      </w:r>
      <w:r>
        <w:t xml:space="preserve">, pool manager account number, receipt location, upstream and downstream delivery points, </w:t>
      </w:r>
      <w:r w:rsidR="003E19B6">
        <w:t xml:space="preserve">and </w:t>
      </w:r>
      <w:r>
        <w:t>quantity of gas</w:t>
      </w:r>
      <w:r w:rsidR="003E19B6">
        <w:t xml:space="preserve"> for </w:t>
      </w:r>
      <w:r>
        <w:t xml:space="preserve">each nomination. In responses to staff’s data </w:t>
      </w:r>
      <w:r w:rsidR="00DD072D">
        <w:t>request</w:t>
      </w:r>
      <w:r>
        <w:t xml:space="preserve">, the Companies stated that such information is consistently required by other LDCs in Florida. The Companies will notify all participating pool managers of the required information which would become effective as of the first day of the month following Commission approval. </w:t>
      </w:r>
      <w:r w:rsidR="00DF1568">
        <w:t>The revised tariff sheets are in Attachment</w:t>
      </w:r>
      <w:r w:rsidR="00D36B1C">
        <w:t xml:space="preserve">s 1 and 2 </w:t>
      </w:r>
      <w:r w:rsidR="00DF1568">
        <w:t>to this recommendation.</w:t>
      </w:r>
    </w:p>
    <w:p w:rsidR="003E19B6" w:rsidRDefault="003E19B6">
      <w:pPr>
        <w:pStyle w:val="BodyText"/>
      </w:pPr>
      <w:r>
        <w:t>The Companies</w:t>
      </w:r>
      <w:r w:rsidR="00E34915">
        <w:t xml:space="preserve"> </w:t>
      </w:r>
      <w:r>
        <w:t xml:space="preserve">stated that they have communicated with the pool managers about the requested tariff modifications and that the pool managers have been receptive of the mid-month nomination change opportunity. The </w:t>
      </w:r>
      <w:r w:rsidR="00E34915">
        <w:t xml:space="preserve">Companies’ data </w:t>
      </w:r>
      <w:r>
        <w:t>responses also state that the Companies will notify all participating pool managers about the requisite changes to be effective as of the first day of the month following the Commission vote.</w:t>
      </w:r>
    </w:p>
    <w:p w:rsidR="00581D90" w:rsidRDefault="00581D90" w:rsidP="00581D90">
      <w:pPr>
        <w:pStyle w:val="First-LevelSubheading"/>
      </w:pPr>
      <w:r>
        <w:t xml:space="preserve">Conclusion </w:t>
      </w:r>
    </w:p>
    <w:p w:rsidR="00CE5788" w:rsidRDefault="00CE5788">
      <w:pPr>
        <w:pStyle w:val="BodyText"/>
      </w:pPr>
      <w:r>
        <w:t xml:space="preserve">The </w:t>
      </w:r>
      <w:r w:rsidR="00581D90">
        <w:t>requested</w:t>
      </w:r>
      <w:r>
        <w:t xml:space="preserve"> tariff revisions </w:t>
      </w:r>
      <w:r w:rsidR="00581D90">
        <w:t xml:space="preserve">are intended to provide </w:t>
      </w:r>
      <w:r>
        <w:t xml:space="preserve">the pool managers </w:t>
      </w:r>
      <w:r w:rsidR="00581D90">
        <w:t xml:space="preserve">an opportunity </w:t>
      </w:r>
      <w:r>
        <w:t xml:space="preserve">to make </w:t>
      </w:r>
      <w:r w:rsidR="00E20DD0">
        <w:t>an intra-monthly modification</w:t>
      </w:r>
      <w:r>
        <w:t xml:space="preserve"> </w:t>
      </w:r>
      <w:r w:rsidR="00266D20">
        <w:t>(no later than the 15</w:t>
      </w:r>
      <w:r w:rsidR="00266D20" w:rsidRPr="00266D20">
        <w:rPr>
          <w:vertAlign w:val="superscript"/>
        </w:rPr>
        <w:t>th</w:t>
      </w:r>
      <w:r w:rsidR="00266D20">
        <w:t xml:space="preserve"> of each month) </w:t>
      </w:r>
      <w:r>
        <w:t xml:space="preserve">to the quantity of gas </w:t>
      </w:r>
      <w:r w:rsidR="00856BA6">
        <w:t xml:space="preserve">delivered to the </w:t>
      </w:r>
      <w:r w:rsidR="00581D90">
        <w:t>C</w:t>
      </w:r>
      <w:r w:rsidR="00856BA6">
        <w:t xml:space="preserve">ompanies </w:t>
      </w:r>
      <w:r>
        <w:t xml:space="preserve">pursuant to the daily delivery requirement </w:t>
      </w:r>
      <w:r w:rsidR="00581D90">
        <w:t xml:space="preserve">methodology, </w:t>
      </w:r>
      <w:r>
        <w:t>thereby reduc</w:t>
      </w:r>
      <w:r w:rsidR="00B35B3C">
        <w:t>ing</w:t>
      </w:r>
      <w:r>
        <w:t xml:space="preserve"> penalties for excessive gas purchased. </w:t>
      </w:r>
    </w:p>
    <w:p w:rsidR="00752073" w:rsidRDefault="00752073">
      <w:pPr>
        <w:pStyle w:val="BodyText"/>
      </w:pPr>
      <w:r>
        <w:t xml:space="preserve">This </w:t>
      </w:r>
      <w:r w:rsidR="008B6F41">
        <w:t xml:space="preserve">proposed revision </w:t>
      </w:r>
      <w:r>
        <w:t>is consistent with Peoples Gas System’s tariff which allows pool managers, by the 20</w:t>
      </w:r>
      <w:r w:rsidRPr="00752073">
        <w:rPr>
          <w:vertAlign w:val="superscript"/>
        </w:rPr>
        <w:t>th</w:t>
      </w:r>
      <w:r>
        <w:t xml:space="preserve"> of each month, to request an increase or a decrease in the quantity of gas delivered.</w:t>
      </w:r>
      <w:r>
        <w:rPr>
          <w:rStyle w:val="FootnoteReference"/>
        </w:rPr>
        <w:footnoteReference w:id="4"/>
      </w:r>
    </w:p>
    <w:p w:rsidR="00DF1568" w:rsidRDefault="00581D90">
      <w:pPr>
        <w:pStyle w:val="BodyText"/>
      </w:pPr>
      <w:r>
        <w:t>In light of the foregoing, staff recommends approval of FPUC and FPUC-Fort Meade</w:t>
      </w:r>
      <w:r w:rsidR="00B35B3C">
        <w:t>’s</w:t>
      </w:r>
      <w:r>
        <w:t xml:space="preserve"> tariff modifications, as shown in Attachments 1 and 2 to this recommendation. The revised tariffs should become effective </w:t>
      </w:r>
      <w:r w:rsidR="00923729">
        <w:t xml:space="preserve">with </w:t>
      </w:r>
      <w:r w:rsidR="00E34915">
        <w:t xml:space="preserve">the </w:t>
      </w:r>
      <w:r w:rsidR="00923729">
        <w:t>Commission</w:t>
      </w:r>
      <w:r w:rsidR="00E34915">
        <w:t>’s</w:t>
      </w:r>
      <w:r w:rsidR="00923729">
        <w:t xml:space="preserve"> vote </w:t>
      </w:r>
      <w:r>
        <w:t>on February 4, 2020.</w:t>
      </w:r>
    </w:p>
    <w:p w:rsidR="006B46C3" w:rsidRDefault="006B46C3">
      <w:pPr>
        <w:pStyle w:val="IssueHeading"/>
        <w:rPr>
          <w:vanish/>
          <w:specVanish/>
        </w:rPr>
      </w:pPr>
      <w:r w:rsidRPr="004C3641">
        <w:rPr>
          <w:b w:val="0"/>
          <w:i w:val="0"/>
        </w:rPr>
        <w:br w:type="page"/>
      </w:r>
      <w:r w:rsidRPr="004C3641">
        <w:lastRenderedPageBreak/>
        <w:t xml:space="preserve">Issue </w:t>
      </w:r>
      <w:r w:rsidR="00282844">
        <w:fldChar w:fldCharType="begin"/>
      </w:r>
      <w:r w:rsidR="00282844">
        <w:instrText xml:space="preserve"> SEQ Issue \* MERGEFORMAT </w:instrText>
      </w:r>
      <w:r w:rsidR="00282844">
        <w:fldChar w:fldCharType="separate"/>
      </w:r>
      <w:r w:rsidR="004D1FAE">
        <w:rPr>
          <w:noProof/>
        </w:rPr>
        <w:t>2</w:t>
      </w:r>
      <w:r w:rsidR="0028284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4D1FAE">
        <w:rPr>
          <w:noProof/>
        </w:rPr>
        <w:instrText>2</w:instrText>
      </w:r>
      <w:r>
        <w:fldChar w:fldCharType="end"/>
      </w:r>
      <w:r>
        <w:tab/>
        <w:instrText xml:space="preserve">(Lherisson)" \l 1 </w:instrText>
      </w:r>
      <w:r>
        <w:fldChar w:fldCharType="end"/>
      </w:r>
      <w:r>
        <w:t> </w:t>
      </w:r>
    </w:p>
    <w:p w:rsidR="006B46C3" w:rsidRDefault="006B46C3">
      <w:pPr>
        <w:pStyle w:val="BodyText"/>
      </w:pPr>
      <w:r>
        <w:t> Should this docket be closed?</w:t>
      </w:r>
    </w:p>
    <w:p w:rsidR="006B46C3" w:rsidRPr="004C3641" w:rsidRDefault="006B46C3">
      <w:pPr>
        <w:pStyle w:val="IssueSubsectionHeading"/>
        <w:rPr>
          <w:vanish/>
          <w:specVanish/>
        </w:rPr>
      </w:pPr>
      <w:r w:rsidRPr="004C3641">
        <w:t>Recommendation: </w:t>
      </w:r>
    </w:p>
    <w:p w:rsidR="006B46C3" w:rsidRDefault="006B46C3">
      <w:pPr>
        <w:pStyle w:val="BodyText"/>
      </w:pPr>
      <w:r>
        <w:t xml:space="preserve"> If Issue 1 is approved and a protest is filed within 21 days of the issuance of the order, the tariffs should </w:t>
      </w:r>
      <w:r w:rsidR="005A0117">
        <w:t>remain in</w:t>
      </w:r>
      <w:r w:rsidR="00B35B3C">
        <w:t xml:space="preserve"> effect</w:t>
      </w:r>
      <w:r>
        <w:t xml:space="preserve">, </w:t>
      </w:r>
      <w:r w:rsidR="005A0117">
        <w:t xml:space="preserve">with any revenues held subject to refund, </w:t>
      </w:r>
      <w:r>
        <w:t>pending resolution of the protest. If no timely protest is filed, this docket should be closed upon the issuance of a consummating order. (Lherisson)</w:t>
      </w:r>
    </w:p>
    <w:p w:rsidR="006B46C3" w:rsidRPr="004C3641" w:rsidRDefault="006B46C3">
      <w:pPr>
        <w:pStyle w:val="IssueSubsectionHeading"/>
        <w:rPr>
          <w:vanish/>
          <w:specVanish/>
        </w:rPr>
      </w:pPr>
      <w:r w:rsidRPr="004C3641">
        <w:t>Staff Analysis: </w:t>
      </w:r>
    </w:p>
    <w:p w:rsidR="006B46C3" w:rsidRDefault="006B46C3">
      <w:pPr>
        <w:pStyle w:val="BodyText"/>
      </w:pPr>
      <w:r>
        <w:t> </w:t>
      </w:r>
      <w:r w:rsidR="00E20BC0">
        <w:t xml:space="preserve">If Issue 1 is approved and a protest is filed within 21 days of the issuance of the order, the tariffs should </w:t>
      </w:r>
      <w:r w:rsidR="005A0117">
        <w:t xml:space="preserve">remain in </w:t>
      </w:r>
      <w:r w:rsidR="00B35B3C">
        <w:t>effect</w:t>
      </w:r>
      <w:r w:rsidR="00E20BC0">
        <w:t xml:space="preserve">, </w:t>
      </w:r>
      <w:r w:rsidR="005A0117">
        <w:t xml:space="preserve">with any revenues held subject to refund, </w:t>
      </w:r>
      <w:r w:rsidR="00E20BC0">
        <w:t>pending resolution of the protest. If no timely protest is filed, this docket should be closed upon the issuance of a consummating order.</w:t>
      </w:r>
    </w:p>
    <w:p w:rsidR="00CC7B16" w:rsidRDefault="00CC7B16" w:rsidP="00E275D8">
      <w:pPr>
        <w:pStyle w:val="BodyText"/>
        <w:sectPr w:rsidR="00CC7B16"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CC7B16" w:rsidRDefault="00CC7B16" w:rsidP="00E275D8">
      <w:pPr>
        <w:pStyle w:val="BodyText"/>
        <w:sectPr w:rsidR="00CC7B16" w:rsidSect="0068481F">
          <w:headerReference w:type="default" r:id="rId15"/>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 Tariff Pages Revised_Page_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CC7B16" w:rsidP="00E275D8">
      <w:pPr>
        <w:pStyle w:val="BodyText"/>
      </w:pP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UC-Fort Meade Tariff Pages Revised_Page_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3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5AA" w:rsidRDefault="009675AA">
      <w:r>
        <w:separator/>
      </w:r>
    </w:p>
  </w:endnote>
  <w:endnote w:type="continuationSeparator" w:id="0">
    <w:p w:rsidR="009675AA" w:rsidRDefault="0096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01647E">
      <w:rPr>
        <w:rStyle w:val="PageNumber"/>
        <w:noProof/>
      </w:rPr>
      <w:t>20</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5AA" w:rsidRDefault="009675AA">
      <w:r>
        <w:separator/>
      </w:r>
    </w:p>
  </w:footnote>
  <w:footnote w:type="continuationSeparator" w:id="0">
    <w:p w:rsidR="009675AA" w:rsidRDefault="009675AA">
      <w:r>
        <w:continuationSeparator/>
      </w:r>
    </w:p>
  </w:footnote>
  <w:footnote w:id="1">
    <w:p w:rsidR="009828A5" w:rsidRDefault="009828A5">
      <w:pPr>
        <w:pStyle w:val="FootnoteText"/>
      </w:pPr>
      <w:r>
        <w:rPr>
          <w:rStyle w:val="FootnoteReference"/>
        </w:rPr>
        <w:footnoteRef/>
      </w:r>
      <w:r>
        <w:t xml:space="preserve"> FPUC currently has 2,436 transportation customers and 60,958 sales customers while FPUC-Fort Meade currently has 9 transportation customers and 579 sales customers</w:t>
      </w:r>
      <w:r w:rsidR="00923729">
        <w:t xml:space="preserve"> (source: Response #4 in Staff’s First Data Request</w:t>
      </w:r>
      <w:r w:rsidR="00866F52">
        <w:t>, Document No. 11400-2019.</w:t>
      </w:r>
      <w:r w:rsidR="00923729">
        <w:t>)</w:t>
      </w:r>
      <w:r>
        <w:t>.</w:t>
      </w:r>
    </w:p>
  </w:footnote>
  <w:footnote w:id="2">
    <w:p w:rsidR="00866F52" w:rsidRDefault="00866F52" w:rsidP="00866F52">
      <w:pPr>
        <w:pStyle w:val="FootnoteText"/>
      </w:pPr>
      <w:r>
        <w:rPr>
          <w:rStyle w:val="FootnoteReference"/>
        </w:rPr>
        <w:footnoteRef/>
      </w:r>
      <w:r>
        <w:t xml:space="preserve"> Order No. PSC-2019-0153-TRF-GU, issued April 24, 2019, in Docket No. 20190036-GU, </w:t>
      </w:r>
      <w:r w:rsidRPr="003435A8">
        <w:rPr>
          <w:i/>
        </w:rPr>
        <w:t>In re: Petition for authority for approval of revised transportation imbalance tariffs, by Florida Public Utilities Company; Florida Public Utilities Company-Ft. Meade</w:t>
      </w:r>
      <w:r>
        <w:t>.</w:t>
      </w:r>
    </w:p>
  </w:footnote>
  <w:footnote w:id="3">
    <w:p w:rsidR="006E4DA0" w:rsidRDefault="006E4DA0">
      <w:pPr>
        <w:pStyle w:val="FootnoteText"/>
      </w:pPr>
      <w:r>
        <w:rPr>
          <w:rStyle w:val="FootnoteReference"/>
        </w:rPr>
        <w:footnoteRef/>
      </w:r>
      <w:r>
        <w:t xml:space="preserve"> When pool managers deliver more natural gas than what is consumed by their customers (resulting in an imbalance), the Companies pay the pool managers for the excess gas. </w:t>
      </w:r>
      <w:r w:rsidR="007D7CCF">
        <w:t xml:space="preserve">The payments to pool managers are based on natural gas cash-out rates as reported in the </w:t>
      </w:r>
      <w:r w:rsidR="007D7CCF" w:rsidRPr="007D7CCF">
        <w:rPr>
          <w:i/>
        </w:rPr>
        <w:t>Platts Gas Da</w:t>
      </w:r>
      <w:r w:rsidR="00866F52">
        <w:rPr>
          <w:i/>
        </w:rPr>
        <w:t>i</w:t>
      </w:r>
      <w:r w:rsidR="007D7CCF" w:rsidRPr="007D7CCF">
        <w:rPr>
          <w:i/>
        </w:rPr>
        <w:t>ly</w:t>
      </w:r>
      <w:r w:rsidR="007D7CCF">
        <w:t xml:space="preserve"> and published pipeline capacity charges.</w:t>
      </w:r>
    </w:p>
  </w:footnote>
  <w:footnote w:id="4">
    <w:p w:rsidR="00752073" w:rsidRDefault="00752073">
      <w:pPr>
        <w:pStyle w:val="FootnoteText"/>
      </w:pPr>
      <w:r>
        <w:rPr>
          <w:rStyle w:val="FootnoteReference"/>
        </w:rPr>
        <w:footnoteRef/>
      </w:r>
      <w:r>
        <w:t xml:space="preserve"> See Peoples Gas System Tariff</w:t>
      </w:r>
      <w:r w:rsidR="00EF5AFE">
        <w:t xml:space="preserve"> Sheet No. 8.119-5, Section 4.4 </w:t>
      </w:r>
      <w:r w:rsidR="00CB3372">
        <w:t xml:space="preserve">and </w:t>
      </w:r>
      <w:r w:rsidR="00EF5AFE">
        <w:t xml:space="preserve">Order No. PSC-16-0503-TRF-GU, issued October 31, 2016, in Docket No. 20160120-GU, </w:t>
      </w:r>
      <w:r w:rsidR="00EF5AFE" w:rsidRPr="00EF5AFE">
        <w:rPr>
          <w:i/>
        </w:rPr>
        <w:t>In re: Petition for approval of tariff modifications to rider NCTS, the firm delivery and operational balancing agreement, and negative imbalance cash-out prices, by Peoples Gas System.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9675AA"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20190201-GU</w:t>
    </w:r>
    <w:bookmarkEnd w:id="15"/>
  </w:p>
  <w:p w:rsidR="00BC402E" w:rsidRDefault="00BC402E">
    <w:pPr>
      <w:pStyle w:val="Header"/>
    </w:pPr>
    <w:r>
      <w:t xml:space="preserve">Date: </w:t>
    </w:r>
    <w:r w:rsidR="00282844">
      <w:fldChar w:fldCharType="begin"/>
    </w:r>
    <w:r w:rsidR="00282844">
      <w:instrText xml:space="preserve"> REF FilingDate </w:instrText>
    </w:r>
    <w:r w:rsidR="00282844">
      <w:fldChar w:fldCharType="separate"/>
    </w:r>
    <w:r w:rsidR="004D1FAE">
      <w:t>January 23, 2020</w:t>
    </w:r>
    <w:r w:rsidR="0028284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D1FAE">
      <w:t>Docket No.</w:t>
    </w:r>
    <w:r>
      <w:fldChar w:fldCharType="end"/>
    </w:r>
    <w:r>
      <w:t xml:space="preserve"> </w:t>
    </w:r>
    <w:r>
      <w:fldChar w:fldCharType="begin"/>
    </w:r>
    <w:r>
      <w:instrText xml:space="preserve"> REF DocketList</w:instrText>
    </w:r>
    <w:r>
      <w:fldChar w:fldCharType="separate"/>
    </w:r>
    <w:r w:rsidR="004D1FAE">
      <w:t>20190201-GU</w:t>
    </w:r>
    <w:r>
      <w:fldChar w:fldCharType="end"/>
    </w:r>
    <w:r>
      <w:tab/>
      <w:t xml:space="preserve">Issue </w:t>
    </w:r>
    <w:r w:rsidR="00282844">
      <w:fldChar w:fldCharType="begin"/>
    </w:r>
    <w:r w:rsidR="00282844">
      <w:instrText xml:space="preserve"> Seq </w:instrText>
    </w:r>
    <w:r w:rsidR="00282844">
      <w:instrText xml:space="preserve">Issue \c \* Arabic </w:instrText>
    </w:r>
    <w:r w:rsidR="00282844">
      <w:fldChar w:fldCharType="separate"/>
    </w:r>
    <w:r w:rsidR="0001647E">
      <w:rPr>
        <w:noProof/>
      </w:rPr>
      <w:t>2</w:t>
    </w:r>
    <w:r w:rsidR="00282844">
      <w:rPr>
        <w:noProof/>
      </w:rPr>
      <w:fldChar w:fldCharType="end"/>
    </w:r>
  </w:p>
  <w:p w:rsidR="00BC402E" w:rsidRDefault="00BC402E">
    <w:pPr>
      <w:pStyle w:val="Header"/>
    </w:pPr>
    <w:r>
      <w:t xml:space="preserve">Date: </w:t>
    </w:r>
    <w:r w:rsidR="00282844">
      <w:fldChar w:fldCharType="begin"/>
    </w:r>
    <w:r w:rsidR="00282844">
      <w:instrText xml:space="preserve"> REF FilingDate </w:instrText>
    </w:r>
    <w:r w:rsidR="00282844">
      <w:fldChar w:fldCharType="separate"/>
    </w:r>
    <w:r w:rsidR="004D1FAE">
      <w:t>January 23, 2020</w:t>
    </w:r>
    <w:r w:rsidR="00282844">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16" w:rsidRDefault="00CC7B16" w:rsidP="00220732">
    <w:pPr>
      <w:pStyle w:val="Header"/>
      <w:tabs>
        <w:tab w:val="clear" w:pos="4320"/>
        <w:tab w:val="clear" w:pos="8640"/>
        <w:tab w:val="right" w:pos="9360"/>
      </w:tabs>
    </w:pPr>
    <w:r>
      <w:fldChar w:fldCharType="begin"/>
    </w:r>
    <w:r>
      <w:instrText xml:space="preserve"> REF DocketLabel</w:instrText>
    </w:r>
    <w:r>
      <w:fldChar w:fldCharType="separate"/>
    </w:r>
    <w:r w:rsidR="004D1FAE">
      <w:t>Docket No.</w:t>
    </w:r>
    <w:r>
      <w:fldChar w:fldCharType="end"/>
    </w:r>
    <w:r>
      <w:t xml:space="preserve"> </w:t>
    </w:r>
    <w:r>
      <w:fldChar w:fldCharType="begin"/>
    </w:r>
    <w:r>
      <w:instrText xml:space="preserve"> REF DocketList</w:instrText>
    </w:r>
    <w:r>
      <w:fldChar w:fldCharType="separate"/>
    </w:r>
    <w:r w:rsidR="004D1FAE">
      <w:t>20190201-GU</w:t>
    </w:r>
    <w:r>
      <w:fldChar w:fldCharType="end"/>
    </w:r>
    <w:r>
      <w:tab/>
      <w:t>Attachment 1 - FPUC</w:t>
    </w:r>
  </w:p>
  <w:p w:rsidR="00CC7B16" w:rsidRDefault="00CC7B16" w:rsidP="00CC7B16">
    <w:pPr>
      <w:pStyle w:val="Header"/>
      <w:tabs>
        <w:tab w:val="left" w:pos="7200"/>
      </w:tabs>
    </w:pPr>
    <w:r>
      <w:t xml:space="preserve">Date: </w:t>
    </w:r>
    <w:r w:rsidR="00282844">
      <w:fldChar w:fldCharType="begin"/>
    </w:r>
    <w:r w:rsidR="00282844">
      <w:instrText xml:space="preserve"> REF FilingDate </w:instrText>
    </w:r>
    <w:r w:rsidR="00282844">
      <w:fldChar w:fldCharType="separate"/>
    </w:r>
    <w:r w:rsidR="004D1FAE">
      <w:t>January 23, 2020</w:t>
    </w:r>
    <w:r w:rsidR="00282844">
      <w:fldChar w:fldCharType="end"/>
    </w:r>
    <w:r>
      <w:tab/>
      <w:t xml:space="preserve"> </w:t>
    </w:r>
    <w:r>
      <w:tab/>
    </w:r>
    <w:r w:rsidR="006D51E9">
      <w:t xml:space="preserve">Page </w:t>
    </w:r>
    <w:r w:rsidR="006D51E9">
      <w:fldChar w:fldCharType="begin"/>
    </w:r>
    <w:r w:rsidR="006D51E9">
      <w:instrText xml:space="preserve">= </w:instrText>
    </w:r>
    <w:r w:rsidR="006D51E9">
      <w:fldChar w:fldCharType="begin"/>
    </w:r>
    <w:r w:rsidR="006D51E9">
      <w:instrText xml:space="preserve">Page  </w:instrText>
    </w:r>
    <w:r w:rsidR="006D51E9">
      <w:fldChar w:fldCharType="separate"/>
    </w:r>
    <w:r w:rsidR="0001647E">
      <w:rPr>
        <w:noProof/>
      </w:rPr>
      <w:instrText>12</w:instrText>
    </w:r>
    <w:r w:rsidR="006D51E9">
      <w:fldChar w:fldCharType="end"/>
    </w:r>
    <w:r w:rsidR="006D51E9">
      <w:instrText xml:space="preserve">- 5 </w:instrText>
    </w:r>
    <w:r w:rsidR="006D51E9">
      <w:fldChar w:fldCharType="separate"/>
    </w:r>
    <w:r w:rsidR="0001647E">
      <w:rPr>
        <w:noProof/>
      </w:rPr>
      <w:t>7</w:t>
    </w:r>
    <w:r w:rsidR="006D51E9">
      <w:fldChar w:fldCharType="end"/>
    </w:r>
    <w:r w:rsidR="006D51E9">
      <w:t xml:space="preserve"> of 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16" w:rsidRDefault="00CC7B16" w:rsidP="00220732">
    <w:pPr>
      <w:pStyle w:val="Header"/>
      <w:tabs>
        <w:tab w:val="clear" w:pos="4320"/>
        <w:tab w:val="clear" w:pos="8640"/>
        <w:tab w:val="right" w:pos="9360"/>
      </w:tabs>
    </w:pPr>
    <w:r>
      <w:fldChar w:fldCharType="begin"/>
    </w:r>
    <w:r>
      <w:instrText xml:space="preserve"> REF DocketLabel</w:instrText>
    </w:r>
    <w:r>
      <w:fldChar w:fldCharType="separate"/>
    </w:r>
    <w:r w:rsidR="004D1FAE">
      <w:t>Docket No.</w:t>
    </w:r>
    <w:r>
      <w:fldChar w:fldCharType="end"/>
    </w:r>
    <w:r>
      <w:t xml:space="preserve"> </w:t>
    </w:r>
    <w:r>
      <w:fldChar w:fldCharType="begin"/>
    </w:r>
    <w:r>
      <w:instrText xml:space="preserve"> REF DocketList</w:instrText>
    </w:r>
    <w:r>
      <w:fldChar w:fldCharType="separate"/>
    </w:r>
    <w:r w:rsidR="004D1FAE">
      <w:t>20190201-GU</w:t>
    </w:r>
    <w:r>
      <w:fldChar w:fldCharType="end"/>
    </w:r>
    <w:r>
      <w:tab/>
      <w:t>Attachment 2 – FPUC-Fort Meade</w:t>
    </w:r>
  </w:p>
  <w:p w:rsidR="00CC7B16" w:rsidRDefault="00CC7B16" w:rsidP="007A777E">
    <w:pPr>
      <w:pStyle w:val="Header"/>
      <w:tabs>
        <w:tab w:val="left" w:pos="6030"/>
      </w:tabs>
    </w:pPr>
    <w:r>
      <w:t xml:space="preserve">Date: </w:t>
    </w:r>
    <w:r w:rsidR="00282844">
      <w:fldChar w:fldCharType="begin"/>
    </w:r>
    <w:r w:rsidR="00282844">
      <w:instrText xml:space="preserve"> REF FilingDate </w:instrText>
    </w:r>
    <w:r w:rsidR="00282844">
      <w:fldChar w:fldCharType="separate"/>
    </w:r>
    <w:r w:rsidR="004D1FAE">
      <w:t>January 23, 2020</w:t>
    </w:r>
    <w:r w:rsidR="00282844">
      <w:fldChar w:fldCharType="end"/>
    </w:r>
    <w:r>
      <w:tab/>
    </w:r>
    <w:r w:rsidR="007A777E">
      <w:t xml:space="preserve"> </w:t>
    </w:r>
    <w:r w:rsidR="007A777E">
      <w:tab/>
    </w:r>
    <w:r w:rsidR="006D51E9">
      <w:t xml:space="preserve">Page </w:t>
    </w:r>
    <w:r w:rsidR="006D51E9">
      <w:fldChar w:fldCharType="begin"/>
    </w:r>
    <w:r w:rsidR="006D51E9">
      <w:instrText xml:space="preserve"> =</w:instrText>
    </w:r>
    <w:r w:rsidR="006D51E9">
      <w:fldChar w:fldCharType="begin"/>
    </w:r>
    <w:r w:rsidR="006D51E9">
      <w:instrText xml:space="preserve">Page  </w:instrText>
    </w:r>
    <w:r w:rsidR="006D51E9">
      <w:fldChar w:fldCharType="separate"/>
    </w:r>
    <w:r w:rsidR="0001647E">
      <w:rPr>
        <w:noProof/>
      </w:rPr>
      <w:instrText>20</w:instrText>
    </w:r>
    <w:r w:rsidR="006D51E9">
      <w:fldChar w:fldCharType="end"/>
    </w:r>
    <w:r w:rsidR="006D51E9">
      <w:instrText xml:space="preserve">- 12 </w:instrText>
    </w:r>
    <w:r w:rsidR="006D51E9">
      <w:fldChar w:fldCharType="separate"/>
    </w:r>
    <w:r w:rsidR="0001647E">
      <w:rPr>
        <w:noProof/>
      </w:rPr>
      <w:t>8</w:t>
    </w:r>
    <w:r w:rsidR="006D51E9">
      <w:fldChar w:fldCharType="end"/>
    </w:r>
    <w:r w:rsidR="006D51E9">
      <w:t xml:space="preserve"> of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6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9675AA"/>
    <w:rsid w:val="000043D5"/>
    <w:rsid w:val="00006170"/>
    <w:rsid w:val="00006D4A"/>
    <w:rsid w:val="00010E37"/>
    <w:rsid w:val="0001647E"/>
    <w:rsid w:val="000172DA"/>
    <w:rsid w:val="000247C5"/>
    <w:rsid w:val="000277C2"/>
    <w:rsid w:val="00035B48"/>
    <w:rsid w:val="00036CE2"/>
    <w:rsid w:val="000437FE"/>
    <w:rsid w:val="000513BE"/>
    <w:rsid w:val="00065A06"/>
    <w:rsid w:val="000666F3"/>
    <w:rsid w:val="00070DCB"/>
    <w:rsid w:val="00072CCA"/>
    <w:rsid w:val="00073120"/>
    <w:rsid w:val="000755A6"/>
    <w:rsid w:val="000764D0"/>
    <w:rsid w:val="000828D3"/>
    <w:rsid w:val="000A0294"/>
    <w:rsid w:val="000A2B57"/>
    <w:rsid w:val="000A418B"/>
    <w:rsid w:val="000C4431"/>
    <w:rsid w:val="000D1C06"/>
    <w:rsid w:val="000D4319"/>
    <w:rsid w:val="000F374A"/>
    <w:rsid w:val="000F5851"/>
    <w:rsid w:val="001076AF"/>
    <w:rsid w:val="00117C8C"/>
    <w:rsid w:val="00124C38"/>
    <w:rsid w:val="00124E2E"/>
    <w:rsid w:val="00125ED4"/>
    <w:rsid w:val="001305E9"/>
    <w:rsid w:val="001307AF"/>
    <w:rsid w:val="00135687"/>
    <w:rsid w:val="00152507"/>
    <w:rsid w:val="0015348E"/>
    <w:rsid w:val="0015506E"/>
    <w:rsid w:val="00163031"/>
    <w:rsid w:val="00171A90"/>
    <w:rsid w:val="00180254"/>
    <w:rsid w:val="00191E1F"/>
    <w:rsid w:val="00192943"/>
    <w:rsid w:val="001A1E75"/>
    <w:rsid w:val="001A7406"/>
    <w:rsid w:val="001B4FEE"/>
    <w:rsid w:val="001B51C5"/>
    <w:rsid w:val="001B6F3F"/>
    <w:rsid w:val="001C52B5"/>
    <w:rsid w:val="001D0D3E"/>
    <w:rsid w:val="001E7047"/>
    <w:rsid w:val="001F2245"/>
    <w:rsid w:val="001F2C63"/>
    <w:rsid w:val="001F48C7"/>
    <w:rsid w:val="001F566D"/>
    <w:rsid w:val="001F6DA1"/>
    <w:rsid w:val="002044E6"/>
    <w:rsid w:val="00205C82"/>
    <w:rsid w:val="00205DC2"/>
    <w:rsid w:val="00212B17"/>
    <w:rsid w:val="002163B6"/>
    <w:rsid w:val="00220732"/>
    <w:rsid w:val="00221D32"/>
    <w:rsid w:val="00225C3F"/>
    <w:rsid w:val="00263D44"/>
    <w:rsid w:val="00266D20"/>
    <w:rsid w:val="002702AD"/>
    <w:rsid w:val="00292D82"/>
    <w:rsid w:val="002963CB"/>
    <w:rsid w:val="002B4A01"/>
    <w:rsid w:val="002D226D"/>
    <w:rsid w:val="002F6030"/>
    <w:rsid w:val="003037E1"/>
    <w:rsid w:val="00304A5C"/>
    <w:rsid w:val="00307E51"/>
    <w:rsid w:val="003103EC"/>
    <w:rsid w:val="003144EF"/>
    <w:rsid w:val="00320ECB"/>
    <w:rsid w:val="00322F74"/>
    <w:rsid w:val="00340073"/>
    <w:rsid w:val="003435A8"/>
    <w:rsid w:val="003632FD"/>
    <w:rsid w:val="00372805"/>
    <w:rsid w:val="00373180"/>
    <w:rsid w:val="00375AB9"/>
    <w:rsid w:val="003821A0"/>
    <w:rsid w:val="00385B04"/>
    <w:rsid w:val="003864CF"/>
    <w:rsid w:val="00390F91"/>
    <w:rsid w:val="003948AE"/>
    <w:rsid w:val="003A22A6"/>
    <w:rsid w:val="003A5494"/>
    <w:rsid w:val="003B2510"/>
    <w:rsid w:val="003C2CC4"/>
    <w:rsid w:val="003C3710"/>
    <w:rsid w:val="003D4BB5"/>
    <w:rsid w:val="003E0EFC"/>
    <w:rsid w:val="003E19B6"/>
    <w:rsid w:val="003E4A2B"/>
    <w:rsid w:val="003E76C2"/>
    <w:rsid w:val="003F1679"/>
    <w:rsid w:val="003F21EB"/>
    <w:rsid w:val="003F4A35"/>
    <w:rsid w:val="003F7FDD"/>
    <w:rsid w:val="00402481"/>
    <w:rsid w:val="004042B4"/>
    <w:rsid w:val="00410DC4"/>
    <w:rsid w:val="00412DAE"/>
    <w:rsid w:val="004242E6"/>
    <w:rsid w:val="00431598"/>
    <w:rsid w:val="004319AD"/>
    <w:rsid w:val="004403D4"/>
    <w:rsid w:val="004426B8"/>
    <w:rsid w:val="00444432"/>
    <w:rsid w:val="00470DD3"/>
    <w:rsid w:val="00471860"/>
    <w:rsid w:val="00477026"/>
    <w:rsid w:val="004A3BFA"/>
    <w:rsid w:val="004A6A5C"/>
    <w:rsid w:val="004A744D"/>
    <w:rsid w:val="004B5F37"/>
    <w:rsid w:val="004B60BD"/>
    <w:rsid w:val="004C3150"/>
    <w:rsid w:val="004C3641"/>
    <w:rsid w:val="004C4390"/>
    <w:rsid w:val="004C4AF7"/>
    <w:rsid w:val="004D1FAE"/>
    <w:rsid w:val="004D2881"/>
    <w:rsid w:val="004D385F"/>
    <w:rsid w:val="004D5B39"/>
    <w:rsid w:val="004E330D"/>
    <w:rsid w:val="004E5147"/>
    <w:rsid w:val="004E69B5"/>
    <w:rsid w:val="004F5C43"/>
    <w:rsid w:val="0050652D"/>
    <w:rsid w:val="00506C03"/>
    <w:rsid w:val="00511A11"/>
    <w:rsid w:val="005151C1"/>
    <w:rsid w:val="00516496"/>
    <w:rsid w:val="00523B11"/>
    <w:rsid w:val="0052572A"/>
    <w:rsid w:val="00532DFB"/>
    <w:rsid w:val="00543CB3"/>
    <w:rsid w:val="005442E4"/>
    <w:rsid w:val="0055529B"/>
    <w:rsid w:val="00560FF0"/>
    <w:rsid w:val="005614BD"/>
    <w:rsid w:val="005633F6"/>
    <w:rsid w:val="0057154F"/>
    <w:rsid w:val="00580F69"/>
    <w:rsid w:val="00581CA3"/>
    <w:rsid w:val="00581D90"/>
    <w:rsid w:val="00585BBB"/>
    <w:rsid w:val="00587A44"/>
    <w:rsid w:val="00597730"/>
    <w:rsid w:val="005977EC"/>
    <w:rsid w:val="00597DE7"/>
    <w:rsid w:val="005A0117"/>
    <w:rsid w:val="005A4AA2"/>
    <w:rsid w:val="005B34B6"/>
    <w:rsid w:val="005B6C8F"/>
    <w:rsid w:val="005B6EC3"/>
    <w:rsid w:val="005D0F74"/>
    <w:rsid w:val="005D2E7D"/>
    <w:rsid w:val="005D4A8F"/>
    <w:rsid w:val="005D561B"/>
    <w:rsid w:val="005D5ECF"/>
    <w:rsid w:val="005F468D"/>
    <w:rsid w:val="005F69A3"/>
    <w:rsid w:val="00604CC7"/>
    <w:rsid w:val="0060609B"/>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46C3"/>
    <w:rsid w:val="006B624F"/>
    <w:rsid w:val="006C0C95"/>
    <w:rsid w:val="006C31E3"/>
    <w:rsid w:val="006D18D3"/>
    <w:rsid w:val="006D51E9"/>
    <w:rsid w:val="006E08CB"/>
    <w:rsid w:val="006E4DA0"/>
    <w:rsid w:val="006E598D"/>
    <w:rsid w:val="006F0CFE"/>
    <w:rsid w:val="0070437D"/>
    <w:rsid w:val="00704CF1"/>
    <w:rsid w:val="00705B04"/>
    <w:rsid w:val="00724992"/>
    <w:rsid w:val="00734820"/>
    <w:rsid w:val="007349DC"/>
    <w:rsid w:val="0074365E"/>
    <w:rsid w:val="00744B55"/>
    <w:rsid w:val="007515FD"/>
    <w:rsid w:val="00752073"/>
    <w:rsid w:val="00760D80"/>
    <w:rsid w:val="00776435"/>
    <w:rsid w:val="00780C09"/>
    <w:rsid w:val="00780DDF"/>
    <w:rsid w:val="007834E9"/>
    <w:rsid w:val="00787DBC"/>
    <w:rsid w:val="0079019A"/>
    <w:rsid w:val="00792935"/>
    <w:rsid w:val="007A04A1"/>
    <w:rsid w:val="007A1840"/>
    <w:rsid w:val="007A777E"/>
    <w:rsid w:val="007C0528"/>
    <w:rsid w:val="007C3D38"/>
    <w:rsid w:val="007D0F35"/>
    <w:rsid w:val="007D3322"/>
    <w:rsid w:val="007D4FEB"/>
    <w:rsid w:val="007D6146"/>
    <w:rsid w:val="007D711C"/>
    <w:rsid w:val="007D7CCF"/>
    <w:rsid w:val="007E0CE7"/>
    <w:rsid w:val="007E199C"/>
    <w:rsid w:val="007F1193"/>
    <w:rsid w:val="007F417F"/>
    <w:rsid w:val="007F7644"/>
    <w:rsid w:val="008042BD"/>
    <w:rsid w:val="00816624"/>
    <w:rsid w:val="00822427"/>
    <w:rsid w:val="00822562"/>
    <w:rsid w:val="00823663"/>
    <w:rsid w:val="00827781"/>
    <w:rsid w:val="00832DDC"/>
    <w:rsid w:val="00850BAC"/>
    <w:rsid w:val="00854A3E"/>
    <w:rsid w:val="00855D08"/>
    <w:rsid w:val="00856BA6"/>
    <w:rsid w:val="00866F52"/>
    <w:rsid w:val="00874344"/>
    <w:rsid w:val="00882155"/>
    <w:rsid w:val="0088233B"/>
    <w:rsid w:val="0088599E"/>
    <w:rsid w:val="00886C37"/>
    <w:rsid w:val="00892D99"/>
    <w:rsid w:val="00893315"/>
    <w:rsid w:val="008B62AE"/>
    <w:rsid w:val="008B6F41"/>
    <w:rsid w:val="008C04B5"/>
    <w:rsid w:val="008C14FA"/>
    <w:rsid w:val="008C7B0B"/>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3729"/>
    <w:rsid w:val="00924020"/>
    <w:rsid w:val="009271A7"/>
    <w:rsid w:val="0093658B"/>
    <w:rsid w:val="009429FF"/>
    <w:rsid w:val="00945BD6"/>
    <w:rsid w:val="009479FB"/>
    <w:rsid w:val="00951C45"/>
    <w:rsid w:val="009656F2"/>
    <w:rsid w:val="00966A08"/>
    <w:rsid w:val="009675AA"/>
    <w:rsid w:val="00971207"/>
    <w:rsid w:val="009741CA"/>
    <w:rsid w:val="00975CB4"/>
    <w:rsid w:val="009828A5"/>
    <w:rsid w:val="009863B0"/>
    <w:rsid w:val="00987DE1"/>
    <w:rsid w:val="00990571"/>
    <w:rsid w:val="0099213C"/>
    <w:rsid w:val="0099673A"/>
    <w:rsid w:val="009A3330"/>
    <w:rsid w:val="009A7C96"/>
    <w:rsid w:val="009C3DB9"/>
    <w:rsid w:val="009D46E5"/>
    <w:rsid w:val="009D568A"/>
    <w:rsid w:val="009D5DD7"/>
    <w:rsid w:val="009F04EC"/>
    <w:rsid w:val="009F2A7C"/>
    <w:rsid w:val="009F3B36"/>
    <w:rsid w:val="00A019B9"/>
    <w:rsid w:val="00A05DC4"/>
    <w:rsid w:val="00A12508"/>
    <w:rsid w:val="00A1282B"/>
    <w:rsid w:val="00A13A27"/>
    <w:rsid w:val="00A175B6"/>
    <w:rsid w:val="00A21835"/>
    <w:rsid w:val="00A22AB2"/>
    <w:rsid w:val="00A2374B"/>
    <w:rsid w:val="00A27D6E"/>
    <w:rsid w:val="00A328EC"/>
    <w:rsid w:val="00A33A51"/>
    <w:rsid w:val="00A41CA6"/>
    <w:rsid w:val="00A47927"/>
    <w:rsid w:val="00A47FFC"/>
    <w:rsid w:val="00A5442F"/>
    <w:rsid w:val="00A54FF9"/>
    <w:rsid w:val="00A56765"/>
    <w:rsid w:val="00A675AC"/>
    <w:rsid w:val="00A7581F"/>
    <w:rsid w:val="00A92E43"/>
    <w:rsid w:val="00A92FB1"/>
    <w:rsid w:val="00A95A0C"/>
    <w:rsid w:val="00AA2765"/>
    <w:rsid w:val="00AA77B5"/>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5B3C"/>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31BB3"/>
    <w:rsid w:val="00C36977"/>
    <w:rsid w:val="00C467DA"/>
    <w:rsid w:val="00C477D9"/>
    <w:rsid w:val="00C60BA3"/>
    <w:rsid w:val="00C623F7"/>
    <w:rsid w:val="00C62A81"/>
    <w:rsid w:val="00C6326D"/>
    <w:rsid w:val="00C661BC"/>
    <w:rsid w:val="00C75BC5"/>
    <w:rsid w:val="00C81670"/>
    <w:rsid w:val="00C81773"/>
    <w:rsid w:val="00C82861"/>
    <w:rsid w:val="00C86896"/>
    <w:rsid w:val="00C907A8"/>
    <w:rsid w:val="00C915D4"/>
    <w:rsid w:val="00C93211"/>
    <w:rsid w:val="00C942EC"/>
    <w:rsid w:val="00C96047"/>
    <w:rsid w:val="00C979D0"/>
    <w:rsid w:val="00C97E2B"/>
    <w:rsid w:val="00CA0818"/>
    <w:rsid w:val="00CA15C8"/>
    <w:rsid w:val="00CA2C8F"/>
    <w:rsid w:val="00CA30DA"/>
    <w:rsid w:val="00CA3A24"/>
    <w:rsid w:val="00CB1777"/>
    <w:rsid w:val="00CB3372"/>
    <w:rsid w:val="00CB33E9"/>
    <w:rsid w:val="00CB4232"/>
    <w:rsid w:val="00CC10A9"/>
    <w:rsid w:val="00CC7B16"/>
    <w:rsid w:val="00CE2BF8"/>
    <w:rsid w:val="00CE484E"/>
    <w:rsid w:val="00CE5788"/>
    <w:rsid w:val="00CE656F"/>
    <w:rsid w:val="00CF0DA8"/>
    <w:rsid w:val="00CF2E25"/>
    <w:rsid w:val="00CF3D60"/>
    <w:rsid w:val="00CF4453"/>
    <w:rsid w:val="00CF5D94"/>
    <w:rsid w:val="00CF7E0F"/>
    <w:rsid w:val="00D034D7"/>
    <w:rsid w:val="00D04BE4"/>
    <w:rsid w:val="00D06E78"/>
    <w:rsid w:val="00D06FC7"/>
    <w:rsid w:val="00D12565"/>
    <w:rsid w:val="00D14127"/>
    <w:rsid w:val="00D36B1C"/>
    <w:rsid w:val="00D5734F"/>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072D"/>
    <w:rsid w:val="00DD150B"/>
    <w:rsid w:val="00DD5025"/>
    <w:rsid w:val="00DF1510"/>
    <w:rsid w:val="00DF1568"/>
    <w:rsid w:val="00E02F1F"/>
    <w:rsid w:val="00E06484"/>
    <w:rsid w:val="00E0731A"/>
    <w:rsid w:val="00E20A7D"/>
    <w:rsid w:val="00E20BC0"/>
    <w:rsid w:val="00E20DD0"/>
    <w:rsid w:val="00E275D8"/>
    <w:rsid w:val="00E30F6A"/>
    <w:rsid w:val="00E3117C"/>
    <w:rsid w:val="00E34915"/>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EF5AFE"/>
    <w:rsid w:val="00F04B59"/>
    <w:rsid w:val="00F11741"/>
    <w:rsid w:val="00F12B1C"/>
    <w:rsid w:val="00F13CF8"/>
    <w:rsid w:val="00F1565C"/>
    <w:rsid w:val="00F15855"/>
    <w:rsid w:val="00F200B2"/>
    <w:rsid w:val="00F227DC"/>
    <w:rsid w:val="00F32978"/>
    <w:rsid w:val="00F45CB2"/>
    <w:rsid w:val="00F544C0"/>
    <w:rsid w:val="00F55332"/>
    <w:rsid w:val="00F566E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3203"/>
    <w:rsid w:val="00FC5469"/>
    <w:rsid w:val="00FC6D7D"/>
    <w:rsid w:val="00FD16B0"/>
    <w:rsid w:val="00FD3792"/>
    <w:rsid w:val="00FD4FED"/>
    <w:rsid w:val="00FE0577"/>
    <w:rsid w:val="00FE40FD"/>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9828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9828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C336F-6099-4F1E-9A3E-D594059B1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20</Pages>
  <Words>1299</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2020-01-22T14:01:00Z</cp:lastPrinted>
  <dcterms:created xsi:type="dcterms:W3CDTF">2020-01-23T15:00:00Z</dcterms:created>
  <dcterms:modified xsi:type="dcterms:W3CDTF">2020-01-23T15:00:00Z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20190201-GU</vt:lpwstr>
  </property>
  <property fmtid="{D5CDD505-2E9C-101B-9397-08002B2CF9AE}" pid="3" name="MasterDocument">
    <vt:bool>false</vt:bool>
  </property>
</Properties>
</file>