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A54788">
            <w:pPr>
              <w:pStyle w:val="MastHeadState"/>
              <w:jc w:val="left"/>
            </w:pPr>
            <w:r>
              <w:t>State of Florida</w:t>
            </w:r>
          </w:p>
          <w:p w:rsidR="007C0528" w:rsidRDefault="00072CCA">
            <w:pPr>
              <w:jc w:val="center"/>
            </w:pPr>
            <w:r>
              <w:rPr>
                <w:noProof/>
              </w:rPr>
              <w:drawing>
                <wp:inline distT="0" distB="0" distL="0" distR="0" wp14:anchorId="605EDF08" wp14:editId="329F2DB8">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rsidTr="00A758BC">
        <w:trPr>
          <w:trHeight w:val="318"/>
        </w:trPr>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2E0880">
            <w:pPr>
              <w:pStyle w:val="MemoHeading"/>
            </w:pPr>
            <w:bookmarkStart w:id="0" w:name="FilingDate"/>
            <w:r>
              <w:t>February 21</w:t>
            </w:r>
            <w:r w:rsidR="00334F9A">
              <w:t>, 2020</w:t>
            </w:r>
            <w:bookmarkEnd w:id="0"/>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rsidTr="009C2A5F">
        <w:trPr>
          <w:trHeight w:val="1044"/>
        </w:trPr>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334F9A" w:rsidRDefault="00334F9A">
            <w:pPr>
              <w:pStyle w:val="MemoHeading"/>
            </w:pPr>
            <w:bookmarkStart w:id="1" w:name="From"/>
            <w:r>
              <w:t>Division of Engineering (Wright, Doehling, Ellis, King)</w:t>
            </w:r>
          </w:p>
          <w:p w:rsidR="00334F9A" w:rsidRDefault="00334F9A">
            <w:pPr>
              <w:pStyle w:val="MemoHeading"/>
            </w:pPr>
            <w:r>
              <w:t xml:space="preserve">Division of Accounting and Finance </w:t>
            </w:r>
            <w:r w:rsidR="009D48C4">
              <w:t>(</w:t>
            </w:r>
            <w:r w:rsidR="00D274C0">
              <w:t>Mouring, Fletcher</w:t>
            </w:r>
            <w:r>
              <w:t>)</w:t>
            </w:r>
          </w:p>
          <w:p w:rsidR="00334F9A" w:rsidRDefault="00334F9A" w:rsidP="00A51D54">
            <w:pPr>
              <w:pStyle w:val="MemoHeading"/>
              <w:tabs>
                <w:tab w:val="left" w:pos="4374"/>
              </w:tabs>
            </w:pPr>
            <w:r w:rsidRPr="007474F5">
              <w:t>Division of Economics (</w:t>
            </w:r>
            <w:r w:rsidR="000265E4">
              <w:t>Galloway, Wu</w:t>
            </w:r>
            <w:r w:rsidRPr="007474F5">
              <w:t>)</w:t>
            </w:r>
            <w:r w:rsidR="00A51D54">
              <w:tab/>
            </w:r>
          </w:p>
          <w:p w:rsidR="007C0528" w:rsidRDefault="00334F9A">
            <w:pPr>
              <w:pStyle w:val="MemoHeading"/>
            </w:pPr>
            <w:r>
              <w:t>Office of the General Counsel (Trierweiler, Simmons)</w:t>
            </w:r>
            <w:bookmarkEnd w:id="1"/>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334F9A">
            <w:pPr>
              <w:pStyle w:val="MemoHeadingRe"/>
            </w:pPr>
            <w:bookmarkStart w:id="2" w:name="Re"/>
            <w:r>
              <w:t>Docket No. 20190061-EI – Petition for approval of FPL SolarTogether program and tariff, by Florida Power &amp; Light Company.</w:t>
            </w:r>
            <w:bookmarkEnd w:id="2"/>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B30ECE" w:rsidP="00BF2BC2">
            <w:pPr>
              <w:pStyle w:val="MemoHeading"/>
            </w:pPr>
            <w:bookmarkStart w:id="3" w:name="AgendaDate"/>
            <w:r>
              <w:t>03/03</w:t>
            </w:r>
            <w:r w:rsidR="00334F9A">
              <w:t>/20</w:t>
            </w:r>
            <w:bookmarkEnd w:id="3"/>
            <w:r w:rsidR="007C0528">
              <w:t xml:space="preserve"> – </w:t>
            </w:r>
            <w:bookmarkStart w:id="4" w:name="PermittedStatus"/>
            <w:r w:rsidR="00334F9A">
              <w:t>Regular Agenda</w:t>
            </w:r>
            <w:bookmarkEnd w:id="4"/>
            <w:r w:rsidR="00BF2BC2">
              <w:t xml:space="preserve"> - </w:t>
            </w:r>
            <w:r w:rsidR="00D33E31">
              <w:t>Post-</w:t>
            </w:r>
            <w:r w:rsidR="004B5638">
              <w:t>Hearing Decision</w:t>
            </w:r>
            <w:r w:rsidR="00BF2BC2">
              <w:t xml:space="preserve"> - </w:t>
            </w:r>
            <w:r w:rsidR="004B5638">
              <w:t>Participation Limited to Commissioners and Staff</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334F9A">
            <w:pPr>
              <w:pStyle w:val="MemoHeading"/>
            </w:pPr>
            <w:bookmarkStart w:id="5" w:name="CommissionersAssigned"/>
            <w:r>
              <w:t>All Commissioners</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334F9A">
            <w:pPr>
              <w:pStyle w:val="MemoHeading"/>
            </w:pPr>
            <w:bookmarkStart w:id="6" w:name="PrehearingOfficer"/>
            <w:r>
              <w:t>Clark</w:t>
            </w:r>
            <w:bookmarkEnd w:id="6"/>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7" w:name="CriticalDatesLabel"/>
            <w:r>
              <w:t>CRITICAL DATES:</w:t>
            </w:r>
            <w:bookmarkEnd w:id="7"/>
          </w:p>
        </w:tc>
        <w:tc>
          <w:tcPr>
            <w:tcW w:w="5785" w:type="dxa"/>
            <w:tcBorders>
              <w:top w:val="nil"/>
              <w:left w:val="nil"/>
              <w:bottom w:val="nil"/>
              <w:right w:val="nil"/>
            </w:tcBorders>
            <w:shd w:val="clear" w:color="auto" w:fill="auto"/>
          </w:tcPr>
          <w:p w:rsidR="007C0528" w:rsidRDefault="00334F9A">
            <w:pPr>
              <w:pStyle w:val="MemoHeading"/>
            </w:pPr>
            <w:bookmarkStart w:id="8" w:name="CriticalDates"/>
            <w:r>
              <w:t>None</w:t>
            </w:r>
            <w:bookmarkEnd w:id="8"/>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6F4445">
            <w:pPr>
              <w:pStyle w:val="MemoHeading"/>
            </w:pPr>
            <w:r>
              <w:t>Staff recommends addressing th</w:t>
            </w:r>
            <w:r w:rsidR="00DE42D8">
              <w:t>e I</w:t>
            </w:r>
            <w:r>
              <w:t>ssue</w:t>
            </w:r>
            <w:r w:rsidR="001725E4">
              <w:t>s in the following order: Issue</w:t>
            </w:r>
            <w:r w:rsidR="005175FC">
              <w:t>s</w:t>
            </w:r>
            <w:r>
              <w:t xml:space="preserve"> 2, 3, 1, 4 and 6.</w:t>
            </w:r>
          </w:p>
        </w:tc>
      </w:tr>
    </w:tbl>
    <w:p w:rsidR="007C0528" w:rsidRDefault="007C0528">
      <w:pPr>
        <w:pStyle w:val="BodyText"/>
      </w:pPr>
    </w:p>
    <w:p w:rsidR="007C0528" w:rsidRDefault="007C0528">
      <w:pPr>
        <w:pStyle w:val="RecommendationMajorSectionHeading"/>
      </w:pPr>
      <w:bookmarkStart w:id="9" w:name="RecToC"/>
      <w:bookmarkStart w:id="10" w:name="_GoBack"/>
      <w:bookmarkEnd w:id="9"/>
      <w:bookmarkEnd w:id="10"/>
      <w:r>
        <w:t xml:space="preserve"> </w:t>
      </w:r>
      <w:bookmarkStart w:id="11" w:name="CaseBackground"/>
      <w:r>
        <w:t>Case Background</w:t>
      </w:r>
      <w:r w:rsidR="007D3266">
        <w:fldChar w:fldCharType="begin"/>
      </w:r>
      <w:r>
        <w:instrText xml:space="preserve"> TC  "</w:instrText>
      </w:r>
      <w:r>
        <w:tab/>
      </w:r>
      <w:bookmarkStart w:id="12" w:name="_Toc94516455"/>
      <w:r>
        <w:instrText>Case Background</w:instrText>
      </w:r>
      <w:bookmarkEnd w:id="12"/>
      <w:r>
        <w:instrText xml:space="preserve">" \l 1 </w:instrText>
      </w:r>
      <w:r w:rsidR="007D3266">
        <w:fldChar w:fldCharType="end"/>
      </w:r>
    </w:p>
    <w:p w:rsidR="00D730D8" w:rsidRDefault="00D730D8" w:rsidP="00D730D8">
      <w:pPr>
        <w:jc w:val="both"/>
      </w:pPr>
      <w:r w:rsidRPr="0000346B">
        <w:t>On March 13, 2019, Florida Power &amp; Light Company (FPL</w:t>
      </w:r>
      <w:r>
        <w:t xml:space="preserve"> or Utility</w:t>
      </w:r>
      <w:r w:rsidRPr="0000346B">
        <w:t xml:space="preserve">) filed a petition </w:t>
      </w:r>
      <w:r>
        <w:t xml:space="preserve">(Petition) </w:t>
      </w:r>
      <w:r w:rsidRPr="0000346B">
        <w:t>for a new vo</w:t>
      </w:r>
      <w:r>
        <w:t>luntary community solar program</w:t>
      </w:r>
      <w:r w:rsidRPr="0000346B">
        <w:t xml:space="preserve"> </w:t>
      </w:r>
      <w:r>
        <w:t>(</w:t>
      </w:r>
      <w:r w:rsidRPr="0000346B">
        <w:t>SolarTogether</w:t>
      </w:r>
      <w:r>
        <w:t xml:space="preserve"> Program or Program) and associated tariff. The proposed SolarTogether Program is designed to allow FPL customers to subscribe to a portion of new solar capacity built through the Program (subscription charge) and to receive a credit of a portion of the system savings produced by that solar capacity (subscription credit). Phase 1 of the P</w:t>
      </w:r>
      <w:r w:rsidRPr="0000346B">
        <w:t>rogram consists of five FPL SolarTogether projects t</w:t>
      </w:r>
      <w:r>
        <w:t xml:space="preserve">hat comprise a total of 20 </w:t>
      </w:r>
      <w:r w:rsidRPr="0000346B">
        <w:t xml:space="preserve">solar </w:t>
      </w:r>
      <w:r>
        <w:t xml:space="preserve">photovoltaic (PV) </w:t>
      </w:r>
      <w:r w:rsidRPr="0000346B">
        <w:t xml:space="preserve">power plants. </w:t>
      </w:r>
      <w:r>
        <w:t>Each power plant is rated at 74.5 megawatts (</w:t>
      </w:r>
      <w:r w:rsidRPr="0000346B">
        <w:t>MW</w:t>
      </w:r>
      <w:r>
        <w:t>) for a total of 1,490 MW</w:t>
      </w:r>
      <w:r w:rsidR="000B2448">
        <w:t xml:space="preserve"> that would provide electricity to all of FPL’s customers</w:t>
      </w:r>
      <w:r>
        <w:t>.</w:t>
      </w:r>
    </w:p>
    <w:p w:rsidR="00D730D8" w:rsidRDefault="00D730D8" w:rsidP="00D730D8">
      <w:pPr>
        <w:jc w:val="both"/>
      </w:pPr>
    </w:p>
    <w:p w:rsidR="00D730D8" w:rsidRDefault="00D730D8" w:rsidP="008F3AC6">
      <w:pPr>
        <w:spacing w:after="240"/>
        <w:jc w:val="both"/>
      </w:pPr>
      <w:r>
        <w:t>The Office of Public Counsel (OPC), Walmart, Inc. (Walmart), the Southern Alliance for Clean Energy (SACE), Vote Solar, and the Florida Industrial Power Users Group (FIPUG) were granted intervention in this docket. In June of 2019, Vote Solar and OPC both filed motions requesting the SolarTogether Program and tariff be set for an administrative hearing. FPL objected to both motions. After considering the arguments made by the parties, the matter was set</w:t>
      </w:r>
      <w:r w:rsidR="008F3AC6">
        <w:t xml:space="preserve"> for an administrative hearing.</w:t>
      </w:r>
    </w:p>
    <w:p w:rsidR="00D730D8" w:rsidRDefault="00D730D8" w:rsidP="008F3AC6">
      <w:pPr>
        <w:spacing w:after="240"/>
        <w:jc w:val="both"/>
      </w:pPr>
      <w:r>
        <w:t xml:space="preserve">FPL filed its direct testimony on July 29, 2019. Staff, SACE, Walmart, Vote Solar, and OPC filed direct testimony on September 3, 2019. FPL filed its rebuttal testimony on September 23, 2019, which included a revised tariff. On </w:t>
      </w:r>
      <w:r w:rsidRPr="00B83F5E">
        <w:t xml:space="preserve">September 27, 2019, </w:t>
      </w:r>
      <w:r>
        <w:t xml:space="preserve">OPC </w:t>
      </w:r>
      <w:r w:rsidRPr="00B83F5E">
        <w:t>f</w:t>
      </w:r>
      <w:r>
        <w:t xml:space="preserve">iled a </w:t>
      </w:r>
      <w:r w:rsidRPr="00794B6A">
        <w:t xml:space="preserve">motion </w:t>
      </w:r>
      <w:r>
        <w:t>for continuance of the hearing, or in the alternative, a motion to strike portions of FPL’s rebuttal testimony, arguing that there was insufficient time and opportunity to address the tariff revisions filed with FPL’s rebuttal. FPL filed a response in opposition to OPC’s motion. In response to OPC’s motion, new controlling dates and discovery r</w:t>
      </w:r>
      <w:r w:rsidR="008F3AC6">
        <w:t>esponse times were established.</w:t>
      </w:r>
    </w:p>
    <w:p w:rsidR="00D730D8" w:rsidRDefault="00D730D8" w:rsidP="008F3AC6">
      <w:pPr>
        <w:spacing w:after="240"/>
        <w:jc w:val="both"/>
      </w:pPr>
      <w:r>
        <w:t>On October 9, 2019, FPL, SACE, Vote Solar, and Walmart</w:t>
      </w:r>
      <w:r w:rsidR="00982C6B">
        <w:t xml:space="preserve"> (Joint Movant</w:t>
      </w:r>
      <w:r w:rsidR="00E32807">
        <w:t>s</w:t>
      </w:r>
      <w:r w:rsidR="00982C6B">
        <w:t>)</w:t>
      </w:r>
      <w:r>
        <w:t xml:space="preserve"> filed a Joint Motion to Approve Settlement</w:t>
      </w:r>
      <w:r w:rsidR="000E0895">
        <w:t xml:space="preserve"> (</w:t>
      </w:r>
      <w:r w:rsidR="00564B7D">
        <w:t>Join</w:t>
      </w:r>
      <w:r w:rsidR="00097A88">
        <w:t>t</w:t>
      </w:r>
      <w:r w:rsidR="00564B7D">
        <w:t xml:space="preserve"> Motion</w:t>
      </w:r>
      <w:r w:rsidR="000E0895">
        <w:t>),</w:t>
      </w:r>
      <w:r w:rsidR="00564B7D">
        <w:t xml:space="preserve"> </w:t>
      </w:r>
      <w:r>
        <w:t>with the Joint Movants’ Stipulation and Settlement (</w:t>
      </w:r>
      <w:r w:rsidR="00564B7D">
        <w:t>Settlement</w:t>
      </w:r>
      <w:r>
        <w:t xml:space="preserve"> Agreement) attached. A newly revised tariff (proposed tariff or rate Schedule STR; Attachment 1 to this recommendation) was included as Attachment I to the Settlement Agreement. OPC filed a response in opposition to the Joint Motion on October 16, 2019. In response to the new filings, the parties were allowed additional discovery and an opportunity to file additional testimony with respect to the proposed Settlement Agreement. Subsequently, both staff and OPC filed supplemental testimony on November 15, 2019, with FPL filing supplemental rebuttal testimony on November 27, 2019. On December 5, 2019, FPL filed a Notice of Superseding Proposed Tariff, stating that Attachment I of the Settlement Agreement supersedes the prior p</w:t>
      </w:r>
      <w:r w:rsidR="008F3AC6">
        <w:t>roposed tariffs in this docket.</w:t>
      </w:r>
    </w:p>
    <w:p w:rsidR="00D730D8" w:rsidRDefault="00D730D8" w:rsidP="008F3AC6">
      <w:pPr>
        <w:spacing w:after="240"/>
        <w:jc w:val="both"/>
      </w:pPr>
      <w:r>
        <w:t>On January 2, 2020, Duke Energy Florida, LLC (DEF) filed a motion for leave to file amicus curiae comments, with comments attached, in support of FPL’s Petition. DEF stated that the SolarTogether Program would allow customers the opportunity to support universal solar expansion which is already cost effective for all customers. DEF also stated that a voluntary option like the SolarTogether Program provides all customers with the benefits of utility-owned universal solar. DEF noted that while the Program may result in a policy shift, approving the Program would continue the Commission’s strong tradition of supporting public interest programs that utilize creative regulatory outcomes in a consistent, measured manner. OPC filed a response in opposition to DEF’s motion on January 9, 2020. The Prehearing Conference was held on January 10, 2020. By Order No. PSC-2020-0017-PHO-EI (Prehearing Order), DEF’s motion was granted.</w:t>
      </w:r>
    </w:p>
    <w:p w:rsidR="00D730D8" w:rsidRDefault="00D730D8" w:rsidP="00D730D8">
      <w:pPr>
        <w:pStyle w:val="BodyText"/>
      </w:pPr>
      <w:r>
        <w:t xml:space="preserve">The administrative hearing was held on January 14-15, 2020. All parties, except FIPUG, filed briefs on January 30, 2020. </w:t>
      </w:r>
      <w:r w:rsidR="00A913BB">
        <w:t xml:space="preserve">Because FIPUG did not file a brief, it has waived all issues pursuant to the Prehearing Order (page 20). </w:t>
      </w:r>
      <w:r>
        <w:t>The Florida Public Service Commission (Commission) has jurisdiction over this matter pursuant to Sections 366.03, 366.05, and 366.06, Florida Statutes (F.S.).</w:t>
      </w:r>
    </w:p>
    <w:p w:rsidR="00C964DB" w:rsidRDefault="00C964DB" w:rsidP="00C964DB">
      <w:r>
        <w:br w:type="page"/>
      </w:r>
    </w:p>
    <w:p w:rsidR="006F4445" w:rsidRPr="00A7317D" w:rsidRDefault="006F4445" w:rsidP="002D2157">
      <w:pPr>
        <w:pStyle w:val="NoSpacing"/>
        <w:spacing w:after="240"/>
        <w:jc w:val="center"/>
        <w:rPr>
          <w:rFonts w:ascii="Arial" w:hAnsi="Arial" w:cs="Arial"/>
          <w:b/>
          <w:sz w:val="24"/>
          <w:szCs w:val="24"/>
        </w:rPr>
      </w:pPr>
      <w:r>
        <w:rPr>
          <w:rFonts w:ascii="Arial" w:hAnsi="Arial" w:cs="Arial"/>
          <w:b/>
          <w:sz w:val="24"/>
          <w:szCs w:val="24"/>
        </w:rPr>
        <w:lastRenderedPageBreak/>
        <w:t>Settlement Agreement and Standard of Review</w:t>
      </w:r>
    </w:p>
    <w:p w:rsidR="00570F41" w:rsidRDefault="00570F41" w:rsidP="008F3AC6">
      <w:pPr>
        <w:spacing w:after="240"/>
        <w:jc w:val="both"/>
        <w:rPr>
          <w:rFonts w:eastAsia="Calibri"/>
        </w:rPr>
      </w:pPr>
      <w:r>
        <w:rPr>
          <w:rFonts w:eastAsia="Calibri"/>
        </w:rPr>
        <w:t xml:space="preserve">As mentioned previously, there is an outstanding non-unanimous Joint Motion filed </w:t>
      </w:r>
      <w:r w:rsidRPr="00005B62">
        <w:rPr>
          <w:rFonts w:eastAsia="Calibri"/>
        </w:rPr>
        <w:t>by FPL, SACE, Vote Solar, and Walmart</w:t>
      </w:r>
      <w:r>
        <w:rPr>
          <w:rFonts w:eastAsia="Calibri"/>
        </w:rPr>
        <w:t>. The Joint Motion</w:t>
      </w:r>
      <w:r w:rsidRPr="00005B62">
        <w:rPr>
          <w:rFonts w:eastAsia="Calibri"/>
        </w:rPr>
        <w:t xml:space="preserve"> </w:t>
      </w:r>
      <w:r>
        <w:rPr>
          <w:rFonts w:eastAsia="Calibri"/>
        </w:rPr>
        <w:t>proposes</w:t>
      </w:r>
      <w:r w:rsidRPr="00005B62">
        <w:rPr>
          <w:rFonts w:eastAsia="Calibri"/>
        </w:rPr>
        <w:t xml:space="preserve"> that the SolarTogether Program should be approved as described in FPL’s Petition, as modified by FPL’s rebuttal testimony and exhibits, along with Paragraphs 4 and 5 within the Settlement Agreement. Paragraph 4 states that 37.5 MW, or 10% of the residential capacity for Phase 1, will be allocated to low-income customers. The subscription charge will not exceed the subscription credit in any month for these customers.</w:t>
      </w:r>
      <w:r w:rsidR="00FC269D">
        <w:rPr>
          <w:rFonts w:eastAsia="Calibri"/>
        </w:rPr>
        <w:t xml:space="preserve"> These provisions for the low-income participants will begin with Project 3 with expected billing to start in February 2021.</w:t>
      </w:r>
      <w:r w:rsidRPr="00005B62">
        <w:rPr>
          <w:rFonts w:eastAsia="Calibri"/>
        </w:rPr>
        <w:t xml:space="preserve"> Paragraph 5 states the pricing for the subscription charge and the rate for the subscription credit for both standard and low-income customers is set fort</w:t>
      </w:r>
      <w:r w:rsidR="00E515C0">
        <w:rPr>
          <w:rFonts w:eastAsia="Calibri"/>
        </w:rPr>
        <w:t>h in rate Schedule STR, A</w:t>
      </w:r>
      <w:r w:rsidR="00FC269D">
        <w:rPr>
          <w:rFonts w:eastAsia="Calibri"/>
        </w:rPr>
        <w:t>ttachment</w:t>
      </w:r>
      <w:r w:rsidRPr="00005B62">
        <w:rPr>
          <w:rFonts w:eastAsia="Calibri"/>
        </w:rPr>
        <w:t xml:space="preserve"> </w:t>
      </w:r>
      <w:r w:rsidR="00FC269D">
        <w:rPr>
          <w:rFonts w:eastAsia="Calibri"/>
        </w:rPr>
        <w:t xml:space="preserve">1 </w:t>
      </w:r>
      <w:r w:rsidRPr="00005B62">
        <w:rPr>
          <w:rFonts w:eastAsia="Calibri"/>
        </w:rPr>
        <w:t>to</w:t>
      </w:r>
      <w:r w:rsidR="00FC269D">
        <w:rPr>
          <w:rFonts w:eastAsia="Calibri"/>
        </w:rPr>
        <w:t xml:space="preserve"> this recommendation</w:t>
      </w:r>
      <w:r w:rsidRPr="00005B62">
        <w:rPr>
          <w:rFonts w:eastAsia="Calibri"/>
        </w:rPr>
        <w:t xml:space="preserve">. Pursuant to </w:t>
      </w:r>
      <w:r w:rsidR="00FC269D">
        <w:rPr>
          <w:rFonts w:eastAsia="Calibri"/>
        </w:rPr>
        <w:t xml:space="preserve">paragraph 3(f) of </w:t>
      </w:r>
      <w:r w:rsidRPr="00005B62">
        <w:rPr>
          <w:rFonts w:eastAsia="Calibri"/>
        </w:rPr>
        <w:t>the Settlement</w:t>
      </w:r>
      <w:r>
        <w:rPr>
          <w:rFonts w:eastAsia="Calibri"/>
        </w:rPr>
        <w:t xml:space="preserve"> Agreement</w:t>
      </w:r>
      <w:r w:rsidRPr="00005B62">
        <w:rPr>
          <w:rFonts w:eastAsia="Calibri"/>
        </w:rPr>
        <w:t>, participants may elect to have FPL retire on their behalf all renewable energy certificates (REC</w:t>
      </w:r>
      <w:r w:rsidR="005008FE">
        <w:rPr>
          <w:rFonts w:eastAsia="Calibri"/>
        </w:rPr>
        <w:t>s</w:t>
      </w:r>
      <w:r w:rsidRPr="00005B62">
        <w:rPr>
          <w:rFonts w:eastAsia="Calibri"/>
        </w:rPr>
        <w:t>) associated with their subscription; FPL will not utilize RECs generated by the Program.</w:t>
      </w:r>
    </w:p>
    <w:p w:rsidR="00570F41" w:rsidRPr="008B7B47" w:rsidRDefault="00570F41" w:rsidP="008F3AC6">
      <w:pPr>
        <w:spacing w:after="240"/>
        <w:jc w:val="both"/>
        <w:rPr>
          <w:rFonts w:eastAsia="Calibri"/>
          <w:i/>
        </w:rPr>
      </w:pPr>
      <w:r>
        <w:rPr>
          <w:rFonts w:eastAsia="Calibri"/>
        </w:rPr>
        <w:t>Whether or not a settlement is under consideration, the Commission is still bound by Sections</w:t>
      </w:r>
      <w:r w:rsidRPr="00005B62">
        <w:rPr>
          <w:rFonts w:eastAsia="Calibri"/>
        </w:rPr>
        <w:t xml:space="preserve"> 366.01</w:t>
      </w:r>
      <w:r>
        <w:rPr>
          <w:rFonts w:eastAsia="Calibri"/>
        </w:rPr>
        <w:t xml:space="preserve"> and 366.06</w:t>
      </w:r>
      <w:r w:rsidRPr="00005B62">
        <w:rPr>
          <w:rFonts w:eastAsia="Calibri"/>
        </w:rPr>
        <w:t>, F.S.,</w:t>
      </w:r>
      <w:r>
        <w:rPr>
          <w:rFonts w:eastAsia="Calibri"/>
        </w:rPr>
        <w:t xml:space="preserve"> which </w:t>
      </w:r>
      <w:r w:rsidRPr="00005B62">
        <w:rPr>
          <w:rFonts w:eastAsia="Calibri"/>
        </w:rPr>
        <w:t>require that the Commission fix rates that are fair, just, and reasonable</w:t>
      </w:r>
      <w:r>
        <w:rPr>
          <w:rFonts w:eastAsia="Calibri"/>
        </w:rPr>
        <w:t xml:space="preserve"> and determine whether the resolution of the case is in the public interest</w:t>
      </w:r>
      <w:r w:rsidRPr="00005B62">
        <w:rPr>
          <w:rFonts w:eastAsia="Calibri"/>
        </w:rPr>
        <w:t>.</w:t>
      </w:r>
      <w:r>
        <w:rPr>
          <w:rFonts w:eastAsia="Calibri"/>
        </w:rPr>
        <w:t xml:space="preserve"> Moreover, the Commission’s decision must be supported by competent, substantial record evidence. </w:t>
      </w:r>
      <w:r w:rsidRPr="00005B62">
        <w:rPr>
          <w:rFonts w:eastAsia="Calibri"/>
          <w:i/>
        </w:rPr>
        <w:t>Sierra Club v. Brown,</w:t>
      </w:r>
      <w:r w:rsidRPr="00005B62">
        <w:rPr>
          <w:rFonts w:eastAsia="Calibri"/>
        </w:rPr>
        <w:t xml:space="preserve"> 243 So. 3d 903, 9</w:t>
      </w:r>
      <w:r>
        <w:rPr>
          <w:rFonts w:eastAsia="Calibri"/>
        </w:rPr>
        <w:t xml:space="preserve">09-910 (Fla. 2018), </w:t>
      </w:r>
      <w:r>
        <w:rPr>
          <w:rFonts w:eastAsia="Calibri"/>
          <w:i/>
        </w:rPr>
        <w:t xml:space="preserve">citing </w:t>
      </w:r>
      <w:r w:rsidRPr="00005B62">
        <w:rPr>
          <w:rFonts w:eastAsia="Calibri"/>
          <w:i/>
        </w:rPr>
        <w:t>Citizens of State v. Florida Public Service Comm'n</w:t>
      </w:r>
      <w:r w:rsidRPr="00005B62">
        <w:rPr>
          <w:rFonts w:eastAsia="Calibri"/>
        </w:rPr>
        <w:t xml:space="preserve">, 146 So. 3d 1143, </w:t>
      </w:r>
      <w:r>
        <w:rPr>
          <w:rFonts w:eastAsia="Calibri"/>
        </w:rPr>
        <w:t>1153-54, 1164, 1173</w:t>
      </w:r>
      <w:r w:rsidRPr="00005B62">
        <w:rPr>
          <w:rFonts w:eastAsia="Calibri"/>
        </w:rPr>
        <w:t xml:space="preserve"> (Fla. 2014)</w:t>
      </w:r>
      <w:r>
        <w:rPr>
          <w:rFonts w:eastAsia="Calibri"/>
        </w:rPr>
        <w:t>.</w:t>
      </w:r>
    </w:p>
    <w:p w:rsidR="00570F41" w:rsidRDefault="00570F41" w:rsidP="008F3AC6">
      <w:pPr>
        <w:spacing w:after="240"/>
        <w:jc w:val="both"/>
      </w:pPr>
      <w:r w:rsidRPr="00005B62">
        <w:rPr>
          <w:rFonts w:eastAsia="Calibri"/>
        </w:rPr>
        <w:t xml:space="preserve">When considering a settlement agreement, the </w:t>
      </w:r>
      <w:r w:rsidRPr="00836568">
        <w:rPr>
          <w:rFonts w:eastAsia="Calibri"/>
        </w:rPr>
        <w:t xml:space="preserve">Commission may look at the totality of the settlement agreement to determine </w:t>
      </w:r>
      <w:r w:rsidRPr="00005B62">
        <w:rPr>
          <w:rFonts w:eastAsia="Calibri"/>
        </w:rPr>
        <w:t>whether the agreement, taken as a whole, resolves all the issues; establishes rates that are fair, just, and reasonable; and is</w:t>
      </w:r>
      <w:r>
        <w:rPr>
          <w:rFonts w:eastAsia="Calibri"/>
        </w:rPr>
        <w:t xml:space="preserve"> in</w:t>
      </w:r>
      <w:r w:rsidRPr="00005B62">
        <w:rPr>
          <w:rFonts w:eastAsia="Calibri"/>
        </w:rPr>
        <w:t xml:space="preserve"> the public interest. </w:t>
      </w:r>
      <w:r w:rsidRPr="00005B62">
        <w:rPr>
          <w:rFonts w:eastAsia="Calibri"/>
          <w:i/>
        </w:rPr>
        <w:t>Florida Industrial Power Users Group v. Brown</w:t>
      </w:r>
      <w:r w:rsidRPr="00005B62">
        <w:rPr>
          <w:rFonts w:eastAsia="Calibri"/>
        </w:rPr>
        <w:t xml:space="preserve">, 273 So. 3d 926, 929-930 (Fla. 2019), </w:t>
      </w:r>
      <w:r w:rsidRPr="00005B62">
        <w:rPr>
          <w:rFonts w:eastAsia="Calibri"/>
          <w:i/>
        </w:rPr>
        <w:t xml:space="preserve">quoting Citizens </w:t>
      </w:r>
      <w:r w:rsidRPr="00005B62">
        <w:rPr>
          <w:rFonts w:eastAsia="Calibri"/>
        </w:rPr>
        <w:t xml:space="preserve">146 So. 3d </w:t>
      </w:r>
      <w:r>
        <w:rPr>
          <w:rFonts w:eastAsia="Calibri"/>
        </w:rPr>
        <w:t xml:space="preserve">at </w:t>
      </w:r>
      <w:r w:rsidRPr="00005B62">
        <w:rPr>
          <w:rFonts w:eastAsia="Calibri"/>
        </w:rPr>
        <w:t>1164</w:t>
      </w:r>
      <w:r>
        <w:rPr>
          <w:rFonts w:eastAsia="Calibri"/>
        </w:rPr>
        <w:t xml:space="preserve"> </w:t>
      </w:r>
      <w:r w:rsidRPr="00005B62">
        <w:rPr>
          <w:rFonts w:eastAsia="Calibri"/>
        </w:rPr>
        <w:t xml:space="preserve">(Court upheld Commission’s approval of a non-unanimous settlement agreement, finding that the settlement agreement established rates that were just, reasonable, and fair, and that the agreement was in the public interest and supported by competent, substantial evidence). </w:t>
      </w:r>
      <w:r>
        <w:rPr>
          <w:rFonts w:eastAsia="Calibri"/>
        </w:rPr>
        <w:t>T</w:t>
      </w:r>
      <w:r w:rsidRPr="00005B62">
        <w:rPr>
          <w:rFonts w:eastAsia="Calibri"/>
        </w:rPr>
        <w:t xml:space="preserve">he Florida Supreme Court has </w:t>
      </w:r>
      <w:r w:rsidRPr="00726D98">
        <w:rPr>
          <w:rFonts w:eastAsia="Calibri"/>
        </w:rPr>
        <w:t>also</w:t>
      </w:r>
      <w:r w:rsidRPr="00005B62">
        <w:rPr>
          <w:rFonts w:eastAsia="Calibri"/>
        </w:rPr>
        <w:t xml:space="preserve"> noted that the prudence of large capital investments is a relevant consideration in the Commission’s review of a settlement under its public interest standard, because imprudent investment of millions of dollars would likely clash with a public interest finding. </w:t>
      </w:r>
      <w:r w:rsidRPr="00005B62">
        <w:rPr>
          <w:rFonts w:eastAsia="Calibri"/>
          <w:i/>
        </w:rPr>
        <w:t>Brown,</w:t>
      </w:r>
      <w:r w:rsidRPr="00005B62">
        <w:rPr>
          <w:rFonts w:eastAsia="Calibri"/>
        </w:rPr>
        <w:t xml:space="preserve"> 273 So. 3d at 930,</w:t>
      </w:r>
      <w:r w:rsidRPr="00005B62">
        <w:rPr>
          <w:rFonts w:eastAsia="Calibri"/>
          <w:i/>
        </w:rPr>
        <w:t xml:space="preserve"> quoting Sierra Club v. Brown,</w:t>
      </w:r>
      <w:r w:rsidRPr="00005B62">
        <w:rPr>
          <w:rFonts w:eastAsia="Calibri"/>
        </w:rPr>
        <w:t xml:space="preserve"> 243 So. 3d 903, 912 (Fla. 2018). </w:t>
      </w:r>
      <w:r w:rsidRPr="00836568">
        <w:rPr>
          <w:rFonts w:eastAsia="Calibri"/>
        </w:rPr>
        <w:t xml:space="preserve">While the Commission may consider the prudence of large capital investments </w:t>
      </w:r>
      <w:r>
        <w:rPr>
          <w:rFonts w:eastAsia="Calibri"/>
        </w:rPr>
        <w:t>under</w:t>
      </w:r>
      <w:r w:rsidRPr="00836568">
        <w:rPr>
          <w:rFonts w:eastAsia="Calibri"/>
        </w:rPr>
        <w:t xml:space="preserve"> a settlement</w:t>
      </w:r>
      <w:r>
        <w:rPr>
          <w:rFonts w:eastAsia="Calibri"/>
        </w:rPr>
        <w:t xml:space="preserve"> agreement</w:t>
      </w:r>
      <w:r w:rsidRPr="00836568">
        <w:rPr>
          <w:rFonts w:eastAsia="Calibri"/>
        </w:rPr>
        <w:t xml:space="preserve">, there is no </w:t>
      </w:r>
      <w:r w:rsidRPr="00005B62">
        <w:rPr>
          <w:rFonts w:eastAsia="Calibri"/>
        </w:rPr>
        <w:t xml:space="preserve">affirmative requirement </w:t>
      </w:r>
      <w:r>
        <w:rPr>
          <w:rFonts w:eastAsia="Calibri"/>
        </w:rPr>
        <w:t>that</w:t>
      </w:r>
      <w:r w:rsidRPr="00005B62">
        <w:rPr>
          <w:rFonts w:eastAsia="Calibri"/>
        </w:rPr>
        <w:t xml:space="preserve"> the Commission </w:t>
      </w:r>
      <w:r>
        <w:rPr>
          <w:rFonts w:eastAsia="Calibri"/>
        </w:rPr>
        <w:t>must</w:t>
      </w:r>
      <w:r w:rsidRPr="00005B62">
        <w:rPr>
          <w:rFonts w:eastAsia="Calibri"/>
        </w:rPr>
        <w:t xml:space="preserve"> make </w:t>
      </w:r>
      <w:r>
        <w:rPr>
          <w:rFonts w:eastAsia="Calibri"/>
        </w:rPr>
        <w:t>independent</w:t>
      </w:r>
      <w:r w:rsidRPr="00005B62">
        <w:rPr>
          <w:rFonts w:eastAsia="Calibri"/>
        </w:rPr>
        <w:t xml:space="preserve"> specific prudence </w:t>
      </w:r>
      <w:r w:rsidRPr="0041320C">
        <w:rPr>
          <w:rFonts w:eastAsia="Calibri"/>
        </w:rPr>
        <w:t>findings</w:t>
      </w:r>
      <w:r w:rsidRPr="00005B62">
        <w:rPr>
          <w:rFonts w:eastAsia="Calibri"/>
        </w:rPr>
        <w:t xml:space="preserve"> in a final order </w:t>
      </w:r>
      <w:r>
        <w:rPr>
          <w:rFonts w:eastAsia="Calibri"/>
        </w:rPr>
        <w:t xml:space="preserve">approving a settlement. </w:t>
      </w:r>
      <w:r w:rsidRPr="00005B62">
        <w:rPr>
          <w:rFonts w:eastAsia="Calibri"/>
          <w:i/>
        </w:rPr>
        <w:t>Sierra Club</w:t>
      </w:r>
      <w:r w:rsidRPr="00005B62">
        <w:rPr>
          <w:rFonts w:eastAsia="Calibri"/>
        </w:rPr>
        <w:t xml:space="preserve">, 243 So. 3d at 912. </w:t>
      </w:r>
      <w:r w:rsidRPr="00836568">
        <w:rPr>
          <w:rFonts w:eastAsia="Calibri"/>
        </w:rPr>
        <w:t xml:space="preserve">The Florida Supreme Court has also noted that although </w:t>
      </w:r>
      <w:r w:rsidRPr="00005B62">
        <w:rPr>
          <w:rFonts w:eastAsia="Calibri"/>
        </w:rPr>
        <w:t xml:space="preserve">the Commission is not required by statute or case law to address each issue of disputed fact in a final order approving a settlement, it nevertheless </w:t>
      </w:r>
      <w:r>
        <w:rPr>
          <w:rFonts w:eastAsia="Calibri"/>
        </w:rPr>
        <w:t>has the discretion</w:t>
      </w:r>
      <w:r w:rsidRPr="00005B62">
        <w:rPr>
          <w:rFonts w:eastAsia="Calibri"/>
        </w:rPr>
        <w:t xml:space="preserve"> to do so. </w:t>
      </w:r>
      <w:r w:rsidRPr="00005B62">
        <w:rPr>
          <w:rFonts w:eastAsia="Calibri"/>
          <w:i/>
        </w:rPr>
        <w:t>Citizens</w:t>
      </w:r>
      <w:r w:rsidRPr="00005B62">
        <w:rPr>
          <w:rFonts w:eastAsia="Calibri"/>
        </w:rPr>
        <w:t>, 146 So. 3d at 1153.</w:t>
      </w:r>
      <w:r>
        <w:rPr>
          <w:rFonts w:eastAsia="Calibri"/>
        </w:rPr>
        <w:t xml:space="preserve"> Thus, w</w:t>
      </w:r>
      <w:r w:rsidRPr="00005B62">
        <w:t>hile the Commission has the authority to consider a non-unanimous settlement,</w:t>
      </w:r>
      <w:r w:rsidRPr="00005B62">
        <w:rPr>
          <w:vertAlign w:val="superscript"/>
        </w:rPr>
        <w:footnoteReference w:id="1"/>
      </w:r>
      <w:r w:rsidRPr="00005B62">
        <w:t xml:space="preserve"> it is not </w:t>
      </w:r>
      <w:r w:rsidRPr="00836568">
        <w:t xml:space="preserve">required </w:t>
      </w:r>
      <w:r w:rsidRPr="00005B62">
        <w:t>to do so</w:t>
      </w:r>
      <w:r>
        <w:t>. T</w:t>
      </w:r>
      <w:r w:rsidRPr="00005B62">
        <w:t xml:space="preserve">he Commission </w:t>
      </w:r>
      <w:r>
        <w:t>may consider</w:t>
      </w:r>
      <w:r w:rsidRPr="00005B62">
        <w:t xml:space="preserve"> the issues </w:t>
      </w:r>
      <w:r>
        <w:t>argued in</w:t>
      </w:r>
      <w:r w:rsidR="008F3AC6">
        <w:t xml:space="preserve"> this docket.</w:t>
      </w:r>
    </w:p>
    <w:p w:rsidR="00570F41" w:rsidRPr="00836568" w:rsidRDefault="00570F41" w:rsidP="008F3AC6">
      <w:pPr>
        <w:spacing w:after="240"/>
        <w:jc w:val="both"/>
      </w:pPr>
      <w:r w:rsidRPr="00836568">
        <w:lastRenderedPageBreak/>
        <w:t xml:space="preserve">Rather than initially taking up the </w:t>
      </w:r>
      <w:r>
        <w:t xml:space="preserve">Joint </w:t>
      </w:r>
      <w:r w:rsidRPr="00836568">
        <w:t xml:space="preserve">Motion at the outset, staff recommends that the Commission address the substantive issues as </w:t>
      </w:r>
      <w:r>
        <w:t xml:space="preserve">discussed below. </w:t>
      </w:r>
      <w:r w:rsidRPr="00836568">
        <w:t xml:space="preserve">Addressing the substantive issues in this case will effectively resolve the </w:t>
      </w:r>
      <w:r>
        <w:t>Joint Motion</w:t>
      </w:r>
      <w:r w:rsidRPr="00836568">
        <w:t xml:space="preserve">. At the conclusion of addressing all issues, the Commission may either render the </w:t>
      </w:r>
      <w:r>
        <w:t xml:space="preserve">Joint </w:t>
      </w:r>
      <w:r w:rsidRPr="00836568">
        <w:t xml:space="preserve">Motion moot or take up and rule on the </w:t>
      </w:r>
      <w:r>
        <w:t xml:space="preserve">Joint </w:t>
      </w:r>
      <w:r w:rsidRPr="00836568">
        <w:t xml:space="preserve">Motion as a fallout </w:t>
      </w:r>
      <w:r>
        <w:t xml:space="preserve">matter. </w:t>
      </w:r>
      <w:r w:rsidRPr="00836568">
        <w:t>Staff recommends this approach for the following reasons:</w:t>
      </w:r>
    </w:p>
    <w:p w:rsidR="00570F41" w:rsidRPr="00836568" w:rsidRDefault="00570F41" w:rsidP="00570F41">
      <w:pPr>
        <w:pStyle w:val="ListParagraph"/>
        <w:numPr>
          <w:ilvl w:val="0"/>
          <w:numId w:val="14"/>
        </w:numPr>
        <w:spacing w:after="240"/>
        <w:jc w:val="both"/>
      </w:pPr>
      <w:r w:rsidRPr="00836568">
        <w:t xml:space="preserve">The </w:t>
      </w:r>
      <w:r>
        <w:t>S</w:t>
      </w:r>
      <w:r w:rsidRPr="00836568">
        <w:t xml:space="preserve">ettlement </w:t>
      </w:r>
      <w:r>
        <w:t xml:space="preserve">Agreement </w:t>
      </w:r>
      <w:r w:rsidRPr="00836568">
        <w:t>in this case, which incorporates the</w:t>
      </w:r>
      <w:r>
        <w:t xml:space="preserve"> proposed</w:t>
      </w:r>
      <w:r w:rsidRPr="00836568">
        <w:t xml:space="preserve"> tariff, merely represents an agreement by some of the parties to the proposed </w:t>
      </w:r>
      <w:r>
        <w:t>P</w:t>
      </w:r>
      <w:r w:rsidRPr="00836568">
        <w:t>rogram</w:t>
      </w:r>
      <w:r>
        <w:t xml:space="preserve">. </w:t>
      </w:r>
      <w:r w:rsidRPr="00836568">
        <w:t xml:space="preserve">Neither the </w:t>
      </w:r>
      <w:r>
        <w:t>S</w:t>
      </w:r>
      <w:r w:rsidRPr="00836568">
        <w:t xml:space="preserve">ettlement </w:t>
      </w:r>
      <w:r>
        <w:t xml:space="preserve">Agreement </w:t>
      </w:r>
      <w:r w:rsidRPr="00836568">
        <w:t xml:space="preserve">nor the record developed in this case deal with issues outside of the proposed </w:t>
      </w:r>
      <w:r>
        <w:t>P</w:t>
      </w:r>
      <w:r w:rsidRPr="00836568">
        <w:t xml:space="preserve">rogram and tariff. There are no issues contained within staff’s recommendation </w:t>
      </w:r>
      <w:r>
        <w:t>that</w:t>
      </w:r>
      <w:r w:rsidRPr="00836568">
        <w:t xml:space="preserve"> are not contained within the proposed </w:t>
      </w:r>
      <w:r>
        <w:t>P</w:t>
      </w:r>
      <w:r w:rsidRPr="00836568">
        <w:t xml:space="preserve">rogram and tariff.  In other words, the issues and analysis reflected in staff’s recommendation essentially match up with and reflect the sum and substance of the </w:t>
      </w:r>
      <w:r>
        <w:t>S</w:t>
      </w:r>
      <w:r w:rsidRPr="00836568">
        <w:t xml:space="preserve">ettlement </w:t>
      </w:r>
      <w:r>
        <w:t xml:space="preserve">Agreement </w:t>
      </w:r>
      <w:r w:rsidRPr="00836568">
        <w:t>and proposed tariff, as litigated.</w:t>
      </w:r>
    </w:p>
    <w:p w:rsidR="00570F41" w:rsidRPr="008F3AC6" w:rsidRDefault="00570F41" w:rsidP="008F3AC6">
      <w:pPr>
        <w:pStyle w:val="ListParagraph"/>
        <w:numPr>
          <w:ilvl w:val="0"/>
          <w:numId w:val="14"/>
        </w:numPr>
        <w:spacing w:after="240"/>
        <w:jc w:val="both"/>
        <w:rPr>
          <w:u w:val="single"/>
        </w:rPr>
      </w:pPr>
      <w:r w:rsidRPr="00836568">
        <w:t xml:space="preserve">The </w:t>
      </w:r>
      <w:r w:rsidRPr="00820E49">
        <w:t>issues addressed at the hearing, and presented in staff’s recommendation herein, were agreed upon by the parties at the Prehearing Conference</w:t>
      </w:r>
      <w:r>
        <w:t xml:space="preserve">, </w:t>
      </w:r>
      <w:r w:rsidRPr="00836568">
        <w:t xml:space="preserve">which occurred after the filing of the </w:t>
      </w:r>
      <w:r>
        <w:t>S</w:t>
      </w:r>
      <w:r w:rsidRPr="00836568">
        <w:t>ettlement</w:t>
      </w:r>
      <w:r>
        <w:t xml:space="preserve"> Agreement</w:t>
      </w:r>
      <w:r w:rsidRPr="00836568">
        <w:t>.</w:t>
      </w:r>
      <w:r w:rsidRPr="00820E49">
        <w:t xml:space="preserve"> </w:t>
      </w:r>
      <w:r>
        <w:t>T</w:t>
      </w:r>
      <w:r w:rsidR="005008FE">
        <w:t>estimony and evidence were</w:t>
      </w:r>
      <w:r w:rsidRPr="00820E49">
        <w:t xml:space="preserve"> taken on these issues at the hearing. </w:t>
      </w:r>
      <w:r w:rsidRPr="00836568">
        <w:t xml:space="preserve">In </w:t>
      </w:r>
      <w:r>
        <w:t>essence</w:t>
      </w:r>
      <w:r w:rsidRPr="00836568">
        <w:t>, the litigation of this case was based upon the issues agreed upon by the parties</w:t>
      </w:r>
      <w:r>
        <w:t>,</w:t>
      </w:r>
      <w:r w:rsidRPr="00836568">
        <w:t xml:space="preserve"> which </w:t>
      </w:r>
      <w:r>
        <w:t>were founded on the</w:t>
      </w:r>
      <w:r w:rsidRPr="00836568">
        <w:t xml:space="preserve"> terms of the </w:t>
      </w:r>
      <w:r>
        <w:t>S</w:t>
      </w:r>
      <w:r w:rsidRPr="00836568">
        <w:t>ettlement</w:t>
      </w:r>
      <w:r>
        <w:t xml:space="preserve"> Agreement</w:t>
      </w:r>
      <w:r w:rsidRPr="00836568">
        <w:t xml:space="preserve"> and the </w:t>
      </w:r>
      <w:r>
        <w:t xml:space="preserve">proposed </w:t>
      </w:r>
      <w:r w:rsidRPr="00836568">
        <w:t>tariff.</w:t>
      </w:r>
    </w:p>
    <w:p w:rsidR="00570F41" w:rsidRPr="00836568" w:rsidRDefault="00570F41" w:rsidP="00570F41">
      <w:pPr>
        <w:pStyle w:val="ListParagraph"/>
        <w:numPr>
          <w:ilvl w:val="0"/>
          <w:numId w:val="14"/>
        </w:numPr>
        <w:spacing w:after="240"/>
        <w:jc w:val="both"/>
      </w:pPr>
      <w:r w:rsidRPr="00836568">
        <w:t xml:space="preserve">Because the record in this case has been fully developed and litigated and the issues track the </w:t>
      </w:r>
      <w:r>
        <w:t>S</w:t>
      </w:r>
      <w:r w:rsidRPr="00836568">
        <w:t>ettlement</w:t>
      </w:r>
      <w:r>
        <w:t xml:space="preserve"> Agreement</w:t>
      </w:r>
      <w:r w:rsidRPr="00836568">
        <w:t xml:space="preserve"> and </w:t>
      </w:r>
      <w:r>
        <w:t xml:space="preserve">proposed </w:t>
      </w:r>
      <w:r w:rsidRPr="00836568">
        <w:t>tariff as filed, taking up the issues in the staff recommendation will provide the Commission with a better framework to ensure that its decision is supported by substantial</w:t>
      </w:r>
      <w:r w:rsidR="005008FE">
        <w:t>,</w:t>
      </w:r>
      <w:r w:rsidRPr="00836568">
        <w:t xml:space="preserve"> competent evidence in the record and ultimately re</w:t>
      </w:r>
      <w:r w:rsidR="008F3AC6">
        <w:t>ndered in the public interest.</w:t>
      </w:r>
    </w:p>
    <w:p w:rsidR="00570F41" w:rsidRPr="00005B62" w:rsidRDefault="00570F41" w:rsidP="00570F41">
      <w:pPr>
        <w:spacing w:after="240"/>
        <w:jc w:val="both"/>
      </w:pPr>
      <w:r w:rsidRPr="00836568">
        <w:t xml:space="preserve">In addressing the substantive issues, </w:t>
      </w:r>
      <w:r>
        <w:t>s</w:t>
      </w:r>
      <w:r w:rsidRPr="00005B62">
        <w:t>taff recommend</w:t>
      </w:r>
      <w:r>
        <w:t>s that the Commission take the i</w:t>
      </w:r>
      <w:r w:rsidRPr="00005B62">
        <w:t>ssues up in the following order: Issues 2, 3, 1, 4</w:t>
      </w:r>
      <w:r>
        <w:t>,</w:t>
      </w:r>
      <w:r w:rsidRPr="00005B62">
        <w:t xml:space="preserve"> and 6.</w:t>
      </w:r>
    </w:p>
    <w:p w:rsidR="00570F41" w:rsidRDefault="00570F41">
      <w:r>
        <w:br w:type="page"/>
      </w:r>
    </w:p>
    <w:p w:rsidR="00055159" w:rsidRDefault="00055159" w:rsidP="00055159">
      <w:pPr>
        <w:pStyle w:val="BodyText"/>
        <w:jc w:val="center"/>
      </w:pPr>
      <w:r>
        <w:rPr>
          <w:rFonts w:ascii="Arial" w:hAnsi="Arial" w:cs="Arial"/>
          <w:b/>
        </w:rPr>
        <w:lastRenderedPageBreak/>
        <w:t>Executive Summary</w:t>
      </w:r>
      <w:r w:rsidR="007D3266">
        <w:fldChar w:fldCharType="begin"/>
      </w:r>
      <w:r>
        <w:instrText xml:space="preserve"> TC  "</w:instrText>
      </w:r>
      <w:bookmarkStart w:id="13" w:name="_Toc23149467"/>
      <w:r>
        <w:instrText>Executive Summary</w:instrText>
      </w:r>
      <w:bookmarkEnd w:id="13"/>
      <w:r>
        <w:instrText xml:space="preserve">" \l 1 </w:instrText>
      </w:r>
      <w:r w:rsidR="007D3266">
        <w:fldChar w:fldCharType="end"/>
      </w:r>
    </w:p>
    <w:bookmarkEnd w:id="11"/>
    <w:p w:rsidR="005C58DD" w:rsidRDefault="00F4414D" w:rsidP="00BC3FD4">
      <w:pPr>
        <w:spacing w:after="240"/>
        <w:jc w:val="both"/>
      </w:pPr>
      <w:r>
        <w:t>Florida has a regulatory framework established through statute that grants utilities specific rights and responsibilities</w:t>
      </w:r>
      <w:r w:rsidR="00C964DB">
        <w:t>,</w:t>
      </w:r>
      <w:r>
        <w:t xml:space="preserve"> including the obligation to serve all customers within their service territory.</w:t>
      </w:r>
      <w:r w:rsidRPr="001D6295">
        <w:t xml:space="preserve"> </w:t>
      </w:r>
      <w:r>
        <w:t>The Commission</w:t>
      </w:r>
      <w:r w:rsidR="00C964DB">
        <w:t xml:space="preserve"> regulates utilities </w:t>
      </w:r>
      <w:r>
        <w:t>to ensure that customers receive adequate, safe electric service at rates that are fair, just, and reasonable.</w:t>
      </w:r>
      <w:r w:rsidRPr="001D6295">
        <w:t xml:space="preserve"> </w:t>
      </w:r>
      <w:r w:rsidR="005C58DD">
        <w:t>The Commission has jurisdiction over the planning, development, and maintenance</w:t>
      </w:r>
      <w:r w:rsidR="00775835">
        <w:t xml:space="preserve"> </w:t>
      </w:r>
      <w:r w:rsidR="005C58DD">
        <w:t xml:space="preserve">of a coordinated electric </w:t>
      </w:r>
      <w:r w:rsidR="00D55D35">
        <w:t xml:space="preserve">power grid throughout Florida. </w:t>
      </w:r>
      <w:r w:rsidR="005C58DD">
        <w:t xml:space="preserve">Generating electric utilities are required to annually submit to the Commission </w:t>
      </w:r>
      <w:r w:rsidR="00181311">
        <w:t>a t</w:t>
      </w:r>
      <w:r w:rsidR="001C0DD1">
        <w:t>en</w:t>
      </w:r>
      <w:r w:rsidR="00D55D35">
        <w:t>-year site plan</w:t>
      </w:r>
      <w:r w:rsidR="001C0DD1">
        <w:t xml:space="preserve"> (TYSP)</w:t>
      </w:r>
      <w:r w:rsidR="00181311">
        <w:t xml:space="preserve">, which </w:t>
      </w:r>
      <w:r w:rsidR="005C58DD">
        <w:t>estimate</w:t>
      </w:r>
      <w:r w:rsidR="00181311">
        <w:t>s</w:t>
      </w:r>
      <w:r w:rsidR="005C58DD">
        <w:t xml:space="preserve"> the future electric load requirements of </w:t>
      </w:r>
      <w:r w:rsidR="001828B4">
        <w:t>customers</w:t>
      </w:r>
      <w:r w:rsidR="001C0DD1">
        <w:t>,</w:t>
      </w:r>
      <w:r w:rsidR="00E32807">
        <w:t xml:space="preserve"> identifies</w:t>
      </w:r>
      <w:r w:rsidR="005C58DD">
        <w:t xml:space="preserve"> the mix of resources to be used to serve customers, and the general location of proposed power plant sites. Underlying this process is the princ</w:t>
      </w:r>
      <w:r w:rsidR="00F35C2A">
        <w:t xml:space="preserve">iple of “least-cost planning.” </w:t>
      </w:r>
      <w:r w:rsidR="005C58DD">
        <w:t xml:space="preserve">This principle is founded upon engineering </w:t>
      </w:r>
      <w:r w:rsidR="00564E8A">
        <w:t xml:space="preserve">and economic </w:t>
      </w:r>
      <w:r w:rsidR="005C58DD">
        <w:t>analyses</w:t>
      </w:r>
      <w:r w:rsidR="00564E8A">
        <w:t xml:space="preserve"> </w:t>
      </w:r>
      <w:r w:rsidR="005C58DD">
        <w:t>whereby the least</w:t>
      </w:r>
      <w:r w:rsidR="001828B4">
        <w:t>-</w:t>
      </w:r>
      <w:r w:rsidR="005C58DD">
        <w:t xml:space="preserve">cost option is selected </w:t>
      </w:r>
      <w:r w:rsidR="00564E8A">
        <w:t xml:space="preserve">in order to </w:t>
      </w:r>
      <w:r w:rsidR="005C58DD">
        <w:t xml:space="preserve">meet </w:t>
      </w:r>
      <w:r w:rsidR="00564E8A">
        <w:t>projected customer electric loads.</w:t>
      </w:r>
    </w:p>
    <w:p w:rsidR="00F4414D" w:rsidRDefault="00F4414D" w:rsidP="00BC3FD4">
      <w:pPr>
        <w:spacing w:after="240"/>
        <w:jc w:val="both"/>
      </w:pPr>
      <w:r>
        <w:t>From the outset of this proceeding, staff’s focus has been to understan</w:t>
      </w:r>
      <w:r w:rsidR="008E1619">
        <w:t>d the purpose and impact of FPL’s</w:t>
      </w:r>
      <w:r>
        <w:t xml:space="preserve"> voluntary tariff, its fundamental impact on current regulatory policies and procedures, and its impact on the development of solar generation, even as solar generation is projected to be a cost-effective alternative for all customers. In other words, staff sought to identify the incremental benefits of the SolarTogether Program </w:t>
      </w:r>
      <w:r w:rsidR="00C964DB">
        <w:t xml:space="preserve">and proposed tariff </w:t>
      </w:r>
      <w:r>
        <w:t xml:space="preserve">to the general body of ratepayers </w:t>
      </w:r>
      <w:r w:rsidRPr="00AE095C">
        <w:t xml:space="preserve">applying </w:t>
      </w:r>
      <w:r>
        <w:t>current</w:t>
      </w:r>
      <w:r w:rsidR="00C964DB">
        <w:t xml:space="preserve"> statutes, rules,</w:t>
      </w:r>
      <w:r>
        <w:t xml:space="preserve"> </w:t>
      </w:r>
      <w:r w:rsidRPr="00AE095C">
        <w:t>regulatory policies</w:t>
      </w:r>
      <w:r>
        <w:t xml:space="preserve">, </w:t>
      </w:r>
      <w:r w:rsidR="00C964DB">
        <w:t xml:space="preserve">and </w:t>
      </w:r>
      <w:r>
        <w:t>practices</w:t>
      </w:r>
      <w:r w:rsidR="00C964DB">
        <w:t>.</w:t>
      </w:r>
      <w:r>
        <w:t xml:space="preserve"> </w:t>
      </w:r>
      <w:r w:rsidR="008E1619">
        <w:t>T</w:t>
      </w:r>
      <w:r>
        <w:t xml:space="preserve">he Commission should consider the following three policy questions when making its final determination </w:t>
      </w:r>
      <w:r w:rsidR="00C964DB">
        <w:t xml:space="preserve">of whether the SolarTogether Program and proposed tariff are </w:t>
      </w:r>
      <w:r>
        <w:t>in the public interest:</w:t>
      </w:r>
    </w:p>
    <w:p w:rsidR="00F4414D" w:rsidRDefault="00F4414D" w:rsidP="00BC3FD4">
      <w:pPr>
        <w:spacing w:after="240"/>
        <w:ind w:left="720" w:right="720"/>
        <w:jc w:val="both"/>
      </w:pPr>
      <w:r>
        <w:t>If generating facilities are built to meet the desires of certain customers, should all the benefits and costs of such facilities be allocated to those customers?</w:t>
      </w:r>
    </w:p>
    <w:p w:rsidR="00F4414D" w:rsidRDefault="00F4414D" w:rsidP="00BC3FD4">
      <w:pPr>
        <w:spacing w:after="240"/>
        <w:ind w:left="720" w:right="720"/>
        <w:jc w:val="both"/>
      </w:pPr>
      <w:r>
        <w:t>If solar generation is a cost-effective alternative for all customers, is it appropriate to allocate a majority of benefits to a small group of customers?</w:t>
      </w:r>
    </w:p>
    <w:p w:rsidR="00F4414D" w:rsidRDefault="00F4414D" w:rsidP="00BC3FD4">
      <w:pPr>
        <w:spacing w:after="240"/>
        <w:ind w:left="720" w:right="720"/>
        <w:jc w:val="both"/>
      </w:pPr>
      <w:r>
        <w:t xml:space="preserve">Does the proposed allocation of costs and benefits result in undue discrimination or </w:t>
      </w:r>
      <w:r w:rsidR="00304C70">
        <w:t xml:space="preserve">an </w:t>
      </w:r>
      <w:r w:rsidR="00C964DB">
        <w:t xml:space="preserve">undue </w:t>
      </w:r>
      <w:r>
        <w:t>preference?</w:t>
      </w:r>
    </w:p>
    <w:p w:rsidR="00F4414D" w:rsidRDefault="00F4414D" w:rsidP="00BC3FD4">
      <w:pPr>
        <w:spacing w:after="240"/>
        <w:jc w:val="both"/>
      </w:pPr>
      <w:r>
        <w:t>In the past, voluntary tariffs have been offered when the service desired (i.e., renewable energy) was not cost competitive with traditional generation. Such offerings provided a response to customer demands for a certain type of product. Voluntary contributions were designed to recover the full incremental costs of the desired service from those customers demanding the product,</w:t>
      </w:r>
      <w:r w:rsidRPr="00FB6D07">
        <w:t xml:space="preserve"> </w:t>
      </w:r>
      <w:r>
        <w:t xml:space="preserve">while most importantly, holding the general body of ratepayers harmless. </w:t>
      </w:r>
    </w:p>
    <w:p w:rsidR="00F4414D" w:rsidRDefault="00C964DB" w:rsidP="00BC3FD4">
      <w:pPr>
        <w:spacing w:after="240"/>
        <w:jc w:val="both"/>
      </w:pPr>
      <w:r>
        <w:t xml:space="preserve">Here </w:t>
      </w:r>
      <w:r w:rsidR="00F4414D">
        <w:t xml:space="preserve">the proposed tariff would authorize FPL to accelerate the construction of solar facilities and to add future solar facilities based upon the Utility’s marketing efforts and the desires of a select group of customers rather than adding generating units to satisfy projected reliability or economic needs for all customers. As such, FPL’s proposed Program and associated rate Schedule STR would disregard the principles of least-cost planning and </w:t>
      </w:r>
      <w:r w:rsidR="00F4414D" w:rsidRPr="00AE095C">
        <w:t>the resulting cost</w:t>
      </w:r>
      <w:r w:rsidR="00F4414D">
        <w:t>s</w:t>
      </w:r>
      <w:r w:rsidR="00F4414D" w:rsidRPr="00AE095C">
        <w:t xml:space="preserve"> allocat</w:t>
      </w:r>
      <w:r w:rsidR="00F4414D">
        <w:t xml:space="preserve">ed </w:t>
      </w:r>
      <w:r w:rsidR="00F4414D" w:rsidRPr="00AE095C">
        <w:t>to all customers.</w:t>
      </w:r>
    </w:p>
    <w:p w:rsidR="00F4414D" w:rsidRDefault="00F4414D" w:rsidP="00C40753">
      <w:pPr>
        <w:spacing w:after="240"/>
        <w:jc w:val="both"/>
      </w:pPr>
      <w:r>
        <w:t>Section 366.03, F.S., states in part that “[</w:t>
      </w:r>
      <w:r w:rsidR="001725E4">
        <w:t>e</w:t>
      </w:r>
      <w:r>
        <w:t>]</w:t>
      </w:r>
      <w:r w:rsidRPr="00643894">
        <w:t xml:space="preserve">ach public utility shall furnish to each person applying </w:t>
      </w:r>
      <w:r w:rsidR="001828B4" w:rsidRPr="00643894">
        <w:t>therefore</w:t>
      </w:r>
      <w:r w:rsidRPr="00643894">
        <w:t xml:space="preserve"> reasonably sufficient, adequate, and efficient service upon terms as required by the </w:t>
      </w:r>
      <w:r w:rsidRPr="00643894">
        <w:lastRenderedPageBreak/>
        <w:t>commission</w:t>
      </w:r>
      <w:r>
        <w:t>.” The Statute also states that “[</w:t>
      </w:r>
      <w:r w:rsidR="001725E4">
        <w:t>n</w:t>
      </w:r>
      <w:r>
        <w:t>]</w:t>
      </w:r>
      <w:r w:rsidRPr="00643894">
        <w:t>o public utility shall make or give any undue or unreasonable preference or advantage to any person or locality, or subject the same to any undue or unreasonable prejudice or disadvantage in any respect.</w:t>
      </w:r>
      <w:r>
        <w:t xml:space="preserve">” </w:t>
      </w:r>
      <w:r w:rsidR="000C20DB" w:rsidRPr="005F170B">
        <w:t xml:space="preserve">Granting a preference to one group of customers or subjecting one group to disadvantage does not, </w:t>
      </w:r>
      <w:r w:rsidR="000C20DB" w:rsidRPr="005F170B">
        <w:rPr>
          <w:i/>
        </w:rPr>
        <w:t>per se</w:t>
      </w:r>
      <w:r w:rsidR="000C20DB" w:rsidRPr="005F170B">
        <w:t>, violate the statutory prohibition, but that preference or disadvantage must be based on relevant, significant facts explained in the Commission’s decision. Determining whether a proposed tariff grants undue preference to a certain group or subjects a group to undue prejudice is a fact-intensive inquiry.</w:t>
      </w:r>
    </w:p>
    <w:p w:rsidR="00F4414D" w:rsidRDefault="00F4414D" w:rsidP="00C40753">
      <w:pPr>
        <w:spacing w:after="240"/>
        <w:jc w:val="both"/>
      </w:pPr>
      <w:r>
        <w:t xml:space="preserve">Staff evaluated the </w:t>
      </w:r>
      <w:r w:rsidR="00133547">
        <w:t xml:space="preserve">Program and </w:t>
      </w:r>
      <w:r>
        <w:t xml:space="preserve">proposed tariff’s impact on the three affected entities: participants, </w:t>
      </w:r>
      <w:r w:rsidR="00FB491F">
        <w:t xml:space="preserve">the </w:t>
      </w:r>
      <w:r>
        <w:t>general body of ratepayers, and the Utility. The evidence in the record suggests that there are six areas where</w:t>
      </w:r>
      <w:r w:rsidR="001725E4">
        <w:t xml:space="preserve"> undue preference</w:t>
      </w:r>
      <w:r>
        <w:t xml:space="preserve"> may exist. As discussed in Issue 2, these areas are: initial participant allocation, allocation of net benefits, low-income carve-out, costs not fully funded by participants, alternative to net metering, and subsequent participant allocation. Some examples of preference include:</w:t>
      </w:r>
    </w:p>
    <w:p w:rsidR="00F4414D" w:rsidRDefault="00F4414D" w:rsidP="00C40753">
      <w:pPr>
        <w:pStyle w:val="ListParagraph"/>
        <w:numPr>
          <w:ilvl w:val="0"/>
          <w:numId w:val="12"/>
        </w:numPr>
        <w:spacing w:after="240"/>
        <w:jc w:val="both"/>
      </w:pPr>
      <w:r>
        <w:t>FPL allocating 75 percent (1,117.5 MW) of the Program</w:t>
      </w:r>
      <w:r w:rsidR="00BF2F07">
        <w:t>’s</w:t>
      </w:r>
      <w:r>
        <w:t xml:space="preserve"> capacity to the pre-registered commercial, industrial, and governmental accounts</w:t>
      </w:r>
      <w:r w:rsidR="009D4050">
        <w:t>. T</w:t>
      </w:r>
      <w:r>
        <w:t>en of the</w:t>
      </w:r>
      <w:r w:rsidR="009D4050">
        <w:t>se</w:t>
      </w:r>
      <w:r>
        <w:t xml:space="preserve"> 206 pre-registered customers account for 50 percent of the total Program’s capacity. In contrast, FPL has </w:t>
      </w:r>
      <w:r w:rsidR="00C964DB">
        <w:t xml:space="preserve">not </w:t>
      </w:r>
      <w:r>
        <w:t xml:space="preserve">yet </w:t>
      </w:r>
      <w:r w:rsidR="00C964DB">
        <w:t xml:space="preserve">opened </w:t>
      </w:r>
      <w:r>
        <w:t xml:space="preserve">registration for the estimated 74,500 residential and small </w:t>
      </w:r>
      <w:r w:rsidR="00133547">
        <w:t>business</w:t>
      </w:r>
      <w:r>
        <w:t xml:space="preserve"> classes of customers who are expected to subscribe. </w:t>
      </w:r>
    </w:p>
    <w:p w:rsidR="00F4414D" w:rsidRDefault="009D4050" w:rsidP="00C40753">
      <w:pPr>
        <w:pStyle w:val="ListParagraph"/>
        <w:numPr>
          <w:ilvl w:val="0"/>
          <w:numId w:val="12"/>
        </w:numPr>
        <w:spacing w:after="240"/>
        <w:jc w:val="both"/>
      </w:pPr>
      <w:r>
        <w:t>O</w:t>
      </w:r>
      <w:r w:rsidR="001828B4">
        <w:t xml:space="preserve">nly </w:t>
      </w:r>
      <w:r w:rsidR="00F4414D">
        <w:t>1.5 percent of FPL’s 4.9 million customers could participate in this Program</w:t>
      </w:r>
      <w:r w:rsidR="001828B4">
        <w:t xml:space="preserve">. Those participants would receive </w:t>
      </w:r>
      <w:r w:rsidR="00775835">
        <w:t>bill credits</w:t>
      </w:r>
      <w:r>
        <w:t xml:space="preserve">, which are </w:t>
      </w:r>
      <w:r w:rsidR="00D16FA1">
        <w:t>essentially guaranteed, within eight</w:t>
      </w:r>
      <w:r>
        <w:t xml:space="preserve"> years.</w:t>
      </w:r>
      <w:r w:rsidR="0023291C">
        <w:t xml:space="preserve"> On the other hand,</w:t>
      </w:r>
      <w:r w:rsidR="00F4414D">
        <w:t xml:space="preserve"> 98.5 percent of FPL’s customers</w:t>
      </w:r>
      <w:r w:rsidR="0023291C">
        <w:t>, the non-participants,</w:t>
      </w:r>
      <w:r w:rsidR="001828B4">
        <w:t xml:space="preserve"> </w:t>
      </w:r>
      <w:r>
        <w:t>may see benefits</w:t>
      </w:r>
      <w:r w:rsidR="00775835">
        <w:t xml:space="preserve"> in the form of lower system costs</w:t>
      </w:r>
      <w:r>
        <w:t>, if at all, after 26 years.</w:t>
      </w:r>
      <w:r w:rsidR="00F4414D" w:rsidRPr="003E4594">
        <w:t xml:space="preserve"> </w:t>
      </w:r>
    </w:p>
    <w:p w:rsidR="00F4414D" w:rsidRDefault="009D4050" w:rsidP="00C40753">
      <w:pPr>
        <w:pStyle w:val="ListParagraph"/>
        <w:numPr>
          <w:ilvl w:val="0"/>
          <w:numId w:val="12"/>
        </w:numPr>
        <w:spacing w:after="240"/>
        <w:jc w:val="both"/>
      </w:pPr>
      <w:r>
        <w:t>N</w:t>
      </w:r>
      <w:r w:rsidR="00F4414D" w:rsidRPr="003E4594">
        <w:t>on-participants’ bills</w:t>
      </w:r>
      <w:r>
        <w:t xml:space="preserve"> increase</w:t>
      </w:r>
      <w:r w:rsidR="00F4414D" w:rsidRPr="003E4594">
        <w:t xml:space="preserve"> immediately, whereas participants’</w:t>
      </w:r>
      <w:r>
        <w:t xml:space="preserve"> bills</w:t>
      </w:r>
      <w:r w:rsidR="00F4414D" w:rsidRPr="003E4594">
        <w:t xml:space="preserve"> are gradually offset by a credit. </w:t>
      </w:r>
    </w:p>
    <w:p w:rsidR="00F4414D" w:rsidRDefault="00F4414D" w:rsidP="00C40753">
      <w:pPr>
        <w:pStyle w:val="ListParagraph"/>
        <w:numPr>
          <w:ilvl w:val="0"/>
          <w:numId w:val="12"/>
        </w:numPr>
        <w:spacing w:after="240"/>
        <w:jc w:val="both"/>
      </w:pPr>
      <w:r>
        <w:t xml:space="preserve">Participating </w:t>
      </w:r>
      <w:r w:rsidR="009D4050">
        <w:t xml:space="preserve">customers </w:t>
      </w:r>
      <w:r>
        <w:t>are not paying the full cost of the Program.</w:t>
      </w:r>
    </w:p>
    <w:p w:rsidR="00155A1C" w:rsidRDefault="00155A1C" w:rsidP="00155A1C">
      <w:pPr>
        <w:pStyle w:val="ListParagraph"/>
      </w:pPr>
    </w:p>
    <w:p w:rsidR="00D1672F" w:rsidRDefault="00D1672F" w:rsidP="00155A1C">
      <w:pPr>
        <w:pStyle w:val="ListParagraph"/>
        <w:spacing w:after="240"/>
        <w:ind w:left="0"/>
        <w:jc w:val="both"/>
      </w:pPr>
      <w:r>
        <w:t xml:space="preserve">Therefore, the proposed Program and tariff appear to result in </w:t>
      </w:r>
      <w:r w:rsidR="008C18A6">
        <w:t xml:space="preserve">an </w:t>
      </w:r>
      <w:r>
        <w:t>undue preference to participants and subjects the general body of ratepayers to an undue disadvantage.</w:t>
      </w:r>
    </w:p>
    <w:p w:rsidR="00155A1C" w:rsidRDefault="00155A1C" w:rsidP="00155A1C">
      <w:pPr>
        <w:pStyle w:val="ListParagraph"/>
        <w:spacing w:after="240"/>
        <w:ind w:left="0"/>
        <w:jc w:val="both"/>
      </w:pPr>
    </w:p>
    <w:p w:rsidR="00F4414D" w:rsidRDefault="00B25378" w:rsidP="00155A1C">
      <w:pPr>
        <w:pStyle w:val="ListParagraph"/>
        <w:spacing w:after="240"/>
        <w:ind w:left="0"/>
        <w:jc w:val="both"/>
      </w:pPr>
      <w:r>
        <w:t>On the other hand, a</w:t>
      </w:r>
      <w:r w:rsidR="00F4414D">
        <w:t xml:space="preserve">n incremental benefit of </w:t>
      </w:r>
      <w:r w:rsidR="001828B4">
        <w:t xml:space="preserve">approving </w:t>
      </w:r>
      <w:r w:rsidR="00F4414D">
        <w:t>the Program appears to be the acceleration of approximately 600 MW of solar generation from 2022 to 2021</w:t>
      </w:r>
      <w:r>
        <w:t xml:space="preserve">. The record indicates </w:t>
      </w:r>
      <w:r w:rsidR="00F4414D">
        <w:t>that the acceleration of this solar generation would result in a rela</w:t>
      </w:r>
      <w:r>
        <w:t>tively slight increase in cost</w:t>
      </w:r>
      <w:r w:rsidR="00D1672F">
        <w:t>;</w:t>
      </w:r>
      <w:r>
        <w:t xml:space="preserve"> however, FPL did not provide a quantification of this cost. The acceleration of solar </w:t>
      </w:r>
      <w:r w:rsidR="00D1672F">
        <w:t xml:space="preserve">generation </w:t>
      </w:r>
      <w:r>
        <w:t xml:space="preserve">would </w:t>
      </w:r>
      <w:r w:rsidR="008C18A6">
        <w:t xml:space="preserve">also </w:t>
      </w:r>
      <w:r>
        <w:t>slightly improve</w:t>
      </w:r>
      <w:r w:rsidR="00D1672F">
        <w:t xml:space="preserve"> FPL’s </w:t>
      </w:r>
      <w:r>
        <w:t>fuel diversity, reduce CO</w:t>
      </w:r>
      <w:r w:rsidRPr="00D1672F">
        <w:rPr>
          <w:vertAlign w:val="subscript"/>
        </w:rPr>
        <w:t>2</w:t>
      </w:r>
      <w:r>
        <w:t xml:space="preserve"> emissions, and would promote the development of renewable energy consistent with the Legislative fi</w:t>
      </w:r>
      <w:r w:rsidR="00155A1C">
        <w:t>ndings in Section 366.92, F.S.</w:t>
      </w:r>
    </w:p>
    <w:p w:rsidR="00F4414D" w:rsidRDefault="00A12238" w:rsidP="00155A1C">
      <w:pPr>
        <w:spacing w:after="240"/>
        <w:jc w:val="both"/>
      </w:pPr>
      <w:r>
        <w:t xml:space="preserve">If the </w:t>
      </w:r>
      <w:r w:rsidR="00576002">
        <w:t>Pr</w:t>
      </w:r>
      <w:r>
        <w:t>ogram is not approved, the e</w:t>
      </w:r>
      <w:r w:rsidR="00EA22FF">
        <w:t xml:space="preserve">vidence </w:t>
      </w:r>
      <w:r>
        <w:t xml:space="preserve">still suggests that FPL could add </w:t>
      </w:r>
      <w:r w:rsidR="00EA22FF">
        <w:t>over 1,700 MW of future solar generation</w:t>
      </w:r>
      <w:r w:rsidR="00EA22FF" w:rsidRPr="00532FAF">
        <w:t xml:space="preserve"> </w:t>
      </w:r>
      <w:r w:rsidR="00EA22FF">
        <w:t>by 2022</w:t>
      </w:r>
      <w:r>
        <w:t>.</w:t>
      </w:r>
      <w:r w:rsidR="00EA22FF">
        <w:t xml:space="preserve"> </w:t>
      </w:r>
      <w:r w:rsidR="00F4414D">
        <w:t>As discussed in Issue 3, Projects 1, 2, and 3, which are approximately 900 MW, would satisfy FPL’s planning reserve margin criterion for the years 2020 - 2021 and are consistent with the Utility’s least-cost generation expansion plan, its 2019 TYSP.</w:t>
      </w:r>
      <w:r w:rsidR="00D1672F">
        <w:t xml:space="preserve"> </w:t>
      </w:r>
      <w:r w:rsidR="005450A5">
        <w:t>W</w:t>
      </w:r>
      <w:r w:rsidR="00133547">
        <w:t xml:space="preserve">hile </w:t>
      </w:r>
      <w:r w:rsidR="00F4414D">
        <w:t>FPL has demonstrated that Projects 1, 2, and 3 are cost-effective generation additions</w:t>
      </w:r>
      <w:r w:rsidR="00133547">
        <w:t>,</w:t>
      </w:r>
      <w:r w:rsidR="00F4414D">
        <w:t xml:space="preserve"> the incremental cost of accelerating </w:t>
      </w:r>
      <w:r w:rsidR="00576002">
        <w:t>600 MW (</w:t>
      </w:r>
      <w:r w:rsidR="00F4414D">
        <w:t>Projects 4 and 5</w:t>
      </w:r>
      <w:r w:rsidR="00576002">
        <w:t>),</w:t>
      </w:r>
      <w:r w:rsidR="001828B4">
        <w:t xml:space="preserve"> </w:t>
      </w:r>
      <w:r w:rsidR="00F4414D">
        <w:t>has not been</w:t>
      </w:r>
      <w:r w:rsidR="008C18A6">
        <w:t xml:space="preserve"> quantified</w:t>
      </w:r>
      <w:r w:rsidR="00F4414D">
        <w:t xml:space="preserve">. </w:t>
      </w:r>
      <w:r w:rsidR="00133547">
        <w:t>As such</w:t>
      </w:r>
      <w:r w:rsidR="00F4414D">
        <w:t xml:space="preserve">, </w:t>
      </w:r>
      <w:r w:rsidR="00576002">
        <w:t xml:space="preserve">even </w:t>
      </w:r>
      <w:r w:rsidR="00F4414D">
        <w:t xml:space="preserve">if </w:t>
      </w:r>
      <w:r w:rsidR="00F4414D" w:rsidRPr="009F26FA">
        <w:t>the proposed</w:t>
      </w:r>
      <w:r w:rsidR="00D1672F">
        <w:t xml:space="preserve"> Program and </w:t>
      </w:r>
      <w:r w:rsidR="00F4414D" w:rsidRPr="009F26FA">
        <w:t xml:space="preserve">tariff is not approved, </w:t>
      </w:r>
      <w:r w:rsidR="00F4414D">
        <w:t xml:space="preserve">it appears that </w:t>
      </w:r>
      <w:r w:rsidR="00F4414D">
        <w:lastRenderedPageBreak/>
        <w:t>co</w:t>
      </w:r>
      <w:r w:rsidR="00505122">
        <w:t>nstructing Projects 1, 2, and 3</w:t>
      </w:r>
      <w:r w:rsidR="00F4414D">
        <w:t xml:space="preserve"> would be a cost-effective addition to FPL’s system that would benefit all customers. FPL may seek cost recovery of these facilities at its next base rate proceeding</w:t>
      </w:r>
      <w:r w:rsidR="00F4414D" w:rsidRPr="00B2502E">
        <w:t xml:space="preserve"> </w:t>
      </w:r>
      <w:r w:rsidR="00F4414D">
        <w:t>under current regulat</w:t>
      </w:r>
      <w:r w:rsidR="00155A1C">
        <w:t>ory policies and procedures.</w:t>
      </w:r>
    </w:p>
    <w:p w:rsidR="00B04915" w:rsidRPr="00B04915" w:rsidRDefault="00B04915" w:rsidP="00155A1C">
      <w:pPr>
        <w:jc w:val="both"/>
        <w:rPr>
          <w:rFonts w:ascii="Arial" w:hAnsi="Arial" w:cs="Arial"/>
          <w:b/>
        </w:rPr>
      </w:pPr>
      <w:r>
        <w:rPr>
          <w:rFonts w:ascii="Arial" w:hAnsi="Arial" w:cs="Arial"/>
          <w:b/>
        </w:rPr>
        <w:t>Options to Progra</w:t>
      </w:r>
      <w:r w:rsidR="00F66F65">
        <w:rPr>
          <w:rFonts w:ascii="Arial" w:hAnsi="Arial" w:cs="Arial"/>
          <w:b/>
        </w:rPr>
        <w:t>m</w:t>
      </w:r>
      <w:r>
        <w:rPr>
          <w:rFonts w:ascii="Arial" w:hAnsi="Arial" w:cs="Arial"/>
          <w:b/>
        </w:rPr>
        <w:t xml:space="preserve"> as Proposed</w:t>
      </w:r>
    </w:p>
    <w:p w:rsidR="00F4414D" w:rsidRDefault="00AB4092" w:rsidP="00F4414D">
      <w:pPr>
        <w:pStyle w:val="BodyText"/>
      </w:pPr>
      <w:r>
        <w:t>FPL argues that the proposed Program and associated tariff would be the next step forward in promoting Florida’s energy policy contained in Section 366.92, F.S.</w:t>
      </w:r>
      <w:r w:rsidR="007B7F0D">
        <w:t>,</w:t>
      </w:r>
      <w:r>
        <w:t xml:space="preserve"> which is to </w:t>
      </w:r>
      <w:r w:rsidRPr="00AB4092">
        <w:t xml:space="preserve">promote the development of renewable energy; protect the economic viability of Florida’s existing renewable energy facilities; diversify the types of fuel used to generate electricity in Florida; </w:t>
      </w:r>
      <w:r>
        <w:t xml:space="preserve">encourage the development of renewable generation; improve </w:t>
      </w:r>
      <w:r w:rsidR="007B7F0D">
        <w:t>fuel diversi</w:t>
      </w:r>
      <w:r>
        <w:t xml:space="preserve">ty; </w:t>
      </w:r>
      <w:r w:rsidRPr="00AB4092">
        <w:t>lessen Florida’s dependence on natural gas and fuel oil fo</w:t>
      </w:r>
      <w:r>
        <w:t>r the production of electricity;</w:t>
      </w:r>
      <w:r w:rsidRPr="00AB4092">
        <w:t xml:space="preserve"> minimize the volatility of fuel costs; encourage investment within the state; improve environmental conditions; and, at the same time, minimize the costs of power supply to electric utilities and their customers</w:t>
      </w:r>
      <w:r>
        <w:t>.</w:t>
      </w:r>
      <w:r w:rsidRPr="00AB4092">
        <w:t xml:space="preserve"> </w:t>
      </w:r>
      <w:r w:rsidR="00F66F65">
        <w:t xml:space="preserve">Staff explored various options that </w:t>
      </w:r>
      <w:r w:rsidR="00E2298A">
        <w:t xml:space="preserve">would </w:t>
      </w:r>
      <w:r w:rsidR="007B7F0D">
        <w:t xml:space="preserve">achieve </w:t>
      </w:r>
      <w:r>
        <w:t>these same</w:t>
      </w:r>
      <w:r w:rsidR="00583E7B">
        <w:t xml:space="preserve"> benefit</w:t>
      </w:r>
      <w:r>
        <w:t>s</w:t>
      </w:r>
      <w:r w:rsidR="00583E7B">
        <w:t xml:space="preserve"> </w:t>
      </w:r>
      <w:r>
        <w:t>for</w:t>
      </w:r>
      <w:r w:rsidR="00583E7B">
        <w:t xml:space="preserve"> </w:t>
      </w:r>
      <w:r w:rsidR="00E2298A">
        <w:t xml:space="preserve">all customers but did not </w:t>
      </w:r>
      <w:r w:rsidR="00F66F65">
        <w:t xml:space="preserve">require the proposed tariff </w:t>
      </w:r>
      <w:r w:rsidR="00351BE9">
        <w:t xml:space="preserve">to </w:t>
      </w:r>
      <w:r w:rsidR="00F66F65">
        <w:t>be implemented</w:t>
      </w:r>
      <w:r w:rsidR="00E2298A">
        <w:t xml:space="preserve">. Such options would be consistent with the intent of Section 366.92, F.S., </w:t>
      </w:r>
      <w:r w:rsidR="000A4E32">
        <w:t xml:space="preserve">and </w:t>
      </w:r>
      <w:r w:rsidR="00E2298A">
        <w:t xml:space="preserve">also </w:t>
      </w:r>
      <w:r w:rsidR="000A4E32">
        <w:t>avoid any semblance of an undue preference</w:t>
      </w:r>
      <w:r w:rsidR="00E2298A">
        <w:t>.</w:t>
      </w:r>
      <w:r w:rsidR="00F66F65">
        <w:t xml:space="preserve"> </w:t>
      </w:r>
      <w:r w:rsidR="00F4414D">
        <w:t xml:space="preserve">These options </w:t>
      </w:r>
      <w:r w:rsidR="00E2298A">
        <w:t>included</w:t>
      </w:r>
      <w:r w:rsidR="00F4414D">
        <w:t xml:space="preserve"> classifying the solar fa</w:t>
      </w:r>
      <w:r w:rsidR="00E2298A">
        <w:t>cilities as a regulatory asset or</w:t>
      </w:r>
      <w:r w:rsidR="00F4414D">
        <w:t xml:space="preserve"> creating a recovery mechanism similar to ones approved in recent Solar Base Rate Adjustments (SoBRA</w:t>
      </w:r>
      <w:r w:rsidR="00505122">
        <w:t>s</w:t>
      </w:r>
      <w:r w:rsidR="00F4414D">
        <w:t xml:space="preserve">) settlement agreements. </w:t>
      </w:r>
      <w:r w:rsidR="00F4414D" w:rsidRPr="00CA79E9">
        <w:t xml:space="preserve">While FPL agreed that such options </w:t>
      </w:r>
      <w:r w:rsidR="00185C0A">
        <w:t>c</w:t>
      </w:r>
      <w:r w:rsidR="00F4414D" w:rsidRPr="00CA79E9">
        <w:t>ould encourage the development of solar generation,</w:t>
      </w:r>
      <w:r w:rsidR="00F4414D">
        <w:t xml:space="preserve"> </w:t>
      </w:r>
      <w:r w:rsidR="00FB491F">
        <w:t>it</w:t>
      </w:r>
      <w:r w:rsidR="00F4414D">
        <w:t xml:space="preserve"> did not support such action as it would not be responsive to the primary purpose of the Program, which is to address “the needs of customers who cannot or do not want to own a net metering system, but are seeking a direct bill credit.”</w:t>
      </w:r>
    </w:p>
    <w:p w:rsidR="00F4414D" w:rsidRPr="00055159" w:rsidRDefault="00F4414D" w:rsidP="00A74D1F">
      <w:pPr>
        <w:pStyle w:val="BodyText"/>
        <w:sectPr w:rsidR="00F4414D" w:rsidRPr="00055159">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r>
        <w:t xml:space="preserve">Staff also </w:t>
      </w:r>
      <w:r w:rsidR="00F02F81">
        <w:t>considered</w:t>
      </w:r>
      <w:r>
        <w:t xml:space="preserve"> the option of approving the tariff as filed, but </w:t>
      </w:r>
      <w:r w:rsidR="00D1672F">
        <w:t>recov</w:t>
      </w:r>
      <w:r w:rsidR="00F02F81">
        <w:t>er</w:t>
      </w:r>
      <w:r w:rsidR="00D1672F">
        <w:t xml:space="preserve">ing </w:t>
      </w:r>
      <w:r>
        <w:t xml:space="preserve">the participant credits </w:t>
      </w:r>
      <w:r w:rsidR="00D1672F">
        <w:t>as</w:t>
      </w:r>
      <w:r>
        <w:t xml:space="preserve"> a base rate expense item rather than immediate recovery through FPL’s fuel clause</w:t>
      </w:r>
      <w:r w:rsidR="00D1672F">
        <w:t>.</w:t>
      </w:r>
      <w:r>
        <w:t xml:space="preserve"> The estimated annual credits for 2020 are $31.7 million and $105.1 million for 2021</w:t>
      </w:r>
      <w:r w:rsidR="00D146EA">
        <w:t>. While</w:t>
      </w:r>
      <w:r w:rsidR="00B04915">
        <w:t xml:space="preserve"> FPL would bear the risk of these costs until its next rate case</w:t>
      </w:r>
      <w:r w:rsidR="00D146EA">
        <w:t>, such treatment would provide participants the same benefits as proposed by FPL, eliminate an immediate bill increase to the general body of ratepayers, and more closely reflect the current risks to the general body of ratepayers and FPL associated with traditional net metering.</w:t>
      </w:r>
      <w:r>
        <w:t xml:space="preserve"> FPL</w:t>
      </w:r>
      <w:r w:rsidR="00B04915">
        <w:t xml:space="preserve"> did not support this option but admitted</w:t>
      </w:r>
      <w:r>
        <w:t xml:space="preserve"> that participating customers would be unaffected</w:t>
      </w:r>
      <w:r w:rsidR="00B04915">
        <w:t>.</w:t>
      </w:r>
      <w:r w:rsidRPr="004E3D63">
        <w:t xml:space="preserve"> </w:t>
      </w:r>
    </w:p>
    <w:p w:rsidR="007C0528" w:rsidRDefault="007C0528">
      <w:pPr>
        <w:pStyle w:val="RecommendationMajorSectionHeading"/>
      </w:pPr>
      <w:bookmarkStart w:id="16" w:name="DiscussionOfIssues"/>
      <w:r>
        <w:lastRenderedPageBreak/>
        <w:t>Discussion of Issues</w:t>
      </w:r>
    </w:p>
    <w:bookmarkEnd w:id="16"/>
    <w:p w:rsidR="00334F9A" w:rsidRDefault="00334F9A">
      <w:pPr>
        <w:pStyle w:val="IssueHeading"/>
        <w:rPr>
          <w:vanish/>
          <w:specVanish/>
        </w:rPr>
      </w:pPr>
      <w:r w:rsidRPr="004C3641">
        <w:t xml:space="preserve">Issue </w:t>
      </w:r>
      <w:r w:rsidR="003E7FDD">
        <w:fldChar w:fldCharType="begin"/>
      </w:r>
      <w:r w:rsidR="003E7FDD">
        <w:instrText xml:space="preserve"> SEQ Issue \* MERGEFORMAT </w:instrText>
      </w:r>
      <w:r w:rsidR="003E7FDD">
        <w:fldChar w:fldCharType="separate"/>
      </w:r>
      <w:r w:rsidR="00D87C5F">
        <w:rPr>
          <w:noProof/>
        </w:rPr>
        <w:t>1</w:t>
      </w:r>
      <w:r w:rsidR="003E7FDD">
        <w:rPr>
          <w:noProof/>
        </w:rPr>
        <w:fldChar w:fldCharType="end"/>
      </w:r>
      <w:r w:rsidRPr="004C3641">
        <w:t>:</w:t>
      </w:r>
      <w:r w:rsidR="007D3266">
        <w:fldChar w:fldCharType="begin"/>
      </w:r>
      <w:r>
        <w:instrText xml:space="preserve"> TC "</w:instrText>
      </w:r>
      <w:r w:rsidR="007D3266">
        <w:fldChar w:fldCharType="begin"/>
      </w:r>
      <w:r>
        <w:instrText xml:space="preserve"> SEQ issue \c </w:instrText>
      </w:r>
      <w:r w:rsidR="007D3266">
        <w:fldChar w:fldCharType="separate"/>
      </w:r>
      <w:r w:rsidR="00D87C5F">
        <w:rPr>
          <w:noProof/>
        </w:rPr>
        <w:instrText>1</w:instrText>
      </w:r>
      <w:r w:rsidR="007D3266">
        <w:fldChar w:fldCharType="end"/>
      </w:r>
      <w:r>
        <w:tab/>
        <w:instrText xml:space="preserve">" \l 1 </w:instrText>
      </w:r>
      <w:r w:rsidR="007D3266">
        <w:fldChar w:fldCharType="end"/>
      </w:r>
      <w:r>
        <w:t> </w:t>
      </w:r>
    </w:p>
    <w:p w:rsidR="00334F9A" w:rsidRDefault="00334F9A">
      <w:pPr>
        <w:pStyle w:val="BodyText"/>
      </w:pPr>
      <w:r>
        <w:t> </w:t>
      </w:r>
      <w:r w:rsidR="00BF048C" w:rsidRPr="00D96F1E">
        <w:t>Is FPL’s proposed SolarTogether Rider tariff an appropriate mechanism to seek approval for the construction of 1,490 MW of new solar generation facilities?</w:t>
      </w:r>
    </w:p>
    <w:p w:rsidR="00334F9A" w:rsidRPr="004C3641" w:rsidRDefault="00334F9A">
      <w:pPr>
        <w:pStyle w:val="IssueSubsectionHeading"/>
        <w:rPr>
          <w:vanish/>
          <w:specVanish/>
        </w:rPr>
      </w:pPr>
      <w:r w:rsidRPr="004C3641">
        <w:t>Recommendation: </w:t>
      </w:r>
    </w:p>
    <w:p w:rsidR="00765588" w:rsidRDefault="00334F9A">
      <w:pPr>
        <w:pStyle w:val="BodyText"/>
      </w:pPr>
      <w:r>
        <w:t> </w:t>
      </w:r>
      <w:r w:rsidR="00A102E6">
        <w:t>No. FPL has not demonstrated the public benefit to be gained by changing current regulatory policies and procedures regarding the addition of generation assets.</w:t>
      </w:r>
      <w:r w:rsidR="00A102E6" w:rsidRPr="000E6336">
        <w:t xml:space="preserve"> </w:t>
      </w:r>
      <w:r w:rsidR="00A102E6">
        <w:t xml:space="preserve">As such, </w:t>
      </w:r>
      <w:r w:rsidR="005B3102">
        <w:t>approval of</w:t>
      </w:r>
      <w:r w:rsidR="00A102E6">
        <w:t xml:space="preserve"> generation assets should not be linked to a tariff proposal as requested by FPL.</w:t>
      </w:r>
      <w:r>
        <w:t xml:space="preserve"> </w:t>
      </w:r>
      <w:r w:rsidR="00DD29CF">
        <w:t>(Ballinger, Simmons, Trierweiler)</w:t>
      </w:r>
    </w:p>
    <w:p w:rsidR="00AD36F6" w:rsidRDefault="00AD36F6" w:rsidP="005644DC">
      <w:pPr>
        <w:spacing w:after="240"/>
        <w:jc w:val="both"/>
        <w:rPr>
          <w:rFonts w:ascii="Arial" w:hAnsi="Arial" w:cs="Arial"/>
          <w:b/>
          <w:bCs/>
        </w:rPr>
      </w:pPr>
      <w:r w:rsidRPr="00A82C4E">
        <w:rPr>
          <w:rFonts w:ascii="Arial" w:hAnsi="Arial" w:cs="Arial"/>
          <w:b/>
          <w:bCs/>
        </w:rPr>
        <w:t>Position of the Parties:</w:t>
      </w:r>
    </w:p>
    <w:p w:rsidR="00AD36F6" w:rsidRPr="00AD36F6" w:rsidRDefault="00AD36F6" w:rsidP="000265E4">
      <w:pPr>
        <w:ind w:left="1440" w:hanging="1440"/>
        <w:jc w:val="both"/>
        <w:rPr>
          <w:bCs/>
        </w:rPr>
      </w:pPr>
      <w:r>
        <w:rPr>
          <w:b/>
          <w:bCs/>
        </w:rPr>
        <w:t>FPL</w:t>
      </w:r>
      <w:r w:rsidRPr="00701945">
        <w:rPr>
          <w:b/>
          <w:bCs/>
        </w:rPr>
        <w:t>:</w:t>
      </w:r>
      <w:r>
        <w:rPr>
          <w:b/>
          <w:bCs/>
        </w:rPr>
        <w:tab/>
      </w:r>
      <w:r w:rsidR="007B58D1">
        <w:t>Yes</w:t>
      </w:r>
      <w:r w:rsidR="007B58D1" w:rsidRPr="006D0B95">
        <w:t xml:space="preserve">. </w:t>
      </w:r>
      <w:r w:rsidR="007B58D1" w:rsidRPr="002D4A45">
        <w:rPr>
          <w:shd w:val="clear" w:color="auto" w:fill="FFFFFF" w:themeFill="background1"/>
        </w:rPr>
        <w:t xml:space="preserve">Customers are actively seeking a program like SolarTogether in order to meet sustainability </w:t>
      </w:r>
      <w:r w:rsidR="007B58D1">
        <w:rPr>
          <w:shd w:val="clear" w:color="auto" w:fill="FFFFFF" w:themeFill="background1"/>
        </w:rPr>
        <w:t xml:space="preserve">and financial </w:t>
      </w:r>
      <w:r w:rsidR="007B58D1" w:rsidRPr="002D4A45">
        <w:rPr>
          <w:shd w:val="clear" w:color="auto" w:fill="FFFFFF" w:themeFill="background1"/>
        </w:rPr>
        <w:t>goals. No existing programs or ta</w:t>
      </w:r>
      <w:r w:rsidR="006532B1">
        <w:rPr>
          <w:shd w:val="clear" w:color="auto" w:fill="FFFFFF" w:themeFill="background1"/>
        </w:rPr>
        <w:t xml:space="preserve">riffs fill this customer need. </w:t>
      </w:r>
      <w:r w:rsidR="007B58D1" w:rsidRPr="002D4A45">
        <w:rPr>
          <w:shd w:val="clear" w:color="auto" w:fill="FFFFFF" w:themeFill="background1"/>
        </w:rPr>
        <w:t>Moreover, approving the facilities without an associated tariff would not meet the customer need.</w:t>
      </w:r>
    </w:p>
    <w:p w:rsidR="00AD36F6" w:rsidRPr="00D61D5A" w:rsidRDefault="00AD36F6" w:rsidP="00AD36F6">
      <w:pPr>
        <w:ind w:left="1530" w:hanging="1530"/>
        <w:jc w:val="both"/>
        <w:rPr>
          <w:bCs/>
        </w:rPr>
      </w:pPr>
    </w:p>
    <w:p w:rsidR="00AD36F6" w:rsidRDefault="00AD36F6" w:rsidP="000265E4">
      <w:pPr>
        <w:ind w:left="1440" w:hanging="1440"/>
        <w:jc w:val="both"/>
      </w:pPr>
      <w:r>
        <w:rPr>
          <w:b/>
          <w:bCs/>
        </w:rPr>
        <w:t>OPC:</w:t>
      </w:r>
      <w:r>
        <w:tab/>
      </w:r>
      <w:r w:rsidR="007459CF">
        <w:t>No.</w:t>
      </w:r>
    </w:p>
    <w:p w:rsidR="00AD36F6" w:rsidRDefault="00AD36F6" w:rsidP="00AD36F6">
      <w:pPr>
        <w:ind w:left="1530" w:hanging="1530"/>
        <w:jc w:val="both"/>
      </w:pPr>
    </w:p>
    <w:p w:rsidR="00AD36F6" w:rsidRPr="00AD36F6" w:rsidRDefault="00AD36F6" w:rsidP="000265E4">
      <w:pPr>
        <w:ind w:left="1440" w:hanging="1440"/>
        <w:jc w:val="both"/>
      </w:pPr>
      <w:r w:rsidRPr="00AD36F6">
        <w:rPr>
          <w:b/>
        </w:rPr>
        <w:t>FIPUG:</w:t>
      </w:r>
      <w:r w:rsidRPr="00AD36F6">
        <w:rPr>
          <w:b/>
        </w:rPr>
        <w:tab/>
      </w:r>
      <w:r w:rsidR="00D60A89">
        <w:t>FIPUG did not file a brief.</w:t>
      </w:r>
    </w:p>
    <w:p w:rsidR="00AD36F6" w:rsidRDefault="00AD36F6" w:rsidP="00AD36F6">
      <w:pPr>
        <w:ind w:left="1530" w:hanging="1530"/>
        <w:jc w:val="both"/>
        <w:rPr>
          <w:b/>
        </w:rPr>
      </w:pPr>
    </w:p>
    <w:p w:rsidR="00AD36F6" w:rsidRPr="007459CF" w:rsidRDefault="00AD36F6" w:rsidP="000265E4">
      <w:pPr>
        <w:ind w:left="1440" w:hanging="1440"/>
        <w:jc w:val="both"/>
      </w:pPr>
      <w:r>
        <w:rPr>
          <w:b/>
        </w:rPr>
        <w:t>SACE:</w:t>
      </w:r>
      <w:r>
        <w:rPr>
          <w:b/>
        </w:rPr>
        <w:tab/>
      </w:r>
      <w:r w:rsidR="002A55C4" w:rsidRPr="007459CF">
        <w:rPr>
          <w:rFonts w:eastAsiaTheme="minorHAnsi"/>
          <w:color w:val="000000"/>
        </w:rPr>
        <w:t xml:space="preserve">Yes. The Settlement Agreement filed in this docket on </w:t>
      </w:r>
      <w:r w:rsidR="002A55C4" w:rsidRPr="007459CF">
        <w:t>October 9, 2019 between FPL, SACE, Vote Solar, and Walmart fully resolves all matters between the referenced parties and provides numerous benefits to both participants and the general body of customers, and is therefore in the public interest. S</w:t>
      </w:r>
      <w:r w:rsidR="002A55C4" w:rsidRPr="007459CF">
        <w:rPr>
          <w:bCs/>
        </w:rPr>
        <w:t>ee Issue 4</w:t>
      </w:r>
    </w:p>
    <w:p w:rsidR="00AD36F6" w:rsidRPr="007459CF" w:rsidRDefault="00AD36F6" w:rsidP="00AD36F6">
      <w:pPr>
        <w:jc w:val="both"/>
      </w:pPr>
    </w:p>
    <w:p w:rsidR="007C3452" w:rsidRDefault="00AD36F6" w:rsidP="004669FB">
      <w:pPr>
        <w:ind w:left="1440" w:hanging="1440"/>
        <w:jc w:val="both"/>
        <w:rPr>
          <w:b/>
          <w:bCs/>
        </w:rPr>
      </w:pPr>
      <w:r>
        <w:rPr>
          <w:b/>
          <w:bCs/>
        </w:rPr>
        <w:t>VOTE</w:t>
      </w:r>
    </w:p>
    <w:p w:rsidR="00AD36F6" w:rsidRDefault="00AD36F6" w:rsidP="004669FB">
      <w:pPr>
        <w:ind w:left="1440" w:hanging="1440"/>
        <w:jc w:val="both"/>
        <w:rPr>
          <w:bCs/>
        </w:rPr>
      </w:pPr>
      <w:r>
        <w:rPr>
          <w:b/>
          <w:bCs/>
        </w:rPr>
        <w:t>SOLAR:</w:t>
      </w:r>
      <w:r>
        <w:rPr>
          <w:b/>
          <w:bCs/>
        </w:rPr>
        <w:tab/>
      </w:r>
      <w:r w:rsidR="00776985">
        <w:t>No position.</w:t>
      </w:r>
    </w:p>
    <w:p w:rsidR="00AD36F6" w:rsidRDefault="00AD36F6" w:rsidP="00AD36F6">
      <w:pPr>
        <w:ind w:left="1530" w:hanging="1530"/>
        <w:jc w:val="both"/>
        <w:rPr>
          <w:bCs/>
        </w:rPr>
      </w:pPr>
    </w:p>
    <w:p w:rsidR="00AD36F6" w:rsidRDefault="00AD36F6" w:rsidP="000265E4">
      <w:pPr>
        <w:ind w:left="1440" w:hanging="1440"/>
        <w:jc w:val="both"/>
        <w:rPr>
          <w:bCs/>
        </w:rPr>
      </w:pPr>
      <w:r>
        <w:rPr>
          <w:b/>
          <w:bCs/>
        </w:rPr>
        <w:t>WALMART:</w:t>
      </w:r>
      <w:r w:rsidR="00F00B1E">
        <w:rPr>
          <w:bCs/>
        </w:rPr>
        <w:tab/>
      </w:r>
      <w:r w:rsidR="00A21CEE">
        <w:rPr>
          <w:bCs/>
        </w:rPr>
        <w:t>Yes.</w:t>
      </w:r>
    </w:p>
    <w:p w:rsidR="005644DC" w:rsidRDefault="005644DC" w:rsidP="005644DC">
      <w:pPr>
        <w:spacing w:after="240"/>
        <w:ind w:left="1440" w:hanging="1440"/>
        <w:jc w:val="both"/>
        <w:rPr>
          <w:bCs/>
        </w:rPr>
      </w:pPr>
    </w:p>
    <w:p w:rsidR="00F00B1E" w:rsidRDefault="00F00B1E" w:rsidP="00400676">
      <w:pPr>
        <w:pStyle w:val="IssueHeading"/>
        <w:spacing w:after="120"/>
        <w:jc w:val="center"/>
        <w:rPr>
          <w:i w:val="0"/>
          <w:szCs w:val="24"/>
        </w:rPr>
      </w:pPr>
      <w:r w:rsidRPr="00F00B1E">
        <w:rPr>
          <w:i w:val="0"/>
          <w:szCs w:val="24"/>
        </w:rPr>
        <w:t>Parties’ Arguments</w:t>
      </w:r>
    </w:p>
    <w:p w:rsidR="0008053C" w:rsidRPr="00766F3F" w:rsidRDefault="0008053C" w:rsidP="000033F3">
      <w:pPr>
        <w:jc w:val="both"/>
        <w:rPr>
          <w:rFonts w:ascii="Arial" w:hAnsi="Arial" w:cs="Arial"/>
          <w:b/>
        </w:rPr>
      </w:pPr>
      <w:r w:rsidRPr="00766F3F">
        <w:rPr>
          <w:rFonts w:ascii="Arial" w:hAnsi="Arial" w:cs="Arial"/>
          <w:b/>
        </w:rPr>
        <w:t>FPL</w:t>
      </w:r>
    </w:p>
    <w:p w:rsidR="0008053C" w:rsidRDefault="0008053C" w:rsidP="003B1CF4">
      <w:pPr>
        <w:spacing w:after="240"/>
        <w:jc w:val="both"/>
      </w:pPr>
      <w:r w:rsidRPr="00075B70">
        <w:t xml:space="preserve">FPL argues that </w:t>
      </w:r>
      <w:r>
        <w:t>its</w:t>
      </w:r>
      <w:r w:rsidR="00691796">
        <w:t xml:space="preserve"> SolarTogether proposed</w:t>
      </w:r>
      <w:r w:rsidRPr="00075B70">
        <w:t xml:space="preserve"> tariff is the appropriate mechanism to allow customers to participate voluntarily and more directly in the development of solar energy in Florida. </w:t>
      </w:r>
      <w:r w:rsidR="004C15AA">
        <w:t xml:space="preserve">(FPL BR 6, 22, </w:t>
      </w:r>
      <w:r>
        <w:t xml:space="preserve">37) </w:t>
      </w:r>
      <w:r w:rsidR="00691796">
        <w:t>The SolarTogether t</w:t>
      </w:r>
      <w:r w:rsidRPr="00075B70">
        <w:t>ariff expands access to solar to all customers regardless of size, location</w:t>
      </w:r>
      <w:r>
        <w:t>,</w:t>
      </w:r>
      <w:r w:rsidRPr="00075B70">
        <w:t xml:space="preserve"> or income levels. (</w:t>
      </w:r>
      <w:r w:rsidR="00B229D0">
        <w:t xml:space="preserve">FPL </w:t>
      </w:r>
      <w:r w:rsidRPr="00075B70">
        <w:t xml:space="preserve">BR 2) </w:t>
      </w:r>
      <w:r>
        <w:t xml:space="preserve">FPL </w:t>
      </w:r>
      <w:r w:rsidRPr="00075B70">
        <w:t>contend</w:t>
      </w:r>
      <w:r>
        <w:t>s</w:t>
      </w:r>
      <w:r w:rsidRPr="00075B70">
        <w:t xml:space="preserve"> that customers are actively seeking a program like SolarTogether in order to meet sustainability goals while also sharing in the financial benefits of solar. (</w:t>
      </w:r>
      <w:r>
        <w:t xml:space="preserve">FPL </w:t>
      </w:r>
      <w:r w:rsidR="00B229D0">
        <w:t>BR 5,</w:t>
      </w:r>
      <w:r w:rsidRPr="00075B70">
        <w:t xml:space="preserve"> 9) </w:t>
      </w:r>
      <w:r w:rsidR="00B229D0">
        <w:t>Moreover, FPL</w:t>
      </w:r>
      <w:r>
        <w:t xml:space="preserve"> assert</w:t>
      </w:r>
      <w:r w:rsidR="00B229D0">
        <w:t>s</w:t>
      </w:r>
      <w:r>
        <w:t xml:space="preserve"> that </w:t>
      </w:r>
      <w:r w:rsidRPr="00075B70">
        <w:t xml:space="preserve">regulation should be responsive to the needs of customers and the Commission should be open to new and innovative solutions that respond to customer needs and captures benefits for all customers. </w:t>
      </w:r>
      <w:r>
        <w:t>FPL explains that t</w:t>
      </w:r>
      <w:r w:rsidRPr="00075B70">
        <w:t>his is particularly true and relevant for customers wanting to ensure more of their electricity needs are met by solar generation. (</w:t>
      </w:r>
      <w:r w:rsidR="004230E1">
        <w:t xml:space="preserve">FPL </w:t>
      </w:r>
      <w:r w:rsidRPr="00075B70">
        <w:t>BR 18) FPL states that no existing programs or tariffs fill this customer need; however, approving the facilities without an associated tariff would not meet the customer need. (FPL BR 37)</w:t>
      </w:r>
    </w:p>
    <w:p w:rsidR="00026D62" w:rsidRDefault="00026D62" w:rsidP="00400676">
      <w:pPr>
        <w:jc w:val="both"/>
      </w:pPr>
      <w:r>
        <w:lastRenderedPageBreak/>
        <w:t>Regardin</w:t>
      </w:r>
      <w:r w:rsidR="009C2A5F">
        <w:t>g prudence, FPL asserts that</w:t>
      </w:r>
      <w:r>
        <w:t xml:space="preserve"> </w:t>
      </w:r>
      <w:r w:rsidRPr="00740709">
        <w:t>OPC’s claim that SolarTogether violates the requirement under Section 366.06(1), F.S.</w:t>
      </w:r>
      <w:r w:rsidR="00691796">
        <w:t>,</w:t>
      </w:r>
      <w:r w:rsidRPr="00740709">
        <w:t xml:space="preserve"> that only prudent capital projects may be factored into rates and charges miscomp</w:t>
      </w:r>
      <w:r w:rsidR="001C7F59">
        <w:t>rehends the law and the facts.</w:t>
      </w:r>
      <w:r w:rsidR="00C30554">
        <w:t xml:space="preserve"> </w:t>
      </w:r>
      <w:r w:rsidR="00C30554" w:rsidRPr="00AB0CB4">
        <w:t>(FPL BR 26)</w:t>
      </w:r>
      <w:r w:rsidR="001C7F59" w:rsidRPr="008C2956">
        <w:rPr>
          <w:sz w:val="32"/>
          <w:szCs w:val="32"/>
        </w:rPr>
        <w:t xml:space="preserve"> </w:t>
      </w:r>
      <w:r>
        <w:t>FPL contends that w</w:t>
      </w:r>
      <w:r w:rsidRPr="00740709">
        <w:t xml:space="preserve">ith respect to the law, the Florida Supreme Court has confirmed that “when presented with a settlement agreement, the Commission’s review shifts to </w:t>
      </w:r>
      <w:r w:rsidR="001C7F59">
        <w:t xml:space="preserve">the public interest standard.” </w:t>
      </w:r>
      <w:r w:rsidRPr="00740709">
        <w:t xml:space="preserve">And, that the public interest standard considers “whether the agreement—as a whole—resolved all the issues, established rates that were just, reasonable, and fair, </w:t>
      </w:r>
      <w:r w:rsidR="001C7F59">
        <w:t>and is in the public interest</w:t>
      </w:r>
      <w:r w:rsidR="006E1683">
        <w:t>.</w:t>
      </w:r>
      <w:r w:rsidR="001C7F59">
        <w:t>”</w:t>
      </w:r>
      <w:r w:rsidR="006E1683">
        <w:t xml:space="preserve"> </w:t>
      </w:r>
      <w:r w:rsidR="006E1683" w:rsidRPr="006E1683">
        <w:rPr>
          <w:i/>
        </w:rPr>
        <w:t xml:space="preserve">Citing </w:t>
      </w:r>
      <w:r w:rsidRPr="006E1683">
        <w:rPr>
          <w:i/>
        </w:rPr>
        <w:t>Florida Indus. Power Users Group v. Brown, 273 S</w:t>
      </w:r>
      <w:r w:rsidR="001C7F59" w:rsidRPr="006E1683">
        <w:rPr>
          <w:i/>
        </w:rPr>
        <w:t>o. 3d 926, 929-30 (Fla. 2019).</w:t>
      </w:r>
      <w:r w:rsidR="001C7F59">
        <w:t xml:space="preserve"> FPL further explains that </w:t>
      </w:r>
      <w:r w:rsidR="00CE3B82">
        <w:t xml:space="preserve">the Court found </w:t>
      </w:r>
      <w:r w:rsidRPr="00740709">
        <w:t>the public interest standard itself incorp</w:t>
      </w:r>
      <w:r w:rsidR="001C7F59">
        <w:t>orates prudence considerations.</w:t>
      </w:r>
      <w:r w:rsidRPr="00740709">
        <w:t xml:space="preserve"> OPC’s prudence challenge presumably rests on its allegation that FPL has not demonstrated a resource need.</w:t>
      </w:r>
      <w:r w:rsidR="00641904">
        <w:t xml:space="preserve"> (FPL BR</w:t>
      </w:r>
      <w:r w:rsidR="00CE3B82">
        <w:t xml:space="preserve"> 26)</w:t>
      </w:r>
    </w:p>
    <w:p w:rsidR="00400676" w:rsidRDefault="00400676" w:rsidP="00400676">
      <w:pPr>
        <w:jc w:val="both"/>
      </w:pPr>
    </w:p>
    <w:p w:rsidR="00400676" w:rsidRDefault="009A522F" w:rsidP="00400676">
      <w:pPr>
        <w:jc w:val="both"/>
      </w:pPr>
      <w:r>
        <w:t xml:space="preserve">Last, FPL </w:t>
      </w:r>
      <w:r w:rsidR="0011392A">
        <w:t>contends</w:t>
      </w:r>
      <w:r>
        <w:t xml:space="preserve"> that f</w:t>
      </w:r>
      <w:r w:rsidRPr="009A522F">
        <w:t>or the past decade, th</w:t>
      </w:r>
      <w:r>
        <w:t xml:space="preserve">e </w:t>
      </w:r>
      <w:r w:rsidR="00865D59">
        <w:t>Commission</w:t>
      </w:r>
      <w:r>
        <w:t>’s</w:t>
      </w:r>
      <w:r w:rsidRPr="009A522F">
        <w:t xml:space="preserve"> constructive regulation has advanced Florida’s renewable energy policy, which states:</w:t>
      </w:r>
    </w:p>
    <w:p w:rsidR="009A522F" w:rsidRDefault="009A522F" w:rsidP="00400676">
      <w:pPr>
        <w:jc w:val="both"/>
      </w:pPr>
    </w:p>
    <w:p w:rsidR="009A522F" w:rsidRDefault="009A522F" w:rsidP="003B1CF4">
      <w:pPr>
        <w:spacing w:after="240"/>
        <w:ind w:left="720" w:right="720"/>
        <w:jc w:val="both"/>
      </w:pPr>
      <w:r w:rsidRPr="009A522F">
        <w:t>It is the intent of the Legislature to promote the development of renewable energy; protect the economic viability of Florida’s existing renewable energy facilities; diversify the types of fuel used to generate electricity in Florida; lessen Florida’s dependence on natural gas and fuel oil for the production of electricity; minimize the volatility of fuel costs; encourage investment within the state; improve environmental conditions; and, at the same time, minimize the costs of power supply to electric utilities and their customers.</w:t>
      </w:r>
      <w:r>
        <w:t xml:space="preserve"> </w:t>
      </w:r>
      <w:r w:rsidR="00351BE9">
        <w:t>Section 3</w:t>
      </w:r>
      <w:r w:rsidRPr="009A522F">
        <w:t>66.92, F</w:t>
      </w:r>
      <w:r w:rsidR="00351BE9">
        <w:t>.</w:t>
      </w:r>
      <w:r w:rsidRPr="009A522F">
        <w:t>S</w:t>
      </w:r>
      <w:r w:rsidR="00351BE9">
        <w:t>.</w:t>
      </w:r>
    </w:p>
    <w:p w:rsidR="009A522F" w:rsidRPr="00075B70" w:rsidRDefault="009A522F" w:rsidP="003B1CF4">
      <w:pPr>
        <w:spacing w:after="240"/>
        <w:jc w:val="both"/>
      </w:pPr>
      <w:r>
        <w:t xml:space="preserve">FPL asserts that </w:t>
      </w:r>
      <w:r w:rsidRPr="009A522F">
        <w:t>SolarTogether is the next important step forwar</w:t>
      </w:r>
      <w:r w:rsidR="001C7F59">
        <w:t>d in promoting this policy.</w:t>
      </w:r>
      <w:r w:rsidRPr="009A522F">
        <w:t xml:space="preserve"> </w:t>
      </w:r>
      <w:r>
        <w:t>(FPL BR 21)</w:t>
      </w:r>
    </w:p>
    <w:p w:rsidR="00E15866" w:rsidRPr="00766F3F" w:rsidRDefault="00E15866" w:rsidP="000033F3">
      <w:pPr>
        <w:jc w:val="both"/>
        <w:rPr>
          <w:rFonts w:ascii="Arial" w:hAnsi="Arial" w:cs="Arial"/>
          <w:b/>
        </w:rPr>
      </w:pPr>
      <w:r w:rsidRPr="00766F3F">
        <w:rPr>
          <w:rFonts w:ascii="Arial" w:hAnsi="Arial" w:cs="Arial"/>
          <w:b/>
        </w:rPr>
        <w:t>OPC</w:t>
      </w:r>
    </w:p>
    <w:p w:rsidR="00E15866" w:rsidRPr="00955DD1" w:rsidRDefault="00E15866" w:rsidP="00406D90">
      <w:pPr>
        <w:spacing w:after="240"/>
        <w:jc w:val="both"/>
      </w:pPr>
      <w:r w:rsidRPr="00955DD1">
        <w:t>OPC arg</w:t>
      </w:r>
      <w:r w:rsidR="00691796">
        <w:t>ues that the SolarTogether proposed</w:t>
      </w:r>
      <w:r w:rsidRPr="00955DD1">
        <w:t xml:space="preserve"> tariff is not the appropriate mechanism for approval of 1,490 MW of generation facilities. When the facilities are considered as a 1,490 MW whole, as FPL requests, the subject generation facilities are subject to the </w:t>
      </w:r>
      <w:r>
        <w:t xml:space="preserve">Power Plant </w:t>
      </w:r>
      <w:r w:rsidRPr="00955DD1">
        <w:t>Siting Act</w:t>
      </w:r>
      <w:r w:rsidR="00691796">
        <w:t xml:space="preserve"> (PPSA)</w:t>
      </w:r>
      <w:r w:rsidRPr="00955DD1">
        <w:t>.</w:t>
      </w:r>
      <w:r w:rsidR="00DD29CF">
        <w:rPr>
          <w:rStyle w:val="FootnoteReference"/>
        </w:rPr>
        <w:footnoteReference w:id="2"/>
      </w:r>
      <w:r w:rsidRPr="00955DD1">
        <w:t xml:space="preserve"> Therefore, the addition of 1,490 MW in generation facilities in this docket should be subjected to a need determination proceeding pursuant to the PPSA. (OPC BR 2-3)</w:t>
      </w:r>
    </w:p>
    <w:p w:rsidR="00E15866" w:rsidRPr="00955DD1" w:rsidRDefault="00E15866" w:rsidP="00406D90">
      <w:pPr>
        <w:spacing w:after="240"/>
        <w:jc w:val="both"/>
      </w:pPr>
      <w:r w:rsidRPr="00955DD1">
        <w:t xml:space="preserve">OPC contends that FPL is proposing to change the definition of “need” in every applicable regulatory context, including the long history and usage of the term in </w:t>
      </w:r>
      <w:r w:rsidR="009C2A5F">
        <w:t xml:space="preserve">Commission </w:t>
      </w:r>
      <w:r w:rsidRPr="00955DD1">
        <w:t>precedent. They argue the concept of need is a well-recognized term of art in the resource planning context.</w:t>
      </w:r>
      <w:r w:rsidR="00C30554">
        <w:t xml:space="preserve"> </w:t>
      </w:r>
      <w:r w:rsidR="00C30554" w:rsidRPr="00AB0CB4">
        <w:t>(OPC BR 3)</w:t>
      </w:r>
      <w:r w:rsidRPr="008C2956">
        <w:rPr>
          <w:sz w:val="32"/>
          <w:szCs w:val="32"/>
        </w:rPr>
        <w:t xml:space="preserve"> </w:t>
      </w:r>
      <w:r w:rsidRPr="00955DD1">
        <w:t>OPC asserts that FPL further urges the Commission to adopt a broader, unprecedented conception of need based on not merely customer preference, but also on unquantified social and alleged economic need – “opportunities to make a difference,” allegedly lower emissions, and temporary jobs associated with construction of</w:t>
      </w:r>
      <w:r w:rsidR="000B732C">
        <w:t xml:space="preserve"> the solar plants. (OPC BR 3-4)</w:t>
      </w:r>
    </w:p>
    <w:p w:rsidR="00CE3B82" w:rsidRDefault="00CE3B82" w:rsidP="00400676">
      <w:pPr>
        <w:jc w:val="both"/>
      </w:pPr>
      <w:r>
        <w:lastRenderedPageBreak/>
        <w:t>Next</w:t>
      </w:r>
      <w:r w:rsidR="00F33E5A">
        <w:t>,</w:t>
      </w:r>
      <w:r>
        <w:t xml:space="preserve"> OPC argues that </w:t>
      </w:r>
      <w:r w:rsidRPr="00261AB5">
        <w:t>FPL admitt</w:t>
      </w:r>
      <w:r w:rsidR="00AC2FA7">
        <w:t>ed SolarTogether is not a least-</w:t>
      </w:r>
      <w:r w:rsidRPr="00261AB5">
        <w:t>cost plan, and that it had not provided the Commission with an economic analysis of what it alleged was simply an acceleration of its</w:t>
      </w:r>
      <w:r>
        <w:t xml:space="preserve"> </w:t>
      </w:r>
      <w:r w:rsidRPr="00261AB5">
        <w:t xml:space="preserve">TYSP. Still, FPL seeks a finding of prudence for $1.8 billion in generation assets without a need determination for either the 1,490 MW whole or any individual 74.5 MW block, on the basis that its customers want these particular solar assets. Moreover, FPL presented SolarTogether as an all or nothing choice </w:t>
      </w:r>
      <w:r w:rsidR="009C2A5F">
        <w:t>to the Commission, in that the U</w:t>
      </w:r>
      <w:r w:rsidRPr="00261AB5">
        <w:t xml:space="preserve">tility repeatedly stated it does not want the facilities approved if the </w:t>
      </w:r>
      <w:r w:rsidR="001E1EF8">
        <w:t>P</w:t>
      </w:r>
      <w:r w:rsidRPr="00261AB5">
        <w:t>rogram is not also approved in the exact form FPL demands.</w:t>
      </w:r>
      <w:r w:rsidR="00AC2FA7">
        <w:t xml:space="preserve"> (</w:t>
      </w:r>
      <w:r w:rsidR="00F862C8">
        <w:t xml:space="preserve">OPC </w:t>
      </w:r>
      <w:r w:rsidR="00AC2FA7">
        <w:t>BR 5)</w:t>
      </w:r>
    </w:p>
    <w:p w:rsidR="00400676" w:rsidRDefault="00400676" w:rsidP="00400676">
      <w:pPr>
        <w:jc w:val="both"/>
      </w:pPr>
    </w:p>
    <w:p w:rsidR="00E15866" w:rsidRDefault="00E15866" w:rsidP="00400676">
      <w:pPr>
        <w:jc w:val="both"/>
      </w:pPr>
      <w:r w:rsidRPr="00955DD1">
        <w:t>Last, OPC argues that w</w:t>
      </w:r>
      <w:r w:rsidR="00B26B1E">
        <w:t>hether evaluated under the PPSA</w:t>
      </w:r>
      <w:r w:rsidRPr="00955DD1">
        <w:t xml:space="preserve"> or other relevant statutes related to the regulation of electric generation, an interpretation of</w:t>
      </w:r>
      <w:r w:rsidR="001C7F59">
        <w:t xml:space="preserve"> </w:t>
      </w:r>
      <w:r w:rsidRPr="00955DD1">
        <w:t>regulatory governance which rests on approving a project based upon certain customers’ desires rather than on empirical measures directly related to ensuring the grid provides adequate electricity to the public at the lowest reasonable cost will set a precedent which calls the entire electric regulatory structure and the regulatory comp</w:t>
      </w:r>
      <w:r w:rsidR="00F862C8">
        <w:t>act into question. (OPC BR 5-</w:t>
      </w:r>
      <w:r w:rsidR="001C7F59">
        <w:t>6)</w:t>
      </w:r>
      <w:r w:rsidRPr="00955DD1">
        <w:t xml:space="preserve"> Taken to its logical end, </w:t>
      </w:r>
      <w:r w:rsidR="00681E40">
        <w:t>contend</w:t>
      </w:r>
      <w:r w:rsidR="00475CA4">
        <w:t>s</w:t>
      </w:r>
      <w:r w:rsidR="00681E40">
        <w:t xml:space="preserve"> OPC, </w:t>
      </w:r>
      <w:r w:rsidRPr="00955DD1">
        <w:t>where a customer preference for a certain type of generation determines policy-making, there is no particular need for a Public Service Commission – the job could be done by simple polling.</w:t>
      </w:r>
      <w:r>
        <w:t xml:space="preserve"> OPC asserts that t</w:t>
      </w:r>
      <w:r w:rsidRPr="00955DD1">
        <w:t>he Commission is a creature of statute, and thus lacks the authority to establish a new policy untethered to a statute or legislative grant of authority to broaden the grounds on which massive gene</w:t>
      </w:r>
      <w:r w:rsidR="001C7F59">
        <w:t xml:space="preserve">ration resources are approved. </w:t>
      </w:r>
      <w:r w:rsidRPr="00955DD1">
        <w:t>(</w:t>
      </w:r>
      <w:r w:rsidR="004230E1">
        <w:t xml:space="preserve">OPC </w:t>
      </w:r>
      <w:r w:rsidRPr="00955DD1">
        <w:t>BR 6)</w:t>
      </w:r>
    </w:p>
    <w:p w:rsidR="00400676" w:rsidRPr="00955DD1" w:rsidRDefault="00400676" w:rsidP="00400676">
      <w:pPr>
        <w:jc w:val="both"/>
      </w:pPr>
    </w:p>
    <w:p w:rsidR="0008053C" w:rsidRPr="00766F3F" w:rsidRDefault="00E15866" w:rsidP="00400676">
      <w:pPr>
        <w:jc w:val="both"/>
        <w:rPr>
          <w:rFonts w:ascii="Arial" w:hAnsi="Arial" w:cs="Arial"/>
          <w:b/>
        </w:rPr>
      </w:pPr>
      <w:r w:rsidRPr="00766F3F">
        <w:rPr>
          <w:rFonts w:ascii="Arial" w:hAnsi="Arial" w:cs="Arial"/>
          <w:b/>
        </w:rPr>
        <w:t>SACE</w:t>
      </w:r>
    </w:p>
    <w:p w:rsidR="002932CC" w:rsidRDefault="002932CC" w:rsidP="00400676">
      <w:pPr>
        <w:jc w:val="both"/>
      </w:pPr>
      <w:r>
        <w:t xml:space="preserve">SACE did not </w:t>
      </w:r>
      <w:r w:rsidR="005E12B4">
        <w:t>specifically</w:t>
      </w:r>
      <w:r>
        <w:t xml:space="preserve"> address </w:t>
      </w:r>
      <w:r w:rsidR="005E12B4">
        <w:t>whether</w:t>
      </w:r>
      <w:r>
        <w:t xml:space="preserve"> the </w:t>
      </w:r>
      <w:r w:rsidR="005E12B4">
        <w:t>proposed</w:t>
      </w:r>
      <w:r>
        <w:t xml:space="preserve"> tariff is an appropriate mechanism to seek approval of new solar generation facilities but rather argues that the Commission should approve the Settlement Agreement filed on October 9, 2019</w:t>
      </w:r>
      <w:r w:rsidR="001D0233">
        <w:t>.</w:t>
      </w:r>
      <w:r w:rsidR="003B2A38">
        <w:t xml:space="preserve"> (SACE BR 3</w:t>
      </w:r>
      <w:r w:rsidR="007B4805">
        <w:t>)</w:t>
      </w:r>
      <w:r>
        <w:t xml:space="preserve"> SACE argues that the </w:t>
      </w:r>
      <w:r w:rsidRPr="00BD3BD7">
        <w:t xml:space="preserve">Commission </w:t>
      </w:r>
      <w:r>
        <w:t xml:space="preserve">is </w:t>
      </w:r>
      <w:r w:rsidRPr="00BD3BD7">
        <w:t>afforded great deference to determine that a settlement agreement</w:t>
      </w:r>
      <w:r>
        <w:t xml:space="preserve"> </w:t>
      </w:r>
      <w:r w:rsidRPr="00BD3BD7">
        <w:t>between parties is in the public interest</w:t>
      </w:r>
      <w:r>
        <w:t xml:space="preserve"> and that i</w:t>
      </w:r>
      <w:r w:rsidRPr="00BD3BD7">
        <w:t>t has been presented with substantial, competent</w:t>
      </w:r>
      <w:r>
        <w:t xml:space="preserve"> </w:t>
      </w:r>
      <w:r w:rsidRPr="00BD3BD7">
        <w:t xml:space="preserve">evidence during the hearing upon which to make a public interest determination. </w:t>
      </w:r>
      <w:r w:rsidR="007B4805">
        <w:t>(</w:t>
      </w:r>
      <w:r w:rsidR="004230E1">
        <w:t xml:space="preserve">SACE </w:t>
      </w:r>
      <w:r w:rsidR="007B4805">
        <w:t xml:space="preserve">BR 4) </w:t>
      </w:r>
      <w:r>
        <w:t>SACE contends that</w:t>
      </w:r>
      <w:r w:rsidR="00363F1A">
        <w:t>,</w:t>
      </w:r>
      <w:r>
        <w:t xml:space="preserve"> taken as a </w:t>
      </w:r>
      <w:r w:rsidRPr="00BD3BD7">
        <w:t>whole</w:t>
      </w:r>
      <w:r w:rsidR="00363F1A">
        <w:t>,</w:t>
      </w:r>
      <w:r w:rsidRPr="00BD3BD7">
        <w:t xml:space="preserve"> the</w:t>
      </w:r>
      <w:r w:rsidR="009C2A5F">
        <w:t xml:space="preserve"> proposed</w:t>
      </w:r>
      <w:r w:rsidRPr="00BD3BD7">
        <w:t xml:space="preserve"> tariff and </w:t>
      </w:r>
      <w:r w:rsidR="001E1EF8">
        <w:t>P</w:t>
      </w:r>
      <w:r w:rsidRPr="00BD3BD7">
        <w:t>rogram provisions</w:t>
      </w:r>
      <w:r w:rsidR="009C2A5F">
        <w:t xml:space="preserve"> embodied in the Settlement Agreement </w:t>
      </w:r>
      <w:r w:rsidRPr="00BD3BD7">
        <w:t>provide a number of benefits that are clearly in the public</w:t>
      </w:r>
      <w:r>
        <w:t xml:space="preserve"> </w:t>
      </w:r>
      <w:r w:rsidRPr="00BD3BD7">
        <w:t>interest that include: expansion of renewable energy through the development of 1,490 MW of</w:t>
      </w:r>
      <w:r>
        <w:t xml:space="preserve"> </w:t>
      </w:r>
      <w:r w:rsidRPr="00BD3BD7">
        <w:t>clean, renewable power; diversification of the state’s fuel mix; a cost-effective</w:t>
      </w:r>
      <w:r>
        <w:t xml:space="preserve"> </w:t>
      </w:r>
      <w:r w:rsidRPr="00BD3BD7">
        <w:t>program; allocation of economic benefit to both participants and the general body of</w:t>
      </w:r>
      <w:r w:rsidR="00F54699">
        <w:t xml:space="preserve"> ratepayers</w:t>
      </w:r>
      <w:r>
        <w:t>;</w:t>
      </w:r>
      <w:r w:rsidR="005E12B4">
        <w:t xml:space="preserve"> </w:t>
      </w:r>
      <w:r w:rsidRPr="00BD3BD7">
        <w:t>prioritizing the customer experience, including expanding</w:t>
      </w:r>
      <w:r>
        <w:t xml:space="preserve"> </w:t>
      </w:r>
      <w:r w:rsidRPr="00BD3BD7">
        <w:t>participation to low-income families; meeting FPL’s resource needs in 2020 and 2021; meeting the enormous customer demand for solar power; and driving state</w:t>
      </w:r>
      <w:r>
        <w:t xml:space="preserve"> </w:t>
      </w:r>
      <w:r w:rsidRPr="00BD3BD7">
        <w:t>economic development and local job creation.</w:t>
      </w:r>
      <w:r>
        <w:t xml:space="preserve"> </w:t>
      </w:r>
      <w:r w:rsidR="007B4805">
        <w:t>(</w:t>
      </w:r>
      <w:r w:rsidR="004230E1">
        <w:t xml:space="preserve">SACE </w:t>
      </w:r>
      <w:r w:rsidR="007B4805">
        <w:t>BR</w:t>
      </w:r>
      <w:r w:rsidR="009C2A5F">
        <w:t xml:space="preserve"> 4-</w:t>
      </w:r>
      <w:r w:rsidR="000B732C">
        <w:t>5)</w:t>
      </w:r>
    </w:p>
    <w:p w:rsidR="00400676" w:rsidRDefault="00400676" w:rsidP="00400676">
      <w:pPr>
        <w:jc w:val="both"/>
      </w:pPr>
    </w:p>
    <w:p w:rsidR="007B4805" w:rsidRPr="00766F3F" w:rsidRDefault="007B4805" w:rsidP="000033F3">
      <w:pPr>
        <w:jc w:val="both"/>
        <w:rPr>
          <w:rFonts w:ascii="Arial" w:hAnsi="Arial" w:cs="Arial"/>
          <w:b/>
        </w:rPr>
      </w:pPr>
      <w:r w:rsidRPr="00766F3F">
        <w:rPr>
          <w:rFonts w:ascii="Arial" w:hAnsi="Arial" w:cs="Arial"/>
          <w:b/>
        </w:rPr>
        <w:t>Vote Solar</w:t>
      </w:r>
    </w:p>
    <w:p w:rsidR="004E18A0" w:rsidRDefault="007B4805" w:rsidP="000B732C">
      <w:pPr>
        <w:spacing w:after="240"/>
        <w:jc w:val="both"/>
      </w:pPr>
      <w:r>
        <w:t>Vote Solar did not take a position on this issue.</w:t>
      </w:r>
    </w:p>
    <w:p w:rsidR="007B4805" w:rsidRPr="00766F3F" w:rsidRDefault="007B4805" w:rsidP="007F4966">
      <w:pPr>
        <w:jc w:val="both"/>
        <w:rPr>
          <w:rFonts w:ascii="Arial" w:hAnsi="Arial" w:cs="Arial"/>
          <w:b/>
        </w:rPr>
      </w:pPr>
      <w:r w:rsidRPr="00766F3F">
        <w:rPr>
          <w:rFonts w:ascii="Arial" w:hAnsi="Arial" w:cs="Arial"/>
          <w:b/>
        </w:rPr>
        <w:t>Walmart</w:t>
      </w:r>
    </w:p>
    <w:p w:rsidR="007F4966" w:rsidRPr="00400676" w:rsidRDefault="004E18A0" w:rsidP="00400676">
      <w:pPr>
        <w:spacing w:after="240"/>
        <w:jc w:val="both"/>
      </w:pPr>
      <w:r>
        <w:t>Walmart did not provide issue-specific arguments in it</w:t>
      </w:r>
      <w:r w:rsidR="007B4805">
        <w:t>s</w:t>
      </w:r>
      <w:r>
        <w:t xml:space="preserve"> brief but stated, “Walmart believes that the proposed Settlement Agreement, including the SolarTogether Settlement Tariff, is a reasonable compromise of the Settling Parties’ different positions in this case and is otherwise in the public interest</w:t>
      </w:r>
      <w:r w:rsidR="007B4805">
        <w:t>.”</w:t>
      </w:r>
      <w:r>
        <w:t xml:space="preserve"> (</w:t>
      </w:r>
      <w:r w:rsidR="004230E1">
        <w:t xml:space="preserve">Walmart </w:t>
      </w:r>
      <w:r>
        <w:t>BR 2)</w:t>
      </w:r>
      <w:r w:rsidR="007F4966">
        <w:rPr>
          <w:rFonts w:ascii="Arial" w:hAnsi="Arial" w:cs="Arial"/>
          <w:b/>
        </w:rPr>
        <w:br w:type="page"/>
      </w:r>
    </w:p>
    <w:p w:rsidR="00F00B1E" w:rsidRDefault="00F00B1E" w:rsidP="002D2157">
      <w:pPr>
        <w:pStyle w:val="BodyText"/>
        <w:jc w:val="center"/>
        <w:rPr>
          <w:rFonts w:ascii="Arial" w:hAnsi="Arial" w:cs="Arial"/>
          <w:b/>
        </w:rPr>
      </w:pPr>
      <w:r w:rsidRPr="00293975">
        <w:rPr>
          <w:rFonts w:ascii="Arial" w:hAnsi="Arial" w:cs="Arial"/>
          <w:b/>
        </w:rPr>
        <w:lastRenderedPageBreak/>
        <w:t>Analysis</w:t>
      </w:r>
    </w:p>
    <w:p w:rsidR="00F13795" w:rsidRPr="00F13795" w:rsidRDefault="00F13795" w:rsidP="00F13795">
      <w:pPr>
        <w:jc w:val="both"/>
        <w:rPr>
          <w:rFonts w:ascii="Arial" w:hAnsi="Arial" w:cs="Arial"/>
          <w:b/>
        </w:rPr>
      </w:pPr>
      <w:r w:rsidRPr="00F13795">
        <w:rPr>
          <w:rFonts w:ascii="Arial" w:hAnsi="Arial" w:cs="Arial"/>
          <w:b/>
        </w:rPr>
        <w:t xml:space="preserve">Summary of Proposed SolarTogether Program and </w:t>
      </w:r>
      <w:r w:rsidR="002A5186">
        <w:rPr>
          <w:rFonts w:ascii="Arial" w:hAnsi="Arial" w:cs="Arial"/>
          <w:b/>
        </w:rPr>
        <w:t>Associated</w:t>
      </w:r>
      <w:r w:rsidRPr="00F13795">
        <w:rPr>
          <w:rFonts w:ascii="Arial" w:hAnsi="Arial" w:cs="Arial"/>
          <w:b/>
        </w:rPr>
        <w:t xml:space="preserve"> Tariff</w:t>
      </w:r>
    </w:p>
    <w:p w:rsidR="00D93375" w:rsidRDefault="00454AE8" w:rsidP="007F4966">
      <w:pPr>
        <w:spacing w:after="240"/>
        <w:jc w:val="both"/>
      </w:pPr>
      <w:r>
        <w:t>In its brief</w:t>
      </w:r>
      <w:r w:rsidR="0089630C">
        <w:t>,</w:t>
      </w:r>
      <w:r>
        <w:t xml:space="preserve"> FPL asserts that while many aspec</w:t>
      </w:r>
      <w:r w:rsidR="00475CA4">
        <w:t>ts of the SolarTogether Program</w:t>
      </w:r>
      <w:r>
        <w:t xml:space="preserve"> were </w:t>
      </w:r>
      <w:r w:rsidRPr="00564034">
        <w:t>explored</w:t>
      </w:r>
      <w:r>
        <w:t xml:space="preserve"> during the hearing</w:t>
      </w:r>
      <w:r w:rsidRPr="00564034">
        <w:t xml:space="preserve">, the driving forces behind </w:t>
      </w:r>
      <w:r>
        <w:t>its</w:t>
      </w:r>
      <w:r w:rsidR="00BF083A">
        <w:t xml:space="preserve"> P</w:t>
      </w:r>
      <w:r w:rsidRPr="00564034">
        <w:t xml:space="preserve">etition are not debatable: </w:t>
      </w:r>
      <w:r w:rsidR="003B2A38">
        <w:t>“</w:t>
      </w:r>
      <w:r w:rsidRPr="00564034">
        <w:t xml:space="preserve">FPL is listening intently to its customers and is developing innovative solutions to satisfy their </w:t>
      </w:r>
      <w:r w:rsidRPr="00C316D8">
        <w:t>needs</w:t>
      </w:r>
      <w:r>
        <w:t xml:space="preserve"> in a manner that benefits all</w:t>
      </w:r>
      <w:r w:rsidRPr="00564034">
        <w:t>.</w:t>
      </w:r>
      <w:r w:rsidR="003B2A38">
        <w:t>”</w:t>
      </w:r>
      <w:r>
        <w:t xml:space="preserve"> (</w:t>
      </w:r>
      <w:r w:rsidR="00C30554">
        <w:t xml:space="preserve">FPL </w:t>
      </w:r>
      <w:r>
        <w:t xml:space="preserve">BR 1) The proposed </w:t>
      </w:r>
      <w:r w:rsidR="00F13795">
        <w:t xml:space="preserve">Program </w:t>
      </w:r>
      <w:r>
        <w:t xml:space="preserve">was developed </w:t>
      </w:r>
      <w:r w:rsidR="00F13795">
        <w:t>to give customers the opportunity to “directly support the expansion of solar power without the need to install solar on their rooftop.” (</w:t>
      </w:r>
      <w:r w:rsidR="0084118F">
        <w:t>Petition</w:t>
      </w:r>
      <w:r w:rsidR="009C2A5F">
        <w:t xml:space="preserve"> </w:t>
      </w:r>
      <w:r w:rsidR="004B5638">
        <w:t>2</w:t>
      </w:r>
      <w:r w:rsidR="00F13795">
        <w:t>)</w:t>
      </w:r>
      <w:r w:rsidR="002A5186">
        <w:t xml:space="preserve"> </w:t>
      </w:r>
      <w:r w:rsidR="00D93375">
        <w:t xml:space="preserve">FPL initially conducted outreach and marketing efforts, </w:t>
      </w:r>
      <w:r w:rsidR="001725E4">
        <w:t>which included providing</w:t>
      </w:r>
      <w:r w:rsidR="00D93375">
        <w:t xml:space="preserve"> terms and </w:t>
      </w:r>
      <w:r w:rsidR="00036661">
        <w:t xml:space="preserve">expected </w:t>
      </w:r>
      <w:r w:rsidR="00D93375">
        <w:t>pricing, to its largest energy and demand customers in ord</w:t>
      </w:r>
      <w:r w:rsidR="007F6212">
        <w:t>er to gauge interest in such a p</w:t>
      </w:r>
      <w:r w:rsidR="00D93375">
        <w:t>rogram.</w:t>
      </w:r>
      <w:r w:rsidR="00036661">
        <w:t xml:space="preserve"> (TR 62-64; Petition 2</w:t>
      </w:r>
      <w:r w:rsidR="007E33D6">
        <w:t xml:space="preserve">) </w:t>
      </w:r>
      <w:r w:rsidR="004B5638">
        <w:t xml:space="preserve">When further </w:t>
      </w:r>
      <w:r w:rsidR="003D4FC5">
        <w:t>describing</w:t>
      </w:r>
      <w:r w:rsidR="004B5638">
        <w:t xml:space="preserve"> customer desires regarding solar generation, </w:t>
      </w:r>
      <w:r w:rsidR="00446D41">
        <w:t xml:space="preserve">FPL </w:t>
      </w:r>
      <w:r w:rsidR="00036661">
        <w:t>witness Valle stated “[a</w:t>
      </w:r>
      <w:r w:rsidR="004B5638">
        <w:t>]lthough their reasons for being interested in community solar varied, a top driver was electric bill savings.” (</w:t>
      </w:r>
      <w:r w:rsidR="007E33D6">
        <w:t>TR 53)</w:t>
      </w:r>
      <w:r w:rsidR="002A5186">
        <w:t xml:space="preserve"> In addition to requesting approval of the Program and associated tariff, FPL is also seeking an advanced prudency determination for the costs associated with 1,490 MW of solar generation to be installed between 2020 and 2021</w:t>
      </w:r>
      <w:r w:rsidR="00775835" w:rsidRPr="00775835">
        <w:t xml:space="preserve"> </w:t>
      </w:r>
      <w:r w:rsidR="00775835">
        <w:t>that would provide electricity to all of FPL’s customers</w:t>
      </w:r>
      <w:r w:rsidR="002A5186">
        <w:t>.</w:t>
      </w:r>
      <w:r w:rsidR="007E33D6">
        <w:t xml:space="preserve"> (TR 113-114</w:t>
      </w:r>
      <w:r w:rsidR="00C81B3D">
        <w:t>; EXH 38, BSP 193</w:t>
      </w:r>
      <w:r w:rsidR="007E33D6">
        <w:t>)</w:t>
      </w:r>
    </w:p>
    <w:p w:rsidR="00F13795" w:rsidRDefault="00F13795" w:rsidP="007F4966">
      <w:pPr>
        <w:spacing w:after="240"/>
        <w:jc w:val="both"/>
      </w:pPr>
      <w:r>
        <w:t>From November 29, 2018</w:t>
      </w:r>
      <w:r w:rsidR="009C2A5F">
        <w:t>,</w:t>
      </w:r>
      <w:r>
        <w:t xml:space="preserve"> through January 25, 2019, FPL opened a pre-registration period for its commercial, industrial, and governmental accounts. </w:t>
      </w:r>
      <w:r w:rsidR="007E33D6">
        <w:t>(TR 62</w:t>
      </w:r>
      <w:r w:rsidR="00C81B3D">
        <w:t>; EXH 39, BSP 236</w:t>
      </w:r>
      <w:r w:rsidR="00A8467B">
        <w:t>)</w:t>
      </w:r>
      <w:r w:rsidR="007E33D6">
        <w:t xml:space="preserve"> </w:t>
      </w:r>
      <w:r>
        <w:t xml:space="preserve">During this period, 206 customers pre-registered for approximately 1,100 MW of solar capacity. </w:t>
      </w:r>
      <w:r w:rsidR="00AD0A9E">
        <w:t xml:space="preserve">(TR 130) </w:t>
      </w:r>
      <w:r>
        <w:t>Based on the high level of customer interes</w:t>
      </w:r>
      <w:r w:rsidR="00633816">
        <w:t xml:space="preserve">t, FPL sized </w:t>
      </w:r>
      <w:r w:rsidR="00915F1A">
        <w:t>Phase 1</w:t>
      </w:r>
      <w:r>
        <w:t xml:space="preserve"> of the Program to include the construction of 20 solar PV po</w:t>
      </w:r>
      <w:r w:rsidR="00A8467B">
        <w:t>wer plants, each rated at 74.5 MW</w:t>
      </w:r>
      <w:r>
        <w:t xml:space="preserve"> for a total of 1,490 MW.</w:t>
      </w:r>
      <w:r w:rsidR="007E33D6">
        <w:t xml:space="preserve"> (TR 50</w:t>
      </w:r>
      <w:r w:rsidR="00A45AD6">
        <w:t>-51, 59-60</w:t>
      </w:r>
      <w:r w:rsidR="007E33D6">
        <w:t>)</w:t>
      </w:r>
      <w:r w:rsidR="00A8467B">
        <w:t xml:space="preserve"> The first six</w:t>
      </w:r>
      <w:r>
        <w:t xml:space="preserve"> sites</w:t>
      </w:r>
      <w:r w:rsidR="009C30A7">
        <w:t xml:space="preserve"> (447</w:t>
      </w:r>
      <w:r w:rsidR="00FA0CCE">
        <w:t xml:space="preserve"> </w:t>
      </w:r>
      <w:r w:rsidR="009C30A7">
        <w:t>MW)</w:t>
      </w:r>
      <w:r>
        <w:t xml:space="preserve"> are projected to be eligible for inclusion in the </w:t>
      </w:r>
      <w:r w:rsidR="00D93375">
        <w:t>P</w:t>
      </w:r>
      <w:r>
        <w:t xml:space="preserve">rogram by </w:t>
      </w:r>
      <w:r w:rsidR="00D93375">
        <w:t xml:space="preserve">March 1, </w:t>
      </w:r>
      <w:r w:rsidR="00D15218">
        <w:t>2020. The next six</w:t>
      </w:r>
      <w:r>
        <w:t xml:space="preserve"> sites</w:t>
      </w:r>
      <w:r w:rsidR="009C30A7">
        <w:t xml:space="preserve"> (447 MW)</w:t>
      </w:r>
      <w:r>
        <w:t xml:space="preserve"> are projected to be eligible for inclusion by </w:t>
      </w:r>
      <w:r w:rsidR="00D93375">
        <w:t xml:space="preserve">February 1, </w:t>
      </w:r>
      <w:r>
        <w:t>2021</w:t>
      </w:r>
      <w:r w:rsidR="00601C5C">
        <w:t>,</w:t>
      </w:r>
      <w:r>
        <w:t xml:space="preserve"> and the final </w:t>
      </w:r>
      <w:r w:rsidR="00D15218">
        <w:t>eight</w:t>
      </w:r>
      <w:r>
        <w:t xml:space="preserve"> sites</w:t>
      </w:r>
      <w:r w:rsidR="009C30A7">
        <w:t xml:space="preserve"> (596 MW)</w:t>
      </w:r>
      <w:r>
        <w:t xml:space="preserve"> </w:t>
      </w:r>
      <w:r w:rsidR="00915F1A">
        <w:t>of Phase 1</w:t>
      </w:r>
      <w:r>
        <w:t xml:space="preserve"> are projected to be eligible for inclusion by </w:t>
      </w:r>
      <w:r w:rsidR="00D93375">
        <w:t xml:space="preserve">May 1, </w:t>
      </w:r>
      <w:r>
        <w:t>2021.</w:t>
      </w:r>
      <w:r w:rsidR="007E33D6">
        <w:t xml:space="preserve"> (TR 60,</w:t>
      </w:r>
      <w:r w:rsidR="00A8733B">
        <w:t xml:space="preserve"> </w:t>
      </w:r>
      <w:r w:rsidR="007E33D6">
        <w:t>197,</w:t>
      </w:r>
      <w:r w:rsidR="00A8733B">
        <w:t xml:space="preserve"> </w:t>
      </w:r>
      <w:r w:rsidR="007E33D6">
        <w:t>221)</w:t>
      </w:r>
    </w:p>
    <w:p w:rsidR="00F13795" w:rsidRDefault="00F13795" w:rsidP="00400676">
      <w:pPr>
        <w:spacing w:after="240"/>
        <w:jc w:val="both"/>
      </w:pPr>
      <w:r>
        <w:t xml:space="preserve">According to </w:t>
      </w:r>
      <w:r w:rsidR="00D93375">
        <w:t>witness Valle</w:t>
      </w:r>
      <w:r>
        <w:t xml:space="preserve">, FPL would </w:t>
      </w:r>
      <w:r w:rsidR="00875E36">
        <w:t xml:space="preserve">initially </w:t>
      </w:r>
      <w:r>
        <w:t>allocate 75</w:t>
      </w:r>
      <w:r w:rsidR="00D93375">
        <w:t xml:space="preserve"> percent</w:t>
      </w:r>
      <w:r>
        <w:t xml:space="preserve"> (1,117.5 MW) to the pre-registered commercial, industrial, and governmental accounts. The remaining 25</w:t>
      </w:r>
      <w:r w:rsidR="00D93375">
        <w:t xml:space="preserve"> percent</w:t>
      </w:r>
      <w:r>
        <w:t xml:space="preserve"> of th</w:t>
      </w:r>
      <w:r w:rsidR="00BA6B6A">
        <w:t>e Phase 1</w:t>
      </w:r>
      <w:r>
        <w:t xml:space="preserve"> capacity (372.5 MW) would be allocated to residential and small </w:t>
      </w:r>
      <w:r w:rsidR="00633816">
        <w:t xml:space="preserve">business </w:t>
      </w:r>
      <w:r>
        <w:t>customers who would enroll through a web-based system.</w:t>
      </w:r>
      <w:r w:rsidR="00D93375">
        <w:t xml:space="preserve"> (</w:t>
      </w:r>
      <w:r w:rsidR="007E33D6">
        <w:t>TR 57-59)</w:t>
      </w:r>
      <w:r>
        <w:t xml:space="preserve"> FPL would periodically reevaluate these allocations and adjust according to demand</w:t>
      </w:r>
      <w:r w:rsidR="006340AC">
        <w:t xml:space="preserve"> without </w:t>
      </w:r>
      <w:r w:rsidR="00C16F82">
        <w:t>Commission</w:t>
      </w:r>
      <w:r w:rsidR="006340AC">
        <w:t xml:space="preserve"> approval</w:t>
      </w:r>
      <w:r>
        <w:t>.</w:t>
      </w:r>
      <w:r w:rsidR="009C2A5F">
        <w:t xml:space="preserve"> (TR 57)</w:t>
      </w:r>
      <w:r>
        <w:t xml:space="preserve"> Once subscription limits are met, customers would be waitlisted until an opportunity to enroll presented itself.</w:t>
      </w:r>
      <w:r w:rsidR="00C30554">
        <w:t xml:space="preserve"> </w:t>
      </w:r>
      <w:r>
        <w:t>FPL would monitor enrollment levels to determine if/when additional SolarTogether p</w:t>
      </w:r>
      <w:r w:rsidR="00EF0134">
        <w:t>hases</w:t>
      </w:r>
      <w:r>
        <w:t xml:space="preserve"> would be warranted.</w:t>
      </w:r>
      <w:r w:rsidR="002A5186">
        <w:t xml:space="preserve"> </w:t>
      </w:r>
      <w:r w:rsidR="00AF0CBB">
        <w:t xml:space="preserve">(TR 60) </w:t>
      </w:r>
      <w:r w:rsidR="002A5186">
        <w:t xml:space="preserve">Witness Valle suggests that FPL </w:t>
      </w:r>
      <w:r w:rsidR="003D4FC5">
        <w:t>is not</w:t>
      </w:r>
      <w:r w:rsidR="002A5186">
        <w:t xml:space="preserve"> considering a second phase at this time until customer demand has been determined. (TR 115-116)</w:t>
      </w:r>
    </w:p>
    <w:p w:rsidR="00F13795" w:rsidRDefault="00F13795" w:rsidP="007F2457">
      <w:pPr>
        <w:spacing w:after="240"/>
        <w:jc w:val="both"/>
      </w:pPr>
      <w:r>
        <w:t>FPL claims that the SolarTogether facilities eliminate the need to construct 300 MW of battery storage and one combustion turbi</w:t>
      </w:r>
      <w:r w:rsidR="00EF0134">
        <w:t>ne in the 2020-2023 time period</w:t>
      </w:r>
      <w:r w:rsidRPr="00AB0CB4">
        <w:t xml:space="preserve">. </w:t>
      </w:r>
      <w:r w:rsidR="00C30554" w:rsidRPr="00AB0CB4">
        <w:t>(TR 238)</w:t>
      </w:r>
      <w:r w:rsidR="00C30554" w:rsidRPr="008C2956">
        <w:rPr>
          <w:sz w:val="32"/>
          <w:szCs w:val="32"/>
        </w:rPr>
        <w:t xml:space="preserve"> </w:t>
      </w:r>
      <w:r>
        <w:t>As such, FPL estimates that the Phase</w:t>
      </w:r>
      <w:r w:rsidR="006340AC">
        <w:t xml:space="preserve"> 1</w:t>
      </w:r>
      <w:r>
        <w:t xml:space="preserve"> SolarTogether facilities would save all customers an estimated $249 million in cumulative present value</w:t>
      </w:r>
      <w:r w:rsidR="00C105C7">
        <w:t xml:space="preserve"> of</w:t>
      </w:r>
      <w:r>
        <w:t xml:space="preserve"> revenue requirements </w:t>
      </w:r>
      <w:r w:rsidR="00FA0CCE">
        <w:t xml:space="preserve">(CPVRR) </w:t>
      </w:r>
      <w:r>
        <w:t>over the life of the units</w:t>
      </w:r>
      <w:r w:rsidR="004746CA">
        <w:t xml:space="preserve"> (30 years)</w:t>
      </w:r>
      <w:r>
        <w:t>. (</w:t>
      </w:r>
      <w:r w:rsidR="007E33D6">
        <w:t>TR 75, 78, 87)</w:t>
      </w:r>
      <w:r w:rsidR="00BA6B6A">
        <w:t xml:space="preserve"> </w:t>
      </w:r>
      <w:r>
        <w:t xml:space="preserve">The proposed tariff is designed to share these benefits between participants and </w:t>
      </w:r>
      <w:r w:rsidR="00775835">
        <w:t>the general body of ratepayers</w:t>
      </w:r>
      <w:r>
        <w:t>.</w:t>
      </w:r>
      <w:r w:rsidR="001725E4">
        <w:t xml:space="preserve"> </w:t>
      </w:r>
      <w:r w:rsidR="004A4D8F">
        <w:t>(TR 76)</w:t>
      </w:r>
    </w:p>
    <w:p w:rsidR="00F13795" w:rsidRDefault="00F13795" w:rsidP="007F2457">
      <w:pPr>
        <w:spacing w:after="240"/>
        <w:jc w:val="both"/>
      </w:pPr>
      <w:r>
        <w:lastRenderedPageBreak/>
        <w:t xml:space="preserve">Participation in the Program is voluntary, would not be tied to a long-term commitment, and is portable within FPL’s service territory. </w:t>
      </w:r>
      <w:r w:rsidR="007E33D6">
        <w:t xml:space="preserve">(TR 61) </w:t>
      </w:r>
      <w:r w:rsidR="00393434">
        <w:t>Pursuant to the proposed tariff</w:t>
      </w:r>
      <w:r>
        <w:t xml:space="preserve">, participating customers would be charged a </w:t>
      </w:r>
      <w:r w:rsidR="00F33E5A">
        <w:t>fixed</w:t>
      </w:r>
      <w:r w:rsidR="00393434">
        <w:t xml:space="preserve"> subscription charge of $6.7</w:t>
      </w:r>
      <w:r w:rsidR="003D1F9A">
        <w:t>6</w:t>
      </w:r>
      <w:r w:rsidR="00393434">
        <w:t xml:space="preserve"> </w:t>
      </w:r>
      <w:r w:rsidR="009C2A5F">
        <w:t xml:space="preserve">per </w:t>
      </w:r>
      <w:r w:rsidR="00393434">
        <w:t>kilowatt (</w:t>
      </w:r>
      <w:r w:rsidR="00C375C8">
        <w:t>kW</w:t>
      </w:r>
      <w:r w:rsidR="00393434">
        <w:t>)</w:t>
      </w:r>
      <w:r w:rsidR="005D6CB4">
        <w:t xml:space="preserve"> per</w:t>
      </w:r>
      <w:r w:rsidR="00393434">
        <w:t xml:space="preserve"> </w:t>
      </w:r>
      <w:r>
        <w:t xml:space="preserve">month based on </w:t>
      </w:r>
      <w:r w:rsidR="004A4D8F">
        <w:t>their subscription level</w:t>
      </w:r>
      <w:r w:rsidRPr="00AB0CB4">
        <w:t>, up to 100</w:t>
      </w:r>
      <w:r w:rsidR="00D93375" w:rsidRPr="00AB0CB4">
        <w:t xml:space="preserve"> percent</w:t>
      </w:r>
      <w:r w:rsidRPr="00AB0CB4">
        <w:t xml:space="preserve"> of their </w:t>
      </w:r>
      <w:r w:rsidR="004A4D8F">
        <w:t xml:space="preserve">previous </w:t>
      </w:r>
      <w:r w:rsidRPr="00AB0CB4">
        <w:t>annual usage. Participating customers would also receive a c</w:t>
      </w:r>
      <w:r w:rsidR="00D93375" w:rsidRPr="00AB0CB4">
        <w:t>ents</w:t>
      </w:r>
      <w:r w:rsidRPr="00AB0CB4">
        <w:t>/k</w:t>
      </w:r>
      <w:r w:rsidR="00FA0CCE" w:rsidRPr="00AB0CB4">
        <w:t>W</w:t>
      </w:r>
      <w:r w:rsidRPr="00AB0CB4">
        <w:t>h credit based on the actual production of the SolarTogether facilities.</w:t>
      </w:r>
      <w:r w:rsidR="007E33D6" w:rsidRPr="00AB0CB4">
        <w:t xml:space="preserve"> (</w:t>
      </w:r>
      <w:r w:rsidR="00446D41">
        <w:t>Attachment 1</w:t>
      </w:r>
      <w:r w:rsidR="007E33D6" w:rsidRPr="00AB0CB4">
        <w:t>)</w:t>
      </w:r>
      <w:r w:rsidRPr="00AB0CB4">
        <w:t xml:space="preserve"> The credit escalates at a fixed rate of 1.7</w:t>
      </w:r>
      <w:r w:rsidR="009A4BE9" w:rsidRPr="00AB0CB4">
        <w:t xml:space="preserve"> percent</w:t>
      </w:r>
      <w:r w:rsidRPr="00AB0CB4">
        <w:t xml:space="preserve"> annually </w:t>
      </w:r>
      <w:r w:rsidR="00AA2641" w:rsidRPr="00AB0CB4">
        <w:t xml:space="preserve">for a period of </w:t>
      </w:r>
      <w:r w:rsidR="000D3355">
        <w:t xml:space="preserve">30 </w:t>
      </w:r>
      <w:r w:rsidRPr="00AB0CB4">
        <w:t xml:space="preserve">years. </w:t>
      </w:r>
      <w:r w:rsidR="00C30554" w:rsidRPr="00AB0CB4">
        <w:t xml:space="preserve">(TR 78) </w:t>
      </w:r>
      <w:r w:rsidRPr="00117CDA">
        <w:t xml:space="preserve">The combination of the charge and credit was designed to produce a simple payback </w:t>
      </w:r>
      <w:r w:rsidR="00EE015F">
        <w:t>of seven</w:t>
      </w:r>
      <w:r w:rsidR="000D3355" w:rsidRPr="00117CDA">
        <w:t xml:space="preserve"> </w:t>
      </w:r>
      <w:r w:rsidR="00AA2641" w:rsidRPr="00117CDA">
        <w:t xml:space="preserve">years </w:t>
      </w:r>
      <w:r w:rsidRPr="00117CDA">
        <w:t>to participating customers. (</w:t>
      </w:r>
      <w:r w:rsidR="007E33D6" w:rsidRPr="00117CDA">
        <w:t>TR 310-311, 323, 340)</w:t>
      </w:r>
      <w:r w:rsidR="008D14AF" w:rsidRPr="00117CDA">
        <w:t xml:space="preserve"> This simple payback calculation ignores the time value of money, and us</w:t>
      </w:r>
      <w:r w:rsidR="007F6212">
        <w:t>ing a CPVRR analysis yields an eight</w:t>
      </w:r>
      <w:r w:rsidR="008D14AF" w:rsidRPr="00117CDA">
        <w:t xml:space="preserve"> y</w:t>
      </w:r>
      <w:r w:rsidR="007F6212">
        <w:t>ear payback period. (TR 502-503;</w:t>
      </w:r>
      <w:r w:rsidR="008D14AF" w:rsidRPr="00117CDA">
        <w:t xml:space="preserve"> EXH 64)</w:t>
      </w:r>
      <w:r>
        <w:t xml:space="preserve"> The revenues from the </w:t>
      </w:r>
      <w:r w:rsidR="00051769">
        <w:t xml:space="preserve">subscription </w:t>
      </w:r>
      <w:r>
        <w:t xml:space="preserve">charge would be included as base revenues in FPL’s monthly earning </w:t>
      </w:r>
      <w:r w:rsidR="009D48C4">
        <w:t>surveillance</w:t>
      </w:r>
      <w:r>
        <w:t xml:space="preserve"> reports. </w:t>
      </w:r>
      <w:r w:rsidR="007C0D17">
        <w:t xml:space="preserve">(TR 326) </w:t>
      </w:r>
      <w:r>
        <w:t xml:space="preserve">The credits would be recovered through FPL’s fuel clause. </w:t>
      </w:r>
      <w:r w:rsidR="00E6213D">
        <w:t xml:space="preserve">(TR </w:t>
      </w:r>
      <w:r w:rsidR="00304C70">
        <w:t xml:space="preserve">148, </w:t>
      </w:r>
      <w:r w:rsidR="00E6213D">
        <w:t xml:space="preserve">328) </w:t>
      </w:r>
      <w:r>
        <w:t xml:space="preserve">The administrative costs for the Program, approximately $11.5 million, would be reflected as base rate recoverable costs. </w:t>
      </w:r>
      <w:r w:rsidR="00086B50">
        <w:t>(</w:t>
      </w:r>
      <w:r w:rsidR="004A4D8F">
        <w:t xml:space="preserve">TR 324; </w:t>
      </w:r>
      <w:r w:rsidR="00086B50">
        <w:t xml:space="preserve">EXH 44, BSP 294) </w:t>
      </w:r>
      <w:r>
        <w:t>FPL will not increase base rates during the term of its existing base rate settlement but will include the SolarTogether costs and expenses in its monthly earnings surveillance report.</w:t>
      </w:r>
      <w:r>
        <w:rPr>
          <w:rStyle w:val="FootnoteReference"/>
        </w:rPr>
        <w:footnoteReference w:id="3"/>
      </w:r>
      <w:r w:rsidR="00D44B3A">
        <w:t xml:space="preserve"> (</w:t>
      </w:r>
      <w:r w:rsidR="009D48C4">
        <w:t>EXH</w:t>
      </w:r>
      <w:r w:rsidR="00D44B3A">
        <w:t xml:space="preserve"> 38, BSP 146)</w:t>
      </w:r>
    </w:p>
    <w:p w:rsidR="00F00B1E" w:rsidRPr="00AB0CB4" w:rsidRDefault="00F13795" w:rsidP="00F13795">
      <w:pPr>
        <w:pStyle w:val="BodyText"/>
      </w:pPr>
      <w:r>
        <w:t>I</w:t>
      </w:r>
      <w:r w:rsidRPr="00AB0CB4">
        <w:t>n addition to the SolarTogether</w:t>
      </w:r>
      <w:r w:rsidR="004567FE">
        <w:t xml:space="preserve"> subscription</w:t>
      </w:r>
      <w:r w:rsidR="0071136A">
        <w:t xml:space="preserve"> charges and credits</w:t>
      </w:r>
      <w:r w:rsidRPr="00AB0CB4">
        <w:t>, participating customers can elect to have FPL retire</w:t>
      </w:r>
      <w:r w:rsidR="00DA51F3" w:rsidRPr="00AB0CB4">
        <w:t>,</w:t>
      </w:r>
      <w:r w:rsidR="007E33D6" w:rsidRPr="00AB0CB4">
        <w:t xml:space="preserve"> </w:t>
      </w:r>
      <w:r w:rsidRPr="00AB0CB4">
        <w:t>on their behalf</w:t>
      </w:r>
      <w:r w:rsidR="00DA51F3" w:rsidRPr="00AB0CB4">
        <w:t>,</w:t>
      </w:r>
      <w:r w:rsidRPr="00AB0CB4">
        <w:t xml:space="preserve"> any renewable energy certificate</w:t>
      </w:r>
      <w:r w:rsidR="00D86712">
        <w:t>s</w:t>
      </w:r>
      <w:r w:rsidRPr="00AB0CB4">
        <w:t xml:space="preserve"> (RECs) associated with their SolarTogether subscription. </w:t>
      </w:r>
      <w:r w:rsidR="007E33D6" w:rsidRPr="00AB0CB4">
        <w:t>(TR 61</w:t>
      </w:r>
      <w:r w:rsidR="007059E1" w:rsidRPr="00AB0CB4">
        <w:t>; EXH 28</w:t>
      </w:r>
      <w:r w:rsidR="007E33D6" w:rsidRPr="00AB0CB4">
        <w:t xml:space="preserve">) </w:t>
      </w:r>
      <w:r w:rsidRPr="00AB0CB4">
        <w:t>According to the Petition, RECs are defined by the U.S. Environmental Protection Agency as “a market based instrument that represents the property rights to the environmental, social, and other non-power attributes of renewable electricity.”</w:t>
      </w:r>
      <w:r w:rsidR="004A4D8F">
        <w:t xml:space="preserve"> (Petition </w:t>
      </w:r>
      <w:r w:rsidR="00E73488" w:rsidRPr="00AB0CB4">
        <w:t>7)</w:t>
      </w:r>
    </w:p>
    <w:p w:rsidR="001E4047" w:rsidRPr="00304C70" w:rsidRDefault="001E4047" w:rsidP="00D85407">
      <w:pPr>
        <w:jc w:val="both"/>
        <w:rPr>
          <w:rFonts w:ascii="Arial" w:hAnsi="Arial" w:cs="Arial"/>
          <w:b/>
        </w:rPr>
      </w:pPr>
      <w:r w:rsidRPr="00304C70">
        <w:rPr>
          <w:rFonts w:ascii="Arial" w:hAnsi="Arial" w:cs="Arial"/>
          <w:b/>
        </w:rPr>
        <w:t>Summary of Current Planning and Regulatory Framework</w:t>
      </w:r>
    </w:p>
    <w:p w:rsidR="001E4047" w:rsidRDefault="009C2A5F" w:rsidP="007F2457">
      <w:pPr>
        <w:spacing w:after="240"/>
        <w:jc w:val="both"/>
      </w:pPr>
      <w:r>
        <w:t xml:space="preserve">Commission </w:t>
      </w:r>
      <w:r w:rsidR="00351DF8">
        <w:t xml:space="preserve">witness Hinton </w:t>
      </w:r>
      <w:r w:rsidR="00BD0D8E">
        <w:rPr>
          <w:rFonts w:eastAsia="TimesNewRoman"/>
        </w:rPr>
        <w:t>d</w:t>
      </w:r>
      <w:r w:rsidR="00BD0D8E" w:rsidRPr="00DB35D7">
        <w:rPr>
          <w:rFonts w:eastAsia="TimesNewRoman"/>
        </w:rPr>
        <w:t>iscuss</w:t>
      </w:r>
      <w:r w:rsidR="00BD0D8E">
        <w:rPr>
          <w:rFonts w:eastAsia="TimesNewRoman"/>
        </w:rPr>
        <w:t>ed the</w:t>
      </w:r>
      <w:r w:rsidR="00BD0D8E" w:rsidRPr="00DB35D7">
        <w:rPr>
          <w:rFonts w:eastAsia="TimesNewRoman"/>
        </w:rPr>
        <w:t xml:space="preserve"> principles of Florida</w:t>
      </w:r>
      <w:r w:rsidR="00BD0D8E">
        <w:rPr>
          <w:rFonts w:eastAsia="TimesNewRoman"/>
        </w:rPr>
        <w:t>’s</w:t>
      </w:r>
      <w:r w:rsidR="00BD0D8E" w:rsidRPr="00DB35D7">
        <w:rPr>
          <w:rFonts w:eastAsia="TimesNewRoman"/>
        </w:rPr>
        <w:t xml:space="preserve"> regulatory</w:t>
      </w:r>
      <w:r w:rsidR="00BD0D8E">
        <w:rPr>
          <w:rFonts w:eastAsia="TimesNewRoman"/>
        </w:rPr>
        <w:t xml:space="preserve"> </w:t>
      </w:r>
      <w:r w:rsidR="00BD0D8E" w:rsidRPr="00DB35D7">
        <w:rPr>
          <w:rFonts w:eastAsia="TimesNewRoman"/>
        </w:rPr>
        <w:t xml:space="preserve">framework and </w:t>
      </w:r>
      <w:r w:rsidR="00BD0D8E">
        <w:rPr>
          <w:rFonts w:eastAsia="TimesNewRoman"/>
        </w:rPr>
        <w:t>the Commission’s role. He stated:</w:t>
      </w:r>
    </w:p>
    <w:p w:rsidR="001E4047" w:rsidRDefault="001E4047" w:rsidP="007F2457">
      <w:pPr>
        <w:spacing w:after="240"/>
        <w:ind w:left="720" w:right="720"/>
        <w:jc w:val="both"/>
      </w:pPr>
      <w:r>
        <w:t>Florida has a regulatory framework established through statute that grants utilities specific rights and responsibilities, and that establishes particular roles and responsibilities for the Commission as the economic regulatory agency</w:t>
      </w:r>
      <w:r w:rsidR="001976B2">
        <w:t>….</w:t>
      </w:r>
    </w:p>
    <w:p w:rsidR="001976B2" w:rsidRDefault="001976B2" w:rsidP="007F2457">
      <w:pPr>
        <w:spacing w:after="240"/>
        <w:ind w:left="720" w:right="720"/>
        <w:jc w:val="both"/>
      </w:pPr>
      <w:r>
        <w:t xml:space="preserve">Along with those rights, utilities have the obligation to serve all customers within their service territory, and that service must be adequate, safe, and reliable. </w:t>
      </w:r>
      <w:r w:rsidR="000C7F3C">
        <w:t>Utilities</w:t>
      </w:r>
      <w:r>
        <w:t xml:space="preserve"> are not permitted to build unnecessary facilities or incur costs for unnecessary services. In addition, </w:t>
      </w:r>
      <w:r w:rsidR="000C7F3C">
        <w:t>utilities</w:t>
      </w:r>
      <w:r>
        <w:t xml:space="preserve"> may not unduly discriminate or show preference in providing service or charging rates.</w:t>
      </w:r>
    </w:p>
    <w:p w:rsidR="007E33D6" w:rsidRDefault="001976B2" w:rsidP="002B09AB">
      <w:pPr>
        <w:spacing w:after="240"/>
        <w:ind w:left="720" w:right="720"/>
        <w:jc w:val="both"/>
      </w:pPr>
      <w:r>
        <w:t>The Commission’s role is to ensure that customers receive adequate, safe electric service at rates that are fair, just, and reasonable. Those rates may only recover the cost of plant that is actually used and useful in the public service. The Commission also oversees the reliability and sufficiency of the bulk power grid and ensures that any additions to the grid are necessary and cost-effective.</w:t>
      </w:r>
      <w:r w:rsidR="007E33D6">
        <w:t xml:space="preserve"> </w:t>
      </w:r>
      <w:r w:rsidR="002B09AB">
        <w:t xml:space="preserve">      </w:t>
      </w:r>
      <w:r w:rsidR="007E33D6">
        <w:t>(TR 639-640)</w:t>
      </w:r>
    </w:p>
    <w:p w:rsidR="001976B2" w:rsidRDefault="001976B2" w:rsidP="009F6601">
      <w:pPr>
        <w:spacing w:after="240"/>
        <w:jc w:val="both"/>
      </w:pPr>
      <w:r>
        <w:lastRenderedPageBreak/>
        <w:t xml:space="preserve">Witness Hinton also stated that the </w:t>
      </w:r>
      <w:r w:rsidR="00301974">
        <w:t>proposed So</w:t>
      </w:r>
      <w:r>
        <w:t>l</w:t>
      </w:r>
      <w:r w:rsidR="00301974">
        <w:t>a</w:t>
      </w:r>
      <w:r>
        <w:t>rTogether Program was a d</w:t>
      </w:r>
      <w:r w:rsidR="0083354E">
        <w:t>eparture from traditional least-</w:t>
      </w:r>
      <w:r>
        <w:t>cost planning</w:t>
      </w:r>
      <w:r w:rsidR="001725E4">
        <w:t>.</w:t>
      </w:r>
      <w:r>
        <w:t xml:space="preserve"> </w:t>
      </w:r>
      <w:r w:rsidR="00BB034F">
        <w:t>(TR 644)</w:t>
      </w:r>
      <w:r w:rsidR="001725E4">
        <w:t xml:space="preserve"> The witness</w:t>
      </w:r>
      <w:r>
        <w:t xml:space="preserve"> summarized </w:t>
      </w:r>
      <w:r w:rsidR="00BB034F">
        <w:t xml:space="preserve">least-cost planning </w:t>
      </w:r>
      <w:r>
        <w:t>as follows:</w:t>
      </w:r>
    </w:p>
    <w:p w:rsidR="00C16F82" w:rsidRDefault="001976B2" w:rsidP="009F6601">
      <w:pPr>
        <w:spacing w:after="240"/>
        <w:ind w:left="720" w:right="720"/>
        <w:jc w:val="both"/>
      </w:pPr>
      <w:r>
        <w:t>Utilities annually asses</w:t>
      </w:r>
      <w:r w:rsidR="00301974">
        <w:t>s forecasts of customer load and reserve margins for a ten-year period and perform a system reliability analysis. An evaluation of existing generating resources is conducted by the utility in</w:t>
      </w:r>
      <w:r w:rsidR="00D11AEF">
        <w:t xml:space="preserve"> </w:t>
      </w:r>
      <w:r w:rsidR="00301974">
        <w:t>order to identify potential opportunities to improve generation efficiency. If a need for additional capacity is identified in a given year, the utility will develop alternative resource plans, evaluating combinations of demand-side and supply-side resources, to determine the most feasible, cost-effect</w:t>
      </w:r>
      <w:r w:rsidR="00BB034F">
        <w:t>ive</w:t>
      </w:r>
      <w:r w:rsidR="00301974">
        <w:t xml:space="preserve"> approach to meet that need. The important principle underlying this process is the idea of “least cost planning</w:t>
      </w:r>
      <w:r w:rsidR="00AF7717">
        <w:t>.</w:t>
      </w:r>
      <w:r w:rsidR="00301974">
        <w:t>”</w:t>
      </w:r>
    </w:p>
    <w:p w:rsidR="00301974" w:rsidRDefault="00C16F82" w:rsidP="009F6601">
      <w:pPr>
        <w:spacing w:after="240"/>
        <w:ind w:right="720"/>
        <w:jc w:val="both"/>
      </w:pPr>
      <w:r>
        <w:t>(</w:t>
      </w:r>
      <w:r w:rsidR="007E33D6">
        <w:t>TR 640)</w:t>
      </w:r>
    </w:p>
    <w:p w:rsidR="007F79F5" w:rsidRDefault="00301974" w:rsidP="009F6601">
      <w:pPr>
        <w:spacing w:after="240"/>
        <w:jc w:val="both"/>
      </w:pPr>
      <w:r>
        <w:t xml:space="preserve">No other witness </w:t>
      </w:r>
      <w:r w:rsidR="00AF7717">
        <w:t>offered</w:t>
      </w:r>
      <w:r>
        <w:t xml:space="preserve"> an alternative view of the current regulatory framework.</w:t>
      </w:r>
    </w:p>
    <w:p w:rsidR="00D85407" w:rsidRPr="00D85407" w:rsidRDefault="00D85407" w:rsidP="002C3F3B">
      <w:pPr>
        <w:jc w:val="both"/>
        <w:rPr>
          <w:rFonts w:ascii="Arial" w:hAnsi="Arial" w:cs="Arial"/>
          <w:b/>
        </w:rPr>
      </w:pPr>
      <w:r w:rsidRPr="00D85407">
        <w:rPr>
          <w:rFonts w:ascii="Arial" w:hAnsi="Arial" w:cs="Arial"/>
          <w:b/>
        </w:rPr>
        <w:t>Policy Implications of Proposed Program</w:t>
      </w:r>
    </w:p>
    <w:p w:rsidR="0043693E" w:rsidRDefault="00797765" w:rsidP="00F62863">
      <w:pPr>
        <w:spacing w:after="240"/>
        <w:jc w:val="both"/>
      </w:pPr>
      <w:r w:rsidRPr="0043693E">
        <w:t>Chapter</w:t>
      </w:r>
      <w:r w:rsidR="003751A5">
        <w:t>s</w:t>
      </w:r>
      <w:r w:rsidRPr="0043693E">
        <w:t xml:space="preserve"> 366</w:t>
      </w:r>
      <w:r w:rsidR="003751A5">
        <w:t xml:space="preserve"> and 186.801</w:t>
      </w:r>
      <w:r w:rsidR="008726ED">
        <w:t xml:space="preserve">, F.S., </w:t>
      </w:r>
      <w:r w:rsidRPr="0043693E">
        <w:t xml:space="preserve">and the </w:t>
      </w:r>
      <w:r w:rsidR="00D85407" w:rsidRPr="0043693E">
        <w:t>Commission</w:t>
      </w:r>
      <w:r w:rsidRPr="0043693E">
        <w:t>’s</w:t>
      </w:r>
      <w:r w:rsidR="00D85407" w:rsidRPr="0043693E">
        <w:t xml:space="preserve"> </w:t>
      </w:r>
      <w:r w:rsidRPr="0043693E">
        <w:t>r</w:t>
      </w:r>
      <w:r w:rsidR="00D85407" w:rsidRPr="0043693E">
        <w:t xml:space="preserve">ules </w:t>
      </w:r>
      <w:r w:rsidRPr="0043693E">
        <w:t>implementing th</w:t>
      </w:r>
      <w:r w:rsidR="003751A5">
        <w:t>ese Statutes,</w:t>
      </w:r>
      <w:r w:rsidRPr="0043693E">
        <w:t xml:space="preserve"> </w:t>
      </w:r>
      <w:r w:rsidR="00D85407" w:rsidRPr="0043693E">
        <w:t xml:space="preserve">provide a solid framework for flexible utility resource planning </w:t>
      </w:r>
      <w:r w:rsidR="003751A5">
        <w:t xml:space="preserve">that results in cost-effective resource additions </w:t>
      </w:r>
      <w:r w:rsidR="00D85407" w:rsidRPr="0043693E">
        <w:t>for the benefit of all customers.</w:t>
      </w:r>
      <w:r w:rsidRPr="0043693E">
        <w:t xml:space="preserve"> T</w:t>
      </w:r>
      <w:r w:rsidR="00D85407" w:rsidRPr="0043693E">
        <w:t xml:space="preserve">he Commission fulfills its oversight and regulatory responsibilities while leaving day-to-day planning and operations to utility management. While any generation </w:t>
      </w:r>
      <w:r w:rsidR="00B76D0F">
        <w:t>addition adds fixed costs to a</w:t>
      </w:r>
      <w:r w:rsidR="00D85407" w:rsidRPr="0043693E">
        <w:t xml:space="preserve"> utility’s rate base, the resulting addition also impacts the system’s fuel</w:t>
      </w:r>
      <w:r w:rsidR="00F914C7" w:rsidRPr="0043693E">
        <w:t xml:space="preserve"> and </w:t>
      </w:r>
      <w:r w:rsidR="002717C7">
        <w:t>operation and maintenance (</w:t>
      </w:r>
      <w:r w:rsidR="00F914C7" w:rsidRPr="0043693E">
        <w:t>O&amp;M</w:t>
      </w:r>
      <w:r w:rsidR="002717C7">
        <w:t>)</w:t>
      </w:r>
      <w:r w:rsidR="00D85407" w:rsidRPr="0043693E">
        <w:t xml:space="preserve"> costs. </w:t>
      </w:r>
      <w:r w:rsidR="00FD3C59">
        <w:t xml:space="preserve">(TR 227) </w:t>
      </w:r>
      <w:r w:rsidR="00D85407" w:rsidRPr="0043693E">
        <w:t xml:space="preserve">Under traditional least-cost planning methods, the selection of which type of generating unit to add to the system is driven by </w:t>
      </w:r>
      <w:r w:rsidR="009614F8">
        <w:t xml:space="preserve">CPVRR </w:t>
      </w:r>
      <w:r w:rsidR="00D85407" w:rsidRPr="0043693E">
        <w:t>analyses.</w:t>
      </w:r>
      <w:r w:rsidR="009D51BB" w:rsidRPr="0043693E">
        <w:t xml:space="preserve"> </w:t>
      </w:r>
      <w:r w:rsidR="00D85407" w:rsidRPr="0043693E">
        <w:t>Such analyses contain a base case and several sensitivities to determine the relative risk of the proposed addition to changes in fuel prices, loads, emissions costs, capital costs, etc.</w:t>
      </w:r>
      <w:r w:rsidR="00FD3C59">
        <w:t xml:space="preserve"> (TR 239</w:t>
      </w:r>
      <w:r w:rsidR="00632A33">
        <w:t>, 506</w:t>
      </w:r>
      <w:r w:rsidR="00FD3C59">
        <w:t>)</w:t>
      </w:r>
      <w:r w:rsidR="00F914C7" w:rsidRPr="0043693E">
        <w:t xml:space="preserve"> </w:t>
      </w:r>
    </w:p>
    <w:p w:rsidR="0043693E" w:rsidRDefault="00D85407" w:rsidP="00F62863">
      <w:pPr>
        <w:spacing w:after="240"/>
        <w:jc w:val="both"/>
      </w:pPr>
      <w:r w:rsidRPr="0043693E">
        <w:t xml:space="preserve">Evidence in the record </w:t>
      </w:r>
      <w:r w:rsidR="0043693E">
        <w:t xml:space="preserve">shows </w:t>
      </w:r>
      <w:r w:rsidRPr="0043693E">
        <w:t xml:space="preserve">that FPL’s 2019 </w:t>
      </w:r>
      <w:r w:rsidR="00DA51F3" w:rsidRPr="0043693E">
        <w:t>T</w:t>
      </w:r>
      <w:r w:rsidRPr="0043693E">
        <w:t xml:space="preserve">YSP, which includes </w:t>
      </w:r>
      <w:r w:rsidR="00532FAF" w:rsidRPr="0043693E">
        <w:t xml:space="preserve">over </w:t>
      </w:r>
      <w:r w:rsidR="00D91644" w:rsidRPr="0043693E">
        <w:t>1,7</w:t>
      </w:r>
      <w:r w:rsidR="00532FAF" w:rsidRPr="0043693E">
        <w:t xml:space="preserve">00 MW </w:t>
      </w:r>
      <w:r w:rsidRPr="0043693E">
        <w:t>of future solar generation</w:t>
      </w:r>
      <w:r w:rsidR="00532FAF" w:rsidRPr="0043693E">
        <w:t xml:space="preserve"> by 202</w:t>
      </w:r>
      <w:r w:rsidR="00D91644" w:rsidRPr="0043693E">
        <w:t>2</w:t>
      </w:r>
      <w:r w:rsidRPr="0043693E">
        <w:t>, is the least</w:t>
      </w:r>
      <w:r w:rsidR="00DA51F3" w:rsidRPr="0043693E">
        <w:t>-</w:t>
      </w:r>
      <w:r w:rsidRPr="0043693E">
        <w:t xml:space="preserve">cost plan resulting in the lowest levelized system average electric rate. </w:t>
      </w:r>
      <w:r w:rsidR="00532FAF" w:rsidRPr="0043693E">
        <w:t>(</w:t>
      </w:r>
      <w:r w:rsidR="00C410E3" w:rsidRPr="0043693E">
        <w:t>EXH 39</w:t>
      </w:r>
      <w:r w:rsidR="00FD3C59">
        <w:t>, BSP 255</w:t>
      </w:r>
      <w:r w:rsidR="00DB101E" w:rsidRPr="0043693E">
        <w:t>; EXH</w:t>
      </w:r>
      <w:r w:rsidR="00C410E3" w:rsidRPr="0043693E">
        <w:t xml:space="preserve"> 45</w:t>
      </w:r>
      <w:r w:rsidR="00FD3C59">
        <w:t>, BSP 312</w:t>
      </w:r>
      <w:r w:rsidR="00C410E3" w:rsidRPr="0043693E">
        <w:t>)</w:t>
      </w:r>
      <w:r w:rsidR="00532FAF" w:rsidRPr="0043693E">
        <w:t xml:space="preserve"> </w:t>
      </w:r>
      <w:r w:rsidRPr="0043693E">
        <w:t>Howev</w:t>
      </w:r>
      <w:r w:rsidR="009434B0" w:rsidRPr="0043693E">
        <w:t>er, FPL’s proposed</w:t>
      </w:r>
      <w:r w:rsidRPr="0043693E">
        <w:t xml:space="preserve"> Program and associated rate </w:t>
      </w:r>
      <w:r w:rsidRPr="00FF4EEB">
        <w:t>Schedule</w:t>
      </w:r>
      <w:r w:rsidRPr="0043693E">
        <w:t xml:space="preserve"> STR disregard the principles of least</w:t>
      </w:r>
      <w:r w:rsidR="00DA51F3" w:rsidRPr="0043693E">
        <w:t>-</w:t>
      </w:r>
      <w:r w:rsidRPr="0043693E">
        <w:t>cost planning regarding resource additions and resulting cost allocation. (</w:t>
      </w:r>
      <w:r w:rsidR="00C410E3" w:rsidRPr="0043693E">
        <w:t>EXH 39</w:t>
      </w:r>
      <w:r w:rsidR="00530DE9">
        <w:t>, BSP 253</w:t>
      </w:r>
      <w:r w:rsidR="00DB101E" w:rsidRPr="0043693E">
        <w:t xml:space="preserve">; EXH </w:t>
      </w:r>
      <w:r w:rsidR="00C410E3" w:rsidRPr="0043693E">
        <w:t>47</w:t>
      </w:r>
      <w:r w:rsidR="00530DE9">
        <w:t>, BSP 344</w:t>
      </w:r>
      <w:r w:rsidR="00DB101E" w:rsidRPr="0043693E">
        <w:t xml:space="preserve">; EXH </w:t>
      </w:r>
      <w:r w:rsidR="00C410E3" w:rsidRPr="0043693E">
        <w:t>51</w:t>
      </w:r>
      <w:r w:rsidR="00530DE9">
        <w:t>, BSP 371</w:t>
      </w:r>
      <w:r w:rsidR="00C410E3" w:rsidRPr="0043693E">
        <w:t>)</w:t>
      </w:r>
      <w:r w:rsidR="0043693E">
        <w:t xml:space="preserve"> </w:t>
      </w:r>
      <w:r w:rsidR="00B074FD" w:rsidRPr="0043693E">
        <w:t xml:space="preserve">OPC </w:t>
      </w:r>
      <w:r w:rsidR="00437D01">
        <w:t>argues that F</w:t>
      </w:r>
      <w:r w:rsidR="00437D01" w:rsidRPr="00E2612E">
        <w:t>PL admitted S</w:t>
      </w:r>
      <w:r w:rsidR="00437D01">
        <w:t>olar</w:t>
      </w:r>
      <w:r w:rsidR="00437D01" w:rsidRPr="00E2612E">
        <w:t>T</w:t>
      </w:r>
      <w:r w:rsidR="00437D01">
        <w:t>ogether</w:t>
      </w:r>
      <w:r w:rsidR="00437D01" w:rsidRPr="00E2612E">
        <w:t xml:space="preserve"> is not a least</w:t>
      </w:r>
      <w:r w:rsidR="00437D01">
        <w:t>-</w:t>
      </w:r>
      <w:r w:rsidR="00437D01" w:rsidRPr="00E2612E">
        <w:t>cost plan</w:t>
      </w:r>
      <w:r w:rsidR="00437D01">
        <w:t>,</w:t>
      </w:r>
      <w:r w:rsidR="00437D01" w:rsidRPr="00E2612E">
        <w:t xml:space="preserve"> and that it had not provided the Commission with an economic analysis of what it alleged was simply an acceleration of its </w:t>
      </w:r>
      <w:r w:rsidR="00D11FEE">
        <w:t>TYSP</w:t>
      </w:r>
      <w:r w:rsidR="00641904">
        <w:t>. (OPC BR</w:t>
      </w:r>
      <w:r w:rsidR="00437D01">
        <w:t xml:space="preserve"> 5)</w:t>
      </w:r>
      <w:r w:rsidR="00BC6B6F">
        <w:t xml:space="preserve"> </w:t>
      </w:r>
    </w:p>
    <w:p w:rsidR="00BC6B6F" w:rsidRDefault="00D85407" w:rsidP="00BC6B6F">
      <w:pPr>
        <w:jc w:val="both"/>
        <w:rPr>
          <w:bCs/>
          <w:color w:val="000000" w:themeColor="text1"/>
        </w:rPr>
      </w:pPr>
      <w:r>
        <w:t>Instead of adding generating units to satisfy projected reliability or economic needs for all customers, approval</w:t>
      </w:r>
      <w:r w:rsidR="00532FAF">
        <w:t xml:space="preserve"> of the proposed tariff</w:t>
      </w:r>
      <w:r>
        <w:t xml:space="preserve"> would authorize FPL </w:t>
      </w:r>
      <w:r w:rsidR="00532FAF">
        <w:t xml:space="preserve">to </w:t>
      </w:r>
      <w:r>
        <w:t xml:space="preserve">accelerate the construction of solar facilities </w:t>
      </w:r>
      <w:r w:rsidR="00601C5C">
        <w:t xml:space="preserve">and </w:t>
      </w:r>
      <w:r>
        <w:t xml:space="preserve">to add future solar facilities based upon the Utility’s marketing efforts and the desires of a select group of customers. </w:t>
      </w:r>
      <w:r w:rsidR="00BC6B6F">
        <w:t>OPC contends that w</w:t>
      </w:r>
      <w:r w:rsidR="00BC6B6F" w:rsidRPr="00A35392">
        <w:rPr>
          <w:bCs/>
          <w:color w:val="000000" w:themeColor="text1"/>
        </w:rPr>
        <w:t xml:space="preserve">hether </w:t>
      </w:r>
      <w:r w:rsidR="00BC6B6F">
        <w:rPr>
          <w:bCs/>
          <w:color w:val="000000" w:themeColor="text1"/>
        </w:rPr>
        <w:t xml:space="preserve">the generation to be added is </w:t>
      </w:r>
      <w:r w:rsidR="00BC6B6F" w:rsidRPr="00A35392">
        <w:rPr>
          <w:bCs/>
          <w:color w:val="000000" w:themeColor="text1"/>
        </w:rPr>
        <w:t xml:space="preserve">evaluated under the PPSA or other </w:t>
      </w:r>
      <w:r w:rsidR="00BC6B6F">
        <w:rPr>
          <w:bCs/>
          <w:color w:val="000000" w:themeColor="text1"/>
        </w:rPr>
        <w:t xml:space="preserve">relevant </w:t>
      </w:r>
      <w:r w:rsidR="00BC6B6F" w:rsidRPr="00A35392">
        <w:rPr>
          <w:bCs/>
          <w:color w:val="000000" w:themeColor="text1"/>
        </w:rPr>
        <w:t>statute</w:t>
      </w:r>
      <w:r w:rsidR="00BC6B6F">
        <w:rPr>
          <w:bCs/>
          <w:color w:val="000000" w:themeColor="text1"/>
        </w:rPr>
        <w:t>s related to the regulation of electric generation</w:t>
      </w:r>
      <w:r w:rsidR="00BC6B6F" w:rsidRPr="00A35392">
        <w:rPr>
          <w:bCs/>
          <w:color w:val="000000" w:themeColor="text1"/>
        </w:rPr>
        <w:t xml:space="preserve">, an interpretation </w:t>
      </w:r>
      <w:r w:rsidR="00BC6B6F">
        <w:rPr>
          <w:bCs/>
          <w:color w:val="000000" w:themeColor="text1"/>
        </w:rPr>
        <w:t xml:space="preserve">of </w:t>
      </w:r>
      <w:r w:rsidR="00BC6B6F" w:rsidRPr="00A35392">
        <w:rPr>
          <w:bCs/>
          <w:color w:val="000000" w:themeColor="text1"/>
        </w:rPr>
        <w:t xml:space="preserve">regulatory </w:t>
      </w:r>
      <w:r w:rsidR="00BC6B6F">
        <w:rPr>
          <w:bCs/>
          <w:color w:val="000000" w:themeColor="text1"/>
        </w:rPr>
        <w:t xml:space="preserve">governance </w:t>
      </w:r>
      <w:r w:rsidR="00BC6B6F" w:rsidRPr="00A35392">
        <w:rPr>
          <w:bCs/>
          <w:color w:val="000000" w:themeColor="text1"/>
        </w:rPr>
        <w:t xml:space="preserve">which rests on </w:t>
      </w:r>
      <w:r w:rsidR="00BC6B6F">
        <w:rPr>
          <w:bCs/>
          <w:color w:val="000000" w:themeColor="text1"/>
        </w:rPr>
        <w:t xml:space="preserve">approving a project based upon </w:t>
      </w:r>
      <w:r w:rsidR="00BC6B6F" w:rsidRPr="00A35392">
        <w:rPr>
          <w:bCs/>
          <w:color w:val="000000" w:themeColor="text1"/>
        </w:rPr>
        <w:t>certain customer</w:t>
      </w:r>
      <w:r w:rsidR="00BC6B6F">
        <w:rPr>
          <w:bCs/>
          <w:color w:val="000000" w:themeColor="text1"/>
        </w:rPr>
        <w:t>s’</w:t>
      </w:r>
      <w:r w:rsidR="00BC6B6F" w:rsidRPr="00A35392">
        <w:rPr>
          <w:bCs/>
          <w:color w:val="000000" w:themeColor="text1"/>
        </w:rPr>
        <w:t xml:space="preserve"> desires</w:t>
      </w:r>
      <w:r w:rsidR="00B76D0F">
        <w:rPr>
          <w:bCs/>
          <w:color w:val="000000" w:themeColor="text1"/>
        </w:rPr>
        <w:t>,</w:t>
      </w:r>
      <w:r w:rsidR="00BC6B6F" w:rsidRPr="00A35392">
        <w:rPr>
          <w:bCs/>
          <w:color w:val="000000" w:themeColor="text1"/>
        </w:rPr>
        <w:t xml:space="preserve"> rather than </w:t>
      </w:r>
      <w:r w:rsidR="00BC6B6F">
        <w:rPr>
          <w:bCs/>
          <w:color w:val="000000" w:themeColor="text1"/>
        </w:rPr>
        <w:t xml:space="preserve">on </w:t>
      </w:r>
      <w:r w:rsidR="00BC6B6F" w:rsidRPr="00A35392">
        <w:rPr>
          <w:bCs/>
          <w:color w:val="000000" w:themeColor="text1"/>
        </w:rPr>
        <w:t xml:space="preserve">empirical measures directly related to ensuring the </w:t>
      </w:r>
      <w:r w:rsidR="00BC6B6F">
        <w:rPr>
          <w:bCs/>
          <w:color w:val="000000" w:themeColor="text1"/>
        </w:rPr>
        <w:t xml:space="preserve">grid </w:t>
      </w:r>
      <w:r w:rsidR="00BC6B6F" w:rsidRPr="00A35392">
        <w:rPr>
          <w:bCs/>
          <w:color w:val="000000" w:themeColor="text1"/>
        </w:rPr>
        <w:t>provide</w:t>
      </w:r>
      <w:r w:rsidR="00BC6B6F">
        <w:rPr>
          <w:bCs/>
          <w:color w:val="000000" w:themeColor="text1"/>
        </w:rPr>
        <w:t>s</w:t>
      </w:r>
      <w:r w:rsidR="00BC6B6F" w:rsidRPr="00A35392">
        <w:rPr>
          <w:bCs/>
          <w:color w:val="000000" w:themeColor="text1"/>
        </w:rPr>
        <w:t xml:space="preserve"> adequate electricity </w:t>
      </w:r>
      <w:r w:rsidR="00BC6B6F">
        <w:rPr>
          <w:bCs/>
          <w:color w:val="000000" w:themeColor="text1"/>
        </w:rPr>
        <w:t>to the public at the lowest reasonable cost</w:t>
      </w:r>
      <w:r w:rsidR="00B76D0F">
        <w:rPr>
          <w:bCs/>
          <w:color w:val="000000" w:themeColor="text1"/>
        </w:rPr>
        <w:t>,</w:t>
      </w:r>
      <w:r w:rsidR="00BC6B6F">
        <w:rPr>
          <w:bCs/>
          <w:color w:val="000000" w:themeColor="text1"/>
        </w:rPr>
        <w:t xml:space="preserve"> will </w:t>
      </w:r>
      <w:r w:rsidR="00BC6B6F" w:rsidRPr="00A35392">
        <w:rPr>
          <w:bCs/>
          <w:color w:val="000000" w:themeColor="text1"/>
        </w:rPr>
        <w:t>set</w:t>
      </w:r>
      <w:r w:rsidR="00BC6B6F">
        <w:rPr>
          <w:bCs/>
          <w:color w:val="000000" w:themeColor="text1"/>
        </w:rPr>
        <w:t xml:space="preserve"> a</w:t>
      </w:r>
      <w:r w:rsidR="00BC6B6F" w:rsidRPr="00A35392">
        <w:rPr>
          <w:bCs/>
          <w:color w:val="000000" w:themeColor="text1"/>
        </w:rPr>
        <w:t xml:space="preserve"> precedent which calls the entire </w:t>
      </w:r>
      <w:r w:rsidR="00BC6B6F">
        <w:rPr>
          <w:bCs/>
          <w:color w:val="000000" w:themeColor="text1"/>
        </w:rPr>
        <w:t xml:space="preserve">electric </w:t>
      </w:r>
      <w:r w:rsidR="00BC6B6F" w:rsidRPr="00A35392">
        <w:rPr>
          <w:bCs/>
          <w:color w:val="000000" w:themeColor="text1"/>
        </w:rPr>
        <w:t xml:space="preserve">regulatory structure and </w:t>
      </w:r>
      <w:r w:rsidR="00BC6B6F">
        <w:rPr>
          <w:bCs/>
          <w:color w:val="000000" w:themeColor="text1"/>
        </w:rPr>
        <w:t xml:space="preserve">the </w:t>
      </w:r>
      <w:r w:rsidR="00BC6B6F" w:rsidRPr="00A35392">
        <w:rPr>
          <w:bCs/>
          <w:color w:val="000000" w:themeColor="text1"/>
        </w:rPr>
        <w:t xml:space="preserve">regulatory compact into question. </w:t>
      </w:r>
      <w:r w:rsidR="00BC6B6F">
        <w:rPr>
          <w:bCs/>
          <w:color w:val="000000" w:themeColor="text1"/>
        </w:rPr>
        <w:t xml:space="preserve">(OPC BR 6) </w:t>
      </w:r>
    </w:p>
    <w:p w:rsidR="00E80AAE" w:rsidRDefault="00E80AAE" w:rsidP="00BC6B6F">
      <w:pPr>
        <w:jc w:val="both"/>
        <w:rPr>
          <w:bCs/>
          <w:color w:val="000000" w:themeColor="text1"/>
        </w:rPr>
      </w:pPr>
    </w:p>
    <w:p w:rsidR="003C6876" w:rsidRDefault="00BC6B6F" w:rsidP="00D85407">
      <w:pPr>
        <w:pStyle w:val="BodyText"/>
      </w:pPr>
      <w:r>
        <w:t xml:space="preserve">Staff notes that </w:t>
      </w:r>
      <w:r w:rsidR="003549D7">
        <w:t>i</w:t>
      </w:r>
      <w:r w:rsidR="00D85407">
        <w:t xml:space="preserve">f the </w:t>
      </w:r>
      <w:r w:rsidR="00532FAF">
        <w:t>proposed Program and tariff</w:t>
      </w:r>
      <w:r w:rsidR="00D85407">
        <w:t xml:space="preserve"> </w:t>
      </w:r>
      <w:r w:rsidR="00532FAF">
        <w:t>are</w:t>
      </w:r>
      <w:r w:rsidR="00D85407">
        <w:t xml:space="preserve"> approved, FPL is projecting its reserve m</w:t>
      </w:r>
      <w:r w:rsidR="00C375C8">
        <w:t>argin to be above 27 percent</w:t>
      </w:r>
      <w:r w:rsidR="00D85407">
        <w:t xml:space="preserve"> by 202</w:t>
      </w:r>
      <w:r w:rsidR="00EA3340">
        <w:t>5</w:t>
      </w:r>
      <w:r w:rsidR="00D85407" w:rsidRPr="00AB0CB4">
        <w:t>.</w:t>
      </w:r>
      <w:r w:rsidR="00117CDA">
        <w:rPr>
          <w:rStyle w:val="FootnoteReference"/>
        </w:rPr>
        <w:footnoteReference w:id="4"/>
      </w:r>
      <w:r w:rsidR="00C30554" w:rsidRPr="00AB0CB4">
        <w:t xml:space="preserve"> (EXH 39</w:t>
      </w:r>
      <w:r w:rsidR="00EA3340">
        <w:t xml:space="preserve">, Amended </w:t>
      </w:r>
      <w:r w:rsidR="00195576">
        <w:t>Interrogatory</w:t>
      </w:r>
      <w:r w:rsidR="00EA3340">
        <w:t xml:space="preserve"> No. 190, Attachment 2</w:t>
      </w:r>
      <w:r w:rsidR="00C30554" w:rsidRPr="00AB0CB4">
        <w:t>)</w:t>
      </w:r>
      <w:r w:rsidR="00D85407" w:rsidRPr="00AB0CB4">
        <w:t xml:space="preserve"> Ev</w:t>
      </w:r>
      <w:r w:rsidR="00D85407">
        <w:t>en if the SolarTogether facilities are cost-effective to the general body of ratepayers, as FPL has claimed in it</w:t>
      </w:r>
      <w:r w:rsidR="00E61630">
        <w:t>s Petition and testimony, s</w:t>
      </w:r>
      <w:r w:rsidR="00D85407">
        <w:t xml:space="preserve">taff questions the public benefit to be gained by approving a </w:t>
      </w:r>
      <w:r w:rsidR="00532FAF">
        <w:t xml:space="preserve">voluntary </w:t>
      </w:r>
      <w:r w:rsidR="00D85407">
        <w:t>tariff that fundamentally change</w:t>
      </w:r>
      <w:r w:rsidR="00B2325B">
        <w:t>s</w:t>
      </w:r>
      <w:r w:rsidR="00D85407">
        <w:t xml:space="preserve"> current regulatory policies and procedures. </w:t>
      </w:r>
      <w:r w:rsidR="005D0D15">
        <w:t xml:space="preserve">(Petition </w:t>
      </w:r>
      <w:r w:rsidR="00B76D0F">
        <w:t>4;</w:t>
      </w:r>
      <w:r w:rsidR="00D95557">
        <w:t xml:space="preserve"> TR 46) </w:t>
      </w:r>
      <w:r w:rsidR="00D85407">
        <w:t>In the past, voluntary tariffs have been offered</w:t>
      </w:r>
      <w:r w:rsidR="00E61630">
        <w:t xml:space="preserve"> when the service desired (i.e., </w:t>
      </w:r>
      <w:r w:rsidR="00D85407">
        <w:t>renewable energy) was not cost competitive with traditional generation. Such offerings provided a response to certain customer demands for a certain type of product. Voluntary contributions were designed to recover the full incremental costs of the desired service</w:t>
      </w:r>
      <w:r w:rsidR="00D85407" w:rsidRPr="00FB6D07">
        <w:t xml:space="preserve"> </w:t>
      </w:r>
      <w:r w:rsidR="00D85407">
        <w:t>while</w:t>
      </w:r>
      <w:r w:rsidR="00456A46">
        <w:t>, most importantly,</w:t>
      </w:r>
      <w:r w:rsidR="00D85407">
        <w:t xml:space="preserve"> holding the general body of ratepayers harmless. </w:t>
      </w:r>
      <w:r w:rsidR="00D85407" w:rsidRPr="00C16F82">
        <w:t xml:space="preserve">As discussed </w:t>
      </w:r>
      <w:r w:rsidR="00E61630" w:rsidRPr="00C16F82">
        <w:t>in Issue 2</w:t>
      </w:r>
      <w:r w:rsidR="00D85407" w:rsidRPr="00C16F82">
        <w:t xml:space="preserve">, staff recommends that the proposed </w:t>
      </w:r>
      <w:r w:rsidR="00215433" w:rsidRPr="00C16F82">
        <w:t xml:space="preserve">Program and </w:t>
      </w:r>
      <w:r w:rsidR="00D85407" w:rsidRPr="00C16F82">
        <w:t xml:space="preserve">rate Schedule STR </w:t>
      </w:r>
      <w:r w:rsidR="00A90D13" w:rsidRPr="00C16F82">
        <w:t>result in</w:t>
      </w:r>
      <w:r w:rsidR="00C16F82">
        <w:t xml:space="preserve"> </w:t>
      </w:r>
      <w:r w:rsidR="003E693B">
        <w:t xml:space="preserve">an </w:t>
      </w:r>
      <w:r w:rsidR="00C16F82">
        <w:t xml:space="preserve">undue preference to participants and subjects the general body of ratepayers to </w:t>
      </w:r>
      <w:r w:rsidR="003E693B">
        <w:t xml:space="preserve">an </w:t>
      </w:r>
      <w:r w:rsidR="00C16F82">
        <w:t>undue d</w:t>
      </w:r>
      <w:r w:rsidR="005C10F5">
        <w:t>isadvantage.</w:t>
      </w:r>
    </w:p>
    <w:p w:rsidR="00F00B1E" w:rsidRDefault="00F00B1E" w:rsidP="005C10F5">
      <w:pPr>
        <w:pStyle w:val="BodyText"/>
        <w:spacing w:after="0"/>
        <w:jc w:val="center"/>
        <w:rPr>
          <w:rFonts w:ascii="Arial" w:hAnsi="Arial" w:cs="Arial"/>
          <w:b/>
        </w:rPr>
      </w:pPr>
      <w:r w:rsidRPr="00293975">
        <w:rPr>
          <w:rFonts w:ascii="Arial" w:hAnsi="Arial" w:cs="Arial"/>
          <w:b/>
        </w:rPr>
        <w:t>Conclusion</w:t>
      </w:r>
    </w:p>
    <w:p w:rsidR="00FE0935" w:rsidRPr="00723AF0" w:rsidRDefault="00FE0935" w:rsidP="00FE0935">
      <w:pPr>
        <w:pStyle w:val="BodyText"/>
        <w:spacing w:after="0"/>
        <w:rPr>
          <w:rFonts w:ascii="Arial" w:hAnsi="Arial" w:cs="Arial"/>
        </w:rPr>
      </w:pPr>
    </w:p>
    <w:p w:rsidR="00F00B1E" w:rsidRPr="00F00B1E" w:rsidRDefault="00D94978" w:rsidP="005C10F5">
      <w:pPr>
        <w:pStyle w:val="BodyText"/>
        <w:spacing w:after="0"/>
      </w:pPr>
      <w:r>
        <w:t>FPL has not demonstrated the public benefit to be gained by changing current regulatory policies and procedures regarding the addition of generation assets.</w:t>
      </w:r>
      <w:r w:rsidRPr="000E6336">
        <w:t xml:space="preserve"> </w:t>
      </w:r>
      <w:r>
        <w:t xml:space="preserve">As such, </w:t>
      </w:r>
      <w:r w:rsidR="005B3102">
        <w:t>approval of</w:t>
      </w:r>
      <w:r>
        <w:t xml:space="preserve"> generation assets should not be linked to a tariff</w:t>
      </w:r>
      <w:r w:rsidR="00AF7717">
        <w:t xml:space="preserve"> proposal as requested by FPL. </w:t>
      </w:r>
    </w:p>
    <w:p w:rsidR="00334F9A" w:rsidRDefault="00334F9A">
      <w:pPr>
        <w:pStyle w:val="IssueHeading"/>
        <w:rPr>
          <w:vanish/>
          <w:specVanish/>
        </w:rPr>
      </w:pPr>
      <w:r w:rsidRPr="004C3641">
        <w:rPr>
          <w:b w:val="0"/>
          <w:i w:val="0"/>
        </w:rPr>
        <w:br w:type="page"/>
      </w:r>
      <w:r w:rsidRPr="004C3641">
        <w:lastRenderedPageBreak/>
        <w:t xml:space="preserve">Issue </w:t>
      </w:r>
      <w:r w:rsidR="003E7FDD">
        <w:fldChar w:fldCharType="begin"/>
      </w:r>
      <w:r w:rsidR="003E7FDD">
        <w:instrText xml:space="preserve"> SEQ Issue \* MERGEFORMAT </w:instrText>
      </w:r>
      <w:r w:rsidR="003E7FDD">
        <w:fldChar w:fldCharType="separate"/>
      </w:r>
      <w:r w:rsidR="00D87C5F">
        <w:rPr>
          <w:noProof/>
        </w:rPr>
        <w:t>2</w:t>
      </w:r>
      <w:r w:rsidR="003E7FDD">
        <w:rPr>
          <w:noProof/>
        </w:rPr>
        <w:fldChar w:fldCharType="end"/>
      </w:r>
      <w:r w:rsidRPr="004C3641">
        <w:t>:</w:t>
      </w:r>
      <w:r w:rsidR="007D3266">
        <w:fldChar w:fldCharType="begin"/>
      </w:r>
      <w:r>
        <w:instrText xml:space="preserve"> TC "</w:instrText>
      </w:r>
      <w:r w:rsidR="007D3266">
        <w:fldChar w:fldCharType="begin"/>
      </w:r>
      <w:r>
        <w:instrText xml:space="preserve"> SEQ issue \c </w:instrText>
      </w:r>
      <w:r w:rsidR="007D3266">
        <w:fldChar w:fldCharType="separate"/>
      </w:r>
      <w:r w:rsidR="00D87C5F">
        <w:rPr>
          <w:noProof/>
        </w:rPr>
        <w:instrText>2</w:instrText>
      </w:r>
      <w:r w:rsidR="007D3266">
        <w:fldChar w:fldCharType="end"/>
      </w:r>
      <w:r>
        <w:tab/>
        <w:instrText xml:space="preserve">" \l 1 </w:instrText>
      </w:r>
      <w:r w:rsidR="007D3266">
        <w:fldChar w:fldCharType="end"/>
      </w:r>
      <w:r>
        <w:t> </w:t>
      </w:r>
    </w:p>
    <w:p w:rsidR="00334F9A" w:rsidRDefault="00334F9A">
      <w:pPr>
        <w:pStyle w:val="BodyText"/>
      </w:pPr>
      <w:r>
        <w:t> </w:t>
      </w:r>
      <w:r w:rsidR="00070652" w:rsidRPr="00D96F1E">
        <w:t>Does FPL’s proposed SolarTogether Rider tariff give any undue or unreasonable preference or advantage to any person or locality or subject the same to any undue or unreasonable prejudice or disadvantage in any respect, contrary to Section 366.03, Florida Statutes?</w:t>
      </w:r>
    </w:p>
    <w:p w:rsidR="005659CD" w:rsidRPr="004C3641" w:rsidRDefault="005659CD" w:rsidP="005659CD">
      <w:pPr>
        <w:pStyle w:val="IssueSubsectionHeading"/>
        <w:rPr>
          <w:vanish/>
          <w:specVanish/>
        </w:rPr>
      </w:pPr>
      <w:r w:rsidRPr="004C3641">
        <w:t>Recommendation: </w:t>
      </w:r>
    </w:p>
    <w:p w:rsidR="005659CD" w:rsidRDefault="005659CD" w:rsidP="005659CD">
      <w:pPr>
        <w:pStyle w:val="BodyText"/>
      </w:pPr>
      <w:r>
        <w:t> </w:t>
      </w:r>
      <w:r w:rsidR="000C20DB">
        <w:t xml:space="preserve">Yes. The SolarTogether Rider tariff grants </w:t>
      </w:r>
      <w:r w:rsidR="00304C70">
        <w:t xml:space="preserve">an </w:t>
      </w:r>
      <w:r w:rsidR="000C20DB">
        <w:t xml:space="preserve">undue preference to participants and subjects the general body of ratepayers to </w:t>
      </w:r>
      <w:r w:rsidR="00304C70">
        <w:t xml:space="preserve">an </w:t>
      </w:r>
      <w:r w:rsidR="000C20DB">
        <w:t>undue disadvantage.</w:t>
      </w:r>
      <w:r>
        <w:t xml:space="preserve"> </w:t>
      </w:r>
      <w:r w:rsidR="00C16F82">
        <w:t>(Ballinger, Simmons, Trierweiler)</w:t>
      </w:r>
    </w:p>
    <w:p w:rsidR="005659CD" w:rsidRDefault="005659CD" w:rsidP="005659CD">
      <w:pPr>
        <w:jc w:val="both"/>
        <w:rPr>
          <w:rFonts w:ascii="Arial" w:hAnsi="Arial" w:cs="Arial"/>
          <w:b/>
          <w:bCs/>
        </w:rPr>
      </w:pPr>
      <w:r w:rsidRPr="00A82C4E">
        <w:rPr>
          <w:rFonts w:ascii="Arial" w:hAnsi="Arial" w:cs="Arial"/>
          <w:b/>
          <w:bCs/>
        </w:rPr>
        <w:t>Position of the Parties:</w:t>
      </w:r>
    </w:p>
    <w:p w:rsidR="005659CD" w:rsidRDefault="005659CD" w:rsidP="005659CD">
      <w:pPr>
        <w:ind w:left="1530" w:hanging="1530"/>
        <w:jc w:val="both"/>
        <w:rPr>
          <w:b/>
          <w:bCs/>
        </w:rPr>
      </w:pPr>
    </w:p>
    <w:p w:rsidR="005659CD" w:rsidRPr="00AD36F6" w:rsidRDefault="005659CD" w:rsidP="000265E4">
      <w:pPr>
        <w:ind w:left="1440" w:hanging="1440"/>
        <w:jc w:val="both"/>
        <w:rPr>
          <w:bCs/>
        </w:rPr>
      </w:pPr>
      <w:r>
        <w:rPr>
          <w:b/>
          <w:bCs/>
        </w:rPr>
        <w:t>FPL</w:t>
      </w:r>
      <w:r w:rsidRPr="00701945">
        <w:rPr>
          <w:b/>
          <w:bCs/>
        </w:rPr>
        <w:t>:</w:t>
      </w:r>
      <w:r>
        <w:rPr>
          <w:b/>
          <w:bCs/>
        </w:rPr>
        <w:tab/>
      </w:r>
      <w:r w:rsidR="00E2470F">
        <w:t xml:space="preserve">No. </w:t>
      </w:r>
      <w:r w:rsidRPr="00122EC4">
        <w:t xml:space="preserve">Undue preferences are avoided by designing rates to recover costs allocated based on </w:t>
      </w:r>
      <w:r>
        <w:t xml:space="preserve">customer </w:t>
      </w:r>
      <w:r w:rsidR="00E2470F">
        <w:t xml:space="preserve">cost responsibility. </w:t>
      </w:r>
      <w:r w:rsidRPr="00122EC4">
        <w:t>The standard is that no customer be harmed by rat</w:t>
      </w:r>
      <w:r w:rsidR="00E2470F">
        <w:t xml:space="preserve">es charged to other customers. </w:t>
      </w:r>
      <w:r>
        <w:t>Under</w:t>
      </w:r>
      <w:r w:rsidRPr="00122EC4">
        <w:t xml:space="preserve"> SolarTogether, </w:t>
      </w:r>
      <w:r>
        <w:t>t</w:t>
      </w:r>
      <w:r w:rsidRPr="00122EC4">
        <w:t xml:space="preserve">he general body of customers will pay none of </w:t>
      </w:r>
      <w:r>
        <w:t>that</w:t>
      </w:r>
      <w:r w:rsidRPr="00122EC4">
        <w:t xml:space="preserve"> </w:t>
      </w:r>
      <w:r>
        <w:t xml:space="preserve">cost while receiving 45% </w:t>
      </w:r>
      <w:r w:rsidRPr="00122EC4">
        <w:t>of the savings.</w:t>
      </w:r>
    </w:p>
    <w:p w:rsidR="005659CD" w:rsidRPr="00D61D5A" w:rsidRDefault="005659CD" w:rsidP="005659CD">
      <w:pPr>
        <w:ind w:left="1530" w:hanging="1530"/>
        <w:jc w:val="both"/>
        <w:rPr>
          <w:bCs/>
        </w:rPr>
      </w:pPr>
    </w:p>
    <w:p w:rsidR="005659CD" w:rsidRDefault="005659CD" w:rsidP="00C24D95">
      <w:pPr>
        <w:ind w:left="1440" w:hanging="1440"/>
        <w:jc w:val="both"/>
      </w:pPr>
      <w:r>
        <w:rPr>
          <w:b/>
          <w:bCs/>
        </w:rPr>
        <w:t>OPC:</w:t>
      </w:r>
      <w:r>
        <w:tab/>
        <w:t>Yes.</w:t>
      </w:r>
    </w:p>
    <w:p w:rsidR="005659CD" w:rsidRDefault="005659CD" w:rsidP="005659CD">
      <w:pPr>
        <w:ind w:left="1530" w:hanging="1530"/>
        <w:jc w:val="both"/>
      </w:pPr>
    </w:p>
    <w:p w:rsidR="005659CD" w:rsidRPr="00AD36F6" w:rsidRDefault="005659CD" w:rsidP="00C24D95">
      <w:pPr>
        <w:ind w:left="1440" w:hanging="1440"/>
        <w:jc w:val="both"/>
      </w:pPr>
      <w:r w:rsidRPr="00AD36F6">
        <w:rPr>
          <w:b/>
        </w:rPr>
        <w:t>FIPUG:</w:t>
      </w:r>
      <w:r w:rsidRPr="00AD36F6">
        <w:rPr>
          <w:b/>
        </w:rPr>
        <w:tab/>
      </w:r>
      <w:r w:rsidR="00D60A89">
        <w:t>FIPUG did not file a brief.</w:t>
      </w:r>
    </w:p>
    <w:p w:rsidR="005659CD" w:rsidRDefault="005659CD" w:rsidP="005659CD">
      <w:pPr>
        <w:ind w:left="1530" w:hanging="1530"/>
        <w:jc w:val="both"/>
        <w:rPr>
          <w:b/>
        </w:rPr>
      </w:pPr>
    </w:p>
    <w:p w:rsidR="005659CD" w:rsidRPr="00EE45B5" w:rsidRDefault="005659CD" w:rsidP="005659CD">
      <w:pPr>
        <w:ind w:left="1440" w:hanging="1440"/>
        <w:jc w:val="both"/>
      </w:pPr>
      <w:r>
        <w:rPr>
          <w:b/>
        </w:rPr>
        <w:t>SACE:</w:t>
      </w:r>
      <w:r>
        <w:rPr>
          <w:b/>
        </w:rPr>
        <w:tab/>
      </w:r>
      <w:r w:rsidRPr="00EE45B5">
        <w:rPr>
          <w:rFonts w:eastAsiaTheme="minorHAnsi"/>
          <w:color w:val="000000"/>
        </w:rPr>
        <w:t xml:space="preserve">No. The Settlement Agreement filed in this docket on </w:t>
      </w:r>
      <w:r w:rsidRPr="00EE45B5">
        <w:t>October 9, 2019 between FPL, SACE, Vote Solar, and Walmart fully resolves all matters between the referenced parties and provides numerous benefits to both participants and the general body of customers, and is therefore in the public interest. S</w:t>
      </w:r>
      <w:r w:rsidRPr="00EE45B5">
        <w:rPr>
          <w:bCs/>
        </w:rPr>
        <w:t>ee Issue 4</w:t>
      </w:r>
    </w:p>
    <w:p w:rsidR="005659CD" w:rsidRPr="00EE45B5" w:rsidRDefault="005659CD" w:rsidP="005659CD">
      <w:pPr>
        <w:jc w:val="both"/>
      </w:pPr>
    </w:p>
    <w:p w:rsidR="005659CD" w:rsidRDefault="005659CD" w:rsidP="005659CD">
      <w:pPr>
        <w:ind w:left="1440" w:hanging="1440"/>
        <w:jc w:val="both"/>
        <w:rPr>
          <w:b/>
          <w:bCs/>
        </w:rPr>
      </w:pPr>
      <w:r>
        <w:rPr>
          <w:b/>
          <w:bCs/>
        </w:rPr>
        <w:t>VOTE</w:t>
      </w:r>
    </w:p>
    <w:p w:rsidR="005659CD" w:rsidRDefault="005659CD" w:rsidP="005659CD">
      <w:pPr>
        <w:ind w:left="1440" w:hanging="1440"/>
        <w:jc w:val="both"/>
        <w:rPr>
          <w:bCs/>
        </w:rPr>
      </w:pPr>
      <w:r>
        <w:rPr>
          <w:b/>
          <w:bCs/>
        </w:rPr>
        <w:t>SOLAR:</w:t>
      </w:r>
      <w:r>
        <w:rPr>
          <w:b/>
          <w:bCs/>
        </w:rPr>
        <w:tab/>
      </w:r>
      <w:r>
        <w:t xml:space="preserve">No. As amended, the SolarTogether tariff strikes a fair and reasonable balance in the allocation of the </w:t>
      </w:r>
      <w:r w:rsidR="001E1EF8">
        <w:t>Program</w:t>
      </w:r>
      <w:r>
        <w:t>’s costs and benefits between the general body of customers, non-subscribing customers, and subscribing customers (those who are low-income and non-low-income), in consideration of the unique contributions, needs and interests of each.</w:t>
      </w:r>
    </w:p>
    <w:p w:rsidR="005659CD" w:rsidRDefault="005659CD" w:rsidP="005659CD">
      <w:pPr>
        <w:ind w:left="1530" w:hanging="1530"/>
        <w:jc w:val="both"/>
        <w:rPr>
          <w:bCs/>
        </w:rPr>
      </w:pPr>
    </w:p>
    <w:p w:rsidR="005659CD" w:rsidRDefault="005659CD" w:rsidP="00C24D95">
      <w:pPr>
        <w:ind w:left="1440" w:hanging="1440"/>
        <w:jc w:val="both"/>
        <w:rPr>
          <w:bCs/>
        </w:rPr>
      </w:pPr>
      <w:r>
        <w:rPr>
          <w:b/>
          <w:bCs/>
        </w:rPr>
        <w:t>WALMART:</w:t>
      </w:r>
      <w:r>
        <w:rPr>
          <w:bCs/>
        </w:rPr>
        <w:tab/>
        <w:t>No.</w:t>
      </w:r>
    </w:p>
    <w:p w:rsidR="005659CD" w:rsidRDefault="005659CD" w:rsidP="005659CD">
      <w:pPr>
        <w:ind w:left="1530" w:hanging="1530"/>
        <w:jc w:val="both"/>
        <w:rPr>
          <w:bCs/>
        </w:rPr>
      </w:pPr>
    </w:p>
    <w:p w:rsidR="005659CD" w:rsidRPr="00F00B1E" w:rsidRDefault="005659CD" w:rsidP="005659CD">
      <w:pPr>
        <w:ind w:left="1530" w:hanging="1530"/>
        <w:jc w:val="both"/>
        <w:rPr>
          <w:bCs/>
        </w:rPr>
      </w:pPr>
    </w:p>
    <w:p w:rsidR="005659CD" w:rsidRDefault="005659CD" w:rsidP="005659CD">
      <w:pPr>
        <w:pStyle w:val="IssueHeading"/>
        <w:spacing w:after="0"/>
        <w:jc w:val="center"/>
        <w:rPr>
          <w:i w:val="0"/>
          <w:szCs w:val="24"/>
        </w:rPr>
      </w:pPr>
      <w:r w:rsidRPr="00F00B1E">
        <w:rPr>
          <w:i w:val="0"/>
          <w:szCs w:val="24"/>
        </w:rPr>
        <w:t>Parties’ Arguments</w:t>
      </w:r>
    </w:p>
    <w:p w:rsidR="005659CD" w:rsidRPr="00766F3F" w:rsidRDefault="005659CD" w:rsidP="005659CD">
      <w:pPr>
        <w:jc w:val="both"/>
        <w:rPr>
          <w:rFonts w:ascii="Arial" w:hAnsi="Arial" w:cs="Arial"/>
          <w:b/>
        </w:rPr>
      </w:pPr>
      <w:r w:rsidRPr="00766F3F">
        <w:rPr>
          <w:rFonts w:ascii="Arial" w:hAnsi="Arial" w:cs="Arial"/>
          <w:b/>
        </w:rPr>
        <w:t>FPL</w:t>
      </w:r>
    </w:p>
    <w:p w:rsidR="005659CD" w:rsidRPr="00075B70" w:rsidRDefault="005659CD" w:rsidP="005659CD">
      <w:pPr>
        <w:jc w:val="both"/>
      </w:pPr>
      <w:r w:rsidRPr="00075B70">
        <w:t>FPL argues that undue preferences or subsidizations are avoided by designing rates to recover costs allocated to customers based on their cost responsibility. (</w:t>
      </w:r>
      <w:r>
        <w:t xml:space="preserve">FPL </w:t>
      </w:r>
      <w:r w:rsidRPr="00075B70">
        <w:t>BR 19</w:t>
      </w:r>
      <w:r>
        <w:t>, 38</w:t>
      </w:r>
      <w:r w:rsidR="00CF030E">
        <w:t>) FPL</w:t>
      </w:r>
      <w:r w:rsidRPr="00075B70">
        <w:t xml:space="preserve"> contend</w:t>
      </w:r>
      <w:r w:rsidR="00CF030E">
        <w:t>s</w:t>
      </w:r>
      <w:r w:rsidRPr="00075B70">
        <w:t xml:space="preserve"> the standard is that no customer or group of customers be harmed by the rates charged to or offerings made to other customers. (</w:t>
      </w:r>
      <w:r w:rsidR="004230E1">
        <w:t xml:space="preserve">FPL </w:t>
      </w:r>
      <w:r w:rsidRPr="00075B70">
        <w:t>BR 19</w:t>
      </w:r>
      <w:r>
        <w:t xml:space="preserve">, </w:t>
      </w:r>
      <w:r w:rsidR="00CF030E">
        <w:t>38</w:t>
      </w:r>
      <w:r w:rsidR="004E6329">
        <w:t>) Moreover, FPL</w:t>
      </w:r>
      <w:r w:rsidRPr="00075B70">
        <w:t xml:space="preserve"> state</w:t>
      </w:r>
      <w:r w:rsidR="004E6329">
        <w:t>s</w:t>
      </w:r>
      <w:r w:rsidRPr="00075B70">
        <w:t xml:space="preserve"> that, not only is there no harm, there are substantial benefits for all customers.</w:t>
      </w:r>
      <w:r w:rsidR="004E6329">
        <w:t xml:space="preserve"> (FPL BR 38) </w:t>
      </w:r>
      <w:r w:rsidR="001D5DDA">
        <w:t>Specifically, FPL</w:t>
      </w:r>
      <w:r>
        <w:t xml:space="preserve"> argue</w:t>
      </w:r>
      <w:r w:rsidR="001D5DDA">
        <w:t>s</w:t>
      </w:r>
      <w:r>
        <w:t xml:space="preserve"> t</w:t>
      </w:r>
      <w:r w:rsidRPr="00075B70">
        <w:t>he Program is structured so that the participants ar</w:t>
      </w:r>
      <w:r w:rsidR="00105CAA">
        <w:t>e paying slightly more than 100 percent</w:t>
      </w:r>
      <w:r w:rsidRPr="00075B70">
        <w:t xml:space="preserve"> of the net fixed costs while receiving just over half of the benefits. </w:t>
      </w:r>
      <w:r>
        <w:t>(FPL BR 7)</w:t>
      </w:r>
      <w:r w:rsidRPr="00075B70">
        <w:t xml:space="preserve"> Conversel</w:t>
      </w:r>
      <w:r w:rsidR="00F54699">
        <w:t>y, the general body of ratepayers</w:t>
      </w:r>
      <w:r w:rsidRPr="00075B70">
        <w:t xml:space="preserve"> will not pay for any of the fixed cost of the solar centers, but is projected to receive almost half </w:t>
      </w:r>
      <w:r>
        <w:t xml:space="preserve">(45 percent) </w:t>
      </w:r>
      <w:r w:rsidRPr="00075B70">
        <w:t>of the benefits. (</w:t>
      </w:r>
      <w:r w:rsidR="004230E1">
        <w:t xml:space="preserve">FPL </w:t>
      </w:r>
      <w:r w:rsidRPr="00075B70">
        <w:t>BR 7-8</w:t>
      </w:r>
      <w:r>
        <w:t>, 38</w:t>
      </w:r>
      <w:r w:rsidRPr="00075B70">
        <w:t xml:space="preserve">) FPL further argues that unlike </w:t>
      </w:r>
      <w:r w:rsidRPr="00075B70">
        <w:lastRenderedPageBreak/>
        <w:t>other community solar programs in the cou</w:t>
      </w:r>
      <w:r w:rsidR="00F41595">
        <w:t>ntry, SolarTogether shares the p</w:t>
      </w:r>
      <w:r w:rsidRPr="00075B70">
        <w:t>rogram benefits with the general body of</w:t>
      </w:r>
      <w:r w:rsidR="00F54699">
        <w:t xml:space="preserve"> ratepayers</w:t>
      </w:r>
      <w:r w:rsidRPr="00075B70">
        <w:t>. (</w:t>
      </w:r>
      <w:r w:rsidR="004230E1">
        <w:t xml:space="preserve">FPL </w:t>
      </w:r>
      <w:r w:rsidRPr="00075B70">
        <w:t xml:space="preserve">BR 9) </w:t>
      </w:r>
    </w:p>
    <w:p w:rsidR="005659CD" w:rsidRDefault="005659CD" w:rsidP="005659CD">
      <w:pPr>
        <w:jc w:val="both"/>
      </w:pPr>
    </w:p>
    <w:p w:rsidR="005659CD" w:rsidRDefault="005659CD" w:rsidP="005659CD">
      <w:pPr>
        <w:jc w:val="both"/>
      </w:pPr>
      <w:r>
        <w:t>FPL states that t</w:t>
      </w:r>
      <w:r w:rsidRPr="00075B70">
        <w:t xml:space="preserve">he rate impact </w:t>
      </w:r>
      <w:r w:rsidR="00F54699">
        <w:t>on the general body of ratepayers</w:t>
      </w:r>
      <w:r w:rsidRPr="00075B70">
        <w:t xml:space="preserve"> resulting from SolarTogether in the near-term is modest, short-lived and compares favorably against placing the 20 solar facilities in service without the SolarTogether Tar</w:t>
      </w:r>
      <w:r w:rsidRPr="00AB0CB4">
        <w:t xml:space="preserve">iff. </w:t>
      </w:r>
      <w:r w:rsidR="00C30554" w:rsidRPr="00AB0CB4">
        <w:t>(FPL BR 34)</w:t>
      </w:r>
      <w:r w:rsidR="00027BA9">
        <w:t xml:space="preserve"> It</w:t>
      </w:r>
      <w:r>
        <w:t xml:space="preserve"> note</w:t>
      </w:r>
      <w:r w:rsidR="00027BA9">
        <w:t>s</w:t>
      </w:r>
      <w:r>
        <w:t xml:space="preserve"> that t</w:t>
      </w:r>
      <w:r w:rsidR="00C24D95">
        <w:t>he base portion of the bill would</w:t>
      </w:r>
      <w:r w:rsidRPr="00075B70">
        <w:t xml:space="preserve"> not change f</w:t>
      </w:r>
      <w:r w:rsidR="00F54699">
        <w:t>or the general body of ratepayers</w:t>
      </w:r>
      <w:r w:rsidRPr="00075B70">
        <w:t xml:space="preserve"> through at least 2021</w:t>
      </w:r>
      <w:r>
        <w:t xml:space="preserve"> and in</w:t>
      </w:r>
      <w:r w:rsidRPr="00075B70">
        <w:t xml:space="preserve"> the years 2020 and 2021, the fuel portion of the bill is projected to increase roughly 13 cents and 47 cents, respectively. (</w:t>
      </w:r>
      <w:r w:rsidR="004230E1">
        <w:t xml:space="preserve">FPL </w:t>
      </w:r>
      <w:r w:rsidRPr="00075B70">
        <w:t xml:space="preserve">BR 20-21) </w:t>
      </w:r>
      <w:r>
        <w:t xml:space="preserve">FPL disagrees with </w:t>
      </w:r>
      <w:r w:rsidRPr="00075B70">
        <w:t>OPC’s claim that the Program is discriminatory, involuntary and subsidized</w:t>
      </w:r>
      <w:r>
        <w:t>.</w:t>
      </w:r>
      <w:r w:rsidRPr="00075B70">
        <w:t xml:space="preserve"> FPL </w:t>
      </w:r>
      <w:r>
        <w:t>explains</w:t>
      </w:r>
      <w:r w:rsidRPr="00075B70">
        <w:t xml:space="preserve"> that the SolarTogether Program is projected to be cost-effective at a reasonable cost and provide net benefits in the form of cost savings f</w:t>
      </w:r>
      <w:r w:rsidR="00F54699">
        <w:t>or the general body of ratepayers</w:t>
      </w:r>
      <w:r w:rsidRPr="00075B70">
        <w:t>, including participants and non-participants, i.e., all FPL customers. (</w:t>
      </w:r>
      <w:r>
        <w:t xml:space="preserve">FPL </w:t>
      </w:r>
      <w:r w:rsidRPr="00075B70">
        <w:t>BR 30</w:t>
      </w:r>
      <w:r>
        <w:t>)</w:t>
      </w:r>
    </w:p>
    <w:p w:rsidR="005659CD" w:rsidRDefault="005659CD" w:rsidP="005659CD">
      <w:pPr>
        <w:jc w:val="both"/>
      </w:pPr>
    </w:p>
    <w:p w:rsidR="005659CD" w:rsidRPr="00075B70" w:rsidRDefault="005659CD" w:rsidP="005659CD">
      <w:pPr>
        <w:jc w:val="both"/>
      </w:pPr>
      <w:r>
        <w:t>FPL asserts that</w:t>
      </w:r>
      <w:r w:rsidRPr="00075B70">
        <w:t xml:space="preserve"> customers wishing to receive more solar generation by participating in the SolarTogether Program are not “cost causers” as that term is traditionally used. Rather, the participants are better described as “benefit facilitators” who will share an estimated $112 million wi</w:t>
      </w:r>
      <w:r w:rsidR="00347041">
        <w:t>th the general body of ratepayers</w:t>
      </w:r>
      <w:r w:rsidRPr="00075B70">
        <w:t xml:space="preserve">, roughly half of which is in the form of base rate savings not subject to the volatility associated with fuel and emissions prices. </w:t>
      </w:r>
      <w:r>
        <w:t>(FPL BR 31-32)</w:t>
      </w:r>
      <w:r w:rsidRPr="00075B70">
        <w:t xml:space="preserve"> </w:t>
      </w:r>
      <w:r>
        <w:t>As such, FPL explains that</w:t>
      </w:r>
      <w:r w:rsidR="00347041">
        <w:t xml:space="preserve"> the general body of ratepayers</w:t>
      </w:r>
      <w:r w:rsidRPr="00075B70">
        <w:t xml:space="preserve"> is not harmed, which is generally understood to be required before there is a finding of undue discrimination or preference. (</w:t>
      </w:r>
      <w:r w:rsidR="004230E1">
        <w:t xml:space="preserve">FPL </w:t>
      </w:r>
      <w:r w:rsidRPr="00075B70">
        <w:t>BR 32)</w:t>
      </w:r>
      <w:r>
        <w:t xml:space="preserve"> Last, FPL clarifies that</w:t>
      </w:r>
      <w:r w:rsidR="00D165B5">
        <w:t xml:space="preserve"> the cost of the low-</w:t>
      </w:r>
      <w:r w:rsidRPr="00075B70">
        <w:t xml:space="preserve">income component </w:t>
      </w:r>
      <w:r w:rsidR="00207FAF">
        <w:t>will be borne solely by the non-</w:t>
      </w:r>
      <w:r w:rsidRPr="00075B70">
        <w:t>low-income participants. (FPL BR 38)</w:t>
      </w:r>
    </w:p>
    <w:p w:rsidR="005659CD" w:rsidRDefault="005659CD" w:rsidP="005659CD">
      <w:pPr>
        <w:jc w:val="both"/>
      </w:pPr>
    </w:p>
    <w:p w:rsidR="005659CD" w:rsidRPr="00766F3F" w:rsidRDefault="005659CD" w:rsidP="005659CD">
      <w:pPr>
        <w:jc w:val="both"/>
        <w:rPr>
          <w:rFonts w:ascii="Arial" w:hAnsi="Arial" w:cs="Arial"/>
          <w:b/>
        </w:rPr>
      </w:pPr>
      <w:r w:rsidRPr="00766F3F">
        <w:rPr>
          <w:rFonts w:ascii="Arial" w:hAnsi="Arial" w:cs="Arial"/>
          <w:b/>
        </w:rPr>
        <w:t>OPC</w:t>
      </w:r>
    </w:p>
    <w:p w:rsidR="005659CD" w:rsidRDefault="005659CD" w:rsidP="005659CD">
      <w:pPr>
        <w:jc w:val="both"/>
      </w:pPr>
      <w:r>
        <w:t xml:space="preserve">OPC argues that </w:t>
      </w:r>
      <w:r w:rsidRPr="00955DD1">
        <w:t>one group of customers</w:t>
      </w:r>
      <w:r>
        <w:t xml:space="preserve"> (non-participants)</w:t>
      </w:r>
      <w:r w:rsidRPr="00955DD1">
        <w:t xml:space="preserve"> are subjected to unreasonably different levels of costs, risks, projected savings amounts, and projected savings timeframes. </w:t>
      </w:r>
      <w:r w:rsidR="00027BA9">
        <w:t>It</w:t>
      </w:r>
      <w:r>
        <w:t xml:space="preserve"> assert</w:t>
      </w:r>
      <w:r w:rsidR="00027BA9">
        <w:t>s</w:t>
      </w:r>
      <w:r>
        <w:t xml:space="preserve"> that </w:t>
      </w:r>
      <w:r w:rsidRPr="00955DD1">
        <w:t>FPL glosses over the fact that non-participants are treated in distinctly different, prejudicial ways by relying on generalities which focus heavily on projections based toward the end of the 30</w:t>
      </w:r>
      <w:r w:rsidR="000D3355">
        <w:t xml:space="preserve"> </w:t>
      </w:r>
      <w:r w:rsidRPr="00955DD1">
        <w:t xml:space="preserve">year life of the </w:t>
      </w:r>
      <w:r w:rsidR="001E1EF8">
        <w:t>Program</w:t>
      </w:r>
      <w:r w:rsidRPr="00955DD1">
        <w:t>, wh</w:t>
      </w:r>
      <w:r>
        <w:t>ile</w:t>
      </w:r>
      <w:r w:rsidRPr="00955DD1">
        <w:t xml:space="preserve"> impacts during the early years are more certain than the benefit projections (or guesses) made for later years, i.e., the 26</w:t>
      </w:r>
      <w:r w:rsidR="000D3355">
        <w:t xml:space="preserve"> </w:t>
      </w:r>
      <w:r w:rsidRPr="00955DD1">
        <w:t>year range.</w:t>
      </w:r>
      <w:r>
        <w:t xml:space="preserve"> (OPC BR 7)</w:t>
      </w:r>
    </w:p>
    <w:p w:rsidR="005659CD" w:rsidRDefault="005659CD" w:rsidP="005659CD">
      <w:pPr>
        <w:jc w:val="both"/>
      </w:pPr>
    </w:p>
    <w:p w:rsidR="005659CD" w:rsidRPr="00955DD1" w:rsidRDefault="005659CD" w:rsidP="005659CD">
      <w:pPr>
        <w:jc w:val="both"/>
      </w:pPr>
      <w:r>
        <w:t>OPC contends that f</w:t>
      </w:r>
      <w:r w:rsidRPr="00955DD1">
        <w:t>rom day one, participants are guaranteed to receive a set of bill credits and bill surcharges that are pre</w:t>
      </w:r>
      <w:r w:rsidR="000D3355">
        <w:t xml:space="preserve">-scheduled in amount for the 30 </w:t>
      </w:r>
      <w:r w:rsidRPr="00955DD1">
        <w:t xml:space="preserve">year life of the </w:t>
      </w:r>
      <w:r w:rsidR="001E1EF8">
        <w:t>Program</w:t>
      </w:r>
      <w:r>
        <w:t xml:space="preserve"> with </w:t>
      </w:r>
      <w:r w:rsidRPr="00955DD1">
        <w:t xml:space="preserve">bill credits </w:t>
      </w:r>
      <w:r>
        <w:t>e</w:t>
      </w:r>
      <w:r w:rsidRPr="00955DD1">
        <w:t>xceed</w:t>
      </w:r>
      <w:r>
        <w:t>ing</w:t>
      </w:r>
      <w:r w:rsidRPr="00955DD1">
        <w:t xml:space="preserve"> the pre-scheduled bill surcharges, such that participants would receive a n</w:t>
      </w:r>
      <w:r w:rsidR="00EE015F">
        <w:t>et benefit or “payback” within eight</w:t>
      </w:r>
      <w:r w:rsidR="000D3355">
        <w:t xml:space="preserve"> </w:t>
      </w:r>
      <w:r w:rsidRPr="00955DD1">
        <w:t>years</w:t>
      </w:r>
      <w:r>
        <w:t xml:space="preserve">. (OPC BR 7) </w:t>
      </w:r>
      <w:r w:rsidR="008216CD">
        <w:t xml:space="preserve">Non-participants </w:t>
      </w:r>
      <w:r w:rsidRPr="00955DD1">
        <w:t>would</w:t>
      </w:r>
      <w:r w:rsidR="008216CD">
        <w:t xml:space="preserve"> see an immediate bill increase</w:t>
      </w:r>
      <w:r w:rsidRPr="00955DD1">
        <w:t xml:space="preserve"> as a direct result of participants’ bill credits being recovered fro</w:t>
      </w:r>
      <w:r w:rsidR="00CF7DC8">
        <w:t>m non-participants through the fuel c</w:t>
      </w:r>
      <w:r w:rsidRPr="00955DD1">
        <w:t xml:space="preserve">lause. </w:t>
      </w:r>
      <w:r>
        <w:t xml:space="preserve">Moreover, </w:t>
      </w:r>
      <w:r w:rsidR="00953F2E">
        <w:t xml:space="preserve">argues OPC, </w:t>
      </w:r>
      <w:r>
        <w:t>n</w:t>
      </w:r>
      <w:r w:rsidRPr="00955DD1">
        <w:t>on-participants are only projected to see some sort of payback or net savings 26 years after SolarTogether goes into service, if ever.</w:t>
      </w:r>
      <w:r>
        <w:t xml:space="preserve"> </w:t>
      </w:r>
      <w:r w:rsidRPr="00955DD1">
        <w:t>Therefore, non</w:t>
      </w:r>
      <w:r w:rsidR="00874385">
        <w:t>-</w:t>
      </w:r>
      <w:r w:rsidRPr="00955DD1">
        <w:t>participants might get a net benefit sometime at the end of the 30</w:t>
      </w:r>
      <w:r w:rsidR="000D3355">
        <w:t xml:space="preserve"> </w:t>
      </w:r>
      <w:r w:rsidRPr="00955DD1">
        <w:t>year life of the project, or they mig</w:t>
      </w:r>
      <w:r w:rsidR="00953F2E">
        <w:t>ht actually receive a net loss.</w:t>
      </w:r>
      <w:r w:rsidRPr="00955DD1">
        <w:t xml:space="preserve"> Participants are essentially guaranteed their payback. (</w:t>
      </w:r>
      <w:r>
        <w:t xml:space="preserve">OPC BR 7-9) </w:t>
      </w:r>
      <w:r w:rsidRPr="00955DD1">
        <w:t>In essence, FPL is asking non-participants to commit to carrying the costs of a $1.8 billion project for the next 30</w:t>
      </w:r>
      <w:r w:rsidR="000D3355">
        <w:t xml:space="preserve"> </w:t>
      </w:r>
      <w:r w:rsidRPr="00955DD1">
        <w:t>years in the hopes of “possibly” receiving a net benefit of $112 million some 26</w:t>
      </w:r>
      <w:r w:rsidR="000D3355">
        <w:t xml:space="preserve"> </w:t>
      </w:r>
      <w:r w:rsidRPr="00955DD1">
        <w:t>years in the future.</w:t>
      </w:r>
      <w:r w:rsidRPr="00AB0CB4">
        <w:t xml:space="preserve"> </w:t>
      </w:r>
      <w:r>
        <w:t>OPC asserts t</w:t>
      </w:r>
      <w:r w:rsidRPr="00955DD1">
        <w:t>he question to ask is whether a reasonable person would make that investment.</w:t>
      </w:r>
      <w:r w:rsidR="00F41595">
        <w:t xml:space="preserve"> </w:t>
      </w:r>
      <w:r w:rsidR="00F41595" w:rsidRPr="00AB0CB4">
        <w:t>(OPC BR 8)</w:t>
      </w:r>
    </w:p>
    <w:p w:rsidR="005659CD" w:rsidRPr="00955DD1" w:rsidRDefault="005659CD" w:rsidP="005659CD">
      <w:pPr>
        <w:jc w:val="both"/>
      </w:pPr>
    </w:p>
    <w:p w:rsidR="005659CD" w:rsidRPr="00955DD1" w:rsidRDefault="005659CD" w:rsidP="005659CD">
      <w:pPr>
        <w:jc w:val="both"/>
      </w:pPr>
      <w:r>
        <w:lastRenderedPageBreak/>
        <w:t xml:space="preserve">OPC explains that </w:t>
      </w:r>
      <w:r w:rsidRPr="00955DD1">
        <w:t xml:space="preserve">Florida law requires that rates and charges demanded by public utilities must be “fair.” The law further prohibits public utilities from giving “any undue or unreasonable preference or advantage to any person or locality,” or subjecting them to “any undue or unreasonable prejudice or disadvantage in any respect.” </w:t>
      </w:r>
      <w:r>
        <w:t xml:space="preserve">OPC contends that </w:t>
      </w:r>
      <w:r w:rsidR="00791D2B" w:rsidRPr="00AF651C">
        <w:t>due to</w:t>
      </w:r>
      <w:r w:rsidR="00791D2B">
        <w:t xml:space="preserve"> </w:t>
      </w:r>
      <w:r w:rsidRPr="00955DD1">
        <w:t xml:space="preserve">the disparate and speculative charges and </w:t>
      </w:r>
      <w:r w:rsidR="003749B7" w:rsidRPr="00955DD1">
        <w:t>terms,</w:t>
      </w:r>
      <w:r w:rsidRPr="00955DD1">
        <w:t xml:space="preserve"> to which non-participant customers would be subjected, the SolarTogether </w:t>
      </w:r>
      <w:r w:rsidR="001E1EF8">
        <w:t>Program</w:t>
      </w:r>
      <w:r w:rsidRPr="00955DD1">
        <w:t xml:space="preserve"> fails to comply with the law which prohibits unreasonable preferences or disadvantages for any customer as compared to another.</w:t>
      </w:r>
      <w:r>
        <w:t xml:space="preserve"> (OPC BR 8)</w:t>
      </w:r>
    </w:p>
    <w:p w:rsidR="005659CD" w:rsidRPr="00955DD1" w:rsidRDefault="005659CD" w:rsidP="005659CD">
      <w:pPr>
        <w:jc w:val="both"/>
      </w:pPr>
    </w:p>
    <w:p w:rsidR="005659CD" w:rsidRDefault="005659CD" w:rsidP="005659CD">
      <w:pPr>
        <w:jc w:val="both"/>
      </w:pPr>
      <w:r>
        <w:t xml:space="preserve">OPC next explains that </w:t>
      </w:r>
      <w:r w:rsidRPr="00955DD1">
        <w:t>the general body includes both participants and non-participants, so discussing the two groups together only masks the unlawful preference, prevents meaningful comparison of the two groups, and fails to address the critical point: that the level of risk is vastly dissimilar for each group. Participants are not the ones who bear the bulk of the risk, and in fact, they bear essentially no risk, while non-participants bear the bulk of the risk.</w:t>
      </w:r>
      <w:r>
        <w:t xml:space="preserve"> (OPC BR 9-10) OPC argues that FPL’s claims that participants pay </w:t>
      </w:r>
      <w:r w:rsidR="00B47A15">
        <w:t xml:space="preserve">more than </w:t>
      </w:r>
      <w:r>
        <w:t xml:space="preserve">100 percent of </w:t>
      </w:r>
      <w:r w:rsidR="00B47A15">
        <w:t xml:space="preserve">the </w:t>
      </w:r>
      <w:r w:rsidR="001E1EF8">
        <w:t>Program</w:t>
      </w:r>
      <w:r w:rsidR="00B47A15">
        <w:t xml:space="preserve">’s </w:t>
      </w:r>
      <w:r w:rsidR="00B913E7" w:rsidRPr="006E1683">
        <w:t>construction</w:t>
      </w:r>
      <w:r w:rsidR="00B913E7">
        <w:t xml:space="preserve"> </w:t>
      </w:r>
      <w:r>
        <w:t>costs, or that non-participants pay none of the costs, are misleading. OPC argues that FPL is seeking recovery of the entire cost of the Program, which is forecasted to be $1.8 billion</w:t>
      </w:r>
      <w:r w:rsidR="00F66F65">
        <w:t>.</w:t>
      </w:r>
      <w:r>
        <w:t xml:space="preserve"> In contrast, OPC notes that participants will only contribute $1.3 billion, a $0.5 billion shortfall that would have to be made up for by the general body of ratepayers, 97 percent of whom would be non-participants. (OPC BR 10-11) OPC argues that even FPL con</w:t>
      </w:r>
      <w:r w:rsidR="009F0217">
        <w:t>cedes that non-participants would</w:t>
      </w:r>
      <w:r>
        <w:t xml:space="preserve"> pay for the Program, but that the </w:t>
      </w:r>
      <w:r w:rsidR="00BF2BC2">
        <w:t>Utility</w:t>
      </w:r>
      <w:r>
        <w:t xml:space="preserve"> downplays the amount by describing it as “minor.” (OPC BR 10) OPC asserts that should actual costs of the Program be higher, or avoided benefits be lower, the general body of ratepayers would be required to make up the difference. (OPC BR 11) OPC argues that </w:t>
      </w:r>
      <w:r w:rsidR="002F5882">
        <w:t>if FPL truly believed in</w:t>
      </w:r>
      <w:r>
        <w:t xml:space="preserve"> its Program and projections that it would collect all costs from its part</w:t>
      </w:r>
      <w:r w:rsidR="00BC438F">
        <w:t xml:space="preserve">icipants, </w:t>
      </w:r>
      <w:r>
        <w:t>and not seek rate base recovery as it does in its petition, which shifts all risks to the general body of ratepayers who are ultimately responsible for the costs of the Program. (OPC BR 11)</w:t>
      </w:r>
    </w:p>
    <w:p w:rsidR="005659CD" w:rsidRPr="00955DD1" w:rsidRDefault="005659CD" w:rsidP="005659CD">
      <w:pPr>
        <w:jc w:val="both"/>
      </w:pPr>
    </w:p>
    <w:p w:rsidR="005659CD" w:rsidRPr="00955DD1" w:rsidRDefault="00953F2E" w:rsidP="005659CD">
      <w:pPr>
        <w:jc w:val="both"/>
      </w:pPr>
      <w:r>
        <w:t>OPC asserts t</w:t>
      </w:r>
      <w:r w:rsidR="005659CD" w:rsidRPr="00955DD1">
        <w:t xml:space="preserve">he “cost causers” or “cost allocation” principle has been recognized by the </w:t>
      </w:r>
      <w:r w:rsidR="00027BA9">
        <w:t>Commission</w:t>
      </w:r>
      <w:r w:rsidR="005659CD" w:rsidRPr="00955DD1">
        <w:t xml:space="preserve">, the Florida Legislature, and the Florida Supreme Court. These principles ensure that entities or customers that demand and benefit from extraordinary costs will bear those costs. The SolarTogether </w:t>
      </w:r>
      <w:r w:rsidR="001E1EF8">
        <w:t>Program</w:t>
      </w:r>
      <w:r w:rsidR="005659CD" w:rsidRPr="00955DD1">
        <w:t xml:space="preserve"> does not contain elements that would justify deviation from this precedent.</w:t>
      </w:r>
      <w:r w:rsidR="005659CD">
        <w:t xml:space="preserve"> (OPC BR 11)</w:t>
      </w:r>
    </w:p>
    <w:p w:rsidR="005659CD" w:rsidRPr="00955DD1" w:rsidRDefault="005659CD" w:rsidP="005659CD">
      <w:pPr>
        <w:jc w:val="both"/>
      </w:pPr>
    </w:p>
    <w:p w:rsidR="005659CD" w:rsidRPr="00955DD1" w:rsidRDefault="005659CD" w:rsidP="005659CD">
      <w:pPr>
        <w:jc w:val="both"/>
      </w:pPr>
      <w:r>
        <w:t>OPC next states that a</w:t>
      </w:r>
      <w:r w:rsidRPr="00955DD1">
        <w:t xml:space="preserve">nother element of disparate treatment built into the SolarTogether </w:t>
      </w:r>
      <w:r w:rsidR="001E1EF8">
        <w:t>Program</w:t>
      </w:r>
      <w:r w:rsidRPr="00955DD1">
        <w:t xml:space="preserve"> </w:t>
      </w:r>
      <w:r w:rsidR="009F0217">
        <w:t xml:space="preserve">is </w:t>
      </w:r>
      <w:proofErr w:type="gramStart"/>
      <w:r w:rsidR="009F0217">
        <w:t>that participants</w:t>
      </w:r>
      <w:proofErr w:type="gramEnd"/>
      <w:r w:rsidR="009F0217">
        <w:t>’ bills would</w:t>
      </w:r>
      <w:r w:rsidRPr="00955DD1">
        <w:t xml:space="preserve"> contain line items to show the charges and corresponding bill credits they re</w:t>
      </w:r>
      <w:r w:rsidR="00AD0B77">
        <w:t xml:space="preserve">ceive pursuant to the </w:t>
      </w:r>
      <w:r w:rsidR="001E1EF8">
        <w:t>Program</w:t>
      </w:r>
      <w:r w:rsidR="00AD0B77">
        <w:t xml:space="preserve">. </w:t>
      </w:r>
      <w:r w:rsidRPr="00955DD1">
        <w:t xml:space="preserve">However, </w:t>
      </w:r>
      <w:r w:rsidR="006376E9">
        <w:t xml:space="preserve">OPC notes </w:t>
      </w:r>
      <w:r w:rsidRPr="00955DD1">
        <w:t>the record does no</w:t>
      </w:r>
      <w:r w:rsidR="00AE3595">
        <w:t>t indicate non-participants would</w:t>
      </w:r>
      <w:r w:rsidRPr="00955DD1">
        <w:t xml:space="preserve"> have the same level of transparency, in terms of a line item to show them how much they are involuntarily contributing to the </w:t>
      </w:r>
      <w:r w:rsidR="001E1EF8">
        <w:t>Program</w:t>
      </w:r>
      <w:r w:rsidRPr="00955DD1">
        <w:t xml:space="preserve"> by funding the net credits</w:t>
      </w:r>
      <w:r>
        <w:rPr>
          <w:rStyle w:val="FootnoteReference"/>
        </w:rPr>
        <w:footnoteReference w:id="5"/>
      </w:r>
      <w:r w:rsidR="00AD0B77">
        <w:t xml:space="preserve"> paid to participants. OPC contends </w:t>
      </w:r>
      <w:r w:rsidRPr="00955DD1">
        <w:t>the</w:t>
      </w:r>
      <w:r w:rsidR="006376E9">
        <w:t xml:space="preserve"> evidence </w:t>
      </w:r>
      <w:r w:rsidR="006376E9" w:rsidRPr="006E1683">
        <w:t>indicates</w:t>
      </w:r>
      <w:r w:rsidR="006376E9">
        <w:t xml:space="preserve"> the</w:t>
      </w:r>
      <w:r w:rsidRPr="00955DD1">
        <w:t xml:space="preserve"> proposed tariff does not require the customers’ bills to explicitly disclose or show the information to non-participants. Rather, the testimony is that the charges to non-participants will be hidden, w</w:t>
      </w:r>
      <w:r w:rsidR="00AD0B77">
        <w:t xml:space="preserve">ithout explanation, inside the fuel charge. </w:t>
      </w:r>
      <w:r w:rsidRPr="00955DD1">
        <w:t>(</w:t>
      </w:r>
      <w:r>
        <w:t>OPC BR 13)</w:t>
      </w:r>
    </w:p>
    <w:p w:rsidR="005659CD" w:rsidRPr="00955DD1" w:rsidRDefault="005659CD" w:rsidP="005659CD">
      <w:pPr>
        <w:jc w:val="both"/>
      </w:pPr>
    </w:p>
    <w:p w:rsidR="005659CD" w:rsidRPr="00955DD1" w:rsidRDefault="005659CD" w:rsidP="005659CD">
      <w:pPr>
        <w:jc w:val="both"/>
      </w:pPr>
      <w:r>
        <w:lastRenderedPageBreak/>
        <w:t xml:space="preserve">Last, OPC contends that </w:t>
      </w:r>
      <w:r w:rsidRPr="00955DD1">
        <w:t xml:space="preserve">FPL reverse-engineered the </w:t>
      </w:r>
      <w:r w:rsidR="001E1EF8">
        <w:t>Program</w:t>
      </w:r>
      <w:r w:rsidRPr="00955DD1">
        <w:t xml:space="preserve"> structure to ensure that pa</w:t>
      </w:r>
      <w:r w:rsidR="00067F70">
        <w:t>rticipating customers obtain a seven</w:t>
      </w:r>
      <w:r w:rsidR="000D3355">
        <w:t xml:space="preserve"> </w:t>
      </w:r>
      <w:r w:rsidRPr="00955DD1">
        <w:t>year simple payback</w:t>
      </w:r>
      <w:r>
        <w:t>; however, a</w:t>
      </w:r>
      <w:r w:rsidR="00067F70">
        <w:t>chieving the seven</w:t>
      </w:r>
      <w:r w:rsidR="000D3355">
        <w:t xml:space="preserve"> </w:t>
      </w:r>
      <w:r w:rsidRPr="00955DD1">
        <w:t>year simple payback for participants comes at th</w:t>
      </w:r>
      <w:r w:rsidR="00D60B67">
        <w:t xml:space="preserve">e expense of non-participants. </w:t>
      </w:r>
      <w:r w:rsidRPr="00955DD1">
        <w:t xml:space="preserve">Therefore, </w:t>
      </w:r>
      <w:r w:rsidR="00D60B67">
        <w:t>argues</w:t>
      </w:r>
      <w:r>
        <w:t xml:space="preserve"> OPC, </w:t>
      </w:r>
      <w:r w:rsidRPr="00955DD1">
        <w:t xml:space="preserve">FPL arbitrarily proposed rates by first deciding the terms of the </w:t>
      </w:r>
      <w:r w:rsidR="001E1EF8">
        <w:t>Program</w:t>
      </w:r>
      <w:r w:rsidRPr="00955DD1">
        <w:t xml:space="preserve"> (costs/credits/payback date) for one set of customers, then adjusting the numbers for non-participants to pay whatever is necessary to keep the participants’ terms at the pre-determined level. </w:t>
      </w:r>
      <w:r>
        <w:t>T</w:t>
      </w:r>
      <w:r w:rsidRPr="00955DD1">
        <w:t xml:space="preserve">he </w:t>
      </w:r>
      <w:r w:rsidR="001E1EF8">
        <w:t>Program</w:t>
      </w:r>
      <w:r w:rsidRPr="00955DD1">
        <w:t xml:space="preserve"> was specifically crafted to unduly benefit one group of customers to the detriment of another, which violates the plain terms of </w:t>
      </w:r>
      <w:r w:rsidR="00007FEE">
        <w:t xml:space="preserve">Section </w:t>
      </w:r>
      <w:r w:rsidRPr="00955DD1">
        <w:t>366.03</w:t>
      </w:r>
      <w:r w:rsidR="004F66E3">
        <w:t>, F.S</w:t>
      </w:r>
      <w:r w:rsidRPr="00955DD1">
        <w:t xml:space="preserve">. </w:t>
      </w:r>
      <w:r>
        <w:t>(OPC BR 13-14)</w:t>
      </w:r>
    </w:p>
    <w:p w:rsidR="005659CD" w:rsidRDefault="005659CD" w:rsidP="005659CD">
      <w:pPr>
        <w:jc w:val="both"/>
        <w:rPr>
          <w:u w:val="single"/>
        </w:rPr>
      </w:pPr>
    </w:p>
    <w:p w:rsidR="005659CD" w:rsidRPr="00766F3F" w:rsidRDefault="005659CD" w:rsidP="005659CD">
      <w:pPr>
        <w:jc w:val="both"/>
        <w:rPr>
          <w:rFonts w:ascii="Arial" w:hAnsi="Arial" w:cs="Arial"/>
          <w:b/>
        </w:rPr>
      </w:pPr>
      <w:r w:rsidRPr="00766F3F">
        <w:rPr>
          <w:rFonts w:ascii="Arial" w:hAnsi="Arial" w:cs="Arial"/>
          <w:b/>
        </w:rPr>
        <w:t>SACE</w:t>
      </w:r>
    </w:p>
    <w:p w:rsidR="005659CD" w:rsidRPr="00AB0CB4" w:rsidRDefault="005659CD" w:rsidP="005659CD">
      <w:pPr>
        <w:jc w:val="both"/>
      </w:pPr>
      <w:r w:rsidRPr="00AB0CB4">
        <w:t xml:space="preserve">SACE did not specifically address the issue </w:t>
      </w:r>
      <w:r w:rsidR="00446D41">
        <w:t>of undue preference in its b</w:t>
      </w:r>
      <w:r w:rsidRPr="00AB0CB4">
        <w:t>rief but rather argues that the Commission should approve the Settlement Agreement filed on October 9, 2019</w:t>
      </w:r>
      <w:r w:rsidR="00FD64D7">
        <w:t>,</w:t>
      </w:r>
      <w:r w:rsidRPr="00AB0CB4">
        <w:t xml:space="preserve"> that resolves all issues between </w:t>
      </w:r>
      <w:r w:rsidR="00585698">
        <w:t xml:space="preserve">FPL, SACE, Vote Solar and Walmart. </w:t>
      </w:r>
      <w:r w:rsidR="00C30554" w:rsidRPr="00AB0CB4">
        <w:t>(</w:t>
      </w:r>
      <w:r w:rsidR="004230E1">
        <w:t xml:space="preserve">SACE </w:t>
      </w:r>
      <w:r w:rsidR="00C30554" w:rsidRPr="00AB0CB4">
        <w:t xml:space="preserve">BR 2) </w:t>
      </w:r>
      <w:r w:rsidRPr="00AB0CB4">
        <w:t>SACE argues that the Commission is afforded great deference to determine that a settlement agreement between parties is in the public interest and that it has been presented with substantial, competent evidence during the hearing upon which to make a public interest determination.</w:t>
      </w:r>
      <w:r w:rsidR="00C30554" w:rsidRPr="00AB0CB4">
        <w:t xml:space="preserve"> (SACE BR 4) </w:t>
      </w:r>
      <w:r w:rsidRPr="00AB0CB4">
        <w:t xml:space="preserve">SACE contends that the SolarTogether </w:t>
      </w:r>
      <w:r w:rsidR="001E1EF8">
        <w:t>Program</w:t>
      </w:r>
      <w:r w:rsidRPr="00AB0CB4">
        <w:t xml:space="preserve"> </w:t>
      </w:r>
      <w:r w:rsidR="00FD64D7">
        <w:t xml:space="preserve">is cost-effective and </w:t>
      </w:r>
      <w:r w:rsidRPr="00AB0CB4">
        <w:t>fairly and reasonably allocates benefits to all customers. As such, SACE requests that the Commission approve the Settlement Agreement in its entirety and notes that the Commission is not precluded by statute or case law from approving nonunanimous settlements.</w:t>
      </w:r>
      <w:r w:rsidR="00C30554" w:rsidRPr="00AB0CB4">
        <w:t xml:space="preserve"> (SACE BR 5)</w:t>
      </w:r>
    </w:p>
    <w:p w:rsidR="005659CD" w:rsidRDefault="005659CD" w:rsidP="005659CD">
      <w:pPr>
        <w:jc w:val="both"/>
      </w:pPr>
    </w:p>
    <w:p w:rsidR="005659CD" w:rsidRPr="00766F3F" w:rsidRDefault="005659CD" w:rsidP="005659CD">
      <w:pPr>
        <w:jc w:val="both"/>
        <w:rPr>
          <w:rFonts w:ascii="Arial" w:hAnsi="Arial" w:cs="Arial"/>
          <w:b/>
        </w:rPr>
      </w:pPr>
      <w:r w:rsidRPr="00766F3F">
        <w:rPr>
          <w:rFonts w:ascii="Arial" w:hAnsi="Arial" w:cs="Arial"/>
          <w:b/>
        </w:rPr>
        <w:t>Vote Solar</w:t>
      </w:r>
    </w:p>
    <w:p w:rsidR="005659CD" w:rsidRDefault="005659CD" w:rsidP="005659CD">
      <w:pPr>
        <w:jc w:val="both"/>
      </w:pPr>
      <w:r>
        <w:t>Vote Solar argues that t</w:t>
      </w:r>
      <w:r w:rsidRPr="001D251C">
        <w:t>he benefits flowing from the new solar resources being added to FPL’s electric grid under the SolarTogether Program will accrue to the general body of ratepayers.</w:t>
      </w:r>
      <w:r w:rsidR="00067F70">
        <w:t xml:space="preserve"> The SolarTogether Program and t</w:t>
      </w:r>
      <w:r w:rsidRPr="001D251C">
        <w:t>ariff, as amended, is designed to allocate 55 percent of the</w:t>
      </w:r>
      <w:r>
        <w:t xml:space="preserve"> </w:t>
      </w:r>
      <w:r w:rsidRPr="001D251C">
        <w:t xml:space="preserve">projected financial benefits specifically to subscribing customers, with the other 45 percent going to all customers. </w:t>
      </w:r>
      <w:r>
        <w:t>(Vote Solar BR 2-3)</w:t>
      </w:r>
      <w:r w:rsidRPr="001D251C">
        <w:t xml:space="preserve"> </w:t>
      </w:r>
      <w:r>
        <w:t>S</w:t>
      </w:r>
      <w:r w:rsidRPr="001D251C">
        <w:t>ubscribe</w:t>
      </w:r>
      <w:r>
        <w:t>rs</w:t>
      </w:r>
      <w:r w:rsidRPr="001D251C">
        <w:t xml:space="preserve"> will cover over 104.5 percent of the Program base revenue re</w:t>
      </w:r>
      <w:r w:rsidR="00991408">
        <w:t>quirements through a levelized subscription r</w:t>
      </w:r>
      <w:r w:rsidRPr="001D251C">
        <w:t>ate.</w:t>
      </w:r>
      <w:r>
        <w:t xml:space="preserve"> </w:t>
      </w:r>
      <w:r w:rsidR="00C71A6E">
        <w:t xml:space="preserve">Vote Solar argues that the SolarTogether Program design is an improvement for the general body of customers over the typical community solar design that would isolate all of the financial benefits to subscribers. </w:t>
      </w:r>
      <w:r>
        <w:t>I</w:t>
      </w:r>
      <w:r w:rsidRPr="001D251C">
        <w:t>n exchange for this long-term benefi</w:t>
      </w:r>
      <w:r w:rsidR="00347041">
        <w:t>t,</w:t>
      </w:r>
      <w:r w:rsidR="00746CD9">
        <w:t xml:space="preserve"> Vote Solar contend</w:t>
      </w:r>
      <w:r w:rsidR="00CC725D">
        <w:t>s</w:t>
      </w:r>
      <w:r w:rsidR="00347041">
        <w:t xml:space="preserve"> the general body of ratepayers</w:t>
      </w:r>
      <w:r w:rsidRPr="001D251C">
        <w:t xml:space="preserve"> contributes to the subscription credit in the early years of the </w:t>
      </w:r>
      <w:r w:rsidR="001E1EF8">
        <w:t>Program</w:t>
      </w:r>
      <w:r w:rsidRPr="001D251C">
        <w:t xml:space="preserve"> offering – with the average residential monthly electric bill expected to go up no more than 47 cents (peaking in 2021, and then decreasing after that).</w:t>
      </w:r>
      <w:r>
        <w:t xml:space="preserve"> (</w:t>
      </w:r>
      <w:r w:rsidR="004230E1">
        <w:t xml:space="preserve">Vote Solar </w:t>
      </w:r>
      <w:r>
        <w:t xml:space="preserve">BR </w:t>
      </w:r>
      <w:r w:rsidR="00304C70">
        <w:t>2-</w:t>
      </w:r>
      <w:r>
        <w:t>3)</w:t>
      </w:r>
      <w:r w:rsidRPr="001D251C">
        <w:t xml:space="preserve"> </w:t>
      </w:r>
    </w:p>
    <w:p w:rsidR="005659CD" w:rsidRPr="001D251C" w:rsidRDefault="005659CD" w:rsidP="005659CD">
      <w:pPr>
        <w:jc w:val="both"/>
      </w:pPr>
    </w:p>
    <w:p w:rsidR="005659CD" w:rsidRDefault="005659CD" w:rsidP="005659CD">
      <w:pPr>
        <w:jc w:val="both"/>
      </w:pPr>
      <w:r w:rsidRPr="001D251C">
        <w:t xml:space="preserve">Further, </w:t>
      </w:r>
      <w:r>
        <w:t xml:space="preserve">argues Vote Solar, </w:t>
      </w:r>
      <w:r w:rsidRPr="001D251C">
        <w:t>there is a public interest need for additional clean energy capacity that lowers costs for customers suffering from high energy burdens. Low-income customers face significant barriers to accessing clean energy. Th</w:t>
      </w:r>
      <w:r>
        <w:t>e SolarTogether</w:t>
      </w:r>
      <w:r w:rsidRPr="001D251C">
        <w:t xml:space="preserve"> </w:t>
      </w:r>
      <w:r w:rsidR="001E1EF8">
        <w:t>Program</w:t>
      </w:r>
      <w:r w:rsidRPr="001D251C">
        <w:t xml:space="preserve"> will begin to address those barriers by providing year-one savings for low-income customers, with a “hold harmless” provision to ensure that a participant’s bill will never go up in any month as a result of their enrollment.</w:t>
      </w:r>
      <w:r>
        <w:t xml:space="preserve"> (Vote Solar BR 3-4)</w:t>
      </w:r>
    </w:p>
    <w:p w:rsidR="005659CD" w:rsidRDefault="005659CD" w:rsidP="005659CD">
      <w:pPr>
        <w:jc w:val="both"/>
      </w:pPr>
    </w:p>
    <w:p w:rsidR="005659CD" w:rsidRPr="00766F3F" w:rsidRDefault="005659CD" w:rsidP="005659CD">
      <w:pPr>
        <w:jc w:val="both"/>
        <w:rPr>
          <w:rFonts w:ascii="Arial" w:hAnsi="Arial" w:cs="Arial"/>
          <w:b/>
        </w:rPr>
      </w:pPr>
      <w:r w:rsidRPr="00766F3F">
        <w:rPr>
          <w:rFonts w:ascii="Arial" w:hAnsi="Arial" w:cs="Arial"/>
          <w:b/>
        </w:rPr>
        <w:t>Walmart</w:t>
      </w:r>
    </w:p>
    <w:p w:rsidR="005659CD" w:rsidRDefault="005659CD" w:rsidP="005659CD">
      <w:pPr>
        <w:jc w:val="both"/>
      </w:pPr>
      <w:r>
        <w:t xml:space="preserve">Walmart did not provide issue-specific arguments in its brief but stated, “Walmart believes that the proposed Settlement Agreement, including the SolarTogether Settlement Tariff, is a </w:t>
      </w:r>
      <w:r>
        <w:lastRenderedPageBreak/>
        <w:t>reasonable compromise of the Settling Parties’ different positions in this case and is otherwise in the public interest.</w:t>
      </w:r>
      <w:r w:rsidR="00067F70">
        <w:t>”</w:t>
      </w:r>
      <w:r>
        <w:t xml:space="preserve"> (</w:t>
      </w:r>
      <w:r w:rsidR="004230E1">
        <w:t xml:space="preserve">Walmart </w:t>
      </w:r>
      <w:r>
        <w:t>BR 2)</w:t>
      </w:r>
    </w:p>
    <w:p w:rsidR="000E29A5" w:rsidRPr="00C3016B" w:rsidRDefault="000E29A5" w:rsidP="005659CD">
      <w:pPr>
        <w:jc w:val="both"/>
      </w:pPr>
    </w:p>
    <w:p w:rsidR="005659CD" w:rsidRDefault="005659CD" w:rsidP="005659CD">
      <w:pPr>
        <w:pStyle w:val="BodyText"/>
        <w:spacing w:after="0"/>
        <w:jc w:val="center"/>
        <w:rPr>
          <w:rFonts w:ascii="Arial" w:hAnsi="Arial" w:cs="Arial"/>
          <w:b/>
        </w:rPr>
      </w:pPr>
      <w:r w:rsidRPr="00293975">
        <w:rPr>
          <w:rFonts w:ascii="Arial" w:hAnsi="Arial" w:cs="Arial"/>
          <w:b/>
        </w:rPr>
        <w:t>Analysis</w:t>
      </w:r>
    </w:p>
    <w:p w:rsidR="00FE0935" w:rsidRDefault="00FE0935" w:rsidP="00FE0935">
      <w:pPr>
        <w:pStyle w:val="BodyText"/>
        <w:spacing w:after="0"/>
        <w:rPr>
          <w:rFonts w:ascii="Arial" w:hAnsi="Arial" w:cs="Arial"/>
          <w:b/>
        </w:rPr>
      </w:pPr>
    </w:p>
    <w:p w:rsidR="003A5CD7" w:rsidRDefault="003A5CD7" w:rsidP="003A5CD7">
      <w:pPr>
        <w:jc w:val="both"/>
      </w:pPr>
      <w:r>
        <w:t>The Commission has a “long-standing regulatory philosophy . . . that tariffs are to be designed so that the end user is fairly charged for his service and that the general body of ratepayers does not unduly or unreasonably bear the costs of that service.”</w:t>
      </w:r>
      <w:r>
        <w:rPr>
          <w:rStyle w:val="FootnoteReference"/>
        </w:rPr>
        <w:footnoteReference w:id="6"/>
      </w:r>
      <w:r>
        <w:t xml:space="preserve"> This philosophy </w:t>
      </w:r>
      <w:r w:rsidRPr="005F170B">
        <w:t>implements</w:t>
      </w:r>
      <w:r>
        <w:t xml:space="preserve"> Section 366.03, F.S., which provides that “[n]o public utility shall make or give any undue or unreasonable preference or advantage to any person or locality, or subject the same to any undue or unreasonable prejudice or disadvantage in any respect.” Some parties </w:t>
      </w:r>
      <w:r w:rsidR="00A847F2">
        <w:t>argue</w:t>
      </w:r>
      <w:r>
        <w:t xml:space="preserve"> that the </w:t>
      </w:r>
      <w:r w:rsidR="00067F70">
        <w:t xml:space="preserve">proposed </w:t>
      </w:r>
      <w:r>
        <w:t xml:space="preserve">tariff grants preferential rates to its participants, and some argue that the </w:t>
      </w:r>
      <w:r w:rsidR="00067F70">
        <w:t xml:space="preserve">proposed </w:t>
      </w:r>
      <w:r>
        <w:t>tar</w:t>
      </w:r>
      <w:r w:rsidR="005C7B05">
        <w:t>iff subjects the general body of</w:t>
      </w:r>
      <w:r>
        <w:t xml:space="preserve"> ratepayers to disadvantageous rates. However, the main question is not whether the </w:t>
      </w:r>
      <w:r w:rsidR="00067F70">
        <w:t xml:space="preserve">proposed </w:t>
      </w:r>
      <w:r>
        <w:t>tariff grants preference to some or disadvantages others, but whether that preference and/or disadvantage is “undue or unreasonable.”</w:t>
      </w:r>
      <w:r>
        <w:rPr>
          <w:rStyle w:val="FootnoteReference"/>
        </w:rPr>
        <w:footnoteReference w:id="7"/>
      </w:r>
      <w:r>
        <w:t xml:space="preserve"> </w:t>
      </w:r>
      <w:r w:rsidRPr="00FB3B9B">
        <w:t>Several Commission orders and out-</w:t>
      </w:r>
      <w:r>
        <w:t>of-state court opinions provide</w:t>
      </w:r>
      <w:r w:rsidRPr="00FB3B9B">
        <w:t xml:space="preserve"> guidance </w:t>
      </w:r>
      <w:r>
        <w:t>for interpreting “undue or unreasonable” in this context</w:t>
      </w:r>
      <w:r w:rsidRPr="00FB3B9B">
        <w:t xml:space="preserve">. </w:t>
      </w:r>
      <w:r w:rsidRPr="00CC1B4C">
        <w:t>The Commission has taken this language to mean that similarly situated customers must be treated similarly.</w:t>
      </w:r>
      <w:r w:rsidRPr="00CC1B4C">
        <w:rPr>
          <w:rStyle w:val="FootnoteReference"/>
        </w:rPr>
        <w:footnoteReference w:id="8"/>
      </w:r>
      <w:r w:rsidRPr="00CC1B4C">
        <w:t xml:space="preserve"> The Court of Appeals for the D.C. Circuit has had occasion to interpret the similarly worded Federal Power Act, and its approach mirrors the Commission’s.</w:t>
      </w:r>
      <w:r w:rsidRPr="00CC1B4C">
        <w:rPr>
          <w:rStyle w:val="FootnoteReference"/>
        </w:rPr>
        <w:footnoteReference w:id="9"/>
      </w:r>
      <w:r w:rsidRPr="00CC1B4C">
        <w:t xml:space="preserve"> </w:t>
      </w:r>
      <w:r w:rsidR="00A847F2">
        <w:t xml:space="preserve">The </w:t>
      </w:r>
      <w:r w:rsidR="00FF5BEA">
        <w:t xml:space="preserve">D.C. Circuit </w:t>
      </w:r>
      <w:r>
        <w:t>added that</w:t>
      </w:r>
      <w:r w:rsidRPr="00CC1B4C">
        <w:t xml:space="preserve"> the reason for treating two entities differently must </w:t>
      </w:r>
      <w:r>
        <w:t xml:space="preserve">be </w:t>
      </w:r>
      <w:r w:rsidRPr="00CC1B4C">
        <w:t xml:space="preserve">“based on relevant, significant facts which are explained.” </w:t>
      </w:r>
      <w:r w:rsidRPr="00CC1B4C">
        <w:rPr>
          <w:i/>
        </w:rPr>
        <w:t>BP Energy Co. v. FERC</w:t>
      </w:r>
      <w:r w:rsidR="006F58BA">
        <w:t>, 828 F.3d 959, 967</w:t>
      </w:r>
      <w:r w:rsidRPr="00CC1B4C">
        <w:t xml:space="preserve"> (D.C. Cir. 2016) (quoting </w:t>
      </w:r>
      <w:r w:rsidRPr="00CC1B4C">
        <w:rPr>
          <w:i/>
        </w:rPr>
        <w:t>Complex Consol. Edison Co. of N.Y., Inc. v. FERC</w:t>
      </w:r>
      <w:r w:rsidR="008424D3">
        <w:t>, 165 F.3d 992, 1012–13</w:t>
      </w:r>
      <w:r w:rsidRPr="00CC1B4C">
        <w:t xml:space="preserve"> (D.C. Cir. 1999)). </w:t>
      </w:r>
      <w:r>
        <w:t>Thus</w:t>
      </w:r>
      <w:r w:rsidRPr="00CC1B4C">
        <w:t>, the Commission must make a factual</w:t>
      </w:r>
      <w:r>
        <w:t xml:space="preserve"> determination as to whether any preference granted by or disadvantage caused by a tariff</w:t>
      </w:r>
      <w:r w:rsidRPr="00CC1B4C">
        <w:t xml:space="preserve"> </w:t>
      </w:r>
      <w:r>
        <w:t>is undue or unreasonable</w:t>
      </w:r>
      <w:r w:rsidRPr="00CC1B4C">
        <w:t xml:space="preserve">. </w:t>
      </w:r>
      <w:r>
        <w:rPr>
          <w:i/>
        </w:rPr>
        <w:t>See i</w:t>
      </w:r>
      <w:r w:rsidRPr="00C50BD3">
        <w:rPr>
          <w:i/>
        </w:rPr>
        <w:t>d.</w:t>
      </w:r>
      <w:r>
        <w:t xml:space="preserve">; </w:t>
      </w:r>
      <w:r>
        <w:rPr>
          <w:i/>
        </w:rPr>
        <w:t xml:space="preserve">Mtn. States Legal Found. v. Pub. </w:t>
      </w:r>
      <w:proofErr w:type="spellStart"/>
      <w:r>
        <w:rPr>
          <w:i/>
        </w:rPr>
        <w:t>Utils</w:t>
      </w:r>
      <w:proofErr w:type="spellEnd"/>
      <w:r>
        <w:rPr>
          <w:i/>
        </w:rPr>
        <w:t>. Comm’n</w:t>
      </w:r>
      <w:r>
        <w:t xml:space="preserve">, 590 P.2d 495, 500 (Colo. 1979) (Carrigan, J., </w:t>
      </w:r>
      <w:r>
        <w:lastRenderedPageBreak/>
        <w:t>dissenting) (“Whether a particular classification of ratepayers is reasonable or not is essentially a fact question for the [Public Utilities Commission].”).</w:t>
      </w:r>
    </w:p>
    <w:p w:rsidR="000E29A5" w:rsidRDefault="000E29A5" w:rsidP="003A5CD7">
      <w:pPr>
        <w:jc w:val="both"/>
      </w:pPr>
    </w:p>
    <w:p w:rsidR="001B38A9" w:rsidRDefault="001B38A9" w:rsidP="001B38A9">
      <w:pPr>
        <w:jc w:val="both"/>
      </w:pPr>
      <w:r w:rsidRPr="008A5DDC">
        <w:t xml:space="preserve">Section 366.03, F.S., also states “[a]ll rates and charges made, demanded, or received by any public utility for any service rendered, or to be rendered by it, and each rule and regulation of such public utility, shall be fair and reasonable.” The Florida Supreme Court made it clear that the Commission’s responsibility of making sure rates are fair and reasonable not only extends to the parties appearing before the Commission, but to the </w:t>
      </w:r>
      <w:r w:rsidRPr="008A5DDC">
        <w:rPr>
          <w:i/>
        </w:rPr>
        <w:t>other utility customers</w:t>
      </w:r>
      <w:r w:rsidRPr="008A5DDC">
        <w:t xml:space="preserve"> who are not directly involved in the proceeding.</w:t>
      </w:r>
      <w:r w:rsidRPr="008A5DDC">
        <w:rPr>
          <w:vertAlign w:val="superscript"/>
        </w:rPr>
        <w:footnoteReference w:id="10"/>
      </w:r>
      <w:r w:rsidRPr="008A5DDC">
        <w:t xml:space="preserve"> </w:t>
      </w:r>
      <w:r>
        <w:t>Therefore, staff evaluated t</w:t>
      </w:r>
      <w:r w:rsidR="00626D7D">
        <w:t xml:space="preserve">he proposed tariff’s impact on </w:t>
      </w:r>
      <w:r>
        <w:t>FPL</w:t>
      </w:r>
      <w:r w:rsidR="00D065A9">
        <w:t>,</w:t>
      </w:r>
      <w:r>
        <w:t xml:space="preserve"> Program participants, </w:t>
      </w:r>
      <w:r w:rsidR="00D065A9">
        <w:t>and</w:t>
      </w:r>
      <w:r>
        <w:t xml:space="preserve"> the “other utility customers,” i.e., the general body of ratepayers. </w:t>
      </w:r>
    </w:p>
    <w:p w:rsidR="005775C3" w:rsidRDefault="005775C3" w:rsidP="001B38A9">
      <w:pPr>
        <w:jc w:val="both"/>
      </w:pPr>
    </w:p>
    <w:p w:rsidR="00027BA9" w:rsidRDefault="00027BA9" w:rsidP="00027BA9">
      <w:pPr>
        <w:pStyle w:val="NoSpacing"/>
        <w:jc w:val="both"/>
        <w:rPr>
          <w:rFonts w:ascii="Times New Roman" w:hAnsi="Times New Roman" w:cs="Times New Roman"/>
          <w:sz w:val="24"/>
          <w:szCs w:val="24"/>
        </w:rPr>
      </w:pPr>
      <w:r>
        <w:rPr>
          <w:rFonts w:ascii="Times New Roman" w:hAnsi="Times New Roman" w:cs="Times New Roman"/>
          <w:sz w:val="24"/>
          <w:szCs w:val="24"/>
        </w:rPr>
        <w:t xml:space="preserve">In its brief, FPL contends of its Program that “the general body of ratepayers is not harmed, which is generally understood to be required before there is a finding of undue discrimination or preference.” (FPL BR 32; </w:t>
      </w:r>
      <w:r>
        <w:rPr>
          <w:rFonts w:ascii="Times New Roman" w:hAnsi="Times New Roman" w:cs="Times New Roman"/>
          <w:i/>
          <w:sz w:val="24"/>
          <w:szCs w:val="24"/>
        </w:rPr>
        <w:t>citing</w:t>
      </w:r>
      <w:r w:rsidR="005D6CB4">
        <w:rPr>
          <w:rFonts w:ascii="Times New Roman" w:hAnsi="Times New Roman" w:cs="Times New Roman"/>
          <w:sz w:val="24"/>
          <w:szCs w:val="24"/>
        </w:rPr>
        <w:t xml:space="preserve"> verbatim </w:t>
      </w:r>
      <w:r w:rsidR="00B50A83">
        <w:rPr>
          <w:rFonts w:ascii="Times New Roman" w:hAnsi="Times New Roman" w:cs="Times New Roman"/>
          <w:sz w:val="24"/>
          <w:szCs w:val="24"/>
        </w:rPr>
        <w:t xml:space="preserve">FPL </w:t>
      </w:r>
      <w:r w:rsidR="005D6CB4">
        <w:rPr>
          <w:rFonts w:ascii="Times New Roman" w:hAnsi="Times New Roman" w:cs="Times New Roman"/>
          <w:sz w:val="24"/>
          <w:szCs w:val="24"/>
        </w:rPr>
        <w:t>w</w:t>
      </w:r>
      <w:r>
        <w:rPr>
          <w:rFonts w:ascii="Times New Roman" w:hAnsi="Times New Roman" w:cs="Times New Roman"/>
          <w:sz w:val="24"/>
          <w:szCs w:val="24"/>
        </w:rPr>
        <w:t>itnes</w:t>
      </w:r>
      <w:r w:rsidR="001D0233">
        <w:rPr>
          <w:rFonts w:ascii="Times New Roman" w:hAnsi="Times New Roman" w:cs="Times New Roman"/>
          <w:sz w:val="24"/>
          <w:szCs w:val="24"/>
        </w:rPr>
        <w:t xml:space="preserve">s Deason’s testimony, TR 469). </w:t>
      </w:r>
      <w:r>
        <w:rPr>
          <w:rFonts w:ascii="Times New Roman" w:hAnsi="Times New Roman" w:cs="Times New Roman"/>
          <w:sz w:val="24"/>
          <w:szCs w:val="24"/>
        </w:rPr>
        <w:t>However, neither FP</w:t>
      </w:r>
      <w:r w:rsidR="005D6CB4">
        <w:rPr>
          <w:rFonts w:ascii="Times New Roman" w:hAnsi="Times New Roman" w:cs="Times New Roman"/>
          <w:sz w:val="24"/>
          <w:szCs w:val="24"/>
        </w:rPr>
        <w:t>L nor w</w:t>
      </w:r>
      <w:r>
        <w:rPr>
          <w:rFonts w:ascii="Times New Roman" w:hAnsi="Times New Roman" w:cs="Times New Roman"/>
          <w:sz w:val="24"/>
          <w:szCs w:val="24"/>
        </w:rPr>
        <w:t>itness Deason provided the basis for this “general understanding,” and staff can find no support in statu</w:t>
      </w:r>
      <w:r w:rsidR="00626D7D">
        <w:rPr>
          <w:rFonts w:ascii="Times New Roman" w:hAnsi="Times New Roman" w:cs="Times New Roman"/>
          <w:sz w:val="24"/>
          <w:szCs w:val="24"/>
        </w:rPr>
        <w:t>te, rule, or precedent for it.</w:t>
      </w:r>
      <w:r w:rsidR="00B35F6B">
        <w:rPr>
          <w:rFonts w:ascii="Times New Roman" w:hAnsi="Times New Roman" w:cs="Times New Roman"/>
          <w:sz w:val="24"/>
          <w:szCs w:val="24"/>
        </w:rPr>
        <w:t xml:space="preserve"> Se</w:t>
      </w:r>
      <w:r>
        <w:rPr>
          <w:rFonts w:ascii="Times New Roman" w:hAnsi="Times New Roman" w:cs="Times New Roman"/>
          <w:sz w:val="24"/>
          <w:szCs w:val="24"/>
        </w:rPr>
        <w:t>ction 366.03, F.S., does not define what constitutes an und</w:t>
      </w:r>
      <w:r w:rsidR="001D0233">
        <w:rPr>
          <w:rFonts w:ascii="Times New Roman" w:hAnsi="Times New Roman" w:cs="Times New Roman"/>
          <w:sz w:val="24"/>
          <w:szCs w:val="24"/>
        </w:rPr>
        <w:t xml:space="preserve">ue or unreasonable preference. </w:t>
      </w:r>
      <w:r w:rsidR="00B35F6B">
        <w:rPr>
          <w:rFonts w:ascii="Times New Roman" w:hAnsi="Times New Roman" w:cs="Times New Roman"/>
          <w:sz w:val="24"/>
          <w:szCs w:val="24"/>
        </w:rPr>
        <w:t>However, t</w:t>
      </w:r>
      <w:r>
        <w:rPr>
          <w:rFonts w:ascii="Times New Roman" w:hAnsi="Times New Roman" w:cs="Times New Roman"/>
          <w:sz w:val="24"/>
          <w:szCs w:val="24"/>
        </w:rPr>
        <w:t>he statute does require that rates be fair and reasonable. Commission precedent speaks to prohibiting rates that are unduly discriminatory, and that costs associated with an optional tariff are appropriately borne by the cost causer.</w:t>
      </w:r>
      <w:r>
        <w:rPr>
          <w:rStyle w:val="FootnoteReference"/>
          <w:rFonts w:ascii="Times New Roman" w:hAnsi="Times New Roman" w:cs="Times New Roman"/>
          <w:szCs w:val="24"/>
        </w:rPr>
        <w:footnoteReference w:id="11"/>
      </w:r>
      <w:r>
        <w:rPr>
          <w:rFonts w:ascii="Times New Roman" w:hAnsi="Times New Roman" w:cs="Times New Roman"/>
          <w:sz w:val="24"/>
          <w:szCs w:val="24"/>
        </w:rPr>
        <w:t xml:space="preserve"> The Commission must make a factual determination of whether the proposed tariff in this instance gives an undue or unreasonable preference or advantage to any customers, or subjects customers to any undue or unreasona</w:t>
      </w:r>
      <w:r w:rsidR="001D0233">
        <w:rPr>
          <w:rFonts w:ascii="Times New Roman" w:hAnsi="Times New Roman" w:cs="Times New Roman"/>
          <w:sz w:val="24"/>
          <w:szCs w:val="24"/>
        </w:rPr>
        <w:t xml:space="preserve">ble prejudice or disadvantage. </w:t>
      </w:r>
      <w:r>
        <w:rPr>
          <w:rFonts w:ascii="Times New Roman" w:hAnsi="Times New Roman" w:cs="Times New Roman"/>
          <w:sz w:val="24"/>
          <w:szCs w:val="24"/>
        </w:rPr>
        <w:t xml:space="preserve">Determining whether FPL’s Program harms the general body of ratepayers may indeed be an important consideration in this case. </w:t>
      </w:r>
      <w:r w:rsidR="00611990">
        <w:rPr>
          <w:rFonts w:ascii="Times New Roman" w:hAnsi="Times New Roman" w:cs="Times New Roman"/>
          <w:sz w:val="24"/>
          <w:szCs w:val="24"/>
        </w:rPr>
        <w:t xml:space="preserve">However, it is not correct </w:t>
      </w:r>
      <w:r>
        <w:rPr>
          <w:rFonts w:ascii="Times New Roman" w:hAnsi="Times New Roman" w:cs="Times New Roman"/>
          <w:sz w:val="24"/>
          <w:szCs w:val="24"/>
        </w:rPr>
        <w:t>that a finding of harm to the general body of ratepayers is an established or even “generally understood” prerequisite to a finding of undue discrimination or preference.</w:t>
      </w:r>
    </w:p>
    <w:p w:rsidR="00027BA9" w:rsidRDefault="00027BA9" w:rsidP="001B38A9">
      <w:pPr>
        <w:jc w:val="both"/>
      </w:pPr>
    </w:p>
    <w:p w:rsidR="005659CD" w:rsidRDefault="001B38A9" w:rsidP="001B38A9">
      <w:pPr>
        <w:jc w:val="both"/>
      </w:pPr>
      <w:r>
        <w:t xml:space="preserve">The evidence in the record suggests that there are six areas where </w:t>
      </w:r>
      <w:r w:rsidR="00982385">
        <w:t xml:space="preserve">a preference </w:t>
      </w:r>
      <w:r>
        <w:t>may exist. Each area is discussed in more detail below.</w:t>
      </w:r>
      <w:r w:rsidRPr="00EA4C16">
        <w:t xml:space="preserve"> </w:t>
      </w:r>
    </w:p>
    <w:p w:rsidR="005659CD" w:rsidRDefault="005659CD" w:rsidP="005659CD">
      <w:pPr>
        <w:jc w:val="both"/>
      </w:pPr>
    </w:p>
    <w:p w:rsidR="005659CD" w:rsidRPr="00765588" w:rsidRDefault="005659CD" w:rsidP="005659CD">
      <w:pPr>
        <w:jc w:val="both"/>
        <w:rPr>
          <w:rFonts w:ascii="Arial" w:hAnsi="Arial" w:cs="Arial"/>
          <w:b/>
        </w:rPr>
      </w:pPr>
      <w:r w:rsidRPr="00765588">
        <w:rPr>
          <w:rFonts w:ascii="Arial" w:hAnsi="Arial" w:cs="Arial"/>
          <w:b/>
        </w:rPr>
        <w:t>Initial Participant Allocation</w:t>
      </w:r>
    </w:p>
    <w:p w:rsidR="005659CD" w:rsidRDefault="005659CD" w:rsidP="005659CD">
      <w:pPr>
        <w:jc w:val="both"/>
      </w:pPr>
      <w:r>
        <w:t>Through discovery, the Utility clarified that the purpose of the Program was to offer participants an alternative to installing rooftop solar (net metering)</w:t>
      </w:r>
      <w:r w:rsidRPr="00B73730">
        <w:t xml:space="preserve"> </w:t>
      </w:r>
      <w:r>
        <w:t>thereby allowing participants to achieve desired corporate/political goals of 10</w:t>
      </w:r>
      <w:r w:rsidR="001F4F0C">
        <w:t>0 percent renewable energy.</w:t>
      </w:r>
      <w:r>
        <w:t xml:space="preserve"> </w:t>
      </w:r>
      <w:r w:rsidR="008C2956" w:rsidRPr="00AB0CB4">
        <w:t xml:space="preserve">(EXH 38, BSP </w:t>
      </w:r>
      <w:r w:rsidR="00304C70">
        <w:t>157</w:t>
      </w:r>
      <w:r w:rsidR="008C2956" w:rsidRPr="00AB0CB4">
        <w:t xml:space="preserve">) </w:t>
      </w:r>
      <w:r w:rsidR="001725E4">
        <w:t>Also, a</w:t>
      </w:r>
      <w:r>
        <w:t xml:space="preserve"> top driver for participation was electric bill savings.</w:t>
      </w:r>
      <w:r w:rsidR="001725E4">
        <w:t xml:space="preserve"> (TR 53)</w:t>
      </w:r>
      <w:r>
        <w:t xml:space="preserve"> Staff recognizes that not all customers have the financial or physical ability to install rooftop solar and that a community solar program can help overcome these barriers.</w:t>
      </w:r>
      <w:r w:rsidRPr="007C32FA">
        <w:t xml:space="preserve"> </w:t>
      </w:r>
      <w:r>
        <w:t xml:space="preserve">However, the proposed tariff does not require a customer to provide any information suggesting that they are physically or financially unable to install their own generation and net meter. In addition, staff recommends that a corporate or </w:t>
      </w:r>
      <w:r>
        <w:lastRenderedPageBreak/>
        <w:t>political goal of 1</w:t>
      </w:r>
      <w:r w:rsidR="00E24422">
        <w:t xml:space="preserve">00 percent renewable energy is </w:t>
      </w:r>
      <w:r>
        <w:t>self-imposed that should not be supported by other ratepayers.</w:t>
      </w:r>
      <w:r w:rsidR="002F5882">
        <w:t xml:space="preserve"> </w:t>
      </w:r>
      <w:r w:rsidR="00E24422">
        <w:t xml:space="preserve">In its brief, </w:t>
      </w:r>
      <w:r w:rsidR="00CF6CDB">
        <w:t xml:space="preserve">OPC appears to agree and states </w:t>
      </w:r>
      <w:r w:rsidR="003751A5">
        <w:t>“</w:t>
      </w:r>
      <w:r w:rsidR="003751A5" w:rsidRPr="003751A5">
        <w:t>FPL and its allies want 98% of FPL’s customers to pay for the SolarTogether special interest project or window dressing so that 1.5% of FPL’s customers can advertise “from day one” that they obtain their energy from 100% renewable sources and meet their nation-wide, private sustainability goals, even though the overall carbon profile in FPL’s territory will not materially change and Florida’s vulnerability to what SACE describes as the climate crisis has not materially changed.</w:t>
      </w:r>
      <w:r w:rsidR="003751A5">
        <w:t>”</w:t>
      </w:r>
      <w:r w:rsidR="003751A5" w:rsidRPr="003751A5">
        <w:t xml:space="preserve"> </w:t>
      </w:r>
      <w:r w:rsidR="001508E1">
        <w:t>(OPC BR</w:t>
      </w:r>
      <w:r w:rsidR="00CF6CDB">
        <w:t xml:space="preserve"> 5)</w:t>
      </w:r>
    </w:p>
    <w:p w:rsidR="002F5882" w:rsidRDefault="002F5882" w:rsidP="005659CD">
      <w:pPr>
        <w:jc w:val="both"/>
      </w:pPr>
    </w:p>
    <w:p w:rsidR="002F5882" w:rsidRDefault="005659CD" w:rsidP="005659CD">
      <w:pPr>
        <w:jc w:val="both"/>
      </w:pPr>
      <w:r>
        <w:t>FPL initially conducted outreach and marketing efforts, including sample terms and estimated pricing, to its largest energy and demand customers in order to gauge interest in such a program. (EXH 38, BSP 77-111</w:t>
      </w:r>
      <w:r w:rsidR="00A92DDC">
        <w:t>; TR 62-64;</w:t>
      </w:r>
      <w:r w:rsidR="00FB7C6E">
        <w:t xml:space="preserve"> Petition 2</w:t>
      </w:r>
      <w:r>
        <w:t xml:space="preserve">) At the conclusion of this process, 206 customers pre-registered for </w:t>
      </w:r>
      <w:r w:rsidR="00FB7C6E">
        <w:t xml:space="preserve">approximately </w:t>
      </w:r>
      <w:r>
        <w:t xml:space="preserve">1,100 MW of the Program’s capacity. </w:t>
      </w:r>
      <w:r w:rsidR="00FE2A57">
        <w:t xml:space="preserve">(TR 130) </w:t>
      </w:r>
      <w:r>
        <w:t xml:space="preserve">Attachment 2 </w:t>
      </w:r>
      <w:r w:rsidR="006D1645">
        <w:t xml:space="preserve">to the recommendation </w:t>
      </w:r>
      <w:r>
        <w:t xml:space="preserve">contains a summary of the initial participant allocation. (EXH 63) Many of these customers pre-registered for 100 percent of </w:t>
      </w:r>
      <w:r w:rsidR="00E85324">
        <w:t xml:space="preserve">their annual usage and </w:t>
      </w:r>
      <w:r w:rsidR="00204082">
        <w:t>10</w:t>
      </w:r>
      <w:r>
        <w:t xml:space="preserve"> of the 206 pre-registered customers account for </w:t>
      </w:r>
      <w:r w:rsidR="00FE2A57">
        <w:t xml:space="preserve">approximately </w:t>
      </w:r>
      <w:r>
        <w:t>50 percent of the total capacity. (EXH</w:t>
      </w:r>
      <w:r w:rsidR="00CF6CDB">
        <w:t xml:space="preserve"> </w:t>
      </w:r>
      <w:r>
        <w:t xml:space="preserve">38, BSP 179-180) In contrast, FPL has yet to </w:t>
      </w:r>
      <w:r w:rsidR="00304C70">
        <w:t xml:space="preserve">open </w:t>
      </w:r>
      <w:r w:rsidRPr="00AB0CB4">
        <w:t xml:space="preserve">registration </w:t>
      </w:r>
      <w:r w:rsidR="00304C70">
        <w:t xml:space="preserve">to </w:t>
      </w:r>
      <w:r w:rsidRPr="00AB0CB4">
        <w:t xml:space="preserve">the estimated 74,500 residential and small </w:t>
      </w:r>
      <w:r w:rsidR="00FE2A57">
        <w:t xml:space="preserve">business </w:t>
      </w:r>
      <w:r w:rsidRPr="00AB0CB4">
        <w:t xml:space="preserve">classes of customers. </w:t>
      </w:r>
      <w:r w:rsidR="008C2956" w:rsidRPr="00AB0CB4">
        <w:t>(EXH 38, BSP</w:t>
      </w:r>
      <w:r w:rsidR="00304C70">
        <w:t xml:space="preserve"> 125,</w:t>
      </w:r>
      <w:r w:rsidR="008C2956" w:rsidRPr="00AB0CB4">
        <w:t xml:space="preserve"> 187) </w:t>
      </w:r>
      <w:r w:rsidRPr="00AB0CB4">
        <w:t xml:space="preserve">Therefore, </w:t>
      </w:r>
      <w:r w:rsidR="00FE2A57">
        <w:t xml:space="preserve">the residential and small business </w:t>
      </w:r>
      <w:r w:rsidRPr="00AB0CB4">
        <w:t xml:space="preserve">customers will have to wait until the Program is approved by the Commission to even try to subscribe to any capacity. </w:t>
      </w:r>
      <w:r w:rsidR="004A6A51">
        <w:t xml:space="preserve">(TR 59) </w:t>
      </w:r>
      <w:r w:rsidR="00EE5C46">
        <w:t>Furthermore, i</w:t>
      </w:r>
      <w:r w:rsidRPr="00AB0CB4">
        <w:t>n total, only 1.5 percent of FPL’s 4.9 million customers would be eligible to participate in this Program. (</w:t>
      </w:r>
      <w:r w:rsidR="00FE2A57">
        <w:t>EXH 38, BSP 125; EXH 39, BSP 244; EXH 63</w:t>
      </w:r>
      <w:r w:rsidR="008C2956" w:rsidRPr="00AB0CB4">
        <w:t>)</w:t>
      </w:r>
      <w:r w:rsidRPr="00AB0CB4">
        <w:t xml:space="preserve"> </w:t>
      </w:r>
      <w:r w:rsidR="00E85324">
        <w:t>As such, the P</w:t>
      </w:r>
      <w:r w:rsidR="00287F72" w:rsidRPr="00DD29CF">
        <w:t>rogram as proposed</w:t>
      </w:r>
      <w:r w:rsidR="00391692" w:rsidRPr="00DD29CF">
        <w:t>,</w:t>
      </w:r>
      <w:r w:rsidR="00287F72" w:rsidRPr="00DD29CF">
        <w:t xml:space="preserve"> by definition</w:t>
      </w:r>
      <w:r w:rsidR="00391692" w:rsidRPr="00DD29CF">
        <w:t>,</w:t>
      </w:r>
      <w:r w:rsidR="00287F72" w:rsidRPr="00DD29CF">
        <w:t xml:space="preserve"> cannot and will not be used by 98.5 percent of FPL’s customers.</w:t>
      </w:r>
      <w:r w:rsidR="00287F72">
        <w:t xml:space="preserve"> </w:t>
      </w:r>
      <w:r w:rsidR="00A46A87" w:rsidRPr="00AB0CB4">
        <w:t>Therefore, if solar additions are now a cost-effective generation addition for all customers, it appears the “need” for a voluntary tariff is only to assist a certain small group of customers m</w:t>
      </w:r>
      <w:r w:rsidR="00A46A87">
        <w:t xml:space="preserve">eet their self-imposed corporate or political goal. </w:t>
      </w:r>
    </w:p>
    <w:p w:rsidR="005659CD" w:rsidRDefault="005659CD" w:rsidP="005659CD">
      <w:pPr>
        <w:jc w:val="both"/>
      </w:pPr>
    </w:p>
    <w:p w:rsidR="005659CD" w:rsidRPr="00EA6F95" w:rsidRDefault="005659CD" w:rsidP="005659CD">
      <w:pPr>
        <w:jc w:val="both"/>
        <w:rPr>
          <w:rFonts w:ascii="Arial" w:hAnsi="Arial" w:cs="Arial"/>
        </w:rPr>
      </w:pPr>
      <w:r w:rsidRPr="00B31398">
        <w:rPr>
          <w:rFonts w:ascii="Arial" w:hAnsi="Arial" w:cs="Arial"/>
          <w:b/>
        </w:rPr>
        <w:t>Allocation of Net Benefits</w:t>
      </w:r>
    </w:p>
    <w:p w:rsidR="002452F0" w:rsidRDefault="002452F0" w:rsidP="002452F0">
      <w:pPr>
        <w:jc w:val="both"/>
      </w:pPr>
      <w:r>
        <w:t>As is common with new generation, the revenue requirements (costs) for the SolarTogether facilities, including capital, transmission, and O&amp;M, exceed the initial system savings (benefits) for avoided generation, transmission, fuel, emissions, and other items.</w:t>
      </w:r>
      <w:r w:rsidR="006F183F">
        <w:t xml:space="preserve"> (EXH</w:t>
      </w:r>
      <w:r w:rsidR="00E8350F">
        <w:t xml:space="preserve"> 50, </w:t>
      </w:r>
      <w:r w:rsidR="00B35F6B">
        <w:t xml:space="preserve">Interrogatory </w:t>
      </w:r>
      <w:r w:rsidR="00E8350F">
        <w:t>No. 254, Attachment 1)</w:t>
      </w:r>
      <w:r>
        <w:t xml:space="preserve"> Over time the benefits increase and eventually exceed the costs, producing net savings to ratepayers. The cumulative value of these costs and benefits is calculated as a CPVRR, which determines the net savings compared to an alternative. The payback period, or the amount of time the project’s cumulative benefits are forecasted to break even with the project’s cumulative costs, can also be calculated using this information.</w:t>
      </w:r>
      <w:r w:rsidR="00475647">
        <w:t xml:space="preserve"> (TR 502-503)</w:t>
      </w:r>
      <w:r>
        <w:t xml:space="preserve"> Under the Commission’s traditional regulatory framework, the SolarTogether facilities are projected to save approximately $260 million in net benefits on a CPVRR basis with a payback period of 21 years for all ratepayers.</w:t>
      </w:r>
      <w:r w:rsidR="00475647">
        <w:t xml:space="preserve"> (EXH 50, </w:t>
      </w:r>
      <w:r w:rsidR="00195576">
        <w:t>Interrogatory</w:t>
      </w:r>
      <w:r w:rsidR="00FC001D">
        <w:t xml:space="preserve"> No. 254, Attachment 1</w:t>
      </w:r>
      <w:r w:rsidR="00475647">
        <w:t>; EXH 64)</w:t>
      </w:r>
    </w:p>
    <w:p w:rsidR="002452F0" w:rsidRDefault="002452F0" w:rsidP="002452F0">
      <w:pPr>
        <w:jc w:val="both"/>
      </w:pPr>
    </w:p>
    <w:p w:rsidR="002452F0" w:rsidRDefault="002452F0" w:rsidP="002452F0">
      <w:pPr>
        <w:jc w:val="both"/>
      </w:pPr>
      <w:r>
        <w:t xml:space="preserve">FPL’s proposed Program </w:t>
      </w:r>
      <w:r w:rsidR="001D2046">
        <w:t xml:space="preserve">and associated tariff </w:t>
      </w:r>
      <w:r>
        <w:t>would alter the amount and allocation of net benefits in three ways. First, the Utility would seek recovery of administrative costs to operate the Program, approximately $11</w:t>
      </w:r>
      <w:r w:rsidR="00E85324">
        <w:t>.5</w:t>
      </w:r>
      <w:r>
        <w:t xml:space="preserve"> million, which reduce</w:t>
      </w:r>
      <w:r w:rsidR="001725E4">
        <w:t>s</w:t>
      </w:r>
      <w:r>
        <w:t xml:space="preserve"> the net benefits from $260 million to $249 million.</w:t>
      </w:r>
      <w:r w:rsidR="0037196D">
        <w:t xml:space="preserve"> (TR 137; EXH 64)</w:t>
      </w:r>
    </w:p>
    <w:p w:rsidR="002452F0" w:rsidRDefault="002452F0" w:rsidP="002452F0">
      <w:pPr>
        <w:jc w:val="both"/>
      </w:pPr>
    </w:p>
    <w:p w:rsidR="002452F0" w:rsidRPr="00114C24" w:rsidRDefault="002452F0" w:rsidP="002452F0">
      <w:pPr>
        <w:jc w:val="both"/>
      </w:pPr>
      <w:r>
        <w:t>Second, FPL designed the Program</w:t>
      </w:r>
      <w:r w:rsidR="001D2046">
        <w:t xml:space="preserve"> and associated tariff</w:t>
      </w:r>
      <w:r>
        <w:t xml:space="preserve"> so the credit amount paid to participants exceeds the amount </w:t>
      </w:r>
      <w:r w:rsidR="001725E4">
        <w:t xml:space="preserve">participants </w:t>
      </w:r>
      <w:r>
        <w:t xml:space="preserve">pay in </w:t>
      </w:r>
      <w:r w:rsidR="00E24422">
        <w:t xml:space="preserve">subscription </w:t>
      </w:r>
      <w:r>
        <w:t xml:space="preserve">charges over the </w:t>
      </w:r>
      <w:r w:rsidR="00E24422">
        <w:t>30 year</w:t>
      </w:r>
      <w:r>
        <w:t xml:space="preserve"> life of the facilities. </w:t>
      </w:r>
      <w:r w:rsidR="0037196D">
        <w:t xml:space="preserve">(TR 52, 339) </w:t>
      </w:r>
      <w:r w:rsidR="001725E4">
        <w:t>Under the Program, p</w:t>
      </w:r>
      <w:r>
        <w:t xml:space="preserve">articipants would </w:t>
      </w:r>
      <w:r w:rsidR="000711C7">
        <w:t xml:space="preserve">receive </w:t>
      </w:r>
      <w:r>
        <w:t xml:space="preserve">net </w:t>
      </w:r>
      <w:r w:rsidR="000711C7">
        <w:t>benefits of</w:t>
      </w:r>
      <w:r>
        <w:t xml:space="preserve"> approximately $137 </w:t>
      </w:r>
      <w:r>
        <w:lastRenderedPageBreak/>
        <w:t>million, and reduce their paybac</w:t>
      </w:r>
      <w:r w:rsidR="00EE015F">
        <w:t>k period from 21 years to only eight</w:t>
      </w:r>
      <w:r>
        <w:t xml:space="preserve"> years. </w:t>
      </w:r>
      <w:r w:rsidR="00A01A6D">
        <w:t>(TR 558</w:t>
      </w:r>
      <w:r w:rsidR="006933D1">
        <w:t>;</w:t>
      </w:r>
      <w:r w:rsidR="0037196D">
        <w:t xml:space="preserve"> EXH 64</w:t>
      </w:r>
      <w:r w:rsidR="00A01A6D">
        <w:t xml:space="preserve">) </w:t>
      </w:r>
      <w:r>
        <w:t xml:space="preserve">The general body of ratepayers, the vast majority of whom are non-participants, would decrease their share of net benefits from $260 million to $112 million, and increase their payback period from 21 to 26 years. </w:t>
      </w:r>
      <w:r w:rsidRPr="00114C24">
        <w:t>These impacts are summarized in Attachment 3. (EXH 64)</w:t>
      </w:r>
    </w:p>
    <w:p w:rsidR="002452F0" w:rsidRPr="00114C24" w:rsidRDefault="002452F0" w:rsidP="002452F0">
      <w:pPr>
        <w:jc w:val="both"/>
      </w:pPr>
    </w:p>
    <w:p w:rsidR="002452F0" w:rsidRDefault="002452F0" w:rsidP="002452F0">
      <w:pPr>
        <w:jc w:val="both"/>
      </w:pPr>
      <w:r>
        <w:t>Third</w:t>
      </w:r>
      <w:r w:rsidRPr="00114C24">
        <w:t xml:space="preserve">, </w:t>
      </w:r>
      <w:r>
        <w:t>FPL designed the</w:t>
      </w:r>
      <w:r w:rsidRPr="00114C24">
        <w:t xml:space="preserve"> Program’s </w:t>
      </w:r>
      <w:r>
        <w:t xml:space="preserve">subscription </w:t>
      </w:r>
      <w:r w:rsidRPr="00114C24">
        <w:t>credits</w:t>
      </w:r>
      <w:r>
        <w:t xml:space="preserve"> to be a certain value with a fixed escalation rate,</w:t>
      </w:r>
      <w:r w:rsidRPr="00114C24">
        <w:t xml:space="preserve"> </w:t>
      </w:r>
      <w:r w:rsidR="007A5438">
        <w:t xml:space="preserve">disregarding </w:t>
      </w:r>
      <w:r>
        <w:t>potential</w:t>
      </w:r>
      <w:r w:rsidRPr="00114C24">
        <w:t xml:space="preserve"> chang</w:t>
      </w:r>
      <w:r>
        <w:t>es in</w:t>
      </w:r>
      <w:r w:rsidRPr="00114C24">
        <w:t xml:space="preserve"> </w:t>
      </w:r>
      <w:r>
        <w:t xml:space="preserve">the actual costs for </w:t>
      </w:r>
      <w:r w:rsidRPr="00114C24">
        <w:t xml:space="preserve">fuel and emissions, </w:t>
      </w:r>
      <w:r w:rsidR="004A6A51">
        <w:t xml:space="preserve">thereby </w:t>
      </w:r>
      <w:r w:rsidRPr="00114C24">
        <w:t xml:space="preserve">reducing the risk exposure for participants. </w:t>
      </w:r>
      <w:r w:rsidR="002F0110">
        <w:t xml:space="preserve">(TR 118) </w:t>
      </w:r>
      <w:r>
        <w:t>As a result,</w:t>
      </w:r>
      <w:r w:rsidRPr="00114C24">
        <w:t xml:space="preserve"> the </w:t>
      </w:r>
      <w:r w:rsidR="00C328A5">
        <w:t xml:space="preserve">proposed </w:t>
      </w:r>
      <w:r w:rsidRPr="00114C24">
        <w:t xml:space="preserve">tariff essentially guarantees </w:t>
      </w:r>
      <w:r>
        <w:t>net</w:t>
      </w:r>
      <w:r w:rsidRPr="00114C24">
        <w:t xml:space="preserve"> </w:t>
      </w:r>
      <w:r w:rsidR="00E24422">
        <w:t>bill credits</w:t>
      </w:r>
      <w:r w:rsidRPr="00114C24">
        <w:t xml:space="preserve"> to participa</w:t>
      </w:r>
      <w:r>
        <w:t>n</w:t>
      </w:r>
      <w:r w:rsidRPr="00114C24">
        <w:t>t</w:t>
      </w:r>
      <w:r>
        <w:t>s</w:t>
      </w:r>
      <w:r w:rsidR="00E24422">
        <w:t>.</w:t>
      </w:r>
      <w:r w:rsidRPr="00114C24">
        <w:t xml:space="preserve"> </w:t>
      </w:r>
      <w:r w:rsidR="00E24422">
        <w:t>Benefits to t</w:t>
      </w:r>
      <w:r w:rsidRPr="00114C24">
        <w:t xml:space="preserve">he general body of ratepayers </w:t>
      </w:r>
      <w:r w:rsidR="00E24422">
        <w:t xml:space="preserve">are speculative as these customers </w:t>
      </w:r>
      <w:r>
        <w:t>would</w:t>
      </w:r>
      <w:r w:rsidRPr="00114C24">
        <w:t xml:space="preserve"> bear the risk of changes </w:t>
      </w:r>
      <w:r>
        <w:t>in</w:t>
      </w:r>
      <w:r w:rsidRPr="00114C24">
        <w:t xml:space="preserve"> fuel and emission cost</w:t>
      </w:r>
      <w:r>
        <w:t>s</w:t>
      </w:r>
      <w:r w:rsidRPr="00114C24">
        <w:t xml:space="preserve"> forecasts. </w:t>
      </w:r>
      <w:r>
        <w:t>For example, t</w:t>
      </w:r>
      <w:r w:rsidRPr="00114C24">
        <w:t>h</w:t>
      </w:r>
      <w:r w:rsidR="00F653DA">
        <w:t>e participant</w:t>
      </w:r>
      <w:r w:rsidR="002F0110">
        <w:t>s</w:t>
      </w:r>
      <w:r w:rsidR="00E46149">
        <w:t>’</w:t>
      </w:r>
      <w:r w:rsidR="002F0110">
        <w:t xml:space="preserve"> credits include</w:t>
      </w:r>
      <w:r w:rsidRPr="00114C24">
        <w:t xml:space="preserve"> costs </w:t>
      </w:r>
      <w:r w:rsidR="001D2046">
        <w:t>associated with</w:t>
      </w:r>
      <w:r w:rsidRPr="00114C24">
        <w:t xml:space="preserve"> carbon dioxide (CO</w:t>
      </w:r>
      <w:r w:rsidRPr="00114C24">
        <w:rPr>
          <w:vertAlign w:val="subscript"/>
        </w:rPr>
        <w:t>2</w:t>
      </w:r>
      <w:r>
        <w:t xml:space="preserve">) </w:t>
      </w:r>
      <w:r w:rsidRPr="00114C24">
        <w:t>emissions beginnin</w:t>
      </w:r>
      <w:r w:rsidR="00E2470F">
        <w:t xml:space="preserve">g in 2026. (EXH 38, BSP 47-48) </w:t>
      </w:r>
      <w:r w:rsidRPr="00114C24">
        <w:t xml:space="preserve">Staff notes that there is no </w:t>
      </w:r>
      <w:r>
        <w:t xml:space="preserve">current or pending </w:t>
      </w:r>
      <w:r w:rsidRPr="00114C24">
        <w:t>legislation regarding the cost of CO</w:t>
      </w:r>
      <w:r w:rsidRPr="00114C24">
        <w:rPr>
          <w:vertAlign w:val="subscript"/>
        </w:rPr>
        <w:t>2</w:t>
      </w:r>
      <w:r w:rsidRPr="00114C24">
        <w:t xml:space="preserve"> emissions</w:t>
      </w:r>
      <w:r w:rsidR="00871B10">
        <w:t xml:space="preserve"> at</w:t>
      </w:r>
      <w:r w:rsidRPr="00114C24">
        <w:t xml:space="preserve"> this time. </w:t>
      </w:r>
      <w:r>
        <w:t>I</w:t>
      </w:r>
      <w:r w:rsidRPr="00114C24">
        <w:t>n a scenario with no CO</w:t>
      </w:r>
      <w:r w:rsidRPr="00114C24">
        <w:rPr>
          <w:vertAlign w:val="subscript"/>
        </w:rPr>
        <w:t>2</w:t>
      </w:r>
      <w:r w:rsidRPr="00114C24">
        <w:t xml:space="preserve"> </w:t>
      </w:r>
      <w:r>
        <w:t xml:space="preserve">related </w:t>
      </w:r>
      <w:r w:rsidRPr="00114C24">
        <w:t>costs, under traditional regulation</w:t>
      </w:r>
      <w:r w:rsidR="00871B10">
        <w:t>,</w:t>
      </w:r>
      <w:r w:rsidRPr="00114C24">
        <w:t xml:space="preserve"> the </w:t>
      </w:r>
      <w:r>
        <w:t xml:space="preserve">net </w:t>
      </w:r>
      <w:r w:rsidRPr="00114C24">
        <w:t xml:space="preserve">benefits to all </w:t>
      </w:r>
      <w:r>
        <w:t>ratepayers</w:t>
      </w:r>
      <w:r w:rsidRPr="00114C24">
        <w:t xml:space="preserve"> would drop</w:t>
      </w:r>
      <w:r>
        <w:t xml:space="preserve"> to</w:t>
      </w:r>
      <w:r w:rsidRPr="00114C24">
        <w:t xml:space="preserve"> $170 million</w:t>
      </w:r>
      <w:r>
        <w:t xml:space="preserve"> with a payback period of 23 years</w:t>
      </w:r>
      <w:r w:rsidRPr="00114C24">
        <w:t>. (TR 140</w:t>
      </w:r>
      <w:r w:rsidR="006933D1">
        <w:t>;</w:t>
      </w:r>
      <w:r>
        <w:t xml:space="preserve"> EXH 64</w:t>
      </w:r>
      <w:r w:rsidRPr="00114C24">
        <w:t>)</w:t>
      </w:r>
      <w:r>
        <w:t xml:space="preserve"> I</w:t>
      </w:r>
      <w:r w:rsidRPr="00114C24">
        <w:t xml:space="preserve">n </w:t>
      </w:r>
      <w:r w:rsidR="001D2046">
        <w:t>that</w:t>
      </w:r>
      <w:r w:rsidRPr="00114C24">
        <w:t xml:space="preserve"> scenario,</w:t>
      </w:r>
      <w:r>
        <w:t xml:space="preserve"> FPL</w:t>
      </w:r>
      <w:r w:rsidRPr="00114C24">
        <w:t xml:space="preserve"> </w:t>
      </w:r>
      <w:r>
        <w:t>designed the</w:t>
      </w:r>
      <w:r w:rsidRPr="00114C24">
        <w:t xml:space="preserve"> Program</w:t>
      </w:r>
      <w:r>
        <w:t xml:space="preserve"> so</w:t>
      </w:r>
      <w:r w:rsidRPr="00114C24">
        <w:t xml:space="preserve"> participants still receive</w:t>
      </w:r>
      <w:r>
        <w:t xml:space="preserve"> the same</w:t>
      </w:r>
      <w:r w:rsidRPr="00114C24">
        <w:t xml:space="preserve"> </w:t>
      </w:r>
      <w:r>
        <w:t xml:space="preserve">net benefit of </w:t>
      </w:r>
      <w:r w:rsidRPr="00114C24">
        <w:t>$137 mi</w:t>
      </w:r>
      <w:r w:rsidR="00EE015F">
        <w:t>llion with a payback period of eight</w:t>
      </w:r>
      <w:r w:rsidRPr="00114C24">
        <w:t xml:space="preserve"> years, but the general body of </w:t>
      </w:r>
      <w:r>
        <w:t>ratepayer</w:t>
      </w:r>
      <w:r w:rsidRPr="00114C24">
        <w:t xml:space="preserve">s would </w:t>
      </w:r>
      <w:r>
        <w:t>see its</w:t>
      </w:r>
      <w:r w:rsidRPr="00114C24">
        <w:t xml:space="preserve"> net </w:t>
      </w:r>
      <w:r>
        <w:t>benefits</w:t>
      </w:r>
      <w:r w:rsidRPr="00114C24">
        <w:t xml:space="preserve"> reduced to</w:t>
      </w:r>
      <w:r>
        <w:t xml:space="preserve"> only</w:t>
      </w:r>
      <w:r w:rsidRPr="00114C24">
        <w:t xml:space="preserve"> $22 million</w:t>
      </w:r>
      <w:r>
        <w:t xml:space="preserve"> with a payback period of 30 years</w:t>
      </w:r>
      <w:r w:rsidRPr="00114C24">
        <w:t>.</w:t>
      </w:r>
      <w:r>
        <w:t xml:space="preserve"> These impacts are summarized in </w:t>
      </w:r>
      <w:r w:rsidRPr="004374F7">
        <w:t>Attachment 4. (EXH 64)</w:t>
      </w:r>
    </w:p>
    <w:p w:rsidR="002452F0" w:rsidRDefault="002452F0" w:rsidP="002452F0">
      <w:pPr>
        <w:jc w:val="both"/>
      </w:pPr>
    </w:p>
    <w:p w:rsidR="002452F0" w:rsidRDefault="002452F0" w:rsidP="002452F0">
      <w:pPr>
        <w:jc w:val="both"/>
      </w:pPr>
      <w:r>
        <w:t>I</w:t>
      </w:r>
      <w:r w:rsidRPr="00114C24">
        <w:t>n discovery</w:t>
      </w:r>
      <w:r w:rsidR="00041058">
        <w:t>,</w:t>
      </w:r>
      <w:r w:rsidRPr="00114C24">
        <w:t xml:space="preserve"> </w:t>
      </w:r>
      <w:r>
        <w:t xml:space="preserve">staff </w:t>
      </w:r>
      <w:r w:rsidRPr="00114C24">
        <w:t xml:space="preserve">requested </w:t>
      </w:r>
      <w:r w:rsidR="001D2046">
        <w:t xml:space="preserve">that </w:t>
      </w:r>
      <w:r w:rsidRPr="00114C24">
        <w:t xml:space="preserve">the </w:t>
      </w:r>
      <w:r>
        <w:t>Utility evaluate the impact of</w:t>
      </w:r>
      <w:r w:rsidRPr="00114C24">
        <w:t xml:space="preserve"> sensitivities for fuel and emissions costs.</w:t>
      </w:r>
      <w:r>
        <w:t xml:space="preserve"> Under traditional ratemaking, ther</w:t>
      </w:r>
      <w:r w:rsidR="00041058">
        <w:t>e would be net benefits in all nine</w:t>
      </w:r>
      <w:r>
        <w:t xml:space="preserve"> sensitivities for all ratepayers. Under the Utility’s proposed Program</w:t>
      </w:r>
      <w:r w:rsidRPr="004374F7">
        <w:t xml:space="preserve">, </w:t>
      </w:r>
      <w:r>
        <w:t xml:space="preserve">as seen in Table 2-1, </w:t>
      </w:r>
      <w:r w:rsidRPr="004374F7">
        <w:t xml:space="preserve">the </w:t>
      </w:r>
      <w:r w:rsidR="00E46149">
        <w:t>participant</w:t>
      </w:r>
      <w:r>
        <w:t>s</w:t>
      </w:r>
      <w:r w:rsidR="00E46149">
        <w:t>’</w:t>
      </w:r>
      <w:r>
        <w:t xml:space="preserve"> </w:t>
      </w:r>
      <w:r w:rsidRPr="004374F7">
        <w:t>charges and credits remain constant</w:t>
      </w:r>
      <w:r>
        <w:t xml:space="preserve"> </w:t>
      </w:r>
      <w:r w:rsidRPr="004374F7">
        <w:t>and provide a net savings of $137 million</w:t>
      </w:r>
      <w:r w:rsidR="00041058">
        <w:t xml:space="preserve"> with an eight</w:t>
      </w:r>
      <w:r>
        <w:t xml:space="preserve"> year payback regardless of sensitivity. However, net benefits to the general body of ratepayers vary, and in some </w:t>
      </w:r>
      <w:proofErr w:type="gramStart"/>
      <w:r>
        <w:t>sensitivities</w:t>
      </w:r>
      <w:proofErr w:type="gramEnd"/>
      <w:r>
        <w:t xml:space="preserve"> are actually net costs, with ratepayers never receiving a payback.</w:t>
      </w:r>
    </w:p>
    <w:p w:rsidR="008C157F" w:rsidRDefault="008C157F"/>
    <w:p w:rsidR="002452F0" w:rsidRDefault="002452F0" w:rsidP="002452F0"/>
    <w:p w:rsidR="002452F0" w:rsidRDefault="002452F0" w:rsidP="002452F0">
      <w:pPr>
        <w:jc w:val="center"/>
      </w:pPr>
      <w:r>
        <w:t xml:space="preserve">Table 2-1 </w:t>
      </w:r>
    </w:p>
    <w:p w:rsidR="002452F0" w:rsidRDefault="002452F0" w:rsidP="002452F0">
      <w:pPr>
        <w:jc w:val="center"/>
      </w:pPr>
      <w:r>
        <w:t>FPL’s Nine Sensitivities</w:t>
      </w:r>
    </w:p>
    <w:p w:rsidR="002452F0" w:rsidRDefault="002452F0" w:rsidP="002452F0">
      <w:pPr>
        <w:jc w:val="center"/>
      </w:pPr>
      <w:r>
        <w:rPr>
          <w:noProof/>
        </w:rPr>
        <w:drawing>
          <wp:inline distT="0" distB="0" distL="0" distR="0">
            <wp:extent cx="5943600" cy="2142490"/>
            <wp:effectExtent l="0" t="0" r="0" b="0"/>
            <wp:docPr id="7" name="Picture 7" descr="Fuel-CO2 Scenarios CPVRR Summary and Paybacks - Exh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uel-CO2 Scenarios CPVRR Summary and Paybacks - Exh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142490"/>
                    </a:xfrm>
                    <a:prstGeom prst="rect">
                      <a:avLst/>
                    </a:prstGeom>
                    <a:noFill/>
                    <a:ln>
                      <a:noFill/>
                    </a:ln>
                  </pic:spPr>
                </pic:pic>
              </a:graphicData>
            </a:graphic>
          </wp:inline>
        </w:drawing>
      </w:r>
    </w:p>
    <w:p w:rsidR="002452F0" w:rsidRDefault="002452F0" w:rsidP="002452F0">
      <w:pPr>
        <w:jc w:val="both"/>
        <w:rPr>
          <w:sz w:val="20"/>
          <w:szCs w:val="20"/>
        </w:rPr>
      </w:pPr>
      <w:r>
        <w:rPr>
          <w:sz w:val="20"/>
          <w:szCs w:val="20"/>
        </w:rPr>
        <w:t>Source: (EXH 46</w:t>
      </w:r>
      <w:r w:rsidR="001552F7">
        <w:rPr>
          <w:sz w:val="20"/>
          <w:szCs w:val="20"/>
        </w:rPr>
        <w:t>, BSP 322</w:t>
      </w:r>
      <w:r>
        <w:rPr>
          <w:sz w:val="20"/>
          <w:szCs w:val="20"/>
        </w:rPr>
        <w:t>)</w:t>
      </w:r>
    </w:p>
    <w:p w:rsidR="002452F0" w:rsidRDefault="002452F0" w:rsidP="002452F0">
      <w:pPr>
        <w:jc w:val="both"/>
      </w:pPr>
    </w:p>
    <w:p w:rsidR="000E29A5" w:rsidRDefault="000E29A5">
      <w:pPr>
        <w:rPr>
          <w:rFonts w:ascii="Arial" w:hAnsi="Arial" w:cs="Arial"/>
          <w:b/>
        </w:rPr>
      </w:pPr>
      <w:r>
        <w:rPr>
          <w:rFonts w:ascii="Arial" w:hAnsi="Arial" w:cs="Arial"/>
          <w:b/>
        </w:rPr>
        <w:br w:type="page"/>
      </w:r>
    </w:p>
    <w:p w:rsidR="005659CD" w:rsidRPr="004E49DB" w:rsidRDefault="005659CD" w:rsidP="005659CD">
      <w:pPr>
        <w:jc w:val="both"/>
        <w:rPr>
          <w:rFonts w:ascii="Arial" w:hAnsi="Arial" w:cs="Arial"/>
        </w:rPr>
      </w:pPr>
      <w:r>
        <w:rPr>
          <w:rFonts w:ascii="Arial" w:hAnsi="Arial" w:cs="Arial"/>
          <w:b/>
        </w:rPr>
        <w:lastRenderedPageBreak/>
        <w:t>Low-income Carve-out</w:t>
      </w:r>
    </w:p>
    <w:p w:rsidR="005659CD" w:rsidRDefault="00C57AAC" w:rsidP="005659CD">
      <w:pPr>
        <w:jc w:val="both"/>
      </w:pPr>
      <w:r>
        <w:t>Customer classes (e.g.</w:t>
      </w:r>
      <w:r w:rsidR="005659CD">
        <w:t xml:space="preserve"> residential, commercial, industrial, etc.) are determined by their electric usage characteristics. The proposed Program has set aside 37.5 MW for low-income customers </w:t>
      </w:r>
      <w:r w:rsidR="004230E1">
        <w:t>that</w:t>
      </w:r>
      <w:r w:rsidR="005659CD">
        <w:t xml:space="preserve"> will begin with Project 3 (bill</w:t>
      </w:r>
      <w:r>
        <w:t>ing date of February 2021). (TR</w:t>
      </w:r>
      <w:r w:rsidR="005659CD">
        <w:t xml:space="preserve"> 136) The </w:t>
      </w:r>
      <w:r w:rsidR="004A6A51">
        <w:t xml:space="preserve">proposed </w:t>
      </w:r>
      <w:r w:rsidR="005659CD">
        <w:t xml:space="preserve">tariff itself does not contain this information or any other allocation values. The </w:t>
      </w:r>
      <w:r w:rsidR="00FC001D">
        <w:t xml:space="preserve">proposed </w:t>
      </w:r>
      <w:r w:rsidR="005659CD">
        <w:t>tariff defines a low-income participant, a sub-set of the residential customer class, as those customers whose income is at or below</w:t>
      </w:r>
      <w:r w:rsidR="00E80AAE">
        <w:t xml:space="preserve"> 200 percent of the f</w:t>
      </w:r>
      <w:r w:rsidR="005659CD">
        <w:t>ederal poverty level. (</w:t>
      </w:r>
      <w:r w:rsidR="005D6CB4">
        <w:t xml:space="preserve">Attachment 1; </w:t>
      </w:r>
      <w:r w:rsidR="005659CD">
        <w:t>EXH 46, BSP 335) The proposed tariff also provides the low-income participant with a</w:t>
      </w:r>
      <w:r w:rsidR="00E24422">
        <w:t xml:space="preserve">n </w:t>
      </w:r>
      <w:r w:rsidR="00E80AAE">
        <w:t>immediate</w:t>
      </w:r>
      <w:r w:rsidR="00E24422">
        <w:t xml:space="preserve"> </w:t>
      </w:r>
      <w:r w:rsidR="005659CD">
        <w:t>fixed bill reduction of $0.7</w:t>
      </w:r>
      <w:r w:rsidR="00956E26">
        <w:t>0</w:t>
      </w:r>
      <w:r w:rsidR="003C6876">
        <w:t>/kW-month.</w:t>
      </w:r>
      <w:r w:rsidR="005659CD">
        <w:t xml:space="preserve"> In its Petition, FPL estimates that a 5 kW subscription would equal 100 percent of an average annual residential customer’s energy usage. </w:t>
      </w:r>
      <w:r w:rsidR="00E232DD">
        <w:t xml:space="preserve">(EXH 38, BSP 122) </w:t>
      </w:r>
      <w:r w:rsidR="005659CD">
        <w:t xml:space="preserve">Therefore, if a low-income customer subscribed for 5 kW, the estimated monthly bill reduction for the low-income participant would be $3.50 per month for the duration of their participation. The 37.5 MW allocated capacity would equate to approximately 7,500 low-income customers. (EXH 46, BSP 335) </w:t>
      </w:r>
      <w:r w:rsidR="00FC001D">
        <w:t>FPL w</w:t>
      </w:r>
      <w:r w:rsidR="005659CD">
        <w:t>itness Valle confirmed that FPL has more than 7,500 low-income customers. (TR 136) FPL has proposed that the credits paid to all participants be collected through its fuel adjustment clause.</w:t>
      </w:r>
      <w:r w:rsidR="00AB0CB4">
        <w:t xml:space="preserve"> (TR 344) </w:t>
      </w:r>
      <w:r w:rsidR="005659CD">
        <w:t>As such, the general body of ratepayers, including non-participating low-income customers, will be paying</w:t>
      </w:r>
      <w:r w:rsidR="00AD64B4">
        <w:t xml:space="preserve"> for this direct bill reduction</w:t>
      </w:r>
      <w:r w:rsidR="005659CD">
        <w:t>.</w:t>
      </w:r>
    </w:p>
    <w:p w:rsidR="001E0A43" w:rsidRDefault="001E0A43" w:rsidP="005659CD">
      <w:pPr>
        <w:jc w:val="both"/>
      </w:pPr>
    </w:p>
    <w:p w:rsidR="00AD64B4" w:rsidRDefault="008C157F" w:rsidP="00AD64B4">
      <w:pPr>
        <w:jc w:val="both"/>
      </w:pPr>
      <w:r>
        <w:t>The Commission has had little opportunity to discuss preferential treatment to low-income customers in the past, but other states have, and they have come to different conclusions, demonstrating that whether a preferential rate for low-income customers is “</w:t>
      </w:r>
      <w:proofErr w:type="gramStart"/>
      <w:r>
        <w:t>undue</w:t>
      </w:r>
      <w:proofErr w:type="gramEnd"/>
      <w:r>
        <w:t xml:space="preserve">” is an open question. </w:t>
      </w:r>
      <w:r>
        <w:rPr>
          <w:i/>
        </w:rPr>
        <w:t xml:space="preserve">Compare Am. </w:t>
      </w:r>
      <w:proofErr w:type="spellStart"/>
      <w:r>
        <w:rPr>
          <w:i/>
        </w:rPr>
        <w:t>Hoechest</w:t>
      </w:r>
      <w:proofErr w:type="spellEnd"/>
      <w:r>
        <w:rPr>
          <w:i/>
        </w:rPr>
        <w:t xml:space="preserve"> Corp. v. Dep’t of Pub. </w:t>
      </w:r>
      <w:proofErr w:type="spellStart"/>
      <w:proofErr w:type="gramStart"/>
      <w:r>
        <w:rPr>
          <w:i/>
        </w:rPr>
        <w:t>Utils</w:t>
      </w:r>
      <w:proofErr w:type="spellEnd"/>
      <w:r>
        <w:rPr>
          <w:i/>
        </w:rPr>
        <w:t>.</w:t>
      </w:r>
      <w:r>
        <w:t>,</w:t>
      </w:r>
      <w:proofErr w:type="gramEnd"/>
      <w:r>
        <w:t xml:space="preserve"> 399 N.E.2d 1, 3–5 (Mass. 1980) (allowing preferential rates to low-income seniors</w:t>
      </w:r>
      <w:r w:rsidR="00E95E5C">
        <w:t xml:space="preserve"> on an experimental basis</w:t>
      </w:r>
      <w:r>
        <w:t xml:space="preserve">) </w:t>
      </w:r>
      <w:r>
        <w:rPr>
          <w:i/>
        </w:rPr>
        <w:t>with Mtn. States Legal Found.</w:t>
      </w:r>
      <w:r>
        <w:t>, 590 P.2d at 498 (disallowing preferential rates to low-income seniors and low-income disabled customers). As discussed above, this determination is fact-intensive. Thus, the Commission must decide whether the record evidence warrants preferential rates for a small subset of FPL’s low-income ratepayers.</w:t>
      </w:r>
    </w:p>
    <w:p w:rsidR="00AD64B4" w:rsidRDefault="00AD64B4" w:rsidP="005659CD">
      <w:pPr>
        <w:jc w:val="both"/>
      </w:pPr>
    </w:p>
    <w:p w:rsidR="005659CD" w:rsidRPr="004E49DB" w:rsidRDefault="005659CD" w:rsidP="005659CD">
      <w:pPr>
        <w:jc w:val="both"/>
        <w:rPr>
          <w:rFonts w:ascii="Arial" w:hAnsi="Arial" w:cs="Arial"/>
        </w:rPr>
      </w:pPr>
      <w:r w:rsidRPr="004E49DB">
        <w:rPr>
          <w:rFonts w:ascii="Arial" w:hAnsi="Arial" w:cs="Arial"/>
          <w:b/>
        </w:rPr>
        <w:t>Costs Not Fully Funded by Participants</w:t>
      </w:r>
    </w:p>
    <w:p w:rsidR="005659CD" w:rsidRPr="007C4556" w:rsidRDefault="005659CD" w:rsidP="005659CD">
      <w:pPr>
        <w:jc w:val="both"/>
      </w:pPr>
      <w:r>
        <w:t xml:space="preserve">The evidence indicates that the proposed tariff would provide FPL with an alternative funding mechanism that accelerates the development of solar generation. As discussed above, voluntary tariffs </w:t>
      </w:r>
      <w:r w:rsidR="00DB7D9A">
        <w:t xml:space="preserve">have traditionally </w:t>
      </w:r>
      <w:r>
        <w:t>provide</w:t>
      </w:r>
      <w:r w:rsidR="00DB7D9A">
        <w:t>d</w:t>
      </w:r>
      <w:r>
        <w:t xml:space="preserve"> a response to certain customer demands for a certain type of product while holding the general body of ratepayers harmless. FPL’s existing </w:t>
      </w:r>
      <w:proofErr w:type="spellStart"/>
      <w:r>
        <w:t>SolarNow</w:t>
      </w:r>
      <w:proofErr w:type="spellEnd"/>
      <w:r>
        <w:t xml:space="preserve"> program is consistent with this policy and is designed to hold non-participating customers harmless from any increased expenses while the fuel saving benefits are realized equally among all ratepayers.</w:t>
      </w:r>
      <w:r w:rsidR="00D97D32">
        <w:rPr>
          <w:rStyle w:val="FootnoteReference"/>
        </w:rPr>
        <w:footnoteReference w:id="12"/>
      </w:r>
      <w:r>
        <w:t xml:space="preserve"> Unlike prior Commission decisions regarding voluntary tariffs, the participating customers of the proposed Program would not pay the full cost of the Program. For example, the administrative costs of approximately $11.5 million would be booked as a </w:t>
      </w:r>
      <w:r w:rsidR="007E65DF">
        <w:t xml:space="preserve">base </w:t>
      </w:r>
      <w:r>
        <w:t>rate expense for FPL’s s</w:t>
      </w:r>
      <w:r w:rsidR="00E232DD">
        <w:t>urveillance reporting. (TR 322, 324</w:t>
      </w:r>
      <w:r>
        <w:t>) Also, the cumulative present value of revenues to be collected from participating customers is $1.3 billion (72.9 percent) of the $1.8 billion associated with the 1,490 MW of solar generation. (EXH 42, BSP 281) FPL witness Bores explained that:</w:t>
      </w:r>
    </w:p>
    <w:p w:rsidR="005659CD" w:rsidRPr="0034311B" w:rsidRDefault="005659CD" w:rsidP="005659CD">
      <w:pPr>
        <w:jc w:val="both"/>
        <w:rPr>
          <w:highlight w:val="yellow"/>
        </w:rPr>
      </w:pPr>
    </w:p>
    <w:p w:rsidR="00BF504B" w:rsidRDefault="005659CD" w:rsidP="00BF504B">
      <w:pPr>
        <w:ind w:left="720" w:right="720"/>
        <w:jc w:val="both"/>
      </w:pPr>
      <w:r>
        <w:lastRenderedPageBreak/>
        <w:t xml:space="preserve"> . . . </w:t>
      </w:r>
      <w:r w:rsidRPr="008B4B5F">
        <w:t>We are levelizing this revenue requirement. And if you think about a revenue</w:t>
      </w:r>
      <w:r>
        <w:t xml:space="preserve"> </w:t>
      </w:r>
      <w:r w:rsidRPr="008B4B5F">
        <w:t>requirement, it normally declines over time. Right. So</w:t>
      </w:r>
      <w:r>
        <w:t xml:space="preserve"> </w:t>
      </w:r>
      <w:r w:rsidRPr="008B4B5F">
        <w:t>we -- to minimize the day-one charge and make it,</w:t>
      </w:r>
      <w:r>
        <w:t xml:space="preserve"> </w:t>
      </w:r>
      <w:r w:rsidRPr="008B4B5F">
        <w:t>quote-unquote, "economical" and encourage and meet the needs of the customers here, we have levelized that charge. So, in the short term, there will be a difference between the levelized charge to the participants and the actual revenue requirement that will sit in rate base that will turn around over the</w:t>
      </w:r>
      <w:r>
        <w:t xml:space="preserve"> </w:t>
      </w:r>
      <w:r w:rsidRPr="008B4B5F">
        <w:t>life of the project</w:t>
      </w:r>
      <w:r>
        <w:t xml:space="preserve"> . . .</w:t>
      </w:r>
    </w:p>
    <w:p w:rsidR="00BF504B" w:rsidRDefault="00BF504B" w:rsidP="00BF504B">
      <w:pPr>
        <w:ind w:left="720" w:right="720"/>
        <w:jc w:val="both"/>
      </w:pPr>
    </w:p>
    <w:p w:rsidR="005659CD" w:rsidRDefault="005659CD" w:rsidP="00BF504B">
      <w:pPr>
        <w:ind w:right="720"/>
        <w:jc w:val="both"/>
      </w:pPr>
      <w:r>
        <w:t>(TR 410)</w:t>
      </w:r>
    </w:p>
    <w:p w:rsidR="005659CD" w:rsidRDefault="005659CD" w:rsidP="005659CD">
      <w:pPr>
        <w:jc w:val="both"/>
        <w:rPr>
          <w:highlight w:val="yellow"/>
        </w:rPr>
      </w:pPr>
    </w:p>
    <w:p w:rsidR="005659CD" w:rsidRDefault="005659CD" w:rsidP="005659CD">
      <w:pPr>
        <w:jc w:val="both"/>
      </w:pPr>
      <w:r w:rsidRPr="00F04807">
        <w:t xml:space="preserve">The line graph below shows </w:t>
      </w:r>
      <w:r>
        <w:t xml:space="preserve">that </w:t>
      </w:r>
      <w:r w:rsidRPr="00F04807">
        <w:t>in 2022 there will be a revenue deficiency of approximately $90 million paid for by the general body of ratepayers. (</w:t>
      </w:r>
      <w:r w:rsidRPr="00224C47">
        <w:t>EXH 39</w:t>
      </w:r>
      <w:r w:rsidR="00224C47" w:rsidRPr="00224C47">
        <w:t>,</w:t>
      </w:r>
      <w:r w:rsidR="00353005">
        <w:t xml:space="preserve"> Amended Interrogatory No. 190</w:t>
      </w:r>
      <w:r w:rsidR="00224C47" w:rsidRPr="00224C47">
        <w:t>, Attachments 4 and 5</w:t>
      </w:r>
      <w:r w:rsidRPr="00F04807">
        <w:t>)</w:t>
      </w:r>
      <w:r w:rsidR="00982C6B">
        <w:t xml:space="preserve"> These revenue deficiencies gradually decrease and </w:t>
      </w:r>
      <w:r w:rsidR="00CA32E8">
        <w:t>may</w:t>
      </w:r>
      <w:r w:rsidR="00982C6B">
        <w:t xml:space="preserve"> be ad</w:t>
      </w:r>
      <w:r w:rsidR="00CA32E8">
        <w:t>dressed</w:t>
      </w:r>
      <w:r w:rsidR="00982C6B">
        <w:t xml:space="preserve"> at e</w:t>
      </w:r>
      <w:r w:rsidR="00C931EE">
        <w:t>ach subsequent rate proceeding.</w:t>
      </w:r>
    </w:p>
    <w:p w:rsidR="005659CD" w:rsidRDefault="005659CD" w:rsidP="005659CD">
      <w:pPr>
        <w:jc w:val="both"/>
      </w:pPr>
    </w:p>
    <w:p w:rsidR="005659CD" w:rsidRPr="00615224" w:rsidRDefault="005659CD" w:rsidP="005659CD">
      <w:pPr>
        <w:jc w:val="center"/>
        <w:rPr>
          <w:b/>
        </w:rPr>
      </w:pPr>
      <w:r w:rsidRPr="00615224">
        <w:rPr>
          <w:b/>
        </w:rPr>
        <w:t>Figure 2-</w:t>
      </w:r>
      <w:r w:rsidR="00446D41">
        <w:rPr>
          <w:b/>
        </w:rPr>
        <w:t>1</w:t>
      </w:r>
    </w:p>
    <w:p w:rsidR="005659CD" w:rsidRDefault="005659CD" w:rsidP="005659CD">
      <w:pPr>
        <w:jc w:val="center"/>
        <w:rPr>
          <w:highlight w:val="yellow"/>
        </w:rPr>
      </w:pPr>
      <w:r>
        <w:rPr>
          <w:noProof/>
        </w:rPr>
        <w:drawing>
          <wp:inline distT="0" distB="0" distL="0" distR="0">
            <wp:extent cx="5916295" cy="2566035"/>
            <wp:effectExtent l="0" t="0" r="8255" b="5715"/>
            <wp:docPr id="6" name="Picture 6" descr="\\Fp1\data\psc\ENG\WP\2019 DOCKETS\DOCKET NO. 20190061-EI (FPL SolarTogether)\01 DN 20190061-EI (FPL Solar) RECOM 03-03-20\DRAFTS\ST Rev Req vs. Part Contrib Chart - Exh.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1\data\psc\ENG\WP\2019 DOCKETS\DOCKET NO. 20190061-EI (FPL SolarTogether)\01 DN 20190061-EI (FPL Solar) RECOM 03-03-20\DRAFTS\ST Rev Req vs. Part Contrib Chart - Exh. 3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6295" cy="2566035"/>
                    </a:xfrm>
                    <a:prstGeom prst="rect">
                      <a:avLst/>
                    </a:prstGeom>
                    <a:noFill/>
                    <a:ln>
                      <a:noFill/>
                    </a:ln>
                  </pic:spPr>
                </pic:pic>
              </a:graphicData>
            </a:graphic>
          </wp:inline>
        </w:drawing>
      </w:r>
    </w:p>
    <w:p w:rsidR="005659CD" w:rsidRPr="00353005" w:rsidRDefault="005659CD" w:rsidP="005659CD">
      <w:pPr>
        <w:ind w:firstLine="720"/>
        <w:rPr>
          <w:sz w:val="20"/>
          <w:szCs w:val="20"/>
        </w:rPr>
      </w:pPr>
      <w:r w:rsidRPr="00615224">
        <w:rPr>
          <w:sz w:val="20"/>
          <w:szCs w:val="20"/>
        </w:rPr>
        <w:t xml:space="preserve">Source: </w:t>
      </w:r>
      <w:r w:rsidRPr="00353005">
        <w:rPr>
          <w:sz w:val="20"/>
          <w:szCs w:val="20"/>
        </w:rPr>
        <w:t>(EXH 39</w:t>
      </w:r>
      <w:r w:rsidR="00224C47" w:rsidRPr="00353005">
        <w:rPr>
          <w:sz w:val="20"/>
          <w:szCs w:val="20"/>
        </w:rPr>
        <w:t>,</w:t>
      </w:r>
      <w:r w:rsidR="00353005" w:rsidRPr="00353005">
        <w:rPr>
          <w:sz w:val="20"/>
          <w:szCs w:val="20"/>
        </w:rPr>
        <w:t xml:space="preserve"> Amended Interrogatory No. 190</w:t>
      </w:r>
      <w:r w:rsidR="00224C47" w:rsidRPr="00353005">
        <w:rPr>
          <w:sz w:val="20"/>
          <w:szCs w:val="20"/>
        </w:rPr>
        <w:t>, Attachments 4 and 5</w:t>
      </w:r>
      <w:r w:rsidRPr="00353005">
        <w:rPr>
          <w:sz w:val="20"/>
          <w:szCs w:val="20"/>
        </w:rPr>
        <w:t>)</w:t>
      </w:r>
    </w:p>
    <w:p w:rsidR="005659CD" w:rsidRPr="0034311B" w:rsidRDefault="005659CD" w:rsidP="005659CD">
      <w:pPr>
        <w:jc w:val="both"/>
        <w:rPr>
          <w:highlight w:val="yellow"/>
        </w:rPr>
      </w:pPr>
    </w:p>
    <w:p w:rsidR="00165260" w:rsidRDefault="0067075C" w:rsidP="005659CD">
      <w:pPr>
        <w:jc w:val="both"/>
      </w:pPr>
      <w:r>
        <w:t xml:space="preserve">OPC </w:t>
      </w:r>
      <w:r w:rsidR="00165260">
        <w:t xml:space="preserve">contends </w:t>
      </w:r>
      <w:r>
        <w:t xml:space="preserve">that </w:t>
      </w:r>
      <w:r w:rsidR="00165260">
        <w:t xml:space="preserve">the participating customers of the proposed Program would not </w:t>
      </w:r>
      <w:r w:rsidR="00C57AAC">
        <w:t xml:space="preserve">cover </w:t>
      </w:r>
      <w:r w:rsidR="00165260">
        <w:t>the full cost of the Program and that</w:t>
      </w:r>
      <w:r>
        <w:t xml:space="preserve"> FPL’s claims that participants pay </w:t>
      </w:r>
      <w:r w:rsidR="00165260">
        <w:t>1</w:t>
      </w:r>
      <w:r>
        <w:t xml:space="preserve">00 percent or more of </w:t>
      </w:r>
      <w:r w:rsidR="001E1EF8">
        <w:t>Program</w:t>
      </w:r>
      <w:r>
        <w:t xml:space="preserve"> costs, or that non-participants pay none of the </w:t>
      </w:r>
      <w:r w:rsidR="001E1EF8">
        <w:t>Program</w:t>
      </w:r>
      <w:r>
        <w:t xml:space="preserve"> costs, are misleading. OPC argues that FPL is seeking recovery of the entire cost of the Program, which is forecasted to be $1.8 billion</w:t>
      </w:r>
      <w:r w:rsidR="00F66F65">
        <w:t>.</w:t>
      </w:r>
      <w:r>
        <w:t xml:space="preserve"> In contrast, </w:t>
      </w:r>
      <w:r w:rsidR="00E55A3A">
        <w:t>OPC notes that participants would</w:t>
      </w:r>
      <w:r>
        <w:t xml:space="preserve"> only contribute $1.3 billion, a $0.5 billion shortfall that would have to be made up for by the general body of ratepayers, 97 percent of whom would be non-participants. (OPC BR 10-11)</w:t>
      </w:r>
      <w:r w:rsidR="00165260">
        <w:t xml:space="preserve"> </w:t>
      </w:r>
    </w:p>
    <w:p w:rsidR="00165260" w:rsidRDefault="00165260" w:rsidP="005659CD">
      <w:pPr>
        <w:jc w:val="both"/>
      </w:pPr>
    </w:p>
    <w:p w:rsidR="005659CD" w:rsidRDefault="005659CD" w:rsidP="005659CD">
      <w:pPr>
        <w:jc w:val="both"/>
      </w:pPr>
      <w:r>
        <w:t xml:space="preserve">Staff </w:t>
      </w:r>
      <w:r w:rsidR="00CA32E8">
        <w:t>observes</w:t>
      </w:r>
      <w:r>
        <w:t xml:space="preserve"> that such a disparity in the magnitude of savings and the relative payback shifts the majority of risk to the general body of ratepayers</w:t>
      </w:r>
      <w:r w:rsidR="00BF504B">
        <w:t>,</w:t>
      </w:r>
      <w:r>
        <w:t xml:space="preserve"> </w:t>
      </w:r>
      <w:r w:rsidR="00165260">
        <w:t xml:space="preserve">which </w:t>
      </w:r>
      <w:r w:rsidR="00A14A11">
        <w:t>may be unduly discriminatory</w:t>
      </w:r>
      <w:r>
        <w:t>. To cover 100 percent of the costs associated with the solar facilities, the participating customer charge would have to be increased from $6.76/kW-mo</w:t>
      </w:r>
      <w:r w:rsidR="00BF504B">
        <w:t>nth</w:t>
      </w:r>
      <w:r>
        <w:t xml:space="preserve"> to $9.23/kW-mo</w:t>
      </w:r>
      <w:r w:rsidR="00BF504B">
        <w:t>nth</w:t>
      </w:r>
      <w:r>
        <w:t>. (EXH 42, BSP 281; EXH 46, BSP 328)</w:t>
      </w:r>
      <w:r w:rsidRPr="00B845FB">
        <w:t xml:space="preserve"> </w:t>
      </w:r>
      <w:r>
        <w:t xml:space="preserve">Staff recommends that such a disparity in the allocation of costs is </w:t>
      </w:r>
      <w:r>
        <w:lastRenderedPageBreak/>
        <w:t>inconsistent with the Commission’s policy to hold non-participating customers harmless when offering a voluntary tariff for a special service.</w:t>
      </w:r>
    </w:p>
    <w:p w:rsidR="00723AF0" w:rsidRDefault="00723AF0" w:rsidP="005659CD">
      <w:pPr>
        <w:jc w:val="both"/>
      </w:pPr>
    </w:p>
    <w:p w:rsidR="005659CD" w:rsidRPr="00765588" w:rsidRDefault="005659CD" w:rsidP="005659CD">
      <w:pPr>
        <w:jc w:val="both"/>
        <w:rPr>
          <w:rFonts w:ascii="Arial" w:hAnsi="Arial" w:cs="Arial"/>
          <w:b/>
        </w:rPr>
      </w:pPr>
      <w:r w:rsidRPr="00765588">
        <w:rPr>
          <w:rFonts w:ascii="Arial" w:hAnsi="Arial" w:cs="Arial"/>
          <w:b/>
        </w:rPr>
        <w:t>Alternative to Net</w:t>
      </w:r>
      <w:r>
        <w:rPr>
          <w:rFonts w:ascii="Arial" w:hAnsi="Arial" w:cs="Arial"/>
          <w:b/>
        </w:rPr>
        <w:t xml:space="preserve"> M</w:t>
      </w:r>
      <w:r w:rsidRPr="00765588">
        <w:rPr>
          <w:rFonts w:ascii="Arial" w:hAnsi="Arial" w:cs="Arial"/>
          <w:b/>
        </w:rPr>
        <w:t>etering</w:t>
      </w:r>
    </w:p>
    <w:p w:rsidR="00234EBB" w:rsidRDefault="00234EBB" w:rsidP="00234EBB">
      <w:pPr>
        <w:jc w:val="both"/>
      </w:pPr>
      <w:r>
        <w:t xml:space="preserve">FPL witness Valle discussed the Program as an alternative to net metering, especially for those customers who are unable or unwilling to do so. (TR 49) Under a traditional net metering arrangement, a customer would shoulder the full capital cost and construction risk of installing solar generation on their premise. </w:t>
      </w:r>
      <w:r w:rsidR="006D6046">
        <w:t xml:space="preserve">(TR 143-144) </w:t>
      </w:r>
      <w:r>
        <w:t xml:space="preserve">The customer would not be able to transfer the solar facilities to another location and the payback would be affected by the performance of the solar facilities and future utility fuel and emission costs. </w:t>
      </w:r>
      <w:r w:rsidR="006D6046">
        <w:t xml:space="preserve">(TR 144-145) </w:t>
      </w:r>
      <w:r>
        <w:t xml:space="preserve">According to witness Valle, such a traditional net metering arrangement should have a payback of between 10 to 12 years. (TR </w:t>
      </w:r>
      <w:r w:rsidR="00E95E5C">
        <w:t>688</w:t>
      </w:r>
      <w:r>
        <w:t>) Under the proposed Program and associated tariff, participants face no upfront capital or maintenance costs, an</w:t>
      </w:r>
      <w:r w:rsidR="00D22558">
        <w:t xml:space="preserve">d may exit the Program with one </w:t>
      </w:r>
      <w:r>
        <w:t xml:space="preserve">month’s notice. </w:t>
      </w:r>
      <w:r w:rsidR="006D6046">
        <w:t xml:space="preserve">(TR 146-147) </w:t>
      </w:r>
      <w:r>
        <w:t>Furthermore, the subscription charges and credits were designed by FPL to give a</w:t>
      </w:r>
      <w:r w:rsidR="00CA32E8">
        <w:t>n essentially</w:t>
      </w:r>
      <w:r>
        <w:t xml:space="preserve"> </w:t>
      </w:r>
      <w:r w:rsidR="00EE015F">
        <w:t>guaranteed payback period of eight</w:t>
      </w:r>
      <w:r>
        <w:t xml:space="preserve"> years.</w:t>
      </w:r>
      <w:r w:rsidR="00B35F6B">
        <w:t xml:space="preserve"> (TR 323; EXH 46, BSP 322)</w:t>
      </w:r>
      <w:r>
        <w:t xml:space="preserve"> Participants would also be eligible to transfer their participation to a new location within FPL’s service territory. </w:t>
      </w:r>
      <w:r w:rsidR="00B35F6B">
        <w:t xml:space="preserve">(TR 61) </w:t>
      </w:r>
      <w:r>
        <w:t xml:space="preserve">Overall, compared to traditional net metering, the Program offers reduced risk and increased and </w:t>
      </w:r>
      <w:r w:rsidR="00CA32E8">
        <w:t>essentially</w:t>
      </w:r>
      <w:r>
        <w:t xml:space="preserve"> guaranteed rewards for participants.</w:t>
      </w:r>
      <w:r w:rsidR="00B35F6B">
        <w:t xml:space="preserve"> (TR 146)</w:t>
      </w:r>
    </w:p>
    <w:p w:rsidR="00234EBB" w:rsidRDefault="00234EBB" w:rsidP="00234EBB">
      <w:pPr>
        <w:jc w:val="both"/>
      </w:pPr>
    </w:p>
    <w:p w:rsidR="00234EBB" w:rsidRDefault="00234EBB" w:rsidP="00F775FB">
      <w:pPr>
        <w:tabs>
          <w:tab w:val="left" w:pos="1350"/>
        </w:tabs>
        <w:jc w:val="both"/>
      </w:pPr>
      <w:r>
        <w:t xml:space="preserve">The Utility is impacted by traditional net metering in that it would have lower energy and/or demand sales, producing less overall revenue. </w:t>
      </w:r>
      <w:r w:rsidR="006D6046">
        <w:t xml:space="preserve">(TR 74) </w:t>
      </w:r>
      <w:r>
        <w:t xml:space="preserve">While the Utility’s energy </w:t>
      </w:r>
      <w:r w:rsidR="00BF2BC2">
        <w:t>costs</w:t>
      </w:r>
      <w:r>
        <w:t xml:space="preserve"> would be offset by reduced fuel</w:t>
      </w:r>
      <w:r w:rsidR="00141670">
        <w:t xml:space="preserve"> costs</w:t>
      </w:r>
      <w:r>
        <w:t>, base rates would not be offset. These base rate reductio</w:t>
      </w:r>
      <w:r w:rsidR="00B65B00">
        <w:t xml:space="preserve">ns would be taken into account </w:t>
      </w:r>
      <w:r>
        <w:t>at the Utility’s next base rate proceeding, in which the Utility’s fixed costs would have to be spread across a smaller amount of demand and energy sales</w:t>
      </w:r>
      <w:r w:rsidR="00BF2BC2">
        <w:t xml:space="preserve"> resulting in an increase of base rates to the general body of ratepayers</w:t>
      </w:r>
      <w:r>
        <w:t xml:space="preserve">. </w:t>
      </w:r>
      <w:r w:rsidR="006D6046">
        <w:t xml:space="preserve">(EXH 38, BSP 70-71) </w:t>
      </w:r>
      <w:r>
        <w:t xml:space="preserve">Under the proposed tariff, FPL would not see any reduction in kWh sales or revenues between rate cases. </w:t>
      </w:r>
      <w:r w:rsidR="00F775FB">
        <w:t xml:space="preserve">(EXH 38, BSP 71) </w:t>
      </w:r>
      <w:r>
        <w:t>The subscription charge would also reduce base rate risks for the Utility as it is recovered on a fixed monthly basis similar to the customer charge, rather than on an energy or demand basis for traditional generation additions.</w:t>
      </w:r>
    </w:p>
    <w:p w:rsidR="00234EBB" w:rsidRDefault="00234EBB" w:rsidP="00234EBB">
      <w:pPr>
        <w:jc w:val="both"/>
      </w:pPr>
    </w:p>
    <w:p w:rsidR="00234EBB" w:rsidRDefault="00234EBB" w:rsidP="00234EBB">
      <w:pPr>
        <w:jc w:val="both"/>
      </w:pPr>
      <w:r>
        <w:t>As risks decrease for the participants and the Utility, they increase for the general body of ratepayers. As the SolarTogether facilities would be in</w:t>
      </w:r>
      <w:r w:rsidR="003454F3">
        <w:t>cluded in FPL’s rate base</w:t>
      </w:r>
      <w:r>
        <w:t>, the general body of ratepayers would be responsible for the capital, construction, O&amp;M and other costs. The general body of ratepayers would also see an immediate increase in rates from the su</w:t>
      </w:r>
      <w:r w:rsidR="00CF7DC8">
        <w:t>bscription credits through the fuel c</w:t>
      </w:r>
      <w:r>
        <w:t>lause. (EXH 38, BSP 149) As the subscription credits are based on a forecast of benefits over the full life of the units, th</w:t>
      </w:r>
      <w:r w:rsidR="00F147BD">
        <w:t>e general body of ratepayers have</w:t>
      </w:r>
      <w:r>
        <w:t xml:space="preserve"> all fuel and emissions costs risks shifted to them from the participants. As such, the Program and </w:t>
      </w:r>
      <w:r w:rsidR="00F147BD">
        <w:t xml:space="preserve">proposed </w:t>
      </w:r>
      <w:r>
        <w:t xml:space="preserve">tariff shifts the majority of risk associated with traditional net metering to the general body of ratepayers and may be </w:t>
      </w:r>
      <w:r w:rsidRPr="00BF504B">
        <w:t>unduly discriminatory.</w:t>
      </w:r>
    </w:p>
    <w:p w:rsidR="005659CD" w:rsidRDefault="005659CD" w:rsidP="005659CD">
      <w:pPr>
        <w:jc w:val="both"/>
      </w:pPr>
    </w:p>
    <w:p w:rsidR="005659CD" w:rsidRPr="00765588" w:rsidRDefault="005659CD" w:rsidP="005659CD">
      <w:pPr>
        <w:jc w:val="both"/>
        <w:rPr>
          <w:rFonts w:ascii="Arial" w:hAnsi="Arial" w:cs="Arial"/>
        </w:rPr>
      </w:pPr>
      <w:r w:rsidRPr="00765588">
        <w:rPr>
          <w:rFonts w:ascii="Arial" w:hAnsi="Arial" w:cs="Arial"/>
          <w:b/>
        </w:rPr>
        <w:t>Subsequent Participant Allocation</w:t>
      </w:r>
    </w:p>
    <w:p w:rsidR="005659CD" w:rsidRDefault="005659CD" w:rsidP="005659CD">
      <w:pPr>
        <w:jc w:val="both"/>
      </w:pPr>
      <w:r>
        <w:t>In response to staff interrogatory number 65, FPL stated that approval of the Program would “include FPL’s right to reallocate capacity among customer groups…” and that over time as “customer attitudes and behaviors change, increasing the allocation to or near 100 percent may be appropriate.”</w:t>
      </w:r>
      <w:r w:rsidRPr="00DE624E">
        <w:t xml:space="preserve"> </w:t>
      </w:r>
      <w:r>
        <w:t>Such a reallocation would</w:t>
      </w:r>
      <w:r w:rsidRPr="00DE624E">
        <w:t xml:space="preserve"> </w:t>
      </w:r>
      <w:r>
        <w:t xml:space="preserve">not require Commission approval according to FPL. (EXH 38, BSP 126-127; EXH 38, BSP 184) Approving FPL’s request would grant the Utility </w:t>
      </w:r>
      <w:r w:rsidR="00393668">
        <w:lastRenderedPageBreak/>
        <w:t xml:space="preserve">complete discretion </w:t>
      </w:r>
      <w:r>
        <w:t xml:space="preserve">to </w:t>
      </w:r>
      <w:r w:rsidR="001D2046">
        <w:t xml:space="preserve">unilaterally </w:t>
      </w:r>
      <w:r>
        <w:t>reallocate the Program’s capacity between residential and large commercial/industrial customers. FPL did acknowledge that it would notify the Commission</w:t>
      </w:r>
      <w:r w:rsidR="00BF504B">
        <w:t xml:space="preserve"> in that event</w:t>
      </w:r>
      <w:r>
        <w:t xml:space="preserve">. (EXH 38, BSP 126) However, such a reallocation could occur hours or days after the initial web-site offering to residential and small </w:t>
      </w:r>
      <w:r w:rsidR="0027634C">
        <w:t xml:space="preserve">business </w:t>
      </w:r>
      <w:r>
        <w:t xml:space="preserve">customers. Since the </w:t>
      </w:r>
      <w:r w:rsidR="0027634C">
        <w:t xml:space="preserve">proposed </w:t>
      </w:r>
      <w:r>
        <w:t>tariff is in response to customer desires and not cost of service, staff recommends that allowing FPL to unilaterally reallocate Program capacity values could compound the</w:t>
      </w:r>
      <w:r w:rsidR="00BF504B">
        <w:t xml:space="preserve"> discriminatory/preferential </w:t>
      </w:r>
      <w:r>
        <w:t>issues discussed above.</w:t>
      </w:r>
    </w:p>
    <w:p w:rsidR="00E92BB4" w:rsidRDefault="00E92BB4" w:rsidP="00E92BB4">
      <w:pPr>
        <w:jc w:val="both"/>
        <w:rPr>
          <w:rFonts w:ascii="Arial" w:hAnsi="Arial" w:cs="Arial"/>
          <w:b/>
        </w:rPr>
      </w:pPr>
    </w:p>
    <w:p w:rsidR="004E202A" w:rsidRPr="000F2549" w:rsidRDefault="004E202A" w:rsidP="00E92BB4">
      <w:pPr>
        <w:jc w:val="both"/>
        <w:rPr>
          <w:rFonts w:ascii="Arial" w:hAnsi="Arial" w:cs="Arial"/>
          <w:b/>
        </w:rPr>
      </w:pPr>
      <w:r>
        <w:rPr>
          <w:rFonts w:ascii="Arial" w:hAnsi="Arial" w:cs="Arial"/>
          <w:b/>
        </w:rPr>
        <w:t>Summary of Joint Movants</w:t>
      </w:r>
      <w:r w:rsidR="00982C6B">
        <w:rPr>
          <w:rFonts w:ascii="Arial" w:hAnsi="Arial" w:cs="Arial"/>
          <w:b/>
        </w:rPr>
        <w:t>’</w:t>
      </w:r>
      <w:r>
        <w:rPr>
          <w:rFonts w:ascii="Arial" w:hAnsi="Arial" w:cs="Arial"/>
          <w:b/>
        </w:rPr>
        <w:t xml:space="preserve"> Alleged Program Benefits</w:t>
      </w:r>
    </w:p>
    <w:p w:rsidR="00E92BB4" w:rsidRDefault="00E92BB4" w:rsidP="00E92BB4">
      <w:pPr>
        <w:jc w:val="both"/>
      </w:pPr>
      <w:r>
        <w:t>While staff recommends that the</w:t>
      </w:r>
      <w:r w:rsidR="00EC20E6">
        <w:t xml:space="preserve"> Program and</w:t>
      </w:r>
      <w:r>
        <w:t xml:space="preserve"> proposed tariff not be approved because there appears to be </w:t>
      </w:r>
      <w:r w:rsidR="00EC20E6">
        <w:t xml:space="preserve">an </w:t>
      </w:r>
      <w:r>
        <w:t xml:space="preserve">undue preference, the Commission must determine whether the SolarTogether Program, as a whole, is in the public interest. This determination should be made by assessing whether the Program and proposed tariff provide </w:t>
      </w:r>
      <w:r w:rsidR="001D2046">
        <w:t>undue or unreasonable</w:t>
      </w:r>
      <w:r>
        <w:t xml:space="preserve"> different</w:t>
      </w:r>
      <w:r w:rsidR="0027634C">
        <w:t>ial</w:t>
      </w:r>
      <w:r>
        <w:t xml:space="preserve"> treatment between participants and non-participants and that all ratepayers are fairly charged for this </w:t>
      </w:r>
      <w:r w:rsidR="004E202A">
        <w:t>P</w:t>
      </w:r>
      <w:r>
        <w:t xml:space="preserve">rogram. </w:t>
      </w:r>
    </w:p>
    <w:p w:rsidR="00E92BB4" w:rsidRDefault="00E92BB4" w:rsidP="00E92BB4">
      <w:pPr>
        <w:jc w:val="both"/>
      </w:pPr>
    </w:p>
    <w:p w:rsidR="00E92BB4" w:rsidRDefault="00E92BB4" w:rsidP="00E92BB4">
      <w:pPr>
        <w:jc w:val="both"/>
      </w:pPr>
      <w:r>
        <w:t>FPL, SACE, Vote Solar, and Walmart argue that the proposed tariff and Program are in the public interest.</w:t>
      </w:r>
      <w:r w:rsidR="004E202A">
        <w:t xml:space="preserve"> </w:t>
      </w:r>
      <w:r w:rsidR="00F66F65">
        <w:t>Some of the alleged benefits are listed below.</w:t>
      </w:r>
      <w:r>
        <w:t xml:space="preserve"> </w:t>
      </w:r>
    </w:p>
    <w:p w:rsidR="00E92BB4" w:rsidRDefault="00E92BB4" w:rsidP="000F2549">
      <w:pPr>
        <w:jc w:val="both"/>
      </w:pPr>
    </w:p>
    <w:p w:rsidR="00E92BB4" w:rsidRPr="00BD45D4" w:rsidRDefault="00E92BB4" w:rsidP="000F2549">
      <w:pPr>
        <w:pStyle w:val="ListParagraph"/>
        <w:numPr>
          <w:ilvl w:val="0"/>
          <w:numId w:val="13"/>
        </w:numPr>
        <w:spacing w:after="200" w:line="276" w:lineRule="auto"/>
        <w:jc w:val="both"/>
      </w:pPr>
      <w:r>
        <w:t xml:space="preserve">The </w:t>
      </w:r>
      <w:r w:rsidR="00AF651C">
        <w:rPr>
          <w:rFonts w:eastAsiaTheme="minorHAnsi"/>
        </w:rPr>
        <w:t xml:space="preserve">20 solar projects result in </w:t>
      </w:r>
      <w:r w:rsidRPr="00BD45D4">
        <w:rPr>
          <w:rFonts w:eastAsiaTheme="minorHAnsi"/>
        </w:rPr>
        <w:t>gains in fuel diversity and less reliance on fossil fuel and decreases in system emissions, including CO</w:t>
      </w:r>
      <w:r w:rsidRPr="00BD45D4">
        <w:rPr>
          <w:rFonts w:eastAsiaTheme="minorHAnsi"/>
          <w:vertAlign w:val="subscript"/>
        </w:rPr>
        <w:t>2</w:t>
      </w:r>
      <w:r w:rsidRPr="00BD45D4">
        <w:rPr>
          <w:rFonts w:eastAsiaTheme="minorHAnsi"/>
        </w:rPr>
        <w:t>. (TR 299</w:t>
      </w:r>
      <w:r w:rsidR="00687A62">
        <w:rPr>
          <w:rFonts w:eastAsiaTheme="minorHAnsi"/>
        </w:rPr>
        <w:t>, 588</w:t>
      </w:r>
      <w:r w:rsidRPr="00BD45D4">
        <w:rPr>
          <w:rFonts w:eastAsiaTheme="minorHAnsi"/>
        </w:rPr>
        <w:t xml:space="preserve">) </w:t>
      </w:r>
    </w:p>
    <w:p w:rsidR="00E92BB4" w:rsidRPr="005F253F" w:rsidRDefault="00F66F65" w:rsidP="000F2549">
      <w:pPr>
        <w:pStyle w:val="ListParagraph"/>
        <w:numPr>
          <w:ilvl w:val="0"/>
          <w:numId w:val="13"/>
        </w:numPr>
        <w:spacing w:after="200" w:line="276" w:lineRule="auto"/>
        <w:jc w:val="both"/>
      </w:pPr>
      <w:r>
        <w:rPr>
          <w:rFonts w:eastAsiaTheme="minorHAnsi"/>
        </w:rPr>
        <w:t>The</w:t>
      </w:r>
      <w:r w:rsidR="00E92BB4">
        <w:rPr>
          <w:rFonts w:eastAsiaTheme="minorHAnsi"/>
        </w:rPr>
        <w:t xml:space="preserve"> addition of 1,490 M</w:t>
      </w:r>
      <w:r w:rsidR="00B65B00">
        <w:rPr>
          <w:rFonts w:eastAsiaTheme="minorHAnsi"/>
        </w:rPr>
        <w:t>W of solar-powered generation</w:t>
      </w:r>
      <w:r w:rsidR="00E92BB4">
        <w:rPr>
          <w:rFonts w:eastAsiaTheme="minorHAnsi"/>
        </w:rPr>
        <w:t xml:space="preserve"> is </w:t>
      </w:r>
      <w:r w:rsidR="00E92BB4">
        <w:t xml:space="preserve">expected to decrease </w:t>
      </w:r>
      <w:r>
        <w:t>FPL’s</w:t>
      </w:r>
      <w:r w:rsidR="00E92BB4">
        <w:t xml:space="preserve"> </w:t>
      </w:r>
      <w:r w:rsidR="00E92BB4" w:rsidRPr="001606FF">
        <w:t>annual average use of natural gas</w:t>
      </w:r>
      <w:r w:rsidR="00E92BB4">
        <w:t xml:space="preserve"> </w:t>
      </w:r>
      <w:r w:rsidR="00E92BB4" w:rsidRPr="001606FF">
        <w:t>by 21,600 million cubic feet</w:t>
      </w:r>
      <w:r w:rsidR="00E92BB4">
        <w:t xml:space="preserve">. (TR </w:t>
      </w:r>
      <w:r w:rsidR="004E202A">
        <w:t>227-</w:t>
      </w:r>
      <w:r w:rsidR="00E92BB4" w:rsidRPr="001606FF">
        <w:t>228</w:t>
      </w:r>
      <w:r w:rsidR="00E92BB4">
        <w:t>)</w:t>
      </w:r>
    </w:p>
    <w:p w:rsidR="00E92BB4" w:rsidRDefault="00E92BB4" w:rsidP="000F2549">
      <w:pPr>
        <w:pStyle w:val="ListParagraph"/>
        <w:numPr>
          <w:ilvl w:val="0"/>
          <w:numId w:val="13"/>
        </w:numPr>
        <w:spacing w:after="200" w:line="276" w:lineRule="auto"/>
        <w:jc w:val="both"/>
      </w:pPr>
      <w:r>
        <w:t>The Program’s facilities are projected to add 735 MW of firm capacity at the time of summer peak. (TR 224, 234)</w:t>
      </w:r>
    </w:p>
    <w:p w:rsidR="00024973" w:rsidRDefault="00E92BB4" w:rsidP="00BE7B8C">
      <w:pPr>
        <w:pStyle w:val="ListParagraph"/>
        <w:numPr>
          <w:ilvl w:val="0"/>
          <w:numId w:val="13"/>
        </w:numPr>
        <w:spacing w:after="200" w:line="276" w:lineRule="auto"/>
        <w:jc w:val="both"/>
      </w:pPr>
      <w:r>
        <w:t xml:space="preserve">The Program </w:t>
      </w:r>
      <w:r w:rsidR="00BE7B8C">
        <w:t>is consistent with</w:t>
      </w:r>
      <w:r>
        <w:t xml:space="preserve"> the Legislative finding</w:t>
      </w:r>
      <w:r w:rsidR="00BF2BC2">
        <w:t>s</w:t>
      </w:r>
      <w:r w:rsidR="00BE7B8C">
        <w:t xml:space="preserve"> in </w:t>
      </w:r>
      <w:r w:rsidR="006535E8">
        <w:t>Section</w:t>
      </w:r>
      <w:r w:rsidR="00BE7B8C">
        <w:t xml:space="preserve"> 366.92, F</w:t>
      </w:r>
      <w:r w:rsidR="004E202A">
        <w:t>.S.,</w:t>
      </w:r>
      <w:r w:rsidR="00BE7B8C">
        <w:t xml:space="preserve"> </w:t>
      </w:r>
      <w:r>
        <w:t>that it is in the public interest to promote the development of renewable energy resources. (FPL BR 21; SACE BR 6</w:t>
      </w:r>
      <w:r w:rsidR="00882AC7">
        <w:t>;</w:t>
      </w:r>
      <w:r w:rsidR="00AA53D6">
        <w:t xml:space="preserve"> </w:t>
      </w:r>
      <w:r w:rsidR="00AA53D6" w:rsidRPr="00EC20E6">
        <w:t>TR 60</w:t>
      </w:r>
      <w:r w:rsidR="004E202A" w:rsidRPr="00EC20E6">
        <w:t>0</w:t>
      </w:r>
      <w:r>
        <w:t xml:space="preserve">) </w:t>
      </w:r>
    </w:p>
    <w:p w:rsidR="00E92BB4" w:rsidRDefault="00024973" w:rsidP="000F2549">
      <w:pPr>
        <w:pStyle w:val="ListParagraph"/>
        <w:numPr>
          <w:ilvl w:val="0"/>
          <w:numId w:val="13"/>
        </w:numPr>
        <w:tabs>
          <w:tab w:val="left" w:pos="1290"/>
        </w:tabs>
        <w:spacing w:after="200" w:line="276" w:lineRule="auto"/>
        <w:jc w:val="both"/>
      </w:pPr>
      <w:r>
        <w:t xml:space="preserve">The </w:t>
      </w:r>
      <w:r w:rsidR="00BE7B8C">
        <w:t>P</w:t>
      </w:r>
      <w:r>
        <w:t>rogram will expand customer access to clean energy. (TR 599-600, 630)</w:t>
      </w:r>
      <w:r w:rsidR="00E92BB4">
        <w:t xml:space="preserve"> </w:t>
      </w:r>
    </w:p>
    <w:p w:rsidR="00E92BB4" w:rsidRDefault="00AF41E1" w:rsidP="000F2549">
      <w:pPr>
        <w:pStyle w:val="ListParagraph"/>
        <w:numPr>
          <w:ilvl w:val="0"/>
          <w:numId w:val="13"/>
        </w:numPr>
        <w:spacing w:after="200" w:line="276" w:lineRule="auto"/>
        <w:jc w:val="both"/>
      </w:pPr>
      <w:r>
        <w:t>For participants, t</w:t>
      </w:r>
      <w:r w:rsidR="00E92BB4">
        <w:t>he Program is voluntary</w:t>
      </w:r>
      <w:r>
        <w:t xml:space="preserve">, has no long term commitment, </w:t>
      </w:r>
      <w:r w:rsidR="00E92BB4">
        <w:t xml:space="preserve">and </w:t>
      </w:r>
      <w:r>
        <w:t>is portable within FPL’s service territory</w:t>
      </w:r>
      <w:r w:rsidR="00E92BB4">
        <w:t>. (TR 50, 61</w:t>
      </w:r>
      <w:r w:rsidR="00024973">
        <w:t xml:space="preserve">, </w:t>
      </w:r>
      <w:r w:rsidR="00AA53D6">
        <w:t xml:space="preserve">588, </w:t>
      </w:r>
      <w:r w:rsidR="00024973">
        <w:t>631-632</w:t>
      </w:r>
      <w:r w:rsidR="00E92BB4">
        <w:t>)</w:t>
      </w:r>
    </w:p>
    <w:p w:rsidR="00E92BB4" w:rsidRDefault="00BE7B8C" w:rsidP="000F2549">
      <w:pPr>
        <w:pStyle w:val="ListParagraph"/>
        <w:numPr>
          <w:ilvl w:val="0"/>
          <w:numId w:val="13"/>
        </w:numPr>
        <w:spacing w:after="200" w:line="276" w:lineRule="auto"/>
        <w:jc w:val="both"/>
      </w:pPr>
      <w:r>
        <w:t>Approximately 7,500 low-income</w:t>
      </w:r>
      <w:r w:rsidR="00E92BB4" w:rsidRPr="008F1618">
        <w:t xml:space="preserve"> customers will have access to solar with no premium and day one </w:t>
      </w:r>
      <w:r w:rsidR="00315C21">
        <w:t xml:space="preserve">bill </w:t>
      </w:r>
      <w:r w:rsidR="00E92BB4" w:rsidRPr="008F1618">
        <w:t>savings.</w:t>
      </w:r>
      <w:r w:rsidR="00E92BB4">
        <w:t xml:space="preserve"> (TR 136</w:t>
      </w:r>
      <w:r w:rsidR="00AA53D6">
        <w:t>, 589-590, 599,</w:t>
      </w:r>
      <w:r w:rsidR="00882AC7">
        <w:t xml:space="preserve"> </w:t>
      </w:r>
      <w:r w:rsidR="00AA53D6">
        <w:t>634</w:t>
      </w:r>
      <w:r w:rsidR="00E92BB4" w:rsidRPr="008F1618">
        <w:t>)</w:t>
      </w:r>
    </w:p>
    <w:p w:rsidR="00E92BB4" w:rsidRDefault="00E92BB4" w:rsidP="000F2549">
      <w:pPr>
        <w:pStyle w:val="ListParagraph"/>
        <w:numPr>
          <w:ilvl w:val="0"/>
          <w:numId w:val="13"/>
        </w:numPr>
        <w:spacing w:after="200" w:line="276" w:lineRule="auto"/>
        <w:jc w:val="both"/>
      </w:pPr>
      <w:r>
        <w:t xml:space="preserve">The Program </w:t>
      </w:r>
      <w:r w:rsidRPr="008F1618">
        <w:t>removes the barriers associate</w:t>
      </w:r>
      <w:r>
        <w:t>d with private rooftop solar systems</w:t>
      </w:r>
      <w:r w:rsidR="00982C6B">
        <w:t>.</w:t>
      </w:r>
      <w:r>
        <w:t xml:space="preserve"> (TR 81)</w:t>
      </w:r>
    </w:p>
    <w:p w:rsidR="00E92BB4" w:rsidRDefault="00E92BB4" w:rsidP="000F2549">
      <w:pPr>
        <w:pStyle w:val="ListParagraph"/>
        <w:numPr>
          <w:ilvl w:val="0"/>
          <w:numId w:val="13"/>
        </w:numPr>
        <w:spacing w:after="200" w:line="276" w:lineRule="auto"/>
        <w:jc w:val="both"/>
      </w:pPr>
      <w:r>
        <w:t xml:space="preserve">The Program provides “payback period” certainty to customers who cannot afford solar panels or do not </w:t>
      </w:r>
      <w:r w:rsidRPr="00A43B2E">
        <w:t>have ownership of</w:t>
      </w:r>
      <w:r>
        <w:t>,</w:t>
      </w:r>
      <w:r w:rsidRPr="00A43B2E">
        <w:t xml:space="preserve"> or access to</w:t>
      </w:r>
      <w:r>
        <w:t>,</w:t>
      </w:r>
      <w:r w:rsidRPr="00A43B2E">
        <w:t xml:space="preserve"> a roof for the installation of panels</w:t>
      </w:r>
      <w:r w:rsidR="00662163">
        <w:t>. (TR 686, 688-89</w:t>
      </w:r>
      <w:r>
        <w:t>)</w:t>
      </w:r>
    </w:p>
    <w:p w:rsidR="00287111" w:rsidRDefault="00E92BB4" w:rsidP="00287111">
      <w:pPr>
        <w:pStyle w:val="ListParagraph"/>
        <w:numPr>
          <w:ilvl w:val="0"/>
          <w:numId w:val="13"/>
        </w:numPr>
        <w:spacing w:after="200" w:line="276" w:lineRule="auto"/>
        <w:jc w:val="both"/>
      </w:pPr>
      <w:r>
        <w:t>P</w:t>
      </w:r>
      <w:r w:rsidRPr="002E404B">
        <w:t>articipants</w:t>
      </w:r>
      <w:r>
        <w:t xml:space="preserve"> have</w:t>
      </w:r>
      <w:r w:rsidRPr="002E404B">
        <w:t xml:space="preserve"> the option to have the </w:t>
      </w:r>
      <w:r w:rsidR="00982C6B">
        <w:t>RECs</w:t>
      </w:r>
      <w:r w:rsidRPr="002E404B">
        <w:t xml:space="preserve"> associated with their subscription retired on their behalf, thus allowing them to claim the </w:t>
      </w:r>
      <w:r>
        <w:t>e</w:t>
      </w:r>
      <w:r w:rsidRPr="002E404B">
        <w:t>nvironmental attributes.</w:t>
      </w:r>
      <w:r>
        <w:t xml:space="preserve"> (</w:t>
      </w:r>
      <w:r w:rsidRPr="002E404B">
        <w:t>T</w:t>
      </w:r>
      <w:r>
        <w:t>R</w:t>
      </w:r>
      <w:r w:rsidRPr="002E404B">
        <w:t xml:space="preserve"> 61</w:t>
      </w:r>
      <w:r w:rsidR="00AA53D6">
        <w:t>, 612, 624</w:t>
      </w:r>
      <w:r>
        <w:t>)</w:t>
      </w:r>
    </w:p>
    <w:p w:rsidR="00723AF0" w:rsidRDefault="00723AF0">
      <w:pPr>
        <w:rPr>
          <w:rFonts w:ascii="Arial" w:hAnsi="Arial" w:cs="Arial"/>
          <w:b/>
        </w:rPr>
      </w:pPr>
      <w:r>
        <w:rPr>
          <w:rFonts w:ascii="Arial" w:hAnsi="Arial" w:cs="Arial"/>
          <w:b/>
        </w:rPr>
        <w:br w:type="page"/>
      </w:r>
    </w:p>
    <w:p w:rsidR="00E92BB4" w:rsidRDefault="00E92BB4" w:rsidP="00BF504B">
      <w:pPr>
        <w:jc w:val="center"/>
        <w:rPr>
          <w:rFonts w:ascii="Arial" w:hAnsi="Arial" w:cs="Arial"/>
          <w:b/>
        </w:rPr>
      </w:pPr>
      <w:r w:rsidRPr="00293975">
        <w:rPr>
          <w:rFonts w:ascii="Arial" w:hAnsi="Arial" w:cs="Arial"/>
          <w:b/>
        </w:rPr>
        <w:lastRenderedPageBreak/>
        <w:t>Conclusion</w:t>
      </w:r>
    </w:p>
    <w:p w:rsidR="003A3CE3" w:rsidRDefault="003A3CE3" w:rsidP="00E92BB4">
      <w:pPr>
        <w:pStyle w:val="BodyText"/>
        <w:spacing w:after="0"/>
      </w:pPr>
    </w:p>
    <w:p w:rsidR="00E92BB4" w:rsidRPr="004C3641" w:rsidRDefault="00E92BB4" w:rsidP="00E92BB4">
      <w:pPr>
        <w:pStyle w:val="BodyText"/>
        <w:spacing w:after="0"/>
      </w:pPr>
      <w:r>
        <w:t xml:space="preserve">The Commission must </w:t>
      </w:r>
      <w:r w:rsidR="00BE7B8C">
        <w:t>weigh the rec</w:t>
      </w:r>
      <w:r>
        <w:t xml:space="preserve">ord evidence </w:t>
      </w:r>
      <w:r w:rsidR="00BE7B8C">
        <w:t xml:space="preserve">and decide </w:t>
      </w:r>
      <w:r>
        <w:t xml:space="preserve">whether the SolarTogether tariff grants </w:t>
      </w:r>
      <w:r w:rsidR="00EC20E6">
        <w:t xml:space="preserve">an </w:t>
      </w:r>
      <w:r>
        <w:t>undue preference to any group of customers or subjects any other group to</w:t>
      </w:r>
      <w:r w:rsidR="00EC20E6">
        <w:t xml:space="preserve"> an</w:t>
      </w:r>
      <w:r>
        <w:t xml:space="preserve"> undue disadvantage. The record evidence demonstrates that </w:t>
      </w:r>
      <w:r w:rsidR="00351BE9">
        <w:t xml:space="preserve">the </w:t>
      </w:r>
      <w:r>
        <w:t xml:space="preserve">Program and tariff, as proposed, would place additional financial risks on the general body of ratepayers while insulating the Utility and participating customers from such risks. As such, staff recommends that rate schedule STR gives </w:t>
      </w:r>
      <w:r w:rsidR="00EC20E6">
        <w:t xml:space="preserve">an </w:t>
      </w:r>
      <w:r>
        <w:t xml:space="preserve">undue preference to participants and subjects the general body of ratepayers to </w:t>
      </w:r>
      <w:r w:rsidR="00EC20E6">
        <w:t xml:space="preserve">an </w:t>
      </w:r>
      <w:r>
        <w:t>undue disadvantage.</w:t>
      </w:r>
    </w:p>
    <w:p w:rsidR="00E92BB4" w:rsidRDefault="00E92BB4" w:rsidP="005659CD">
      <w:pPr>
        <w:jc w:val="both"/>
      </w:pPr>
    </w:p>
    <w:p w:rsidR="00E92BB4" w:rsidRDefault="00E92BB4">
      <w:r>
        <w:br w:type="page"/>
      </w:r>
    </w:p>
    <w:p w:rsidR="00334F9A" w:rsidRPr="00A75942" w:rsidRDefault="00334F9A" w:rsidP="00A75942">
      <w:pPr>
        <w:pStyle w:val="IssueHeading"/>
        <w:rPr>
          <w:rFonts w:ascii="Times New Roman" w:hAnsi="Times New Roman" w:cs="Times New Roman"/>
          <w:b w:val="0"/>
          <w:i w:val="0"/>
        </w:rPr>
      </w:pPr>
      <w:r w:rsidRPr="004C3641">
        <w:lastRenderedPageBreak/>
        <w:t xml:space="preserve">Issue </w:t>
      </w:r>
      <w:r w:rsidR="003E7FDD">
        <w:fldChar w:fldCharType="begin"/>
      </w:r>
      <w:r w:rsidR="003E7FDD">
        <w:instrText xml:space="preserve"> SEQ Issue \* MERGEFORMAT </w:instrText>
      </w:r>
      <w:r w:rsidR="003E7FDD">
        <w:fldChar w:fldCharType="separate"/>
      </w:r>
      <w:r w:rsidR="00D87C5F">
        <w:rPr>
          <w:noProof/>
        </w:rPr>
        <w:t>3</w:t>
      </w:r>
      <w:r w:rsidR="003E7FDD">
        <w:rPr>
          <w:noProof/>
        </w:rPr>
        <w:fldChar w:fldCharType="end"/>
      </w:r>
      <w:r w:rsidRPr="004C3641">
        <w:t>:</w:t>
      </w:r>
      <w:r w:rsidR="007D3266">
        <w:fldChar w:fldCharType="begin"/>
      </w:r>
      <w:r>
        <w:instrText xml:space="preserve"> TC "</w:instrText>
      </w:r>
      <w:r w:rsidR="007D3266">
        <w:fldChar w:fldCharType="begin"/>
      </w:r>
      <w:r>
        <w:instrText xml:space="preserve"> SEQ issue \c </w:instrText>
      </w:r>
      <w:r w:rsidR="007D3266">
        <w:fldChar w:fldCharType="separate"/>
      </w:r>
      <w:r w:rsidR="00D87C5F">
        <w:rPr>
          <w:noProof/>
        </w:rPr>
        <w:instrText>3</w:instrText>
      </w:r>
      <w:r w:rsidR="007D3266">
        <w:fldChar w:fldCharType="end"/>
      </w:r>
      <w:r>
        <w:tab/>
        <w:instrText xml:space="preserve">" \l 1 </w:instrText>
      </w:r>
      <w:r w:rsidR="007D3266">
        <w:fldChar w:fldCharType="end"/>
      </w:r>
      <w:r>
        <w:t> </w:t>
      </w:r>
      <w:r w:rsidRPr="00A75942">
        <w:rPr>
          <w:rFonts w:ascii="Times New Roman" w:hAnsi="Times New Roman" w:cs="Times New Roman"/>
          <w:b w:val="0"/>
          <w:i w:val="0"/>
        </w:rPr>
        <w:t> </w:t>
      </w:r>
      <w:r w:rsidR="00070652" w:rsidRPr="00A75942">
        <w:rPr>
          <w:rFonts w:ascii="Times New Roman" w:hAnsi="Times New Roman" w:cs="Times New Roman"/>
          <w:b w:val="0"/>
          <w:i w:val="0"/>
        </w:rPr>
        <w:t xml:space="preserve">Should the Commission allow recovery of all costs and expenses associated with FPL’s proposed </w:t>
      </w:r>
      <w:r w:rsidR="00E4520C">
        <w:rPr>
          <w:rFonts w:ascii="Times New Roman" w:hAnsi="Times New Roman" w:cs="Times New Roman"/>
          <w:b w:val="0"/>
          <w:i w:val="0"/>
        </w:rPr>
        <w:t xml:space="preserve">SolarTogether </w:t>
      </w:r>
      <w:r w:rsidR="00070652" w:rsidRPr="00A75942">
        <w:rPr>
          <w:rFonts w:ascii="Times New Roman" w:hAnsi="Times New Roman" w:cs="Times New Roman"/>
          <w:b w:val="0"/>
          <w:i w:val="0"/>
        </w:rPr>
        <w:t>Program in the manner proposed by FPL?</w:t>
      </w:r>
    </w:p>
    <w:p w:rsidR="00F132FE" w:rsidRDefault="00F04B7B" w:rsidP="00861A7B">
      <w:pPr>
        <w:jc w:val="both"/>
        <w:rPr>
          <w:b/>
          <w:i/>
        </w:rPr>
      </w:pPr>
      <w:r w:rsidRPr="00C3651A">
        <w:rPr>
          <w:rFonts w:ascii="Arial" w:hAnsi="Arial" w:cs="Arial"/>
          <w:b/>
          <w:i/>
        </w:rPr>
        <w:t>Recommendation</w:t>
      </w:r>
      <w:r w:rsidRPr="000F197B">
        <w:rPr>
          <w:b/>
        </w:rPr>
        <w:t>:</w:t>
      </w:r>
      <w:r>
        <w:tab/>
      </w:r>
      <w:r w:rsidR="00E83F46">
        <w:t>No. T</w:t>
      </w:r>
      <w:r>
        <w:t>he Commission should not approve any cost recovery at this time.</w:t>
      </w:r>
      <w:r w:rsidR="000F197B">
        <w:t xml:space="preserve"> FPL’s 2019 TYSP, which includes over 1,700 MW of future solar generation</w:t>
      </w:r>
      <w:r w:rsidR="000F197B" w:rsidRPr="00532FAF">
        <w:t xml:space="preserve"> </w:t>
      </w:r>
      <w:r w:rsidR="000F197B">
        <w:t>by 2022, is the least-cost plan resulting in the lowest levelized system average electric rate for all of</w:t>
      </w:r>
      <w:r w:rsidR="00347041">
        <w:t xml:space="preserve"> FPL’s general body of ratepayers</w:t>
      </w:r>
      <w:r w:rsidR="000F197B">
        <w:t>.</w:t>
      </w:r>
      <w:r w:rsidR="000F197B" w:rsidRPr="00C436CD">
        <w:t xml:space="preserve"> </w:t>
      </w:r>
      <w:r w:rsidR="000F197B">
        <w:t>Projects 1,</w:t>
      </w:r>
      <w:r w:rsidR="00A2406E">
        <w:t xml:space="preserve"> 2, and 3, approximately 900 MW</w:t>
      </w:r>
      <w:r w:rsidR="000F197B">
        <w:t xml:space="preserve"> of FPL’s </w:t>
      </w:r>
      <w:r w:rsidR="002661CB">
        <w:t>proposed SolarTogether Program</w:t>
      </w:r>
      <w:r w:rsidR="000F197B">
        <w:t xml:space="preserve">, are consistent with FPL’s 2019 TYSP. Therefore, even if </w:t>
      </w:r>
      <w:r w:rsidR="000F197B" w:rsidRPr="009F26FA">
        <w:t xml:space="preserve">the proposed tariff is not approved, </w:t>
      </w:r>
      <w:r w:rsidR="000F197B">
        <w:t>it appears that constructing Projects 1, 2, and 3 would be cost-effective additions to FPL’s system that would benefit all customers. FPL may seek cost recovery of these facilities at its next base rate proceeding</w:t>
      </w:r>
      <w:r w:rsidR="000F197B" w:rsidRPr="00B2502E">
        <w:t xml:space="preserve"> </w:t>
      </w:r>
      <w:r w:rsidR="000F197B">
        <w:t>under current regulatory policies and procedures.</w:t>
      </w:r>
    </w:p>
    <w:p w:rsidR="00E83F46" w:rsidRDefault="00E83F46" w:rsidP="00E83F46">
      <w:pPr>
        <w:pStyle w:val="IssueSubsectionHeading"/>
        <w:spacing w:after="0"/>
        <w:rPr>
          <w:rFonts w:ascii="Times New Roman" w:hAnsi="Times New Roman" w:cs="Times New Roman"/>
          <w:b w:val="0"/>
          <w:i w:val="0"/>
        </w:rPr>
      </w:pPr>
    </w:p>
    <w:p w:rsidR="00F43CE3" w:rsidRDefault="00E83F46" w:rsidP="00F43CE3">
      <w:pPr>
        <w:pStyle w:val="BodyText"/>
      </w:pPr>
      <w:r w:rsidRPr="00CE141B">
        <w:t>I</w:t>
      </w:r>
      <w:r w:rsidR="00EF6B1D" w:rsidRPr="00CE141B">
        <w:t xml:space="preserve">f the Commission </w:t>
      </w:r>
      <w:r w:rsidR="000D5241" w:rsidRPr="00CE141B">
        <w:t>a</w:t>
      </w:r>
      <w:r w:rsidR="00B72718" w:rsidRPr="00CE141B">
        <w:t>pprove</w:t>
      </w:r>
      <w:r w:rsidR="00CE141B" w:rsidRPr="00CE141B">
        <w:t>s</w:t>
      </w:r>
      <w:r w:rsidR="00BF504B" w:rsidRPr="00CE141B">
        <w:t xml:space="preserve"> the Program and </w:t>
      </w:r>
      <w:r w:rsidR="00B72718" w:rsidRPr="00CE141B">
        <w:t>rate S</w:t>
      </w:r>
      <w:r w:rsidR="00EF6B1D" w:rsidRPr="00CE141B">
        <w:t>chedule STR</w:t>
      </w:r>
      <w:r w:rsidR="00BF504B" w:rsidRPr="00CE141B">
        <w:t>,</w:t>
      </w:r>
      <w:r w:rsidR="00EF6B1D" w:rsidRPr="00CE141B">
        <w:t xml:space="preserve"> staff recommends that</w:t>
      </w:r>
      <w:r w:rsidR="00BF504B" w:rsidRPr="00CE141B">
        <w:t xml:space="preserve"> </w:t>
      </w:r>
      <w:r w:rsidR="00EF6B1D" w:rsidRPr="00CE141B">
        <w:t>the participant credits be recorded as a base rate expense. Such treatment would provide participants the same benefits as proposed by FPL</w:t>
      </w:r>
      <w:r w:rsidR="000C3282" w:rsidRPr="00CE141B">
        <w:t>,</w:t>
      </w:r>
      <w:r w:rsidR="000D5241" w:rsidRPr="00CE141B">
        <w:t xml:space="preserve"> but </w:t>
      </w:r>
      <w:r w:rsidR="00EF6B1D" w:rsidRPr="00CE141B">
        <w:t xml:space="preserve">more closely reflect the current risks </w:t>
      </w:r>
      <w:r w:rsidR="000D5241" w:rsidRPr="00CE141B">
        <w:t xml:space="preserve">to the general body of ratepayers and FPL </w:t>
      </w:r>
      <w:r w:rsidR="00EF6B1D" w:rsidRPr="00CE141B">
        <w:t>associated wi</w:t>
      </w:r>
      <w:r w:rsidR="00FA0CCE" w:rsidRPr="00CE141B">
        <w:t xml:space="preserve">th traditional net </w:t>
      </w:r>
      <w:r w:rsidR="00EF6B1D" w:rsidRPr="00CE141B">
        <w:t>metering</w:t>
      </w:r>
      <w:r w:rsidR="000D5241" w:rsidRPr="00CE141B">
        <w:t>.</w:t>
      </w:r>
      <w:r w:rsidR="00BF504B" w:rsidRPr="00CE141B">
        <w:t xml:space="preserve"> </w:t>
      </w:r>
      <w:r w:rsidR="00F43CE3" w:rsidRPr="00CE141B">
        <w:t>(Ballinger, Simmons, Trierweiler,</w:t>
      </w:r>
      <w:r w:rsidR="00F43CE3">
        <w:t xml:space="preserve"> Mouring, Fletcher)</w:t>
      </w:r>
    </w:p>
    <w:p w:rsidR="007D3AA5" w:rsidRDefault="007D3AA5" w:rsidP="007D3AA5">
      <w:pPr>
        <w:jc w:val="both"/>
        <w:rPr>
          <w:rFonts w:ascii="Arial" w:hAnsi="Arial" w:cs="Arial"/>
          <w:b/>
          <w:bCs/>
        </w:rPr>
      </w:pPr>
      <w:r w:rsidRPr="00A82C4E">
        <w:rPr>
          <w:rFonts w:ascii="Arial" w:hAnsi="Arial" w:cs="Arial"/>
          <w:b/>
          <w:bCs/>
        </w:rPr>
        <w:t>Position of the Parties:</w:t>
      </w:r>
    </w:p>
    <w:p w:rsidR="007D3AA5" w:rsidRDefault="007D3AA5" w:rsidP="007D3AA5">
      <w:pPr>
        <w:ind w:left="1530" w:hanging="1530"/>
        <w:jc w:val="both"/>
        <w:rPr>
          <w:b/>
          <w:bCs/>
        </w:rPr>
      </w:pPr>
    </w:p>
    <w:p w:rsidR="007D3AA5" w:rsidRPr="00AD36F6" w:rsidRDefault="007D3AA5" w:rsidP="00564CB1">
      <w:pPr>
        <w:ind w:left="1440" w:hanging="1440"/>
        <w:jc w:val="both"/>
        <w:rPr>
          <w:bCs/>
        </w:rPr>
      </w:pPr>
      <w:r>
        <w:rPr>
          <w:b/>
          <w:bCs/>
        </w:rPr>
        <w:t>FPL</w:t>
      </w:r>
      <w:r w:rsidRPr="00701945">
        <w:rPr>
          <w:b/>
          <w:bCs/>
        </w:rPr>
        <w:t>:</w:t>
      </w:r>
      <w:r>
        <w:rPr>
          <w:b/>
          <w:bCs/>
        </w:rPr>
        <w:tab/>
      </w:r>
      <w:r w:rsidR="007049DC" w:rsidRPr="00FF6637">
        <w:t>Yes. The</w:t>
      </w:r>
      <w:r w:rsidR="007049DC">
        <w:t xml:space="preserve"> Program’s net</w:t>
      </w:r>
      <w:r w:rsidR="007049DC" w:rsidRPr="00FF6637">
        <w:t xml:space="preserve"> base revenue requirements will be recovered through base rates and, over the life of the Program will be paid for by the participants. The Subscription Benefit consists of fuel and emission benefits, and therefore will be recovered through FPL’s fuel cost recovery clause.</w:t>
      </w:r>
    </w:p>
    <w:p w:rsidR="007D3AA5" w:rsidRPr="00D61D5A" w:rsidRDefault="007D3AA5" w:rsidP="007D3AA5">
      <w:pPr>
        <w:ind w:left="1530" w:hanging="1530"/>
        <w:jc w:val="both"/>
        <w:rPr>
          <w:bCs/>
        </w:rPr>
      </w:pPr>
    </w:p>
    <w:p w:rsidR="007D3AA5" w:rsidRDefault="007D3AA5" w:rsidP="00564CB1">
      <w:pPr>
        <w:ind w:left="1440" w:hanging="1530"/>
        <w:jc w:val="both"/>
      </w:pPr>
      <w:r>
        <w:rPr>
          <w:b/>
          <w:bCs/>
        </w:rPr>
        <w:t>OPC:</w:t>
      </w:r>
      <w:r>
        <w:tab/>
      </w:r>
      <w:r w:rsidR="00F5269C">
        <w:t>Regardless of the ultimate decision on the SolarTogether Program, the Commission should affirmatively reject FPL’s efforts to bulk up rate base by subverting the dollar threshold of Rule 25-6.0141, F.A.C. through the use of an unauthorized bundling of discrete construction projects.</w:t>
      </w:r>
    </w:p>
    <w:p w:rsidR="007D3AA5" w:rsidRDefault="007D3AA5" w:rsidP="007D3AA5">
      <w:pPr>
        <w:ind w:left="1530" w:hanging="1530"/>
        <w:jc w:val="both"/>
      </w:pPr>
    </w:p>
    <w:p w:rsidR="007D3AA5" w:rsidRPr="00AD36F6" w:rsidRDefault="007D3AA5" w:rsidP="00564CB1">
      <w:pPr>
        <w:ind w:left="1440" w:hanging="1440"/>
        <w:jc w:val="both"/>
      </w:pPr>
      <w:r w:rsidRPr="00AD36F6">
        <w:rPr>
          <w:b/>
        </w:rPr>
        <w:t>FIPUG:</w:t>
      </w:r>
      <w:r w:rsidRPr="00AD36F6">
        <w:rPr>
          <w:b/>
        </w:rPr>
        <w:tab/>
      </w:r>
      <w:r w:rsidR="00D60A89">
        <w:t>FIPUG did not file a brief.</w:t>
      </w:r>
    </w:p>
    <w:p w:rsidR="007D3AA5" w:rsidRDefault="007D3AA5" w:rsidP="007D3AA5">
      <w:pPr>
        <w:ind w:left="1530" w:hanging="1530"/>
        <w:jc w:val="both"/>
        <w:rPr>
          <w:b/>
        </w:rPr>
      </w:pPr>
    </w:p>
    <w:p w:rsidR="007D3AA5" w:rsidRPr="0094452F" w:rsidRDefault="007D3AA5" w:rsidP="0094452F">
      <w:pPr>
        <w:ind w:left="1440" w:hanging="1440"/>
        <w:jc w:val="both"/>
        <w:rPr>
          <w:b/>
        </w:rPr>
      </w:pPr>
      <w:r>
        <w:rPr>
          <w:b/>
        </w:rPr>
        <w:t>SACE:</w:t>
      </w:r>
      <w:r>
        <w:rPr>
          <w:b/>
        </w:rPr>
        <w:tab/>
      </w:r>
      <w:r w:rsidR="0094452F" w:rsidRPr="007459CF">
        <w:rPr>
          <w:rFonts w:eastAsiaTheme="minorHAnsi"/>
          <w:color w:val="000000"/>
        </w:rPr>
        <w:t xml:space="preserve">Yes. The Settlement Agreement filed in this docket on </w:t>
      </w:r>
      <w:r w:rsidR="0094452F" w:rsidRPr="007459CF">
        <w:t>October 9, 2019 between FPL, SACE, Vote Solar, and Walmart fully resolves all matters between the referenced parties and provides numerous benefits to both participants and the general body of customers, and is therefore in the public interest. S</w:t>
      </w:r>
      <w:r w:rsidR="0094452F" w:rsidRPr="007459CF">
        <w:rPr>
          <w:bCs/>
        </w:rPr>
        <w:t>ee Issue 4</w:t>
      </w:r>
    </w:p>
    <w:p w:rsidR="007D3AA5" w:rsidRPr="00AD36F6" w:rsidRDefault="007D3AA5" w:rsidP="007D3AA5">
      <w:pPr>
        <w:jc w:val="both"/>
      </w:pPr>
    </w:p>
    <w:p w:rsidR="007C3452" w:rsidRDefault="007D3AA5" w:rsidP="004669FB">
      <w:pPr>
        <w:ind w:left="1440" w:hanging="1440"/>
        <w:jc w:val="both"/>
        <w:rPr>
          <w:b/>
          <w:bCs/>
        </w:rPr>
      </w:pPr>
      <w:r>
        <w:rPr>
          <w:b/>
          <w:bCs/>
        </w:rPr>
        <w:t>VOTE</w:t>
      </w:r>
      <w:r w:rsidR="004669FB">
        <w:rPr>
          <w:b/>
          <w:bCs/>
        </w:rPr>
        <w:t xml:space="preserve"> </w:t>
      </w:r>
    </w:p>
    <w:p w:rsidR="007D3AA5" w:rsidRDefault="007D3AA5" w:rsidP="004669FB">
      <w:pPr>
        <w:ind w:left="1440" w:hanging="1440"/>
        <w:jc w:val="both"/>
        <w:rPr>
          <w:bCs/>
        </w:rPr>
      </w:pPr>
      <w:r>
        <w:rPr>
          <w:b/>
          <w:bCs/>
        </w:rPr>
        <w:t>SOLAR:</w:t>
      </w:r>
      <w:r>
        <w:rPr>
          <w:b/>
          <w:bCs/>
        </w:rPr>
        <w:tab/>
      </w:r>
      <w:r w:rsidR="00776985">
        <w:t>Yes.</w:t>
      </w:r>
    </w:p>
    <w:p w:rsidR="007D3AA5" w:rsidRDefault="007D3AA5" w:rsidP="007D3AA5">
      <w:pPr>
        <w:ind w:left="1530" w:hanging="1530"/>
        <w:jc w:val="both"/>
        <w:rPr>
          <w:bCs/>
        </w:rPr>
      </w:pPr>
    </w:p>
    <w:p w:rsidR="007D3AA5" w:rsidRDefault="007D3AA5" w:rsidP="00564CB1">
      <w:pPr>
        <w:ind w:left="1440" w:hanging="1440"/>
        <w:jc w:val="both"/>
        <w:rPr>
          <w:bCs/>
        </w:rPr>
      </w:pPr>
      <w:r>
        <w:rPr>
          <w:b/>
          <w:bCs/>
        </w:rPr>
        <w:t>WALMART:</w:t>
      </w:r>
      <w:r>
        <w:rPr>
          <w:bCs/>
        </w:rPr>
        <w:tab/>
      </w:r>
      <w:r w:rsidR="00A21CEE">
        <w:rPr>
          <w:bCs/>
        </w:rPr>
        <w:t>Walmart believes the costs and expenses should be recovered as set forth in the proposed Settlement Agreement.</w:t>
      </w:r>
    </w:p>
    <w:p w:rsidR="004230E1" w:rsidRDefault="004230E1">
      <w:pPr>
        <w:rPr>
          <w:bCs/>
        </w:rPr>
      </w:pPr>
      <w:r>
        <w:rPr>
          <w:bCs/>
        </w:rPr>
        <w:br w:type="page"/>
      </w:r>
    </w:p>
    <w:p w:rsidR="007D3AA5" w:rsidRPr="00627291" w:rsidRDefault="007D3AA5" w:rsidP="00627291">
      <w:pPr>
        <w:jc w:val="center"/>
        <w:rPr>
          <w:b/>
          <w:i/>
        </w:rPr>
      </w:pPr>
      <w:r w:rsidRPr="00627291">
        <w:rPr>
          <w:b/>
        </w:rPr>
        <w:lastRenderedPageBreak/>
        <w:t>Parties’ Arguments</w:t>
      </w:r>
    </w:p>
    <w:p w:rsidR="007459CF" w:rsidRPr="008B603B" w:rsidRDefault="00627291" w:rsidP="00301E5C">
      <w:pPr>
        <w:pStyle w:val="BodyText"/>
        <w:spacing w:after="0"/>
        <w:rPr>
          <w:rFonts w:ascii="Arial" w:hAnsi="Arial" w:cs="Arial"/>
          <w:b/>
        </w:rPr>
      </w:pPr>
      <w:r w:rsidRPr="008B603B">
        <w:rPr>
          <w:rFonts w:ascii="Arial" w:hAnsi="Arial" w:cs="Arial"/>
          <w:b/>
        </w:rPr>
        <w:t>FPL</w:t>
      </w:r>
    </w:p>
    <w:p w:rsidR="00627291" w:rsidRDefault="00627291" w:rsidP="00627291">
      <w:pPr>
        <w:jc w:val="both"/>
      </w:pPr>
      <w:r w:rsidRPr="00075B70">
        <w:t>FPL states that its SolarTogether Program is cost-effective and projected to generate $249 million in CPVRR customer savings. (</w:t>
      </w:r>
      <w:r w:rsidR="004230E1">
        <w:t xml:space="preserve">FPL </w:t>
      </w:r>
      <w:r w:rsidRPr="00075B70">
        <w:t xml:space="preserve">BR 7) </w:t>
      </w:r>
      <w:r>
        <w:t xml:space="preserve">Based on the </w:t>
      </w:r>
      <w:r w:rsidRPr="00075B70">
        <w:t>testimonies of FPL witnesses Brannen and Sim</w:t>
      </w:r>
      <w:r>
        <w:t>, FPL asserts that it has</w:t>
      </w:r>
      <w:r w:rsidRPr="00075B70">
        <w:t xml:space="preserve"> demonstrate</w:t>
      </w:r>
      <w:r>
        <w:t>d</w:t>
      </w:r>
      <w:r w:rsidRPr="00075B70">
        <w:t xml:space="preserve"> that the cost for</w:t>
      </w:r>
      <w:r>
        <w:t xml:space="preserve"> its</w:t>
      </w:r>
      <w:r w:rsidRPr="00075B70">
        <w:t xml:space="preserve"> 20 SolarTogether facilities is reasonable and the solar generation is cost-effective. </w:t>
      </w:r>
      <w:r>
        <w:t>(FPL BR 10) Specifically, t</w:t>
      </w:r>
      <w:r w:rsidRPr="00075B70">
        <w:t>he projected capital cost for the SolarTogether Projects is</w:t>
      </w:r>
      <w:r>
        <w:t xml:space="preserve"> </w:t>
      </w:r>
      <w:r w:rsidRPr="00F94612">
        <w:t>$1,202</w:t>
      </w:r>
      <w:r w:rsidR="007063ED">
        <w:t>/</w:t>
      </w:r>
      <w:r w:rsidRPr="00F94612">
        <w:t>kW</w:t>
      </w:r>
      <w:r w:rsidR="00F43CE3">
        <w:t>,</w:t>
      </w:r>
      <w:r w:rsidRPr="00F94612">
        <w:t xml:space="preserve"> </w:t>
      </w:r>
      <w:r>
        <w:t xml:space="preserve">which is </w:t>
      </w:r>
      <w:r w:rsidRPr="00075B70">
        <w:t xml:space="preserve">below the 2020 SoBRA project capital cost </w:t>
      </w:r>
      <w:r>
        <w:t xml:space="preserve">of </w:t>
      </w:r>
      <w:r w:rsidRPr="00075B70">
        <w:t>$1,378/kW</w:t>
      </w:r>
      <w:r>
        <w:t>. (FPL BR 10-11)</w:t>
      </w:r>
      <w:r w:rsidRPr="00075B70">
        <w:t xml:space="preserve"> To ensure the reasonableness of its capital costs, FPL undertook a competitive bidding process from late 2018 through 2019 for the equipment to be installed and work to be performed at the solar facilities</w:t>
      </w:r>
      <w:r w:rsidR="00B11B78">
        <w:t>.</w:t>
      </w:r>
      <w:r w:rsidRPr="00075B70">
        <w:t xml:space="preserve"> (</w:t>
      </w:r>
      <w:r w:rsidR="004230E1">
        <w:t xml:space="preserve">FPL </w:t>
      </w:r>
      <w:r w:rsidRPr="00075B70">
        <w:t xml:space="preserve">BR 11-13) Moreover, </w:t>
      </w:r>
      <w:r>
        <w:t xml:space="preserve">asserts </w:t>
      </w:r>
      <w:r w:rsidRPr="00075B70">
        <w:t>FPL</w:t>
      </w:r>
      <w:r>
        <w:t>, its</w:t>
      </w:r>
      <w:r w:rsidRPr="00075B70">
        <w:t xml:space="preserve"> economic analyses established that the</w:t>
      </w:r>
      <w:r w:rsidR="007063ED">
        <w:t xml:space="preserve"> </w:t>
      </w:r>
      <w:r w:rsidRPr="00075B70">
        <w:t xml:space="preserve">resource plan with the proposed SolarTogether generation of 1,490 MW is cost-effective as compared to not constructing these solar facilities, saving customers an estimated $249 million. </w:t>
      </w:r>
      <w:r w:rsidR="007063ED">
        <w:t>FPL explains that o</w:t>
      </w:r>
      <w:r w:rsidRPr="00075B70">
        <w:t>ther than recognizing characteristics particular to solar generation, the cost-effectiveness analysis methodology used in this proceeding by FPL is the same methodology FPL uses in all of its resource planning analyses that it presents to the Commission. (</w:t>
      </w:r>
      <w:r w:rsidR="004230E1">
        <w:t xml:space="preserve">FPL </w:t>
      </w:r>
      <w:r w:rsidRPr="00075B70">
        <w:t>BR 9-10</w:t>
      </w:r>
      <w:r>
        <w:t>, 13-14</w:t>
      </w:r>
      <w:r w:rsidRPr="00075B70">
        <w:t>)</w:t>
      </w:r>
    </w:p>
    <w:p w:rsidR="00627291" w:rsidRDefault="00627291" w:rsidP="00627291">
      <w:pPr>
        <w:jc w:val="both"/>
      </w:pPr>
    </w:p>
    <w:p w:rsidR="00627291" w:rsidRPr="00AE1A05" w:rsidRDefault="007063ED" w:rsidP="00627291">
      <w:pPr>
        <w:jc w:val="both"/>
      </w:pPr>
      <w:r>
        <w:t>FPL contends t</w:t>
      </w:r>
      <w:r w:rsidR="00627291" w:rsidRPr="00AE1A05">
        <w:t>he ne</w:t>
      </w:r>
      <w:r w:rsidR="00C74C80">
        <w:t>t base revenue requirements would</w:t>
      </w:r>
      <w:r w:rsidR="00627291" w:rsidRPr="00AE1A05">
        <w:t xml:space="preserve"> be recovered through base rates and, over the life of the Program</w:t>
      </w:r>
      <w:r w:rsidR="00F43CE3">
        <w:t>,</w:t>
      </w:r>
      <w:r w:rsidR="00C74C80">
        <w:t xml:space="preserve"> would</w:t>
      </w:r>
      <w:r w:rsidR="00627291" w:rsidRPr="00AE1A05">
        <w:t xml:space="preserve"> be paid for by the participants. The </w:t>
      </w:r>
      <w:r w:rsidR="00B11B78">
        <w:t>s</w:t>
      </w:r>
      <w:r w:rsidR="00627291" w:rsidRPr="00AE1A05">
        <w:t xml:space="preserve">ubscription </w:t>
      </w:r>
      <w:r w:rsidR="00B11B78">
        <w:t>b</w:t>
      </w:r>
      <w:r w:rsidR="00627291" w:rsidRPr="00AE1A05">
        <w:t>enefit consists of fuel and emiss</w:t>
      </w:r>
      <w:r w:rsidR="00C74C80">
        <w:t>ion benefits, and therefore would</w:t>
      </w:r>
      <w:r w:rsidR="00627291" w:rsidRPr="00AE1A05">
        <w:t xml:space="preserve"> be r</w:t>
      </w:r>
      <w:r w:rsidR="00CF7DC8">
        <w:t>ecovered through FPL’s fuel</w:t>
      </w:r>
      <w:r w:rsidR="00627291" w:rsidRPr="00AE1A05">
        <w:t xml:space="preserve"> clause, partially offsetting system savings resulting from the addition of the Program’s facilities. Upward rate impacts</w:t>
      </w:r>
      <w:r w:rsidR="001C7F59">
        <w:t xml:space="preserve"> will be modest and short-term.</w:t>
      </w:r>
      <w:r w:rsidR="00C74C80">
        <w:t xml:space="preserve"> All costs would</w:t>
      </w:r>
      <w:r w:rsidR="00627291" w:rsidRPr="00AE1A05">
        <w:t xml:space="preserve"> be reflected in FPL’s earnings surveillance reports.</w:t>
      </w:r>
      <w:r w:rsidR="00627291">
        <w:t xml:space="preserve"> (</w:t>
      </w:r>
      <w:r w:rsidR="004230E1">
        <w:t xml:space="preserve">FPL </w:t>
      </w:r>
      <w:r w:rsidR="00627291">
        <w:t xml:space="preserve">BR </w:t>
      </w:r>
      <w:r w:rsidR="003D09E3">
        <w:t>9, 38</w:t>
      </w:r>
      <w:r w:rsidR="00627291">
        <w:t>)</w:t>
      </w:r>
    </w:p>
    <w:p w:rsidR="00627291" w:rsidRPr="00075B70" w:rsidRDefault="00627291" w:rsidP="00627291">
      <w:pPr>
        <w:jc w:val="both"/>
      </w:pPr>
    </w:p>
    <w:p w:rsidR="00627291" w:rsidRPr="00AE1A05" w:rsidRDefault="00627291" w:rsidP="00627291">
      <w:pPr>
        <w:jc w:val="both"/>
      </w:pPr>
      <w:r w:rsidRPr="00AE1A05">
        <w:t>Last, FPL disagrees with OPC’s argument that it has implemented an “unchecked effort to build rate base” by accruing</w:t>
      </w:r>
      <w:r w:rsidR="00F43CE3">
        <w:t xml:space="preserve"> </w:t>
      </w:r>
      <w:r w:rsidR="00F43CE3" w:rsidRPr="00F43CE3">
        <w:t>Allowance for Funds Used During Construction</w:t>
      </w:r>
      <w:r w:rsidRPr="00F43CE3">
        <w:t xml:space="preserve"> </w:t>
      </w:r>
      <w:r w:rsidR="00F43CE3">
        <w:t>(</w:t>
      </w:r>
      <w:r w:rsidRPr="00AE1A05">
        <w:t>AFUDC</w:t>
      </w:r>
      <w:r w:rsidR="00F43CE3">
        <w:t>)</w:t>
      </w:r>
      <w:r w:rsidRPr="00AE1A05">
        <w:t xml:space="preserve"> for SolarTogether Projects 1 and 2. FPL contends that it has reasonably and consistently applied the criteria in the Commission’s rule and FPL’s policy to accrue AFUDC where appropriate (</w:t>
      </w:r>
      <w:r w:rsidR="00B11B78">
        <w:t>i.e.,</w:t>
      </w:r>
      <w:r w:rsidRPr="00AE1A05">
        <w:t xml:space="preserve"> SolarTogether Projects 1 and 2) and not accrue AFUDC where it is not appropriate (</w:t>
      </w:r>
      <w:r w:rsidR="00B11B78">
        <w:t>i.e.,</w:t>
      </w:r>
      <w:r w:rsidRPr="00AE1A05">
        <w:t xml:space="preserve"> SolarTogether Projects 3, 4, and 5). FPL also employs criteria from its AFUDC accounting policy</w:t>
      </w:r>
      <w:r w:rsidR="00615224">
        <w:t xml:space="preserve"> </w:t>
      </w:r>
      <w:r w:rsidRPr="00AE1A05">
        <w:t xml:space="preserve">to determine if a project consisting of multiple sites constitutes a single project or multiple projects. The key criteria from this policy are: 1) all sites grouped as a project must have the same </w:t>
      </w:r>
      <w:r w:rsidR="00B11B78">
        <w:t>Engineering, Procurement, and Construction (</w:t>
      </w:r>
      <w:r w:rsidRPr="00AE1A05">
        <w:t>EPC</w:t>
      </w:r>
      <w:r w:rsidR="00B11B78">
        <w:t>)</w:t>
      </w:r>
      <w:r w:rsidRPr="00AE1A05">
        <w:t xml:space="preserve"> contractor to manage the project; and 2) all sites have a defined start of construction and single scheduled in-service date. </w:t>
      </w:r>
      <w:r>
        <w:t>(FPL BR 3</w:t>
      </w:r>
      <w:r w:rsidR="003D09E3">
        <w:t>6</w:t>
      </w:r>
      <w:r>
        <w:t>-37)</w:t>
      </w:r>
    </w:p>
    <w:p w:rsidR="00615224" w:rsidRDefault="00615224" w:rsidP="00301E5C">
      <w:pPr>
        <w:pStyle w:val="BodyText"/>
        <w:spacing w:after="0"/>
        <w:rPr>
          <w:u w:val="single"/>
        </w:rPr>
      </w:pPr>
    </w:p>
    <w:p w:rsidR="00627291" w:rsidRPr="008B603B" w:rsidRDefault="00627291" w:rsidP="00301E5C">
      <w:pPr>
        <w:pStyle w:val="BodyText"/>
        <w:spacing w:after="0"/>
        <w:rPr>
          <w:rFonts w:ascii="Arial" w:hAnsi="Arial" w:cs="Arial"/>
          <w:b/>
        </w:rPr>
      </w:pPr>
      <w:r w:rsidRPr="008B603B">
        <w:rPr>
          <w:rFonts w:ascii="Arial" w:hAnsi="Arial" w:cs="Arial"/>
          <w:b/>
        </w:rPr>
        <w:t>OPC</w:t>
      </w:r>
    </w:p>
    <w:p w:rsidR="00627291" w:rsidRPr="00955DD1" w:rsidRDefault="00627291" w:rsidP="00627291">
      <w:pPr>
        <w:pStyle w:val="BodyText"/>
      </w:pPr>
      <w:r w:rsidRPr="00955DD1">
        <w:t xml:space="preserve">OPC argues that the Commission should reject FPL’s efforts to increase rate base and depreciable plant in service in this case and others by the use of a self-serving, internal </w:t>
      </w:r>
      <w:r w:rsidR="00BF2BC2">
        <w:t>utility</w:t>
      </w:r>
      <w:r w:rsidRPr="00955DD1">
        <w:t xml:space="preserve">-interpretation of a Commission rule. Specifically, </w:t>
      </w:r>
      <w:r w:rsidR="00F43CE3">
        <w:t>it</w:t>
      </w:r>
      <w:r w:rsidRPr="00955DD1">
        <w:t xml:space="preserve"> contend</w:t>
      </w:r>
      <w:r w:rsidR="00F43CE3">
        <w:t>s</w:t>
      </w:r>
      <w:r w:rsidRPr="00955DD1">
        <w:t xml:space="preserve"> that </w:t>
      </w:r>
      <w:r w:rsidR="00B11B78">
        <w:t>the AFUDC R</w:t>
      </w:r>
      <w:r w:rsidRPr="00955DD1">
        <w:t>ule was designed to provide certainty and protect customers from a utility’s imposition of excessive accrual of carrying costs on future generations of customers. As a result of discovery in this docket, it became apparent that FPL has been applying – and intends to apply in the future – the concept of bundling disparate work activities that are historically and traditionally evaluated individually in order to add carrying costs to rate base.</w:t>
      </w:r>
      <w:r>
        <w:t xml:space="preserve"> (OPC BR 14)</w:t>
      </w:r>
    </w:p>
    <w:p w:rsidR="00627291" w:rsidRDefault="00627291" w:rsidP="00627291">
      <w:pPr>
        <w:jc w:val="both"/>
      </w:pPr>
      <w:r>
        <w:lastRenderedPageBreak/>
        <w:t xml:space="preserve">OPC argues that the </w:t>
      </w:r>
      <w:r w:rsidRPr="00955DD1">
        <w:t>AFUDC Rule was not intended to create opportunities to creatively stitch far-flung construction activities together to boost rate base.</w:t>
      </w:r>
      <w:r>
        <w:t xml:space="preserve"> Moreover, FPL</w:t>
      </w:r>
      <w:r w:rsidR="00F43CE3">
        <w:t>,</w:t>
      </w:r>
      <w:r>
        <w:t xml:space="preserve"> which has the burden of proof to </w:t>
      </w:r>
      <w:r w:rsidRPr="00955DD1">
        <w:t>demonstrate the prudence of the costs for which it seeks recovery, failed to demonstrate that the Commission’s AFUDC Rule allows or even contemplates “bundling.”</w:t>
      </w:r>
      <w:r>
        <w:t xml:space="preserve"> (</w:t>
      </w:r>
      <w:r w:rsidR="00F36790">
        <w:t xml:space="preserve">OPC </w:t>
      </w:r>
      <w:r>
        <w:t xml:space="preserve">BR 16) </w:t>
      </w:r>
      <w:r w:rsidRPr="00955DD1">
        <w:t xml:space="preserve">The AFUDC </w:t>
      </w:r>
      <w:r w:rsidR="00B11B78">
        <w:t>R</w:t>
      </w:r>
      <w:r w:rsidRPr="00955DD1">
        <w:t xml:space="preserve">ule has two fundamental criteria – a dollar value </w:t>
      </w:r>
      <w:r w:rsidR="00B11B78">
        <w:t xml:space="preserve">threshold </w:t>
      </w:r>
      <w:r w:rsidRPr="00955DD1">
        <w:t>(0.05% of plant) and a duration thr</w:t>
      </w:r>
      <w:r w:rsidR="009C2A5F">
        <w:t>eshold (greater than one year).</w:t>
      </w:r>
      <w:r>
        <w:t xml:space="preserve"> OPC asserts that n</w:t>
      </w:r>
      <w:r w:rsidRPr="00955DD1">
        <w:t>o utility should be allowed unfettered ability to render these criteria irrelevant by bundling. The act of bundling renders the dollar value threshold meaningless. The threshold was clearly intended to ensure that smaller projects would not be eligible for AFUDC</w:t>
      </w:r>
      <w:r>
        <w:t>; but i</w:t>
      </w:r>
      <w:r w:rsidRPr="00955DD1">
        <w:t xml:space="preserve">nstead, smaller projects would be included in the 13-month average </w:t>
      </w:r>
      <w:r w:rsidR="00C94A48">
        <w:t>construction work in progress (</w:t>
      </w:r>
      <w:r w:rsidRPr="00955DD1">
        <w:t>CWIP</w:t>
      </w:r>
      <w:r w:rsidR="00C94A48">
        <w:t>)</w:t>
      </w:r>
      <w:r w:rsidRPr="00955DD1">
        <w:t xml:space="preserve"> balance.</w:t>
      </w:r>
      <w:r>
        <w:t xml:space="preserve"> (OPC BR 16-17)</w:t>
      </w:r>
    </w:p>
    <w:p w:rsidR="00627291" w:rsidRPr="00955DD1" w:rsidRDefault="00627291" w:rsidP="00627291">
      <w:pPr>
        <w:jc w:val="both"/>
      </w:pPr>
    </w:p>
    <w:p w:rsidR="00627291" w:rsidRDefault="00627291" w:rsidP="00627291">
      <w:pPr>
        <w:jc w:val="both"/>
      </w:pPr>
      <w:r>
        <w:t>Specifically</w:t>
      </w:r>
      <w:r w:rsidR="007063ED">
        <w:t>,</w:t>
      </w:r>
      <w:r>
        <w:t xml:space="preserve"> as it relates to </w:t>
      </w:r>
      <w:r w:rsidRPr="00955DD1">
        <w:t xml:space="preserve">the SolarTogether </w:t>
      </w:r>
      <w:r>
        <w:t>bundling, OPC contends that</w:t>
      </w:r>
      <w:r w:rsidRPr="00955DD1">
        <w:t xml:space="preserve"> FPL initially proposed that the Commission allow AFUDC to be added to rate base for the entire 20 projects included in the Program. This approach was revised to only apply to </w:t>
      </w:r>
      <w:r w:rsidR="00B53D61">
        <w:t>six</w:t>
      </w:r>
      <w:r w:rsidRPr="00955DD1">
        <w:t xml:space="preserve"> of the 20 projects. </w:t>
      </w:r>
      <w:r w:rsidR="00B53D61">
        <w:t>OPC argues that t</w:t>
      </w:r>
      <w:r w:rsidRPr="00955DD1">
        <w:t xml:space="preserve">hese </w:t>
      </w:r>
      <w:r w:rsidR="00B53D61">
        <w:t>six</w:t>
      </w:r>
      <w:r w:rsidRPr="00955DD1">
        <w:t xml:space="preserve"> projects were clearly bundled in groups of three because one or two on their own or combined would not meet the $243.4 million threshold. When bundled and recast as a single three-site “project,” the individual projects just barely exceed the threshold</w:t>
      </w:r>
      <w:r>
        <w:t xml:space="preserve">. (OPC </w:t>
      </w:r>
      <w:r w:rsidR="004230E1">
        <w:t>B</w:t>
      </w:r>
      <w:r>
        <w:t>R 17)</w:t>
      </w:r>
      <w:r w:rsidR="007063ED">
        <w:t xml:space="preserve"> </w:t>
      </w:r>
    </w:p>
    <w:p w:rsidR="007063ED" w:rsidRDefault="007063ED" w:rsidP="00627291">
      <w:pPr>
        <w:jc w:val="both"/>
      </w:pPr>
    </w:p>
    <w:p w:rsidR="007063ED" w:rsidRDefault="007063ED" w:rsidP="00627291">
      <w:pPr>
        <w:jc w:val="both"/>
      </w:pPr>
      <w:r>
        <w:t xml:space="preserve">Last, OPC asserts that the Commission should reject FPL’s </w:t>
      </w:r>
      <w:r w:rsidR="00F43CE3">
        <w:t>“</w:t>
      </w:r>
      <w:r>
        <w:t>accounting sleight of hand</w:t>
      </w:r>
      <w:r w:rsidR="00F43CE3">
        <w:t>”</w:t>
      </w:r>
      <w:r>
        <w:t xml:space="preserve"> along with the Program. Moreover, the Commission should only consider this practice (bundling), if at all, in the </w:t>
      </w:r>
      <w:r w:rsidR="00D77F55">
        <w:t>context</w:t>
      </w:r>
      <w:r>
        <w:t xml:space="preserve"> of a rulemaking proceeding. (</w:t>
      </w:r>
      <w:r w:rsidR="004230E1">
        <w:t xml:space="preserve">OPC </w:t>
      </w:r>
      <w:r>
        <w:t>BR 19)</w:t>
      </w:r>
    </w:p>
    <w:p w:rsidR="00301E5C" w:rsidRDefault="00301E5C" w:rsidP="00301E5C">
      <w:pPr>
        <w:pStyle w:val="BodyText"/>
        <w:spacing w:after="0"/>
        <w:rPr>
          <w:u w:val="single"/>
        </w:rPr>
      </w:pPr>
    </w:p>
    <w:p w:rsidR="00F046BD" w:rsidRPr="00211279" w:rsidRDefault="00F046BD" w:rsidP="00301E5C">
      <w:pPr>
        <w:pStyle w:val="BodyText"/>
        <w:spacing w:after="0"/>
        <w:rPr>
          <w:rFonts w:ascii="Arial" w:hAnsi="Arial" w:cs="Arial"/>
          <w:b/>
        </w:rPr>
      </w:pPr>
      <w:r w:rsidRPr="00211279">
        <w:rPr>
          <w:rFonts w:ascii="Arial" w:hAnsi="Arial" w:cs="Arial"/>
          <w:b/>
        </w:rPr>
        <w:t>SACE</w:t>
      </w:r>
    </w:p>
    <w:p w:rsidR="00301E5C" w:rsidRDefault="00301E5C" w:rsidP="00301E5C">
      <w:pPr>
        <w:jc w:val="both"/>
        <w:rPr>
          <w:u w:val="single"/>
        </w:rPr>
      </w:pPr>
      <w:r>
        <w:t xml:space="preserve">SACE did not </w:t>
      </w:r>
      <w:r w:rsidR="00FB1D54">
        <w:t>specifically</w:t>
      </w:r>
      <w:r w:rsidR="00C94A48">
        <w:t xml:space="preserve"> address</w:t>
      </w:r>
      <w:r>
        <w:t xml:space="preserve"> recovery of costs for the SolarTogether Program </w:t>
      </w:r>
      <w:r w:rsidR="00FB491F">
        <w:t>in its b</w:t>
      </w:r>
      <w:r>
        <w:t>rief</w:t>
      </w:r>
      <w:r w:rsidR="00FB491F">
        <w:t>,</w:t>
      </w:r>
      <w:r>
        <w:t xml:space="preserve"> but rather argues that the Commission should approve the Settlement Agreement filed on October 9, 2019</w:t>
      </w:r>
      <w:r w:rsidR="00C35A61">
        <w:t>,</w:t>
      </w:r>
      <w:r>
        <w:t xml:space="preserve"> that resolves all issues between FPL</w:t>
      </w:r>
      <w:r w:rsidR="00585698">
        <w:t>, SACE, Vote Solar</w:t>
      </w:r>
      <w:r>
        <w:t xml:space="preserve"> and </w:t>
      </w:r>
      <w:r w:rsidR="00585698">
        <w:t>Walmart</w:t>
      </w:r>
      <w:r>
        <w:t xml:space="preserve">. SACE argues that the </w:t>
      </w:r>
      <w:r w:rsidRPr="00BD3BD7">
        <w:t xml:space="preserve">Commission </w:t>
      </w:r>
      <w:r>
        <w:t xml:space="preserve">is </w:t>
      </w:r>
      <w:r w:rsidRPr="00BD3BD7">
        <w:t>afforded great deference to determine that a settlement agreement</w:t>
      </w:r>
      <w:r>
        <w:t xml:space="preserve"> </w:t>
      </w:r>
      <w:r w:rsidRPr="00BD3BD7">
        <w:t>between parties is in the public interest</w:t>
      </w:r>
      <w:r>
        <w:t xml:space="preserve"> and that i</w:t>
      </w:r>
      <w:r w:rsidRPr="00BD3BD7">
        <w:t>t has been presented with substantial, competent</w:t>
      </w:r>
      <w:r>
        <w:t xml:space="preserve"> </w:t>
      </w:r>
      <w:r w:rsidRPr="00BD3BD7">
        <w:t>evidence during the hearing upon which to make a public interest determination.</w:t>
      </w:r>
      <w:r>
        <w:t xml:space="preserve"> SACE contends that the SolarTogether </w:t>
      </w:r>
      <w:r w:rsidR="001E1EF8">
        <w:t>Program</w:t>
      </w:r>
      <w:r>
        <w:t xml:space="preserve"> fairly and reasonably allocates benefits to all customers. </w:t>
      </w:r>
      <w:r w:rsidRPr="00BD3BD7">
        <w:t>As such, SACE requests that</w:t>
      </w:r>
      <w:r>
        <w:t xml:space="preserve"> </w:t>
      </w:r>
      <w:r w:rsidRPr="00BD3BD7">
        <w:t>the Commission approve the Settlement Agreement in its entirety</w:t>
      </w:r>
      <w:r>
        <w:t xml:space="preserve"> and notes that</w:t>
      </w:r>
      <w:r w:rsidRPr="00BD3BD7">
        <w:t xml:space="preserve"> the Commission is not precluded by statute or case law from approving nonunanimous</w:t>
      </w:r>
      <w:r>
        <w:t xml:space="preserve"> </w:t>
      </w:r>
      <w:r w:rsidRPr="00BD3BD7">
        <w:t>settlements.</w:t>
      </w:r>
      <w:r w:rsidR="00585698">
        <w:t xml:space="preserve"> (SACE BR 4-5)</w:t>
      </w:r>
    </w:p>
    <w:p w:rsidR="00301E5C" w:rsidRPr="00F046BD" w:rsidRDefault="00301E5C" w:rsidP="00301E5C">
      <w:pPr>
        <w:pStyle w:val="BodyText"/>
        <w:spacing w:after="0"/>
        <w:rPr>
          <w:u w:val="single"/>
        </w:rPr>
      </w:pPr>
    </w:p>
    <w:p w:rsidR="00F046BD" w:rsidRPr="00211279" w:rsidRDefault="00F046BD" w:rsidP="00301E5C">
      <w:pPr>
        <w:pStyle w:val="BodyText"/>
        <w:spacing w:after="0"/>
        <w:rPr>
          <w:rFonts w:ascii="Arial" w:hAnsi="Arial" w:cs="Arial"/>
          <w:b/>
        </w:rPr>
      </w:pPr>
      <w:r w:rsidRPr="00211279">
        <w:rPr>
          <w:rFonts w:ascii="Arial" w:hAnsi="Arial" w:cs="Arial"/>
          <w:b/>
        </w:rPr>
        <w:t>Vote Solar</w:t>
      </w:r>
    </w:p>
    <w:p w:rsidR="004E0F38" w:rsidRDefault="004E0F38" w:rsidP="004E0F38">
      <w:pPr>
        <w:pStyle w:val="BodyText"/>
      </w:pPr>
      <w:r>
        <w:t xml:space="preserve">Vote Solar did not provide </w:t>
      </w:r>
      <w:r w:rsidR="00C35A61">
        <w:t xml:space="preserve">an </w:t>
      </w:r>
      <w:r>
        <w:t>argument specific to this issue. (</w:t>
      </w:r>
      <w:r w:rsidR="004230E1">
        <w:t xml:space="preserve">Vote Solar </w:t>
      </w:r>
      <w:r>
        <w:t>BR 4)</w:t>
      </w:r>
    </w:p>
    <w:p w:rsidR="00F046BD" w:rsidRPr="00211279" w:rsidRDefault="00F046BD" w:rsidP="00301E5C">
      <w:pPr>
        <w:pStyle w:val="BodyText"/>
        <w:spacing w:after="0"/>
        <w:rPr>
          <w:rFonts w:ascii="Arial" w:hAnsi="Arial" w:cs="Arial"/>
          <w:b/>
        </w:rPr>
      </w:pPr>
      <w:r w:rsidRPr="00211279">
        <w:rPr>
          <w:rFonts w:ascii="Arial" w:hAnsi="Arial" w:cs="Arial"/>
          <w:b/>
        </w:rPr>
        <w:t>Walmart</w:t>
      </w:r>
    </w:p>
    <w:p w:rsidR="004E18A0" w:rsidRPr="00C3016B" w:rsidRDefault="004E18A0" w:rsidP="004E18A0">
      <w:pPr>
        <w:jc w:val="both"/>
      </w:pPr>
      <w:r>
        <w:t>Walmart did not provide issue-specific arguments in it</w:t>
      </w:r>
      <w:r w:rsidR="00F046BD">
        <w:t>s</w:t>
      </w:r>
      <w:r>
        <w:t xml:space="preserve"> brief but stated, “Walmart believes that the proposed Settlement Agreement, including the SolarTogether Settlement Tariff, is a reasonable compromise of the Settling Parties’ different positions in this case and is otherwise in the public interest.</w:t>
      </w:r>
      <w:r w:rsidR="00C35A61">
        <w:t>”</w:t>
      </w:r>
      <w:r>
        <w:t xml:space="preserve"> (</w:t>
      </w:r>
      <w:r w:rsidR="004230E1">
        <w:t xml:space="preserve">Walmart </w:t>
      </w:r>
      <w:r>
        <w:t>BR 2)</w:t>
      </w:r>
    </w:p>
    <w:p w:rsidR="00723AF0" w:rsidRDefault="00723AF0">
      <w:r>
        <w:br w:type="page"/>
      </w:r>
    </w:p>
    <w:p w:rsidR="007D3AA5" w:rsidRDefault="007D3AA5" w:rsidP="007D3AA5">
      <w:pPr>
        <w:pStyle w:val="BodyText"/>
        <w:spacing w:after="0"/>
        <w:jc w:val="center"/>
        <w:rPr>
          <w:rFonts w:ascii="Arial" w:hAnsi="Arial" w:cs="Arial"/>
          <w:b/>
        </w:rPr>
      </w:pPr>
      <w:r w:rsidRPr="00293975">
        <w:rPr>
          <w:rFonts w:ascii="Arial" w:hAnsi="Arial" w:cs="Arial"/>
          <w:b/>
        </w:rPr>
        <w:lastRenderedPageBreak/>
        <w:t>Analysis</w:t>
      </w:r>
    </w:p>
    <w:p w:rsidR="00723AF0" w:rsidRDefault="00723AF0" w:rsidP="00723AF0">
      <w:pPr>
        <w:pStyle w:val="BodyText"/>
        <w:spacing w:after="0"/>
        <w:rPr>
          <w:rFonts w:ascii="Arial" w:hAnsi="Arial" w:cs="Arial"/>
          <w:b/>
        </w:rPr>
      </w:pPr>
    </w:p>
    <w:p w:rsidR="008F44C2" w:rsidRDefault="00AB17E1" w:rsidP="007D3AA5">
      <w:pPr>
        <w:pStyle w:val="BodyText"/>
      </w:pPr>
      <w:r>
        <w:t xml:space="preserve">FPL has stated that if the Program and </w:t>
      </w:r>
      <w:r w:rsidR="00AA10B9">
        <w:t xml:space="preserve">proposed </w:t>
      </w:r>
      <w:r>
        <w:t xml:space="preserve">tariff </w:t>
      </w:r>
      <w:r w:rsidR="008A73CC">
        <w:t>are</w:t>
      </w:r>
      <w:r>
        <w:t xml:space="preserve"> not approved, </w:t>
      </w:r>
      <w:r w:rsidR="00B56322">
        <w:t xml:space="preserve">it </w:t>
      </w:r>
      <w:r w:rsidR="001F6C13">
        <w:t xml:space="preserve">is still </w:t>
      </w:r>
      <w:r>
        <w:t>commit</w:t>
      </w:r>
      <w:r w:rsidR="00142BE5">
        <w:t>ted to constructing Projects 1 and</w:t>
      </w:r>
      <w:r>
        <w:t xml:space="preserve"> 2</w:t>
      </w:r>
      <w:r w:rsidR="00142BE5">
        <w:t xml:space="preserve">. (EXH 38, BSP 162) </w:t>
      </w:r>
      <w:r>
        <w:t xml:space="preserve">In addition, the evidence in the record suggests that </w:t>
      </w:r>
      <w:r w:rsidR="00D83231">
        <w:t>P</w:t>
      </w:r>
      <w:r>
        <w:t>rojects 1, 2, and 3 are consistent with units identified in FPL’s 2019 TYSP and would satisfy FPL’s planning reserve margin criterion for the years 2020 and 2021.</w:t>
      </w:r>
      <w:r w:rsidR="000D5241">
        <w:t xml:space="preserve"> (</w:t>
      </w:r>
      <w:r w:rsidR="00AA10B9">
        <w:t>EXH 30</w:t>
      </w:r>
      <w:r w:rsidR="00617589">
        <w:t xml:space="preserve">; EXH </w:t>
      </w:r>
      <w:r w:rsidR="00615224">
        <w:t>39</w:t>
      </w:r>
      <w:r w:rsidR="00B35F6B">
        <w:t xml:space="preserve">, </w:t>
      </w:r>
      <w:r w:rsidR="00353005">
        <w:t>Amended Interrogatory No. 190</w:t>
      </w:r>
      <w:r w:rsidR="00FC001D">
        <w:t>, Attachment</w:t>
      </w:r>
      <w:r w:rsidR="00AA10B9">
        <w:t>s</w:t>
      </w:r>
      <w:r w:rsidR="00FC001D">
        <w:t xml:space="preserve"> </w:t>
      </w:r>
      <w:r w:rsidR="00B35F6B">
        <w:t>1 and 2)</w:t>
      </w:r>
      <w:r w:rsidR="001F6C13">
        <w:t xml:space="preserve"> The evidence is </w:t>
      </w:r>
      <w:r w:rsidR="0008264B">
        <w:t xml:space="preserve">also </w:t>
      </w:r>
      <w:r w:rsidR="001F6C13">
        <w:t xml:space="preserve">clear that the Program would result in the acceleration of approximately 600 MW of solar generation from 2022 to 2021, which are </w:t>
      </w:r>
      <w:r w:rsidR="00CF6289">
        <w:t xml:space="preserve">Projects </w:t>
      </w:r>
      <w:r w:rsidR="000D5241">
        <w:t>4 and 5</w:t>
      </w:r>
      <w:r w:rsidR="001F6C13">
        <w:t>.</w:t>
      </w:r>
      <w:r w:rsidR="00A4008E">
        <w:t xml:space="preserve"> Staff requested an economic analysis of this acceleration through staff’s interrogatory </w:t>
      </w:r>
      <w:r w:rsidR="00C24549">
        <w:t>number</w:t>
      </w:r>
      <w:r w:rsidR="00A4008E">
        <w:t xml:space="preserve"> 241.</w:t>
      </w:r>
      <w:r w:rsidR="00142BE5">
        <w:t xml:space="preserve"> (EXH 47, BSP 341-344)</w:t>
      </w:r>
      <w:r w:rsidR="00A4008E">
        <w:t xml:space="preserve"> FPL filed its response to this discovery request on </w:t>
      </w:r>
      <w:r w:rsidR="00D87310">
        <w:t>November 20, 2019</w:t>
      </w:r>
      <w:r w:rsidR="00A4008E">
        <w:t xml:space="preserve">. The first paragraph of </w:t>
      </w:r>
      <w:r w:rsidR="001F6C13">
        <w:t>FPL</w:t>
      </w:r>
      <w:r w:rsidR="00A4008E">
        <w:t>’s response</w:t>
      </w:r>
      <w:r w:rsidR="001F6C13">
        <w:t xml:space="preserve"> </w:t>
      </w:r>
      <w:r w:rsidR="00A4008E">
        <w:t>states</w:t>
      </w:r>
      <w:r w:rsidR="00CE5BA4">
        <w:t>:</w:t>
      </w:r>
      <w:r w:rsidR="00A4008E">
        <w:t xml:space="preserve"> </w:t>
      </w:r>
    </w:p>
    <w:p w:rsidR="00F43CE3" w:rsidRDefault="00A4008E" w:rsidP="00F43CE3">
      <w:pPr>
        <w:pStyle w:val="BodyText"/>
        <w:spacing w:before="100" w:beforeAutospacing="1" w:after="0"/>
        <w:ind w:left="720" w:right="720"/>
      </w:pPr>
      <w:r>
        <w:t>[T]he analysis</w:t>
      </w:r>
      <w:r w:rsidR="00D83ECB">
        <w:t xml:space="preserve"> </w:t>
      </w:r>
      <w:r>
        <w:t>requested in Interrogatory No. 241 consists of a new economic evaluation that cannot be performed in the time allowed for service of discovery responses. The requested new economic analysis effectively asks for a comparison of FPL’s 2019 Ten Year Site Plan (TYSP) against the SolarTogether Plan. It is important to observe</w:t>
      </w:r>
      <w:r w:rsidR="00D83ECB">
        <w:t xml:space="preserve"> </w:t>
      </w:r>
      <w:r>
        <w:t xml:space="preserve">that the solar additions shown in the SolarTogether Plan are essentially the same as the early year solar additions </w:t>
      </w:r>
      <w:r w:rsidR="008F44C2">
        <w:t xml:space="preserve">in the TYSP, except that approximately 600 MW of solar planned in early 2022 in the TYSP are built in 2021 for the purposes of SolarTogether, likely less than one year early, principally to meet broad customer interest in the participation of solar development through this unique Program. As such, FPL believes the </w:t>
      </w:r>
      <w:r w:rsidR="00FB1D54">
        <w:t>plan is consistent with the 2019 TYSP, and notes</w:t>
      </w:r>
      <w:r w:rsidR="008F44C2">
        <w:t xml:space="preserve"> that if the cost of PV panels or associated import tariffs were to increase, or if the labor market for solar construction continues to tighten, a delay in the decision to construct these units could result in forgone savings for participants and non-participants alike.</w:t>
      </w:r>
    </w:p>
    <w:p w:rsidR="00593016" w:rsidRDefault="00593016" w:rsidP="00F43CE3">
      <w:pPr>
        <w:pStyle w:val="BodyText"/>
        <w:spacing w:before="100" w:beforeAutospacing="1" w:after="0"/>
        <w:ind w:right="720"/>
      </w:pPr>
      <w:r>
        <w:t>(EXH 47, BSP 344)</w:t>
      </w:r>
    </w:p>
    <w:p w:rsidR="00C35A61" w:rsidRDefault="00C35A61" w:rsidP="00C35A61">
      <w:pPr>
        <w:pStyle w:val="BodyText"/>
        <w:spacing w:after="0"/>
      </w:pPr>
    </w:p>
    <w:p w:rsidR="00857904" w:rsidRDefault="000B58C6" w:rsidP="008F44C2">
      <w:pPr>
        <w:pStyle w:val="BodyText"/>
      </w:pPr>
      <w:r>
        <w:t xml:space="preserve">In response to staff’s interrogatory </w:t>
      </w:r>
      <w:r w:rsidR="00C24549">
        <w:t xml:space="preserve">number </w:t>
      </w:r>
      <w:r>
        <w:t xml:space="preserve">258, filed on </w:t>
      </w:r>
      <w:r w:rsidR="00D87310">
        <w:t>December 11, 2019</w:t>
      </w:r>
      <w:r>
        <w:t xml:space="preserve">, FPL </w:t>
      </w:r>
      <w:r w:rsidR="001D703C">
        <w:t>furth</w:t>
      </w:r>
      <w:r w:rsidR="0008264B">
        <w:t xml:space="preserve">er clarified its response to </w:t>
      </w:r>
      <w:r w:rsidR="00C24549">
        <w:t>interrogatory number</w:t>
      </w:r>
      <w:r w:rsidR="00CE5BA4">
        <w:t xml:space="preserve"> 241 and states</w:t>
      </w:r>
      <w:r w:rsidR="00D87310">
        <w:t>:</w:t>
      </w:r>
    </w:p>
    <w:p w:rsidR="00F43CE3" w:rsidRDefault="00F43CE3" w:rsidP="00F43CE3">
      <w:pPr>
        <w:pStyle w:val="BodyText"/>
        <w:spacing w:after="0"/>
        <w:ind w:left="720" w:right="720"/>
      </w:pPr>
      <w:r>
        <w:t xml:space="preserve">. . . </w:t>
      </w:r>
      <w:r w:rsidR="000B58C6">
        <w:t>although no actual calculation of the projected economics of such a comparison has been performed, FPL believes it would be reas</w:t>
      </w:r>
      <w:r w:rsidR="00016AE7">
        <w:t>onable to expect, assu</w:t>
      </w:r>
      <w:r w:rsidR="000B58C6">
        <w:t xml:space="preserve">ming base case assumptions, that the acceleration of this solar generation would result in a relatively slight increase in CPVRR costs if construction costs </w:t>
      </w:r>
      <w:r w:rsidR="00857904">
        <w:t>remain as currently projected.</w:t>
      </w:r>
    </w:p>
    <w:p w:rsidR="00F43CE3" w:rsidRDefault="00F43CE3" w:rsidP="00F43CE3">
      <w:pPr>
        <w:pStyle w:val="BodyText"/>
        <w:spacing w:after="0"/>
        <w:ind w:left="720" w:right="720"/>
      </w:pPr>
    </w:p>
    <w:p w:rsidR="006A0BF8" w:rsidRDefault="006A0BF8" w:rsidP="00F43CE3">
      <w:pPr>
        <w:pStyle w:val="BodyText"/>
        <w:spacing w:after="0"/>
        <w:ind w:right="720"/>
      </w:pPr>
      <w:r>
        <w:t>(EXH 51, BSP 371)</w:t>
      </w:r>
    </w:p>
    <w:p w:rsidR="00F43CE3" w:rsidRDefault="00F43CE3" w:rsidP="00F43CE3">
      <w:pPr>
        <w:pStyle w:val="BodyText"/>
        <w:spacing w:after="0"/>
        <w:ind w:right="720"/>
      </w:pPr>
    </w:p>
    <w:p w:rsidR="007D3AA5" w:rsidRDefault="00445424" w:rsidP="008F44C2">
      <w:pPr>
        <w:pStyle w:val="BodyText"/>
      </w:pPr>
      <w:r>
        <w:t>A</w:t>
      </w:r>
      <w:r w:rsidR="00BB221A">
        <w:t xml:space="preserve">cceleration of Projects 4 and 5 would increase FPL’s </w:t>
      </w:r>
      <w:r w:rsidR="00596354">
        <w:t xml:space="preserve">solar </w:t>
      </w:r>
      <w:r w:rsidR="00BB221A">
        <w:t xml:space="preserve">net energy for load from </w:t>
      </w:r>
      <w:r w:rsidR="00596354">
        <w:t>4.46 percent in 2021</w:t>
      </w:r>
      <w:r w:rsidR="00BB221A">
        <w:t xml:space="preserve"> to </w:t>
      </w:r>
      <w:r w:rsidR="00596354">
        <w:t>5.31 percent 2021.</w:t>
      </w:r>
      <w:r w:rsidR="006A7B73">
        <w:t xml:space="preserve"> </w:t>
      </w:r>
      <w:r w:rsidR="00596354">
        <w:t>(EXH 68)</w:t>
      </w:r>
      <w:r w:rsidR="00016AE7">
        <w:t xml:space="preserve"> </w:t>
      </w:r>
      <w:r w:rsidR="001F6C13">
        <w:t xml:space="preserve">FPL </w:t>
      </w:r>
      <w:r w:rsidR="00F43CE3">
        <w:t>did</w:t>
      </w:r>
      <w:r w:rsidR="001F6C13">
        <w:t xml:space="preserve"> not produce an economic analysis of this accele</w:t>
      </w:r>
      <w:r w:rsidR="000B58C6">
        <w:t>ration</w:t>
      </w:r>
      <w:r w:rsidR="00016AE7">
        <w:t xml:space="preserve"> as</w:t>
      </w:r>
      <w:r w:rsidR="00F43CE3">
        <w:t xml:space="preserve"> discussed above</w:t>
      </w:r>
      <w:r w:rsidR="000B58C6">
        <w:t xml:space="preserve">. </w:t>
      </w:r>
      <w:r w:rsidR="00AB17E1">
        <w:t>Therefore, staff recommend</w:t>
      </w:r>
      <w:r w:rsidR="00F43CE3">
        <w:t>s</w:t>
      </w:r>
      <w:r w:rsidR="00AB17E1">
        <w:t xml:space="preserve"> </w:t>
      </w:r>
      <w:r w:rsidR="00CF6289">
        <w:t>that FPL has demonstrated that P</w:t>
      </w:r>
      <w:r w:rsidR="00AB17E1">
        <w:t>rojects 1, 2, and 3 are cost-effective generation additions</w:t>
      </w:r>
      <w:r w:rsidR="00857904">
        <w:t>, but the in</w:t>
      </w:r>
      <w:r w:rsidR="00CF6289">
        <w:t>cremental cost of accelerating P</w:t>
      </w:r>
      <w:r w:rsidR="00857904">
        <w:t>rojects 4 and 5 ha</w:t>
      </w:r>
      <w:r w:rsidR="00D87310">
        <w:t>s</w:t>
      </w:r>
      <w:r w:rsidR="00857904">
        <w:t xml:space="preserve"> not been </w:t>
      </w:r>
      <w:r w:rsidR="00F43CE3">
        <w:t>supported in the record</w:t>
      </w:r>
      <w:r w:rsidR="00AB17E1">
        <w:t xml:space="preserve">. By continuing to adhere to the </w:t>
      </w:r>
      <w:r w:rsidR="00AB17E1">
        <w:lastRenderedPageBreak/>
        <w:t>principles of least</w:t>
      </w:r>
      <w:r w:rsidR="00DA51F3">
        <w:t>-</w:t>
      </w:r>
      <w:r w:rsidR="00AB17E1">
        <w:t xml:space="preserve">cost planning and cost of service allocation, FPL can add </w:t>
      </w:r>
      <w:r w:rsidR="000D5241">
        <w:t>approximately 900 MW</w:t>
      </w:r>
      <w:r w:rsidR="00AB17E1">
        <w:t xml:space="preserve"> of solar generation to its system for the benefit of all customers and </w:t>
      </w:r>
      <w:r w:rsidR="00857904">
        <w:t xml:space="preserve">request </w:t>
      </w:r>
      <w:r w:rsidR="00AB17E1">
        <w:t>recover</w:t>
      </w:r>
      <w:r w:rsidR="00857904">
        <w:t xml:space="preserve">y of </w:t>
      </w:r>
      <w:r w:rsidR="00AB17E1">
        <w:t>these costs at a subsequent base rate proceeding.</w:t>
      </w:r>
      <w:r w:rsidR="00B2502E">
        <w:t xml:space="preserve"> If the proposed tariff is not approved, </w:t>
      </w:r>
      <w:r w:rsidR="000F197B">
        <w:t>it appears that constructing Projects 1, 2, and 3 would be cost-effective additions to FPL’s system that would benefit all customers.</w:t>
      </w:r>
    </w:p>
    <w:p w:rsidR="00BF29F3" w:rsidRPr="00421F85" w:rsidRDefault="00BF29F3" w:rsidP="00BF29F3">
      <w:pPr>
        <w:rPr>
          <w:rFonts w:ascii="Arial" w:hAnsi="Arial" w:cs="Arial"/>
          <w:b/>
        </w:rPr>
      </w:pPr>
      <w:r w:rsidRPr="00421F85">
        <w:rPr>
          <w:rFonts w:ascii="Arial" w:hAnsi="Arial" w:cs="Arial"/>
          <w:b/>
        </w:rPr>
        <w:t>Allowance for Funds Used During Construction (AFUDC)</w:t>
      </w:r>
    </w:p>
    <w:p w:rsidR="00BF29F3" w:rsidRDefault="00CF32BF" w:rsidP="00BF29F3">
      <w:pPr>
        <w:jc w:val="both"/>
      </w:pPr>
      <w:r>
        <w:t xml:space="preserve">Pursuant to Rule 25-6.0141, </w:t>
      </w:r>
      <w:r w:rsidR="00233C61">
        <w:t>Florida Administrative Code (</w:t>
      </w:r>
      <w:r w:rsidR="00383175">
        <w:t>F.A.C.</w:t>
      </w:r>
      <w:r w:rsidR="00233C61">
        <w:t>)</w:t>
      </w:r>
      <w:r>
        <w:t xml:space="preserve">, AFUDC is a regulatory concept that allows for the deferral and ultimate recovery of carrying costs associated with the construction of large capital additions that would not be supported by the </w:t>
      </w:r>
      <w:r w:rsidR="00383175">
        <w:t>CW</w:t>
      </w:r>
      <w:r w:rsidR="005101B8">
        <w:t>I</w:t>
      </w:r>
      <w:r w:rsidR="00383175">
        <w:t xml:space="preserve">P </w:t>
      </w:r>
      <w:r>
        <w:t>balanc</w:t>
      </w:r>
      <w:r w:rsidR="00186D76">
        <w:t>e included in rate base in the U</w:t>
      </w:r>
      <w:r>
        <w:t xml:space="preserve">tility’s last base rate case. </w:t>
      </w:r>
      <w:r w:rsidR="00BF29F3">
        <w:t xml:space="preserve">As discussed previously, the </w:t>
      </w:r>
      <w:r w:rsidR="008C2440">
        <w:t>Utility</w:t>
      </w:r>
      <w:r w:rsidR="00BF29F3">
        <w:t xml:space="preserve"> has proposed to construct 20 new solar generating facilities </w:t>
      </w:r>
      <w:r w:rsidR="006C1689">
        <w:t>w</w:t>
      </w:r>
      <w:r w:rsidR="00BF29F3">
        <w:t>ith a design capacity of 74.5</w:t>
      </w:r>
      <w:r w:rsidR="00B56322">
        <w:t xml:space="preserve"> </w:t>
      </w:r>
      <w:r w:rsidR="00BF29F3">
        <w:t>MW each. (T</w:t>
      </w:r>
      <w:r w:rsidR="00BF29F3" w:rsidRPr="00545E65">
        <w:t xml:space="preserve">R </w:t>
      </w:r>
      <w:r w:rsidR="00BF29F3">
        <w:t>105</w:t>
      </w:r>
      <w:r w:rsidR="00BF29F3" w:rsidRPr="00545E65">
        <w:t>)</w:t>
      </w:r>
      <w:r w:rsidR="006C1689">
        <w:t xml:space="preserve"> </w:t>
      </w:r>
      <w:r w:rsidR="00BF29F3">
        <w:t>With a design capacity of less than 75</w:t>
      </w:r>
      <w:r w:rsidR="00B56322">
        <w:t xml:space="preserve"> </w:t>
      </w:r>
      <w:r w:rsidR="00BF29F3">
        <w:t>MW each</w:t>
      </w:r>
      <w:r w:rsidR="006C1689">
        <w:t xml:space="preserve">, FPL argues that each of </w:t>
      </w:r>
      <w:r w:rsidR="009D7297">
        <w:t>these</w:t>
      </w:r>
      <w:r w:rsidR="00BF29F3">
        <w:t xml:space="preserve"> solar generating facilities is exempt from the siting requirements of the </w:t>
      </w:r>
      <w:r w:rsidR="00F63CDA">
        <w:t>PPSA</w:t>
      </w:r>
      <w:r w:rsidR="00F43CE3">
        <w:rPr>
          <w:rStyle w:val="FootnoteReference"/>
        </w:rPr>
        <w:footnoteReference w:id="13"/>
      </w:r>
      <w:r w:rsidR="00BF29F3">
        <w:t xml:space="preserve"> and do not require a need determination from this Commission. (T</w:t>
      </w:r>
      <w:r w:rsidR="00BF29F3" w:rsidRPr="00BE5029">
        <w:t>R 406)</w:t>
      </w:r>
      <w:r w:rsidR="00BF29F3">
        <w:t xml:space="preserve"> For purposes of its filing, FPL has grouped these 20 discrete solar generating facilities into five projects. (TR </w:t>
      </w:r>
      <w:r w:rsidR="003D09E3">
        <w:t>363-</w:t>
      </w:r>
      <w:r w:rsidR="00BF29F3">
        <w:t>364; EXH</w:t>
      </w:r>
      <w:r w:rsidR="00BF29F3" w:rsidRPr="00BE5029">
        <w:t xml:space="preserve"> 69</w:t>
      </w:r>
      <w:r w:rsidR="00BF29F3">
        <w:t>) In the instant case,</w:t>
      </w:r>
      <w:r w:rsidR="00BF29F3" w:rsidRPr="00CD00AF">
        <w:t xml:space="preserve"> </w:t>
      </w:r>
      <w:r w:rsidR="00BF29F3">
        <w:t xml:space="preserve">because SolarTogether Projects 1 and 2 utilize a common </w:t>
      </w:r>
      <w:r w:rsidR="00615224">
        <w:t xml:space="preserve">EPC </w:t>
      </w:r>
      <w:r w:rsidR="00BF29F3">
        <w:t>contractor, FPL has asserted that SolarTogether Projects 1 and 2 are eligible to accrue AFUDC.</w:t>
      </w:r>
      <w:r w:rsidR="00BF29F3">
        <w:rPr>
          <w:rStyle w:val="FootnoteReference"/>
        </w:rPr>
        <w:footnoteReference w:id="14"/>
      </w:r>
      <w:r w:rsidR="00BF29F3">
        <w:t xml:space="preserve"> (TR </w:t>
      </w:r>
      <w:r w:rsidR="00BF29F3" w:rsidRPr="00BE5029">
        <w:t>379; EXH 69</w:t>
      </w:r>
      <w:r w:rsidR="00BF29F3">
        <w:t>) The estimated annual revenue requirement impact of AFUDC for Projects 1 and 2 is $2.35 million. (TR</w:t>
      </w:r>
      <w:r w:rsidR="00BF29F3" w:rsidRPr="00BE5029">
        <w:t xml:space="preserve"> 407;</w:t>
      </w:r>
      <w:r w:rsidR="00BF29F3">
        <w:t xml:space="preserve"> E</w:t>
      </w:r>
      <w:r w:rsidR="00BF29F3" w:rsidRPr="004C2FB7">
        <w:t>XH 48</w:t>
      </w:r>
      <w:r w:rsidR="00C931EE">
        <w:t>, BSP 349</w:t>
      </w:r>
      <w:r w:rsidR="00BF29F3">
        <w:t>)</w:t>
      </w:r>
    </w:p>
    <w:p w:rsidR="00BF29F3" w:rsidRDefault="00BF29F3" w:rsidP="00BF29F3"/>
    <w:p w:rsidR="00BF29F3" w:rsidRPr="004C2FB7" w:rsidRDefault="00BF29F3" w:rsidP="00BF29F3">
      <w:pPr>
        <w:jc w:val="both"/>
      </w:pPr>
      <w:r>
        <w:t xml:space="preserve">Staff agrees with the </w:t>
      </w:r>
      <w:r w:rsidR="008C2440">
        <w:t>Utility</w:t>
      </w:r>
      <w:r>
        <w:t xml:space="preserve"> that in total, the overall capital expenditures of the six discrete solar generating facilities that make up Projects 1 and 2 do constitute large capital additions and satisfy the eligibility requirements in Rule 25-6.0141, F.A.C., to accrue AFUDC.</w:t>
      </w:r>
      <w:r>
        <w:rPr>
          <w:rStyle w:val="FootnoteReference"/>
        </w:rPr>
        <w:footnoteReference w:id="15"/>
      </w:r>
      <w:r>
        <w:t xml:space="preserve"> (T</w:t>
      </w:r>
      <w:r w:rsidRPr="004C2FB7">
        <w:t>R 379</w:t>
      </w:r>
      <w:r w:rsidRPr="00BE5029">
        <w:t>; EXH 69</w:t>
      </w:r>
      <w:r>
        <w:t xml:space="preserve">) For FPL, the current threshold of investment that is eligible to accrue AFUDC is approximately $243 million. (TR 363) However, staff does have concerns about the </w:t>
      </w:r>
      <w:r w:rsidR="008C2440">
        <w:t>Utility</w:t>
      </w:r>
      <w:r>
        <w:t>’s policy of fragmenting large capital projects to circumvent the siting requirements of the PPSA and Commission need determinations, and the subsequent bundling of the same capital additions for AFUDC purposes. (TR 105-1</w:t>
      </w:r>
      <w:r w:rsidRPr="007637A6">
        <w:t>06, 363</w:t>
      </w:r>
      <w:r>
        <w:t>) The PPSA uses the term “electrical power plant” to describe new generating assets, whereas the AFUDC Rule uses the term “project” to describe large capital additions. (EXH</w:t>
      </w:r>
      <w:r w:rsidRPr="004C2FB7">
        <w:t xml:space="preserve"> 48</w:t>
      </w:r>
      <w:r w:rsidR="007D7DB8">
        <w:t>, BSP 351</w:t>
      </w:r>
      <w:r>
        <w:t xml:space="preserve">) </w:t>
      </w:r>
      <w:r w:rsidRPr="004C2FB7">
        <w:t>The PPSA defines an “electrical power plant” as “any steam or solar electrical generating facility using any process or fuel, including nuclear</w:t>
      </w:r>
      <w:r w:rsidR="00F43CE3">
        <w:t>,</w:t>
      </w:r>
      <w:r w:rsidRPr="004C2FB7">
        <w:t>” but the AFUDC Rule does not define what specifically constitutes a “project.” (</w:t>
      </w:r>
      <w:r w:rsidR="00F43CE3">
        <w:t xml:space="preserve">Section 403.503(14), F.S.; </w:t>
      </w:r>
      <w:r w:rsidRPr="004C2FB7">
        <w:t>EXH 48</w:t>
      </w:r>
      <w:r w:rsidR="007D7DB8">
        <w:t>, BSP 351</w:t>
      </w:r>
      <w:r w:rsidRPr="004C2FB7">
        <w:t>)</w:t>
      </w:r>
    </w:p>
    <w:p w:rsidR="00BF29F3" w:rsidRDefault="00BF29F3" w:rsidP="00BF29F3">
      <w:pPr>
        <w:jc w:val="both"/>
      </w:pPr>
    </w:p>
    <w:p w:rsidR="00BF29F3" w:rsidRDefault="00BF29F3" w:rsidP="00BF29F3">
      <w:pPr>
        <w:jc w:val="both"/>
      </w:pPr>
      <w:r>
        <w:t>Staff believes that the deferral and recovery of these carrying costs, without the oversight and transparency of vetting a large capital addition through the PPSA and</w:t>
      </w:r>
      <w:r w:rsidR="00F43CE3">
        <w:t xml:space="preserve"> a</w:t>
      </w:r>
      <w:r>
        <w:t xml:space="preserve"> Commission need determination </w:t>
      </w:r>
      <w:r w:rsidR="00F43CE3">
        <w:t xml:space="preserve">proceeding </w:t>
      </w:r>
      <w:r>
        <w:t xml:space="preserve">is troublesome. Further, staff believes that it would be advisable to </w:t>
      </w:r>
      <w:r>
        <w:lastRenderedPageBreak/>
        <w:t>open rulemaking for Rule 25-6.0141, F.A.C., to address the issue of bundling projects and to define what constitutes a project for purposes of accruing AFUDC.</w:t>
      </w:r>
    </w:p>
    <w:p w:rsidR="00BF29F3" w:rsidRDefault="00BF29F3" w:rsidP="00BF29F3">
      <w:pPr>
        <w:jc w:val="both"/>
      </w:pPr>
    </w:p>
    <w:p w:rsidR="00413F0B" w:rsidRPr="00AA53D6" w:rsidRDefault="00D61AE4" w:rsidP="00BF29F3">
      <w:pPr>
        <w:jc w:val="both"/>
        <w:rPr>
          <w:rFonts w:ascii="Arial" w:hAnsi="Arial" w:cs="Arial"/>
          <w:b/>
        </w:rPr>
      </w:pPr>
      <w:r>
        <w:rPr>
          <w:rFonts w:ascii="Arial" w:hAnsi="Arial" w:cs="Arial"/>
          <w:b/>
        </w:rPr>
        <w:t>Options to Program as Proposed</w:t>
      </w:r>
    </w:p>
    <w:p w:rsidR="009F3218" w:rsidRDefault="00BC5D1B" w:rsidP="00BF29F3">
      <w:pPr>
        <w:jc w:val="both"/>
      </w:pPr>
      <w:r w:rsidRPr="00BC5D1B">
        <w:t>FPL argues that the proposed Program and associated tariff would be the next step forward in promoting Florida’s energy policy contained in Section 366.92, F.S., which is to promote the development of renewable energy; protect the economic viability of Florida’s existing renewable energy facilities; diversify the types of fuel used to generate electricity in Florida; encourage the development of renewable generation; improve fuel diversity; lessen Florida’s dependence on natural gas and fuel oil for the production of electricity; minimize the volatility of fuel costs; encourage investment within the state; improve environmental conditions; and, at the same time, minimize the costs of power supply to electric utilities and their customers.</w:t>
      </w:r>
      <w:r>
        <w:t xml:space="preserve"> (FPL BR 21) </w:t>
      </w:r>
      <w:r w:rsidR="004B32C9">
        <w:t xml:space="preserve">As discussed in Issue 2, staff recommends that the proposed </w:t>
      </w:r>
      <w:r w:rsidR="00CF6289">
        <w:t xml:space="preserve">Program and associated </w:t>
      </w:r>
      <w:r w:rsidR="004B32C9">
        <w:t xml:space="preserve">tariff results in an undue </w:t>
      </w:r>
      <w:r w:rsidR="00F43CE3">
        <w:t>preference</w:t>
      </w:r>
      <w:r w:rsidR="009326A4">
        <w:t xml:space="preserve"> to participants, and subjects the general body of ratepayers to an undue disadvantage</w:t>
      </w:r>
      <w:r w:rsidR="004B32C9">
        <w:t xml:space="preserve">. </w:t>
      </w:r>
      <w:r w:rsidR="00CF6289">
        <w:t>However, t</w:t>
      </w:r>
      <w:r w:rsidR="0057769E">
        <w:t xml:space="preserve">he evidence also indicates that FPL’s customers desire additional development of solar generation. </w:t>
      </w:r>
      <w:r w:rsidR="005C03A8">
        <w:t>FPL w</w:t>
      </w:r>
      <w:r w:rsidR="0057769E">
        <w:t xml:space="preserve">itness Valle agreed that if solar generation is added to FPL’s system and recovered through </w:t>
      </w:r>
      <w:r w:rsidR="00456FCA">
        <w:t>traditional rate-making</w:t>
      </w:r>
      <w:r w:rsidR="0057769E">
        <w:t xml:space="preserve">, all customers will receive benefits. </w:t>
      </w:r>
      <w:r w:rsidR="00456FCA">
        <w:t xml:space="preserve">(TR 131-132) </w:t>
      </w:r>
      <w:r w:rsidR="004B32C9">
        <w:t>Therefore, d</w:t>
      </w:r>
      <w:r w:rsidR="009F3218">
        <w:t>uring cross examination, staff explored various options to encourage the developm</w:t>
      </w:r>
      <w:r w:rsidR="00DD7994">
        <w:t xml:space="preserve">ent of solar generation for </w:t>
      </w:r>
      <w:r w:rsidR="00363F3F">
        <w:t xml:space="preserve">the benefit of all customers </w:t>
      </w:r>
      <w:r w:rsidR="004B32C9">
        <w:t xml:space="preserve">that did not require the </w:t>
      </w:r>
      <w:r w:rsidR="002A7961">
        <w:t xml:space="preserve">proposed </w:t>
      </w:r>
      <w:r w:rsidR="004B32C9">
        <w:t xml:space="preserve">tariff to be implemented. </w:t>
      </w:r>
      <w:r w:rsidR="00040D99">
        <w:t>Such options would be consistent with the intent of Section 366.92, F.S., and also avoid any semblance of an undue preference.</w:t>
      </w:r>
      <w:r w:rsidR="000A0D8E">
        <w:t xml:space="preserve"> </w:t>
      </w:r>
      <w:r w:rsidR="004B32C9">
        <w:t xml:space="preserve">These options </w:t>
      </w:r>
      <w:r w:rsidR="00040D99">
        <w:t>included</w:t>
      </w:r>
      <w:r w:rsidR="004B32C9">
        <w:t xml:space="preserve"> classifying the solar facilities as a regulatory asset </w:t>
      </w:r>
      <w:r w:rsidR="00040D99">
        <w:t>or</w:t>
      </w:r>
      <w:r w:rsidR="004B32C9">
        <w:t xml:space="preserve"> creating a recovery mechanism similar to </w:t>
      </w:r>
      <w:r w:rsidR="006C1033">
        <w:t xml:space="preserve">ones approved in </w:t>
      </w:r>
      <w:r w:rsidR="004B32C9">
        <w:t xml:space="preserve">recent </w:t>
      </w:r>
      <w:r w:rsidR="00CF6289">
        <w:t xml:space="preserve">SoBRA </w:t>
      </w:r>
      <w:r w:rsidR="004B32C9">
        <w:t xml:space="preserve">settlement </w:t>
      </w:r>
      <w:r w:rsidR="006C1033">
        <w:t xml:space="preserve">agreements. While FPL agreed that such options would encourage the development of solar generation, </w:t>
      </w:r>
      <w:r w:rsidR="00F43CE3">
        <w:t>it</w:t>
      </w:r>
      <w:r w:rsidR="006C1033">
        <w:t xml:space="preserve"> did not support such action as it would not be responsive to the primary purpose of the Program, which is to address “the needs of customers who cannot or do not want to own a net metering system, but are seeking a direct bill credit.” (</w:t>
      </w:r>
      <w:r w:rsidR="00BA4AFC">
        <w:t>TR 49)</w:t>
      </w:r>
    </w:p>
    <w:p w:rsidR="00553DEC" w:rsidRDefault="00553DEC" w:rsidP="00BF29F3">
      <w:pPr>
        <w:jc w:val="both"/>
      </w:pPr>
    </w:p>
    <w:p w:rsidR="003535C8" w:rsidRDefault="003B2E93" w:rsidP="008F44C2">
      <w:pPr>
        <w:pStyle w:val="BodyText"/>
      </w:pPr>
      <w:r w:rsidRPr="008C7EA4">
        <w:t>Also, a</w:t>
      </w:r>
      <w:r w:rsidR="00764761" w:rsidRPr="008C7EA4">
        <w:t xml:space="preserve">s discussed in Issue 2, </w:t>
      </w:r>
      <w:r w:rsidR="00DD010A">
        <w:t xml:space="preserve">FPL </w:t>
      </w:r>
      <w:r w:rsidRPr="008C7EA4">
        <w:t>w</w:t>
      </w:r>
      <w:r w:rsidR="003535C8" w:rsidRPr="008C7EA4">
        <w:t>itness Valle agreed that i</w:t>
      </w:r>
      <w:r w:rsidR="00764761" w:rsidRPr="008C7EA4">
        <w:t>f a customer were to net meter</w:t>
      </w:r>
      <w:r w:rsidR="00F43CE3">
        <w:t>,</w:t>
      </w:r>
      <w:r w:rsidR="00764761" w:rsidRPr="008C7EA4">
        <w:t xml:space="preserve"> </w:t>
      </w:r>
      <w:r w:rsidR="003535C8" w:rsidRPr="008C7EA4">
        <w:t>FPL would see a decline in revenues due to reduced sales. He also agreed that</w:t>
      </w:r>
      <w:r w:rsidR="00F534B5" w:rsidRPr="008C7EA4">
        <w:t xml:space="preserve">, in FPL’s next base rate proceeding, </w:t>
      </w:r>
      <w:r w:rsidR="008C7EA4" w:rsidRPr="008C7EA4">
        <w:t xml:space="preserve">the impact from the reduced sales </w:t>
      </w:r>
      <w:r w:rsidR="00F534B5" w:rsidRPr="008C7EA4">
        <w:t xml:space="preserve">would be reviewed and rates for the </w:t>
      </w:r>
      <w:r w:rsidR="00347041" w:rsidRPr="008C7EA4">
        <w:t>general body of ratepayers</w:t>
      </w:r>
      <w:r w:rsidR="003535C8" w:rsidRPr="008C7EA4">
        <w:t xml:space="preserve"> </w:t>
      </w:r>
      <w:r w:rsidR="00F534B5" w:rsidRPr="008C7EA4">
        <w:t>would be adjusted as needed</w:t>
      </w:r>
      <w:r w:rsidR="003535C8" w:rsidRPr="008C7EA4">
        <w:t>.</w:t>
      </w:r>
      <w:r w:rsidR="003535C8">
        <w:t xml:space="preserve"> </w:t>
      </w:r>
      <w:r w:rsidR="00514907">
        <w:t xml:space="preserve">(TR 148) </w:t>
      </w:r>
      <w:r w:rsidR="003535C8">
        <w:t>Staff also explored the option of having the participant credits recorded as a base rate expense item rather than</w:t>
      </w:r>
      <w:r w:rsidR="00F43CE3">
        <w:t xml:space="preserve"> allowing </w:t>
      </w:r>
      <w:r w:rsidR="003535C8">
        <w:t>immediate recovery through FPL’s fuel clause. In short, such action would approve the STR tariff as filed, but change the way FPL prop</w:t>
      </w:r>
      <w:r w:rsidR="00AB0CB4">
        <w:t xml:space="preserve">osed to recover the costs. (TR 411-413) </w:t>
      </w:r>
      <w:r w:rsidR="003535C8">
        <w:t xml:space="preserve">Such treatment would delay the </w:t>
      </w:r>
      <w:r w:rsidR="00956E26">
        <w:t xml:space="preserve">explicit </w:t>
      </w:r>
      <w:r w:rsidR="003535C8">
        <w:t xml:space="preserve">recovery of the credits until FPL’s next base rate proceeding, much like a current net metering customer, but </w:t>
      </w:r>
      <w:r w:rsidR="00B113F5">
        <w:t xml:space="preserve">FPL </w:t>
      </w:r>
      <w:r w:rsidR="003535C8">
        <w:t>would retain the risk of interim lost revenues</w:t>
      </w:r>
      <w:r w:rsidR="00B04915">
        <w:t>.</w:t>
      </w:r>
      <w:r w:rsidR="00B04915" w:rsidRPr="00B04915">
        <w:t xml:space="preserve"> </w:t>
      </w:r>
      <w:r w:rsidR="00B04915">
        <w:t>The estimated annual credits for 2020 are $31.7 million and $105.1 million for 2021</w:t>
      </w:r>
      <w:r w:rsidR="003535C8">
        <w:t xml:space="preserve">. </w:t>
      </w:r>
      <w:r w:rsidR="007E40C8">
        <w:t>FPL w</w:t>
      </w:r>
      <w:r w:rsidR="003535C8">
        <w:t xml:space="preserve">itness Bores agreed that participating customers would be unaffected and that </w:t>
      </w:r>
      <w:r w:rsidR="005146CF">
        <w:t>FPL would bear the risk of these costs until its next rate case. (TR 413)</w:t>
      </w:r>
      <w:r w:rsidR="003535C8">
        <w:t xml:space="preserve"> If the </w:t>
      </w:r>
      <w:r w:rsidR="000C7F3C">
        <w:t>Commission</w:t>
      </w:r>
      <w:r w:rsidR="003535C8">
        <w:t xml:space="preserve"> approves rate schedule STR as proposed, staff recommends that the participant credits associated with proposed rate schedule STR be recorded as a base rate expense. Such treatment would provide participants the same benefits as proposed by FPL but more closely reflect the current risks to the general body of ratepayers and FPL associated with traditional net</w:t>
      </w:r>
      <w:r w:rsidR="00C35A61">
        <w:t xml:space="preserve"> </w:t>
      </w:r>
      <w:r w:rsidR="003535C8">
        <w:t>metering.</w:t>
      </w:r>
    </w:p>
    <w:p w:rsidR="008D25CF" w:rsidRDefault="008D25CF" w:rsidP="008F44C2">
      <w:pPr>
        <w:pStyle w:val="BodyText"/>
      </w:pPr>
    </w:p>
    <w:p w:rsidR="007D3AA5" w:rsidRDefault="007D3AA5" w:rsidP="007D3AA5">
      <w:pPr>
        <w:pStyle w:val="BodyText"/>
        <w:spacing w:after="0"/>
        <w:jc w:val="center"/>
        <w:rPr>
          <w:rFonts w:ascii="Arial" w:hAnsi="Arial" w:cs="Arial"/>
          <w:b/>
        </w:rPr>
      </w:pPr>
      <w:r w:rsidRPr="00293975">
        <w:rPr>
          <w:rFonts w:ascii="Arial" w:hAnsi="Arial" w:cs="Arial"/>
          <w:b/>
        </w:rPr>
        <w:lastRenderedPageBreak/>
        <w:t>Conclusion</w:t>
      </w:r>
    </w:p>
    <w:p w:rsidR="00AA7487" w:rsidRDefault="00AA7487" w:rsidP="00CA3F76">
      <w:pPr>
        <w:pStyle w:val="BodyText"/>
        <w:spacing w:after="0"/>
        <w:rPr>
          <w:rFonts w:ascii="Arial" w:hAnsi="Arial" w:cs="Arial"/>
          <w:b/>
        </w:rPr>
      </w:pPr>
    </w:p>
    <w:p w:rsidR="00E83F46" w:rsidRDefault="00E83F46" w:rsidP="00E83F46">
      <w:pPr>
        <w:jc w:val="both"/>
        <w:rPr>
          <w:b/>
          <w:i/>
        </w:rPr>
      </w:pPr>
      <w:r>
        <w:t>The Commission should not approve a</w:t>
      </w:r>
      <w:r w:rsidR="00E2470F">
        <w:t xml:space="preserve">ny cost recovery at this time. </w:t>
      </w:r>
      <w:r>
        <w:t>FPL’s 2019 TYSP, which includes over 1,700 MW of future solar generation</w:t>
      </w:r>
      <w:r w:rsidRPr="00532FAF">
        <w:t xml:space="preserve"> </w:t>
      </w:r>
      <w:r>
        <w:t>by 2022, is the least-cost plan resulting in the lowest levelized system average electric rate for all of</w:t>
      </w:r>
      <w:r w:rsidR="00347041">
        <w:t xml:space="preserve"> FPL’s general body of ratepayers</w:t>
      </w:r>
      <w:r>
        <w:t>.</w:t>
      </w:r>
      <w:r w:rsidRPr="00C436CD">
        <w:t xml:space="preserve"> </w:t>
      </w:r>
      <w:r>
        <w:t xml:space="preserve">Projects 1, 2, and 3, approximately 900 MW of FPL’s proposed SolarTogether Program, are consistent with FPL’s 2019 TYSP. Therefore, even if </w:t>
      </w:r>
      <w:r w:rsidRPr="009F26FA">
        <w:t xml:space="preserve">the proposed tariff is not approved, </w:t>
      </w:r>
      <w:r>
        <w:t>it appears that constructing Projects 1, 2, and 3 would be cost-effective additions to FPL’s system that would benefit all customers. FPL may seek cost recovery of these facilities at its next base rate proceeding</w:t>
      </w:r>
      <w:r w:rsidRPr="00B2502E">
        <w:t xml:space="preserve"> </w:t>
      </w:r>
      <w:r>
        <w:t>under current regulatory policies and procedures.</w:t>
      </w:r>
    </w:p>
    <w:p w:rsidR="00E83F46" w:rsidRDefault="00E83F46" w:rsidP="00E83F46">
      <w:pPr>
        <w:pStyle w:val="IssueSubsectionHeading"/>
        <w:spacing w:after="0"/>
        <w:rPr>
          <w:rFonts w:ascii="Times New Roman" w:hAnsi="Times New Roman" w:cs="Times New Roman"/>
          <w:b w:val="0"/>
          <w:i w:val="0"/>
        </w:rPr>
      </w:pPr>
    </w:p>
    <w:p w:rsidR="00AA7487" w:rsidRDefault="00CE141B" w:rsidP="00E83F46">
      <w:pPr>
        <w:pStyle w:val="IssueSubsectionHeading"/>
        <w:rPr>
          <w:rFonts w:ascii="Times New Roman" w:hAnsi="Times New Roman" w:cs="Times New Roman"/>
          <w:b w:val="0"/>
          <w:i w:val="0"/>
        </w:rPr>
        <w:sectPr w:rsidR="00AA7487" w:rsidSect="0068481F">
          <w:headerReference w:type="default" r:id="rId14"/>
          <w:headerReference w:type="first" r:id="rId15"/>
          <w:footerReference w:type="first" r:id="rId16"/>
          <w:pgSz w:w="12240" w:h="15840" w:code="1"/>
          <w:pgMar w:top="1584" w:right="1440" w:bottom="1440" w:left="1440" w:header="720" w:footer="720" w:gutter="0"/>
          <w:cols w:space="720"/>
          <w:formProt w:val="0"/>
          <w:docGrid w:linePitch="360"/>
        </w:sectPr>
      </w:pPr>
      <w:r w:rsidRPr="00CE141B">
        <w:rPr>
          <w:rFonts w:ascii="Times New Roman" w:hAnsi="Times New Roman" w:cs="Times New Roman"/>
          <w:b w:val="0"/>
          <w:i w:val="0"/>
        </w:rPr>
        <w:t>If the Commission approves the Program and rate Schedule STR, staff recommends that the participant credits be recorded as a base rate expense. Such treatment would provide participants the same benefits as proposed by FPL, but more closely reflect the current risks to the general body of ratepayers and FPL associated with traditional net metering.</w:t>
      </w:r>
    </w:p>
    <w:p w:rsidR="00334F9A" w:rsidRDefault="00334F9A">
      <w:pPr>
        <w:pStyle w:val="IssueHeading"/>
        <w:rPr>
          <w:vanish/>
          <w:specVanish/>
        </w:rPr>
      </w:pPr>
      <w:r w:rsidRPr="004C3641">
        <w:lastRenderedPageBreak/>
        <w:t xml:space="preserve">Issue </w:t>
      </w:r>
      <w:r w:rsidR="003E7FDD">
        <w:fldChar w:fldCharType="begin"/>
      </w:r>
      <w:r w:rsidR="003E7FDD">
        <w:instrText xml:space="preserve"> SEQ Issue \* MERGEFORMAT </w:instrText>
      </w:r>
      <w:r w:rsidR="003E7FDD">
        <w:fldChar w:fldCharType="separate"/>
      </w:r>
      <w:r w:rsidR="00D87C5F">
        <w:rPr>
          <w:noProof/>
        </w:rPr>
        <w:t>4</w:t>
      </w:r>
      <w:r w:rsidR="003E7FDD">
        <w:rPr>
          <w:noProof/>
        </w:rPr>
        <w:fldChar w:fldCharType="end"/>
      </w:r>
      <w:r w:rsidRPr="004C3641">
        <w:t>:</w:t>
      </w:r>
      <w:r w:rsidR="007D3266">
        <w:fldChar w:fldCharType="begin"/>
      </w:r>
      <w:r>
        <w:instrText xml:space="preserve"> TC "</w:instrText>
      </w:r>
      <w:r w:rsidR="007D3266">
        <w:fldChar w:fldCharType="begin"/>
      </w:r>
      <w:r>
        <w:instrText xml:space="preserve"> SEQ issue \c </w:instrText>
      </w:r>
      <w:r w:rsidR="007D3266">
        <w:fldChar w:fldCharType="separate"/>
      </w:r>
      <w:r w:rsidR="00D87C5F">
        <w:rPr>
          <w:noProof/>
        </w:rPr>
        <w:instrText>4</w:instrText>
      </w:r>
      <w:r w:rsidR="007D3266">
        <w:fldChar w:fldCharType="end"/>
      </w:r>
      <w:r>
        <w:tab/>
        <w:instrText xml:space="preserve">" \l 1 </w:instrText>
      </w:r>
      <w:r w:rsidR="007D3266">
        <w:fldChar w:fldCharType="end"/>
      </w:r>
      <w:r>
        <w:t> </w:t>
      </w:r>
    </w:p>
    <w:p w:rsidR="00334F9A" w:rsidRDefault="00334F9A">
      <w:pPr>
        <w:pStyle w:val="BodyText"/>
      </w:pPr>
      <w:r>
        <w:t> </w:t>
      </w:r>
      <w:r w:rsidR="00421314" w:rsidRPr="00D169FF">
        <w:t xml:space="preserve">Should the Commission approve FPL’s proposed </w:t>
      </w:r>
      <w:r w:rsidR="002A2BB0">
        <w:t xml:space="preserve">SolarTogether </w:t>
      </w:r>
      <w:r w:rsidR="00421314" w:rsidRPr="00D169FF">
        <w:t>Program and associated tariff, Rate Schedule STR, which is the same tariff attached as Attachment I to the Settlement Agreement filed October 9, 2019?</w:t>
      </w:r>
    </w:p>
    <w:p w:rsidR="00334F9A" w:rsidRPr="004C3641" w:rsidRDefault="00334F9A">
      <w:pPr>
        <w:pStyle w:val="IssueSubsectionHeading"/>
        <w:rPr>
          <w:vanish/>
          <w:specVanish/>
        </w:rPr>
      </w:pPr>
      <w:r w:rsidRPr="004C3641">
        <w:t>Recommendation: </w:t>
      </w:r>
    </w:p>
    <w:p w:rsidR="00334F9A" w:rsidRDefault="00334F9A">
      <w:pPr>
        <w:pStyle w:val="BodyText"/>
      </w:pPr>
      <w:r>
        <w:t> </w:t>
      </w:r>
      <w:r w:rsidR="003A42F1">
        <w:t xml:space="preserve">No. See discussion in Issues </w:t>
      </w:r>
      <w:r w:rsidR="00E175AE">
        <w:t xml:space="preserve">1, </w:t>
      </w:r>
      <w:r w:rsidR="003A42F1">
        <w:t>2</w:t>
      </w:r>
      <w:r w:rsidR="00E175AE">
        <w:t>,</w:t>
      </w:r>
      <w:r w:rsidR="003A42F1">
        <w:t xml:space="preserve"> and 3.</w:t>
      </w:r>
      <w:r>
        <w:t xml:space="preserve"> </w:t>
      </w:r>
      <w:r w:rsidR="00A25779">
        <w:t>(Ballinger, Simmons, Trierweiler)</w:t>
      </w:r>
    </w:p>
    <w:p w:rsidR="00172151" w:rsidRDefault="00172151" w:rsidP="00172151">
      <w:pPr>
        <w:jc w:val="both"/>
        <w:rPr>
          <w:rFonts w:ascii="Arial" w:hAnsi="Arial" w:cs="Arial"/>
          <w:b/>
          <w:bCs/>
        </w:rPr>
      </w:pPr>
      <w:r w:rsidRPr="00A82C4E">
        <w:rPr>
          <w:rFonts w:ascii="Arial" w:hAnsi="Arial" w:cs="Arial"/>
          <w:b/>
          <w:bCs/>
        </w:rPr>
        <w:t>Position of the Parties:</w:t>
      </w:r>
    </w:p>
    <w:p w:rsidR="00172151" w:rsidRDefault="00172151" w:rsidP="00172151">
      <w:pPr>
        <w:ind w:left="1530" w:hanging="1530"/>
        <w:jc w:val="both"/>
        <w:rPr>
          <w:b/>
          <w:bCs/>
        </w:rPr>
      </w:pPr>
    </w:p>
    <w:p w:rsidR="00172151" w:rsidRPr="00AD36F6" w:rsidRDefault="00172151" w:rsidP="0073116E">
      <w:pPr>
        <w:ind w:left="1440" w:hanging="1440"/>
        <w:jc w:val="both"/>
        <w:rPr>
          <w:bCs/>
        </w:rPr>
      </w:pPr>
      <w:r>
        <w:rPr>
          <w:b/>
          <w:bCs/>
        </w:rPr>
        <w:t>FPL</w:t>
      </w:r>
      <w:r w:rsidRPr="00701945">
        <w:rPr>
          <w:b/>
          <w:bCs/>
        </w:rPr>
        <w:t>:</w:t>
      </w:r>
      <w:r>
        <w:rPr>
          <w:b/>
          <w:bCs/>
        </w:rPr>
        <w:tab/>
      </w:r>
      <w:r w:rsidR="00E27EBB" w:rsidRPr="00FF6637">
        <w:t xml:space="preserve">Yes. </w:t>
      </w:r>
      <w:r w:rsidR="00E27EBB">
        <w:t>The</w:t>
      </w:r>
      <w:r w:rsidR="00E27EBB" w:rsidRPr="00FF6637">
        <w:t xml:space="preserve"> Settlement represents a reasonable compromise and fully resolves all issues </w:t>
      </w:r>
      <w:proofErr w:type="gramStart"/>
      <w:r w:rsidR="00E27EBB" w:rsidRPr="00FF6637">
        <w:t>raised</w:t>
      </w:r>
      <w:proofErr w:type="gramEnd"/>
      <w:r w:rsidR="00E27EBB" w:rsidRPr="00FF6637">
        <w:t xml:space="preserve"> in this proceeding. Considered as a whole, the settlement is in the public interest: the Program responds to a significant customer need, is cost-effective, results in just, fair and reasonable rates, and advances Florida’s renewable energy policy.</w:t>
      </w:r>
    </w:p>
    <w:p w:rsidR="00172151" w:rsidRPr="00D61D5A" w:rsidRDefault="00172151" w:rsidP="00172151">
      <w:pPr>
        <w:ind w:left="1530" w:hanging="1530"/>
        <w:jc w:val="both"/>
        <w:rPr>
          <w:bCs/>
        </w:rPr>
      </w:pPr>
    </w:p>
    <w:p w:rsidR="00172151" w:rsidRDefault="00172151" w:rsidP="0073116E">
      <w:pPr>
        <w:ind w:left="1440" w:hanging="1440"/>
        <w:jc w:val="both"/>
      </w:pPr>
      <w:r>
        <w:rPr>
          <w:b/>
          <w:bCs/>
        </w:rPr>
        <w:t>OPC:</w:t>
      </w:r>
      <w:r>
        <w:tab/>
      </w:r>
      <w:r w:rsidR="00E2470F">
        <w:rPr>
          <w:rFonts w:cs="Arial"/>
          <w:kern w:val="32"/>
          <w:szCs w:val="32"/>
        </w:rPr>
        <w:t xml:space="preserve">No. </w:t>
      </w:r>
      <w:r w:rsidR="00F5269C">
        <w:rPr>
          <w:rFonts w:cs="Arial"/>
          <w:kern w:val="32"/>
          <w:szCs w:val="32"/>
        </w:rPr>
        <w:t>OPC adopts its discussion in Issues 1, 2 and 3 above.</w:t>
      </w:r>
      <w:r w:rsidR="0039027A">
        <w:rPr>
          <w:rFonts w:cs="Arial"/>
          <w:kern w:val="32"/>
          <w:szCs w:val="32"/>
        </w:rPr>
        <w:t xml:space="preserve"> </w:t>
      </w:r>
    </w:p>
    <w:p w:rsidR="00172151" w:rsidRDefault="00172151" w:rsidP="00172151">
      <w:pPr>
        <w:ind w:left="1530" w:hanging="1530"/>
        <w:jc w:val="both"/>
      </w:pPr>
    </w:p>
    <w:p w:rsidR="00172151" w:rsidRPr="00AD36F6" w:rsidRDefault="00172151" w:rsidP="0073116E">
      <w:pPr>
        <w:ind w:left="1440" w:hanging="1440"/>
        <w:jc w:val="both"/>
      </w:pPr>
      <w:r w:rsidRPr="00AD36F6">
        <w:rPr>
          <w:b/>
        </w:rPr>
        <w:t>FIPUG:</w:t>
      </w:r>
      <w:r w:rsidRPr="00AD36F6">
        <w:rPr>
          <w:b/>
        </w:rPr>
        <w:tab/>
      </w:r>
      <w:r w:rsidR="00D60A89">
        <w:t>FIPUG did not file a brief.</w:t>
      </w:r>
    </w:p>
    <w:p w:rsidR="00172151" w:rsidRDefault="00172151" w:rsidP="00172151">
      <w:pPr>
        <w:ind w:left="1530" w:hanging="1530"/>
        <w:jc w:val="both"/>
        <w:rPr>
          <w:b/>
        </w:rPr>
      </w:pPr>
    </w:p>
    <w:p w:rsidR="00172151" w:rsidRPr="00301E5C" w:rsidRDefault="00172151" w:rsidP="0073116E">
      <w:pPr>
        <w:ind w:left="1440" w:hanging="1440"/>
        <w:jc w:val="both"/>
      </w:pPr>
      <w:r>
        <w:rPr>
          <w:b/>
        </w:rPr>
        <w:t>SACE:</w:t>
      </w:r>
      <w:r>
        <w:rPr>
          <w:b/>
        </w:rPr>
        <w:tab/>
      </w:r>
      <w:r w:rsidR="00A758BC" w:rsidRPr="00301E5C">
        <w:rPr>
          <w:rFonts w:eastAsiaTheme="minorHAnsi"/>
          <w:color w:val="000000"/>
        </w:rPr>
        <w:t xml:space="preserve">Yes. The Settlement Agreement filed in this docket on </w:t>
      </w:r>
      <w:r w:rsidR="00A758BC" w:rsidRPr="00301E5C">
        <w:t>October 9, 2019 between FPL, SACE, Vote Solar, and Walmart fully resolves all matters between the referenced parties and provides numerous benefits to participants, the general body of customers and the state, and is therefore in the public interest.</w:t>
      </w:r>
    </w:p>
    <w:p w:rsidR="00172151" w:rsidRPr="00AD36F6" w:rsidRDefault="00172151" w:rsidP="00172151">
      <w:pPr>
        <w:jc w:val="both"/>
      </w:pPr>
    </w:p>
    <w:p w:rsidR="007C3452" w:rsidRDefault="00172151" w:rsidP="004669FB">
      <w:pPr>
        <w:ind w:left="1440" w:hanging="1440"/>
        <w:jc w:val="both"/>
        <w:rPr>
          <w:b/>
          <w:bCs/>
        </w:rPr>
      </w:pPr>
      <w:r>
        <w:rPr>
          <w:b/>
          <w:bCs/>
        </w:rPr>
        <w:t>VOTE</w:t>
      </w:r>
    </w:p>
    <w:p w:rsidR="00172151" w:rsidRDefault="00172151" w:rsidP="004669FB">
      <w:pPr>
        <w:ind w:left="1440" w:hanging="1440"/>
        <w:jc w:val="both"/>
        <w:rPr>
          <w:bCs/>
        </w:rPr>
      </w:pPr>
      <w:r>
        <w:rPr>
          <w:b/>
          <w:bCs/>
        </w:rPr>
        <w:t>SOLAR:</w:t>
      </w:r>
      <w:r w:rsidR="007C3452">
        <w:rPr>
          <w:b/>
          <w:bCs/>
        </w:rPr>
        <w:tab/>
      </w:r>
      <w:r w:rsidR="00776985">
        <w:t>Yes. The Commission should approve the tariff attached as Attachment I to the Settlement Agreement filed October 9, 2019.</w:t>
      </w:r>
    </w:p>
    <w:p w:rsidR="00172151" w:rsidRDefault="00172151" w:rsidP="00172151">
      <w:pPr>
        <w:ind w:left="1530" w:hanging="1530"/>
        <w:jc w:val="both"/>
        <w:rPr>
          <w:bCs/>
        </w:rPr>
      </w:pPr>
    </w:p>
    <w:p w:rsidR="00172151" w:rsidRDefault="00172151" w:rsidP="0073116E">
      <w:pPr>
        <w:ind w:left="1440" w:hanging="1440"/>
        <w:jc w:val="both"/>
        <w:rPr>
          <w:bCs/>
        </w:rPr>
      </w:pPr>
      <w:r>
        <w:rPr>
          <w:b/>
          <w:bCs/>
        </w:rPr>
        <w:t>WALMART:</w:t>
      </w:r>
      <w:r>
        <w:rPr>
          <w:bCs/>
        </w:rPr>
        <w:tab/>
      </w:r>
      <w:r w:rsidR="00E2470F">
        <w:rPr>
          <w:bCs/>
        </w:rPr>
        <w:t xml:space="preserve">Yes. </w:t>
      </w:r>
      <w:r w:rsidR="00A21CEE">
        <w:t>The Commission should approve the tariff attached as Attachment I to the Settlement Agreement filed October 9, 2019.</w:t>
      </w:r>
    </w:p>
    <w:p w:rsidR="00172151" w:rsidRDefault="00172151" w:rsidP="00172151">
      <w:pPr>
        <w:ind w:left="1530" w:hanging="1530"/>
        <w:jc w:val="both"/>
        <w:rPr>
          <w:bCs/>
        </w:rPr>
      </w:pPr>
    </w:p>
    <w:p w:rsidR="00172151" w:rsidRPr="001B0CC1" w:rsidRDefault="00172151" w:rsidP="001B0CC1">
      <w:pPr>
        <w:pStyle w:val="IssueHeading"/>
        <w:spacing w:after="0"/>
        <w:rPr>
          <w:rFonts w:ascii="Times New Roman" w:hAnsi="Times New Roman" w:cs="Times New Roman"/>
          <w:b w:val="0"/>
          <w:i w:val="0"/>
          <w:szCs w:val="24"/>
        </w:rPr>
      </w:pPr>
    </w:p>
    <w:p w:rsidR="00172151" w:rsidRDefault="00172151" w:rsidP="00172151">
      <w:pPr>
        <w:pStyle w:val="IssueHeading"/>
        <w:spacing w:after="0"/>
        <w:jc w:val="center"/>
        <w:rPr>
          <w:i w:val="0"/>
          <w:szCs w:val="24"/>
        </w:rPr>
      </w:pPr>
      <w:r w:rsidRPr="00F00B1E">
        <w:rPr>
          <w:i w:val="0"/>
          <w:szCs w:val="24"/>
        </w:rPr>
        <w:t>Parties’ Arguments</w:t>
      </w:r>
    </w:p>
    <w:p w:rsidR="00102503" w:rsidRPr="0030588F" w:rsidRDefault="00102503" w:rsidP="00102503">
      <w:pPr>
        <w:pStyle w:val="BodyText"/>
        <w:spacing w:after="0"/>
        <w:rPr>
          <w:rFonts w:ascii="Arial" w:hAnsi="Arial" w:cs="Arial"/>
          <w:b/>
        </w:rPr>
      </w:pPr>
      <w:r w:rsidRPr="0030588F">
        <w:rPr>
          <w:rFonts w:ascii="Arial" w:hAnsi="Arial" w:cs="Arial"/>
          <w:b/>
        </w:rPr>
        <w:t>FPL</w:t>
      </w:r>
    </w:p>
    <w:p w:rsidR="00102503" w:rsidRDefault="00102503" w:rsidP="00102503">
      <w:pPr>
        <w:pStyle w:val="BodyText"/>
        <w:spacing w:after="0"/>
      </w:pPr>
      <w:r w:rsidRPr="00075B70">
        <w:t xml:space="preserve">FPL contends </w:t>
      </w:r>
      <w:r w:rsidR="004C09C2">
        <w:t xml:space="preserve">the </w:t>
      </w:r>
      <w:r w:rsidR="00A45029">
        <w:t xml:space="preserve">Program </w:t>
      </w:r>
      <w:r w:rsidRPr="00075B70">
        <w:t xml:space="preserve">and the </w:t>
      </w:r>
      <w:r w:rsidR="00A45029">
        <w:t>proposed t</w:t>
      </w:r>
      <w:r w:rsidRPr="00075B70">
        <w:t>ariff are in the public interest and should be approved</w:t>
      </w:r>
      <w:r>
        <w:t>.</w:t>
      </w:r>
      <w:r w:rsidR="008316F3">
        <w:t xml:space="preserve"> (</w:t>
      </w:r>
      <w:r w:rsidR="00AF651C">
        <w:t xml:space="preserve">FPL </w:t>
      </w:r>
      <w:r w:rsidR="008316F3">
        <w:t>BR 3) In evaluating</w:t>
      </w:r>
      <w:r w:rsidRPr="00075B70">
        <w:t xml:space="preserve"> whether a settlement is in the public interest, </w:t>
      </w:r>
      <w:r>
        <w:t xml:space="preserve">argues FPL, </w:t>
      </w:r>
      <w:r w:rsidRPr="00075B70">
        <w:t>the Commission should lean toward innovation and constructive regulation that is responsive to the needs of customers and open to new, innovative ways to capture benefits for all customers. The legal standard for the Commission’s determination is whether the settlement agreement is in the public interest. (</w:t>
      </w:r>
      <w:r w:rsidR="00AF651C">
        <w:t xml:space="preserve">FPL </w:t>
      </w:r>
      <w:r w:rsidRPr="00075B70">
        <w:t xml:space="preserve">BR 17) </w:t>
      </w:r>
      <w:r>
        <w:t>FPL asserts that t</w:t>
      </w:r>
      <w:r w:rsidRPr="00075B70">
        <w:t>he Commission has broad discretion in deciding what is in the public interest, and it may consider a variety of factors in reaching its decision. (</w:t>
      </w:r>
      <w:r w:rsidR="00F36790">
        <w:t xml:space="preserve">FPL </w:t>
      </w:r>
      <w:r w:rsidRPr="00075B70">
        <w:t>BR 17)</w:t>
      </w:r>
    </w:p>
    <w:p w:rsidR="00531B11" w:rsidRDefault="00531B11" w:rsidP="00102503">
      <w:pPr>
        <w:pStyle w:val="BodyText"/>
        <w:spacing w:after="0"/>
      </w:pPr>
    </w:p>
    <w:p w:rsidR="00102503" w:rsidRDefault="00102503" w:rsidP="00102503">
      <w:pPr>
        <w:jc w:val="both"/>
      </w:pPr>
      <w:r>
        <w:t>FPL contends that with</w:t>
      </w:r>
      <w:r w:rsidRPr="00075B70">
        <w:t xml:space="preserve"> the instant Settlement Agreement, there are multiple considerations and benefits which support a finding that the SolarTogether Program as outlined and described in the Settlement Agreement is in the</w:t>
      </w:r>
      <w:r w:rsidR="001C7F59">
        <w:t xml:space="preserve"> </w:t>
      </w:r>
      <w:r w:rsidRPr="00075B70">
        <w:t>public interest: (1) the Program provides an innovative</w:t>
      </w:r>
      <w:r w:rsidR="00C35A61">
        <w:t>,</w:t>
      </w:r>
      <w:r w:rsidRPr="00075B70">
        <w:t xml:space="preserve"> voluntary </w:t>
      </w:r>
      <w:r w:rsidRPr="00075B70">
        <w:lastRenderedPageBreak/>
        <w:t>community solar option that is responsive to the demands of residential and business customers who wish to or have already subscribed to the Program while bringing benefits to all FPL customers; (2) the costs of the Program have been fairly and reasonably assigned; (3) the resulting rates under the Program are fair, just and reasonable</w:t>
      </w:r>
      <w:r w:rsidR="00C35A61">
        <w:t>;</w:t>
      </w:r>
      <w:r w:rsidRPr="00075B70">
        <w:t xml:space="preserve"> (4) the Program makes community solar available to low-income customers; (5) the Program provides material environmental benefits through substantial carbon emission reductions; (6) the Program will provide enhanced fuel diversity which mitigate</w:t>
      </w:r>
      <w:r w:rsidR="001C0FFA">
        <w:t>s</w:t>
      </w:r>
      <w:r w:rsidRPr="00075B70">
        <w:t xml:space="preserve"> risks for all FPL customers; and (7) the Program as defined under the Settlement Agreement furthers the public interest goals of the Florida Legislature to encourage the development of renewable </w:t>
      </w:r>
      <w:r>
        <w:t>e</w:t>
      </w:r>
      <w:r w:rsidR="00557084">
        <w:t>nergy resources in the s</w:t>
      </w:r>
      <w:r w:rsidRPr="00075B70">
        <w:t xml:space="preserve">tate. </w:t>
      </w:r>
      <w:r>
        <w:t>(FPL BR 39)</w:t>
      </w:r>
    </w:p>
    <w:p w:rsidR="00102503" w:rsidRPr="00075B70" w:rsidRDefault="00102503" w:rsidP="00102503">
      <w:pPr>
        <w:jc w:val="both"/>
      </w:pPr>
    </w:p>
    <w:p w:rsidR="00102503" w:rsidRPr="00075B70" w:rsidRDefault="00102503" w:rsidP="00102503">
      <w:pPr>
        <w:jc w:val="both"/>
      </w:pPr>
      <w:r w:rsidRPr="00075B70">
        <w:t xml:space="preserve">Furthermore, through the </w:t>
      </w:r>
      <w:r w:rsidR="00C35A61">
        <w:t>proposed</w:t>
      </w:r>
      <w:r w:rsidRPr="00075B70">
        <w:t xml:space="preserve"> </w:t>
      </w:r>
      <w:r w:rsidR="00A25779">
        <w:t>t</w:t>
      </w:r>
      <w:r w:rsidRPr="00075B70">
        <w:t xml:space="preserve">ariff </w:t>
      </w:r>
      <w:r>
        <w:t>FPL contends</w:t>
      </w:r>
      <w:r w:rsidR="00A25779">
        <w:t xml:space="preserve"> that</w:t>
      </w:r>
      <w:r>
        <w:t xml:space="preserve"> </w:t>
      </w:r>
      <w:r w:rsidRPr="00075B70">
        <w:t xml:space="preserve">access to solar will be afforded to customers who might never have imagined they would have the financial means to participate. </w:t>
      </w:r>
      <w:r>
        <w:t xml:space="preserve">The </w:t>
      </w:r>
      <w:r w:rsidR="00A25779">
        <w:t xml:space="preserve">Settlement </w:t>
      </w:r>
      <w:r w:rsidR="00484807">
        <w:t xml:space="preserve">Agreement </w:t>
      </w:r>
      <w:r>
        <w:t>signatories a</w:t>
      </w:r>
      <w:r w:rsidRPr="00075B70">
        <w:t>greed to set aside 37.5 MW of</w:t>
      </w:r>
      <w:r w:rsidR="001C0FFA">
        <w:t xml:space="preserve"> the Program’s capacity for low-</w:t>
      </w:r>
      <w:r w:rsidRPr="00075B70">
        <w:t>income customers, creating the opportunity to directly participate in solar for thousands of low-income households, more than any other solar program in the country. (</w:t>
      </w:r>
      <w:r w:rsidR="00AF651C">
        <w:t xml:space="preserve">FPL </w:t>
      </w:r>
      <w:r w:rsidRPr="00075B70">
        <w:t>BR</w:t>
      </w:r>
      <w:r w:rsidR="001C0FFA">
        <w:t xml:space="preserve"> </w:t>
      </w:r>
      <w:r w:rsidRPr="00075B70">
        <w:t>22)</w:t>
      </w:r>
    </w:p>
    <w:p w:rsidR="00531B11" w:rsidRDefault="00531B11" w:rsidP="00102503">
      <w:pPr>
        <w:jc w:val="both"/>
      </w:pPr>
    </w:p>
    <w:p w:rsidR="00102503" w:rsidRPr="00075B70" w:rsidRDefault="00102503" w:rsidP="00102503">
      <w:pPr>
        <w:jc w:val="both"/>
      </w:pPr>
      <w:r>
        <w:t xml:space="preserve">Last, FPL argues that </w:t>
      </w:r>
      <w:r w:rsidR="009C2A5F">
        <w:t xml:space="preserve">contrary to </w:t>
      </w:r>
      <w:r w:rsidR="00E03F65">
        <w:t>OPC’s assertion</w:t>
      </w:r>
      <w:r w:rsidR="00E03F65" w:rsidRPr="00075B70">
        <w:t xml:space="preserve"> that the </w:t>
      </w:r>
      <w:r w:rsidR="00484807">
        <w:t xml:space="preserve">proposed </w:t>
      </w:r>
      <w:r w:rsidR="00A25779">
        <w:t>t</w:t>
      </w:r>
      <w:r w:rsidR="00E03F65" w:rsidRPr="00075B70">
        <w:t>ariff violate</w:t>
      </w:r>
      <w:r w:rsidR="00E03F65">
        <w:t>s</w:t>
      </w:r>
      <w:r w:rsidR="00E03F65" w:rsidRPr="00075B70">
        <w:t xml:space="preserve"> the base rate freeze provision of the 2016 Rate Settlement</w:t>
      </w:r>
      <w:r w:rsidR="00E03F65">
        <w:t xml:space="preserve">, </w:t>
      </w:r>
      <w:r>
        <w:t>n</w:t>
      </w:r>
      <w:r w:rsidRPr="00075B70">
        <w:t>othing in</w:t>
      </w:r>
      <w:r>
        <w:t xml:space="preserve"> its</w:t>
      </w:r>
      <w:r w:rsidRPr="00075B70">
        <w:t xml:space="preserve"> 2016 Rate Settlement Agreement prohibits approval of the SolarTogether Program</w:t>
      </w:r>
      <w:r w:rsidR="00A25779">
        <w:t xml:space="preserve"> and </w:t>
      </w:r>
      <w:r w:rsidR="00484807">
        <w:t xml:space="preserve">proposed </w:t>
      </w:r>
      <w:r w:rsidR="00A25779">
        <w:t>t</w:t>
      </w:r>
      <w:r w:rsidRPr="00075B70">
        <w:t xml:space="preserve">ariff. </w:t>
      </w:r>
      <w:r w:rsidR="00E03F65">
        <w:t>FPL contends that it</w:t>
      </w:r>
      <w:r w:rsidRPr="00075B70">
        <w:t xml:space="preserve"> repeatedly confirmed that base rates would not increase as a result of SolarTogether during the term of the Rate Settlement, currently expected to remain in place through 2021. (</w:t>
      </w:r>
      <w:r w:rsidR="00AF651C">
        <w:t xml:space="preserve">FPL </w:t>
      </w:r>
      <w:r w:rsidRPr="00075B70">
        <w:t>BR 28-29)</w:t>
      </w:r>
    </w:p>
    <w:p w:rsidR="00102503" w:rsidRPr="0030588F" w:rsidRDefault="00102503" w:rsidP="00102503">
      <w:pPr>
        <w:spacing w:before="240"/>
        <w:jc w:val="both"/>
        <w:rPr>
          <w:rFonts w:ascii="Arial" w:hAnsi="Arial" w:cs="Arial"/>
          <w:b/>
        </w:rPr>
      </w:pPr>
      <w:r w:rsidRPr="0030588F">
        <w:rPr>
          <w:rFonts w:ascii="Arial" w:hAnsi="Arial" w:cs="Arial"/>
          <w:b/>
        </w:rPr>
        <w:t>OPC</w:t>
      </w:r>
    </w:p>
    <w:p w:rsidR="00102503" w:rsidRPr="00955DD1" w:rsidRDefault="00E2470F" w:rsidP="00102503">
      <w:pPr>
        <w:jc w:val="both"/>
      </w:pPr>
      <w:r>
        <w:t xml:space="preserve">No. </w:t>
      </w:r>
      <w:r w:rsidR="00102503" w:rsidRPr="00955DD1">
        <w:t>OPC adopts its discussion in Issues 1, 2 and 3 above.</w:t>
      </w:r>
      <w:r w:rsidR="0039027A">
        <w:t xml:space="preserve"> (OPC BR 20)</w:t>
      </w:r>
    </w:p>
    <w:p w:rsidR="00102503" w:rsidRPr="0030588F" w:rsidRDefault="00102503" w:rsidP="00DD4FBC">
      <w:pPr>
        <w:jc w:val="both"/>
        <w:rPr>
          <w:rFonts w:ascii="Arial" w:hAnsi="Arial" w:cs="Arial"/>
          <w:b/>
        </w:rPr>
      </w:pPr>
    </w:p>
    <w:p w:rsidR="00D77900" w:rsidRPr="0030588F" w:rsidRDefault="00D77900" w:rsidP="00DD4FBC">
      <w:pPr>
        <w:jc w:val="both"/>
        <w:rPr>
          <w:rFonts w:ascii="Arial" w:hAnsi="Arial" w:cs="Arial"/>
          <w:b/>
        </w:rPr>
      </w:pPr>
      <w:r w:rsidRPr="0030588F">
        <w:rPr>
          <w:rFonts w:ascii="Arial" w:hAnsi="Arial" w:cs="Arial"/>
          <w:b/>
        </w:rPr>
        <w:t>SACE</w:t>
      </w:r>
    </w:p>
    <w:p w:rsidR="00A25FCB" w:rsidRDefault="00A25FCB" w:rsidP="00A25FCB">
      <w:pPr>
        <w:jc w:val="both"/>
      </w:pPr>
      <w:r>
        <w:t>SACE argues that the Commission should approve the Settlement Agreement filed on October 9, 2019</w:t>
      </w:r>
      <w:r w:rsidR="00C35A61">
        <w:t>. SAC</w:t>
      </w:r>
      <w:r>
        <w:t xml:space="preserve">E contends that the </w:t>
      </w:r>
      <w:r w:rsidRPr="00BD3BD7">
        <w:t xml:space="preserve">Commission </w:t>
      </w:r>
      <w:r>
        <w:t xml:space="preserve">is </w:t>
      </w:r>
      <w:r w:rsidRPr="00BD3BD7">
        <w:t>afforded great deference to determine that a settlement agreement</w:t>
      </w:r>
      <w:r>
        <w:t xml:space="preserve"> </w:t>
      </w:r>
      <w:r w:rsidRPr="00BD3BD7">
        <w:t>between parties is in the public interest</w:t>
      </w:r>
      <w:r>
        <w:t xml:space="preserve"> and that i</w:t>
      </w:r>
      <w:r w:rsidRPr="00BD3BD7">
        <w:t>t has been presented with substantial, competent</w:t>
      </w:r>
      <w:r>
        <w:t xml:space="preserve"> </w:t>
      </w:r>
      <w:r w:rsidRPr="00BD3BD7">
        <w:t xml:space="preserve">evidence during the hearing upon which to make a public interest determination. </w:t>
      </w:r>
      <w:r>
        <w:t>(SACE BR 4)</w:t>
      </w:r>
    </w:p>
    <w:p w:rsidR="00A25FCB" w:rsidRDefault="00A25FCB" w:rsidP="00A25FCB">
      <w:pPr>
        <w:jc w:val="both"/>
      </w:pPr>
    </w:p>
    <w:p w:rsidR="00A25FCB" w:rsidRPr="00640C75" w:rsidRDefault="00A25FCB" w:rsidP="00A25FCB">
      <w:pPr>
        <w:jc w:val="both"/>
        <w:rPr>
          <w:rFonts w:eastAsiaTheme="minorHAnsi"/>
        </w:rPr>
      </w:pPr>
      <w:r>
        <w:t xml:space="preserve">As </w:t>
      </w:r>
      <w:r w:rsidRPr="00640C75">
        <w:t xml:space="preserve">a threshold matter, </w:t>
      </w:r>
      <w:r>
        <w:t xml:space="preserve">explains SACE, </w:t>
      </w:r>
      <w:r w:rsidRPr="00640C75">
        <w:t xml:space="preserve">Florida statute provides that “unless precluded by law, informal disposition may be made of any proceeding by stipulation, agreed settlement, or consent order.” Moreover, </w:t>
      </w:r>
      <w:r w:rsidR="002D7A94">
        <w:t>SACE argues</w:t>
      </w:r>
      <w:r w:rsidR="001C7F59">
        <w:t xml:space="preserve"> </w:t>
      </w:r>
      <w:r w:rsidRPr="00640C75">
        <w:t>the Commission is not precluded by statute or case la</w:t>
      </w:r>
      <w:r w:rsidR="008B5EC3">
        <w:t>w from approving non</w:t>
      </w:r>
      <w:r w:rsidRPr="00640C75">
        <w:t xml:space="preserve">unanimous settlements. </w:t>
      </w:r>
      <w:r w:rsidRPr="00640C75">
        <w:rPr>
          <w:rFonts w:eastAsiaTheme="minorHAnsi"/>
        </w:rPr>
        <w:t>The Commission’s determination of whether to approve a settlement agreement is based on the public interest</w:t>
      </w:r>
      <w:r w:rsidR="00A25779">
        <w:rPr>
          <w:rFonts w:eastAsiaTheme="minorHAnsi"/>
        </w:rPr>
        <w:t>,</w:t>
      </w:r>
      <w:r w:rsidRPr="00640C75">
        <w:rPr>
          <w:rFonts w:eastAsiaTheme="minorHAnsi"/>
        </w:rPr>
        <w:t xml:space="preserve"> </w:t>
      </w:r>
      <w:r w:rsidR="00A25779">
        <w:rPr>
          <w:rFonts w:eastAsiaTheme="minorHAnsi"/>
        </w:rPr>
        <w:t>and t</w:t>
      </w:r>
      <w:r w:rsidRPr="00640C75">
        <w:rPr>
          <w:rFonts w:eastAsiaTheme="minorHAnsi"/>
        </w:rPr>
        <w:t xml:space="preserve">he determination of public interest rests exclusively with the Commission. </w:t>
      </w:r>
      <w:r w:rsidR="001A40AB">
        <w:rPr>
          <w:rFonts w:eastAsiaTheme="minorHAnsi"/>
        </w:rPr>
        <w:t>SACE argues t</w:t>
      </w:r>
      <w:r w:rsidRPr="00640C75">
        <w:rPr>
          <w:rFonts w:eastAsiaTheme="minorHAnsi"/>
        </w:rPr>
        <w:t>he determination of public interest requires a case-specific analysis based on consideration of the proposed settlement taken as a whole.</w:t>
      </w:r>
      <w:r>
        <w:rPr>
          <w:rFonts w:eastAsiaTheme="minorHAnsi"/>
        </w:rPr>
        <w:t xml:space="preserve"> SACE argues that i</w:t>
      </w:r>
      <w:r w:rsidRPr="00640C75">
        <w:rPr>
          <w:rFonts w:eastAsiaTheme="minorHAnsi"/>
        </w:rPr>
        <w:t>n this case, the Settlement Agreement is in the public interest based on the benefits that flow from its provisions taken as whole.</w:t>
      </w:r>
      <w:r>
        <w:rPr>
          <w:rFonts w:eastAsiaTheme="minorHAnsi"/>
        </w:rPr>
        <w:t xml:space="preserve"> (SACE BR 5-6)</w:t>
      </w:r>
      <w:r w:rsidRPr="00640C75">
        <w:rPr>
          <w:rFonts w:eastAsiaTheme="minorHAnsi"/>
        </w:rPr>
        <w:t xml:space="preserve"> </w:t>
      </w:r>
    </w:p>
    <w:p w:rsidR="00A25FCB" w:rsidRDefault="00A25FCB" w:rsidP="00A25FCB">
      <w:pPr>
        <w:jc w:val="both"/>
      </w:pPr>
    </w:p>
    <w:p w:rsidR="00A25FCB" w:rsidRDefault="00A25FCB" w:rsidP="00A25FCB">
      <w:pPr>
        <w:jc w:val="both"/>
      </w:pPr>
      <w:r>
        <w:t>SACE explains that t</w:t>
      </w:r>
      <w:r w:rsidRPr="006F3727">
        <w:t xml:space="preserve">aken as a whole, the </w:t>
      </w:r>
      <w:r w:rsidR="00596778">
        <w:t xml:space="preserve">proposed </w:t>
      </w:r>
      <w:r w:rsidRPr="006F3727">
        <w:t xml:space="preserve">tariff and </w:t>
      </w:r>
      <w:r w:rsidR="001E1EF8">
        <w:t>Program</w:t>
      </w:r>
      <w:r w:rsidRPr="006F3727">
        <w:t xml:space="preserve"> provisions embodied in the Settlement Agreement provide a number of benefits that are clearly in the public interest that </w:t>
      </w:r>
      <w:r w:rsidRPr="006F3727">
        <w:lastRenderedPageBreak/>
        <w:t>include: expansion of renewable energy through the development of 1,490 MW of clean, renewable power; diversification of the state’s fuel mix</w:t>
      </w:r>
      <w:r>
        <w:t>;</w:t>
      </w:r>
      <w:r w:rsidRPr="006F3727">
        <w:t xml:space="preserve"> a cost-effective </w:t>
      </w:r>
      <w:r w:rsidR="001E1EF8">
        <w:t>Program</w:t>
      </w:r>
      <w:r w:rsidRPr="006F3727">
        <w:t>; allocation of economic benefit to both participants a</w:t>
      </w:r>
      <w:r w:rsidR="00347041">
        <w:t>nd the general body of ratepayers</w:t>
      </w:r>
      <w:r w:rsidRPr="006F3727">
        <w:t>; prioritizing the customer experience, including expanding participation to low-income families; meeting FPL’s resource needs in 2020 and 2021; meeting the enormous customer demand for solar power; and driving state economic development and local job creation</w:t>
      </w:r>
      <w:r w:rsidR="00C35A61">
        <w:t>.</w:t>
      </w:r>
      <w:r w:rsidRPr="006F3727">
        <w:t xml:space="preserve"> (</w:t>
      </w:r>
      <w:r>
        <w:t>SACE BR 4-5)</w:t>
      </w:r>
      <w:r w:rsidRPr="006F3727">
        <w:t xml:space="preserve"> </w:t>
      </w:r>
    </w:p>
    <w:p w:rsidR="00A25FCB" w:rsidRPr="006F3727" w:rsidRDefault="00A25FCB" w:rsidP="00A25FCB">
      <w:pPr>
        <w:jc w:val="both"/>
        <w:rPr>
          <w:rFonts w:eastAsiaTheme="minorHAnsi"/>
        </w:rPr>
      </w:pPr>
    </w:p>
    <w:p w:rsidR="00A25FCB" w:rsidRDefault="00A25FCB" w:rsidP="00A25FCB">
      <w:pPr>
        <w:jc w:val="both"/>
      </w:pPr>
      <w:r>
        <w:t>SAC</w:t>
      </w:r>
      <w:r w:rsidR="002D7A94">
        <w:t>E</w:t>
      </w:r>
      <w:r>
        <w:t xml:space="preserve"> further argues that t</w:t>
      </w:r>
      <w:r w:rsidRPr="006F3727">
        <w:t>he Florida Legislature finds that it is in the public interest to promote the development of renewable energy resources</w:t>
      </w:r>
      <w:r>
        <w:t xml:space="preserve">. </w:t>
      </w:r>
      <w:r w:rsidRPr="006F3727">
        <w:t>The Florida Legislature has also explicitly stated</w:t>
      </w:r>
      <w:r w:rsidR="00C35A61">
        <w:t xml:space="preserve"> in Section 366.92(1), F.S.,</w:t>
      </w:r>
      <w:r w:rsidRPr="006F3727">
        <w:t xml:space="preserve"> its intent “to promote the development of renewable energy” in order to diversify the types of fuel used to generate electricity in Florida; lessen Florida’s dependence on natural gas; minimize the volatility of fuel costs; encourage investment within the state; improve environmental conditions; and minimize the costs of power supply to electric utilities and their customers. </w:t>
      </w:r>
      <w:r w:rsidR="001A40AB">
        <w:t>(</w:t>
      </w:r>
      <w:r w:rsidR="00AF651C">
        <w:t xml:space="preserve">SACE </w:t>
      </w:r>
      <w:r w:rsidR="001A40AB">
        <w:t>BR 6, 12)</w:t>
      </w:r>
    </w:p>
    <w:p w:rsidR="00A25FCB" w:rsidRPr="006F3727" w:rsidRDefault="00A25FCB" w:rsidP="00A25FCB">
      <w:pPr>
        <w:jc w:val="both"/>
      </w:pPr>
      <w:r w:rsidRPr="006F3727">
        <w:t xml:space="preserve"> </w:t>
      </w:r>
    </w:p>
    <w:p w:rsidR="00D77900" w:rsidRPr="0030588F" w:rsidRDefault="00D77900" w:rsidP="00DD4FBC">
      <w:pPr>
        <w:jc w:val="both"/>
        <w:rPr>
          <w:rFonts w:ascii="Arial" w:hAnsi="Arial" w:cs="Arial"/>
          <w:b/>
        </w:rPr>
      </w:pPr>
      <w:r w:rsidRPr="0030588F">
        <w:rPr>
          <w:rFonts w:ascii="Arial" w:hAnsi="Arial" w:cs="Arial"/>
          <w:b/>
        </w:rPr>
        <w:t>Vote Solar</w:t>
      </w:r>
    </w:p>
    <w:p w:rsidR="00D3221B" w:rsidRDefault="00D3221B" w:rsidP="00DD4FBC">
      <w:pPr>
        <w:jc w:val="both"/>
      </w:pPr>
      <w:r>
        <w:t>Vote Solar argues that t</w:t>
      </w:r>
      <w:r w:rsidRPr="00C3016B">
        <w:t xml:space="preserve">he Commission should approve the SolarTogether </w:t>
      </w:r>
      <w:r w:rsidR="001E1EF8">
        <w:t>Program</w:t>
      </w:r>
      <w:r w:rsidRPr="00C3016B">
        <w:t xml:space="preserve"> and </w:t>
      </w:r>
      <w:r w:rsidR="002711EE">
        <w:t xml:space="preserve">proposed </w:t>
      </w:r>
      <w:r w:rsidRPr="00C3016B">
        <w:t xml:space="preserve">tariff as amended by the stipulation </w:t>
      </w:r>
      <w:r>
        <w:t xml:space="preserve">filed October 9, 2019, </w:t>
      </w:r>
      <w:r w:rsidRPr="00C3016B">
        <w:t xml:space="preserve">which provides a reasonable resolution of the issues raised by this filing. </w:t>
      </w:r>
      <w:r w:rsidR="00641904">
        <w:t>(</w:t>
      </w:r>
      <w:r w:rsidR="00AF651C">
        <w:t xml:space="preserve">Vote Solar </w:t>
      </w:r>
      <w:r w:rsidR="00641904">
        <w:t>BR</w:t>
      </w:r>
      <w:r>
        <w:t xml:space="preserve"> 4)</w:t>
      </w:r>
      <w:r w:rsidRPr="00C3016B">
        <w:t xml:space="preserve"> </w:t>
      </w:r>
      <w:r>
        <w:t>T</w:t>
      </w:r>
      <w:r w:rsidRPr="00C3016B">
        <w:t xml:space="preserve">he SolarTogether </w:t>
      </w:r>
      <w:r w:rsidR="001E1EF8">
        <w:t>Program</w:t>
      </w:r>
      <w:r w:rsidRPr="00C3016B">
        <w:t xml:space="preserve"> and </w:t>
      </w:r>
      <w:r w:rsidR="002711EE">
        <w:t xml:space="preserve">proposed </w:t>
      </w:r>
      <w:r w:rsidRPr="00C3016B">
        <w:t>tariff is projected to provide an estimated $249 million in economic benefits and commits FPL to reserve 10 percent of the Program’s residenti</w:t>
      </w:r>
      <w:r w:rsidR="00233126">
        <w:t>al capacity, or 37.5 MW, to low-</w:t>
      </w:r>
      <w:r w:rsidRPr="00C3016B">
        <w:t>income customers</w:t>
      </w:r>
      <w:r>
        <w:t>.</w:t>
      </w:r>
      <w:r w:rsidRPr="00C3016B">
        <w:t xml:space="preserve"> </w:t>
      </w:r>
      <w:r>
        <w:t>T</w:t>
      </w:r>
      <w:r w:rsidRPr="00C3016B">
        <w:t xml:space="preserve">he subscription charge </w:t>
      </w:r>
      <w:r>
        <w:t xml:space="preserve">for low-income customers </w:t>
      </w:r>
      <w:r w:rsidRPr="00C3016B">
        <w:t xml:space="preserve">will not exceed the subscription credit in any month, providing a critically important safeguard for these consumers. Further, </w:t>
      </w:r>
      <w:r>
        <w:t>Vote Solar contends that S</w:t>
      </w:r>
      <w:r w:rsidRPr="00C3016B">
        <w:t>olarTogether responds to customer demands for clean energy, which are real and immediate</w:t>
      </w:r>
      <w:r>
        <w:t xml:space="preserve"> and </w:t>
      </w:r>
      <w:r w:rsidR="002E381D">
        <w:t>that</w:t>
      </w:r>
      <w:r>
        <w:t xml:space="preserve"> </w:t>
      </w:r>
      <w:r w:rsidRPr="00C3016B">
        <w:t xml:space="preserve">FPL must respond to these demands if it wants to continue to provide sufficient electric service that meets the evolving needs of customers. Last, the solar resources will further diversify FPL’s electric system and mitigate the fuel volatility risks to all customers due to its significant reliance on natural gas. </w:t>
      </w:r>
      <w:r>
        <w:t>(Vote Solar BR 4-5)</w:t>
      </w:r>
    </w:p>
    <w:p w:rsidR="00A25FCB" w:rsidRDefault="00A25FCB" w:rsidP="00DD4FBC">
      <w:pPr>
        <w:jc w:val="both"/>
        <w:rPr>
          <w:u w:val="single"/>
        </w:rPr>
      </w:pPr>
    </w:p>
    <w:p w:rsidR="00DD4FBC" w:rsidRPr="00457101" w:rsidRDefault="00D77900" w:rsidP="00DD4FBC">
      <w:pPr>
        <w:jc w:val="both"/>
        <w:rPr>
          <w:rFonts w:ascii="Arial" w:hAnsi="Arial" w:cs="Arial"/>
          <w:b/>
        </w:rPr>
      </w:pPr>
      <w:r w:rsidRPr="00457101">
        <w:rPr>
          <w:rFonts w:ascii="Arial" w:hAnsi="Arial" w:cs="Arial"/>
          <w:b/>
        </w:rPr>
        <w:t>Walmart</w:t>
      </w:r>
    </w:p>
    <w:p w:rsidR="00DD4FBC" w:rsidRPr="00C3016B" w:rsidRDefault="00DD4FBC" w:rsidP="00DD4FBC">
      <w:pPr>
        <w:jc w:val="both"/>
      </w:pPr>
      <w:r>
        <w:t>Walmart did not provide issue-specific arguments in it</w:t>
      </w:r>
      <w:r w:rsidR="00D77900">
        <w:t>s</w:t>
      </w:r>
      <w:r>
        <w:t xml:space="preserve"> brief but stated, “Walmart believes that the proposed Settlement Agreement, including the SolarTogether Settlement Tariff, is a reasonable compromise of the Settling Parties’ different positions in this case and is otherwis</w:t>
      </w:r>
      <w:r w:rsidR="00641904">
        <w:t>e in the public interest.</w:t>
      </w:r>
      <w:r w:rsidR="00C35A61">
        <w:t>”</w:t>
      </w:r>
      <w:r w:rsidR="00641904">
        <w:t xml:space="preserve"> (</w:t>
      </w:r>
      <w:r w:rsidR="00AF651C">
        <w:t xml:space="preserve">Walmart </w:t>
      </w:r>
      <w:r w:rsidR="00641904">
        <w:t>BR</w:t>
      </w:r>
      <w:r>
        <w:t xml:space="preserve"> 2)</w:t>
      </w:r>
    </w:p>
    <w:p w:rsidR="00D3221B" w:rsidRDefault="00D3221B" w:rsidP="00172151">
      <w:pPr>
        <w:pStyle w:val="BodyText"/>
      </w:pPr>
    </w:p>
    <w:p w:rsidR="00172151" w:rsidRDefault="00172151" w:rsidP="00172151">
      <w:pPr>
        <w:pStyle w:val="BodyText"/>
        <w:spacing w:after="0"/>
        <w:jc w:val="center"/>
        <w:rPr>
          <w:rFonts w:ascii="Arial" w:hAnsi="Arial" w:cs="Arial"/>
          <w:b/>
        </w:rPr>
      </w:pPr>
      <w:r w:rsidRPr="00293975">
        <w:rPr>
          <w:rFonts w:ascii="Arial" w:hAnsi="Arial" w:cs="Arial"/>
          <w:b/>
        </w:rPr>
        <w:t>Analysis</w:t>
      </w:r>
    </w:p>
    <w:p w:rsidR="00AA7487" w:rsidRDefault="00AA7487" w:rsidP="00172151">
      <w:pPr>
        <w:pStyle w:val="BodyText"/>
        <w:spacing w:after="0"/>
        <w:jc w:val="center"/>
        <w:rPr>
          <w:rFonts w:ascii="Arial" w:hAnsi="Arial" w:cs="Arial"/>
          <w:b/>
        </w:rPr>
      </w:pPr>
    </w:p>
    <w:p w:rsidR="00172151" w:rsidRDefault="005A0D23" w:rsidP="00172151">
      <w:pPr>
        <w:pStyle w:val="BodyText"/>
      </w:pPr>
      <w:r>
        <w:t xml:space="preserve">FPL, SACE, Vote Solar, and Walmart argue that the Commission should approve the Settlement Agreement and </w:t>
      </w:r>
      <w:r w:rsidR="0039027A">
        <w:t>proposed</w:t>
      </w:r>
      <w:r>
        <w:t xml:space="preserve"> tariff</w:t>
      </w:r>
      <w:r w:rsidR="00966AD4">
        <w:t>, filed on October 9, 2019,</w:t>
      </w:r>
      <w:r>
        <w:t xml:space="preserve"> because it is in the public interest. </w:t>
      </w:r>
      <w:r w:rsidR="00890E68">
        <w:t>(</w:t>
      </w:r>
      <w:r w:rsidR="0039027A">
        <w:t xml:space="preserve">FPL BR 3; SACE BR 4; Vote Solar BR 4; Walmart BR 2) </w:t>
      </w:r>
      <w:r w:rsidR="00966AD4">
        <w:t>OPC disagrees and believes the Settlement Agreement and proposed tariff should not be approved.</w:t>
      </w:r>
      <w:r w:rsidR="0039027A">
        <w:t xml:space="preserve"> (OPC BR 20)</w:t>
      </w:r>
      <w:r w:rsidR="00966AD4">
        <w:t xml:space="preserve"> For the reasons discussed at length in Issues 1-3</w:t>
      </w:r>
      <w:r w:rsidR="00A25779">
        <w:t>,</w:t>
      </w:r>
      <w:r w:rsidR="00966AD4">
        <w:t xml:space="preserve"> staff recommends the Commission</w:t>
      </w:r>
      <w:r w:rsidR="00A25779">
        <w:t xml:space="preserve"> </w:t>
      </w:r>
      <w:r w:rsidR="00966AD4">
        <w:t xml:space="preserve">not approve the </w:t>
      </w:r>
      <w:r w:rsidR="00847891">
        <w:t xml:space="preserve">Program and </w:t>
      </w:r>
      <w:r w:rsidR="00FB766E">
        <w:t xml:space="preserve">proposed </w:t>
      </w:r>
      <w:r w:rsidR="00847891">
        <w:t>tariff, Rate Schedule STR.</w:t>
      </w:r>
    </w:p>
    <w:p w:rsidR="00A25779" w:rsidRDefault="00A25779">
      <w:r>
        <w:br w:type="page"/>
      </w:r>
    </w:p>
    <w:p w:rsidR="00172151" w:rsidRDefault="00172151" w:rsidP="00172151">
      <w:pPr>
        <w:pStyle w:val="BodyText"/>
        <w:spacing w:after="0"/>
        <w:jc w:val="center"/>
        <w:rPr>
          <w:rFonts w:ascii="Arial" w:hAnsi="Arial" w:cs="Arial"/>
          <w:b/>
        </w:rPr>
      </w:pPr>
      <w:r w:rsidRPr="00293975">
        <w:rPr>
          <w:rFonts w:ascii="Arial" w:hAnsi="Arial" w:cs="Arial"/>
          <w:b/>
        </w:rPr>
        <w:lastRenderedPageBreak/>
        <w:t>Conclusion</w:t>
      </w:r>
    </w:p>
    <w:p w:rsidR="00840988" w:rsidRDefault="00840988" w:rsidP="00172151">
      <w:pPr>
        <w:pStyle w:val="BodyText"/>
        <w:spacing w:after="0"/>
        <w:jc w:val="center"/>
        <w:rPr>
          <w:rFonts w:ascii="Arial" w:hAnsi="Arial" w:cs="Arial"/>
          <w:b/>
        </w:rPr>
      </w:pPr>
    </w:p>
    <w:p w:rsidR="00B375EF" w:rsidRPr="0039027A" w:rsidRDefault="0039027A" w:rsidP="0039027A">
      <w:pPr>
        <w:pStyle w:val="BodyText"/>
        <w:spacing w:after="0"/>
      </w:pPr>
      <w:r w:rsidRPr="0039027A">
        <w:t xml:space="preserve">The Commission should not approve the </w:t>
      </w:r>
      <w:r w:rsidR="001725F7">
        <w:t xml:space="preserve">proposed </w:t>
      </w:r>
      <w:r w:rsidR="00847891">
        <w:t>Program and associated tariff, Rate Schedule STR</w:t>
      </w:r>
      <w:r w:rsidR="001725F7">
        <w:t>,</w:t>
      </w:r>
      <w:r w:rsidR="00847891" w:rsidRPr="0039027A">
        <w:t xml:space="preserve"> </w:t>
      </w:r>
      <w:r w:rsidRPr="0039027A">
        <w:t>for the reasons discussed in Issues 1-3.</w:t>
      </w:r>
    </w:p>
    <w:p w:rsidR="00172151" w:rsidRPr="00F00B1E" w:rsidRDefault="00172151" w:rsidP="00172151">
      <w:pPr>
        <w:pStyle w:val="BodyText"/>
      </w:pPr>
    </w:p>
    <w:p w:rsidR="00172151" w:rsidRDefault="00172151">
      <w:pPr>
        <w:pStyle w:val="BodyText"/>
      </w:pPr>
    </w:p>
    <w:p w:rsidR="00176B0B" w:rsidRDefault="00176B0B">
      <w:pPr>
        <w:pStyle w:val="IssueHeading"/>
        <w:rPr>
          <w:vanish/>
          <w:specVanish/>
        </w:rPr>
      </w:pPr>
      <w:r w:rsidRPr="004C3641">
        <w:rPr>
          <w:b w:val="0"/>
          <w:i w:val="0"/>
        </w:rPr>
        <w:br w:type="page"/>
      </w:r>
      <w:r w:rsidRPr="004C3641">
        <w:lastRenderedPageBreak/>
        <w:t xml:space="preserve">Issue </w:t>
      </w:r>
      <w:r w:rsidR="003E7FDD">
        <w:fldChar w:fldCharType="begin"/>
      </w:r>
      <w:r w:rsidR="003E7FDD">
        <w:instrText xml:space="preserve"> SEQ Issue \* MERGEFORMAT </w:instrText>
      </w:r>
      <w:r w:rsidR="003E7FDD">
        <w:fldChar w:fldCharType="separate"/>
      </w:r>
      <w:r w:rsidR="00D87C5F">
        <w:rPr>
          <w:noProof/>
        </w:rPr>
        <w:t>5</w:t>
      </w:r>
      <w:r w:rsidR="003E7FDD">
        <w:rPr>
          <w:noProof/>
        </w:rPr>
        <w:fldChar w:fldCharType="end"/>
      </w:r>
      <w:r w:rsidRPr="004C3641">
        <w:t>:</w:t>
      </w:r>
      <w:r w:rsidR="007D3266">
        <w:fldChar w:fldCharType="begin"/>
      </w:r>
      <w:r>
        <w:instrText xml:space="preserve"> TC "</w:instrText>
      </w:r>
      <w:r w:rsidR="007D3266">
        <w:fldChar w:fldCharType="begin"/>
      </w:r>
      <w:r>
        <w:instrText xml:space="preserve"> SEQ issue \c </w:instrText>
      </w:r>
      <w:r w:rsidR="007D3266">
        <w:fldChar w:fldCharType="separate"/>
      </w:r>
      <w:r w:rsidR="00D87C5F">
        <w:rPr>
          <w:noProof/>
        </w:rPr>
        <w:instrText>5</w:instrText>
      </w:r>
      <w:r w:rsidR="007D3266">
        <w:fldChar w:fldCharType="end"/>
      </w:r>
      <w:r>
        <w:tab/>
        <w:instrText xml:space="preserve">" \l 1 </w:instrText>
      </w:r>
      <w:r w:rsidR="007D3266">
        <w:fldChar w:fldCharType="end"/>
      </w:r>
      <w:r>
        <w:t> </w:t>
      </w:r>
    </w:p>
    <w:p w:rsidR="00176B0B" w:rsidRPr="00A54788" w:rsidRDefault="00A54788">
      <w:pPr>
        <w:pStyle w:val="BodyText"/>
        <w:rPr>
          <w:b/>
        </w:rPr>
      </w:pPr>
      <w:r>
        <w:t> </w:t>
      </w:r>
      <w:r w:rsidRPr="00A54788">
        <w:rPr>
          <w:b/>
        </w:rPr>
        <w:t>DROPPED</w:t>
      </w:r>
    </w:p>
    <w:p w:rsidR="00176B0B" w:rsidRDefault="00176B0B">
      <w:pPr>
        <w:pStyle w:val="BodyText"/>
      </w:pPr>
    </w:p>
    <w:p w:rsidR="00334F9A" w:rsidRDefault="00334F9A">
      <w:pPr>
        <w:pStyle w:val="IssueHeading"/>
        <w:rPr>
          <w:vanish/>
          <w:specVanish/>
        </w:rPr>
      </w:pPr>
      <w:r w:rsidRPr="004C3641">
        <w:rPr>
          <w:b w:val="0"/>
          <w:i w:val="0"/>
        </w:rPr>
        <w:br w:type="page"/>
      </w:r>
      <w:r w:rsidRPr="004C3641">
        <w:lastRenderedPageBreak/>
        <w:t xml:space="preserve">Issue </w:t>
      </w:r>
      <w:r w:rsidR="003E7FDD">
        <w:fldChar w:fldCharType="begin"/>
      </w:r>
      <w:r w:rsidR="003E7FDD">
        <w:instrText xml:space="preserve"> SEQ Issue \* MERGEFORMAT </w:instrText>
      </w:r>
      <w:r w:rsidR="003E7FDD">
        <w:fldChar w:fldCharType="separate"/>
      </w:r>
      <w:r w:rsidR="00D87C5F">
        <w:rPr>
          <w:noProof/>
        </w:rPr>
        <w:t>6</w:t>
      </w:r>
      <w:r w:rsidR="003E7FDD">
        <w:rPr>
          <w:noProof/>
        </w:rPr>
        <w:fldChar w:fldCharType="end"/>
      </w:r>
      <w:r w:rsidRPr="004C3641">
        <w:t>:</w:t>
      </w:r>
      <w:r w:rsidR="007D3266">
        <w:fldChar w:fldCharType="begin"/>
      </w:r>
      <w:r>
        <w:instrText xml:space="preserve"> TC "</w:instrText>
      </w:r>
      <w:r w:rsidR="007D3266">
        <w:fldChar w:fldCharType="begin"/>
      </w:r>
      <w:r>
        <w:instrText xml:space="preserve"> SEQ issue \c </w:instrText>
      </w:r>
      <w:r w:rsidR="007D3266">
        <w:fldChar w:fldCharType="separate"/>
      </w:r>
      <w:r w:rsidR="00D87C5F">
        <w:rPr>
          <w:noProof/>
        </w:rPr>
        <w:instrText>6</w:instrText>
      </w:r>
      <w:r w:rsidR="007D3266">
        <w:fldChar w:fldCharType="end"/>
      </w:r>
      <w:r>
        <w:tab/>
        <w:instrText xml:space="preserve">" \l 1 </w:instrText>
      </w:r>
      <w:r w:rsidR="007D3266">
        <w:fldChar w:fldCharType="end"/>
      </w:r>
      <w:r>
        <w:t> </w:t>
      </w:r>
    </w:p>
    <w:p w:rsidR="00334F9A" w:rsidRDefault="00334F9A">
      <w:pPr>
        <w:pStyle w:val="BodyText"/>
      </w:pPr>
      <w:r>
        <w:t> Should this docket be closed?</w:t>
      </w:r>
    </w:p>
    <w:p w:rsidR="00334F9A" w:rsidRPr="004C3641" w:rsidRDefault="00334F9A">
      <w:pPr>
        <w:pStyle w:val="IssueSubsectionHeading"/>
        <w:rPr>
          <w:vanish/>
          <w:specVanish/>
        </w:rPr>
      </w:pPr>
      <w:r w:rsidRPr="004C3641">
        <w:t>Recommendation: </w:t>
      </w:r>
    </w:p>
    <w:p w:rsidR="00334F9A" w:rsidRDefault="00334F9A">
      <w:pPr>
        <w:pStyle w:val="BodyText"/>
      </w:pPr>
      <w:r>
        <w:t> </w:t>
      </w:r>
      <w:r w:rsidR="00A25779">
        <w:t>The docket should be closed once the Commission has issued its final order and the time for appeal has run. (Trierweiler, Simmons)</w:t>
      </w:r>
    </w:p>
    <w:p w:rsidR="00172151" w:rsidRDefault="00172151" w:rsidP="00172151">
      <w:pPr>
        <w:jc w:val="both"/>
        <w:rPr>
          <w:rFonts w:ascii="Arial" w:hAnsi="Arial" w:cs="Arial"/>
          <w:b/>
          <w:bCs/>
        </w:rPr>
      </w:pPr>
      <w:r w:rsidRPr="00A82C4E">
        <w:rPr>
          <w:rFonts w:ascii="Arial" w:hAnsi="Arial" w:cs="Arial"/>
          <w:b/>
          <w:bCs/>
        </w:rPr>
        <w:t>Position of the Parties:</w:t>
      </w:r>
    </w:p>
    <w:p w:rsidR="00172151" w:rsidRDefault="00172151" w:rsidP="00172151">
      <w:pPr>
        <w:ind w:left="1530" w:hanging="1530"/>
        <w:jc w:val="both"/>
        <w:rPr>
          <w:b/>
          <w:bCs/>
        </w:rPr>
      </w:pPr>
    </w:p>
    <w:p w:rsidR="00172151" w:rsidRPr="00AD36F6" w:rsidRDefault="00172151" w:rsidP="0090775B">
      <w:pPr>
        <w:ind w:left="1440" w:hanging="1440"/>
        <w:jc w:val="both"/>
        <w:rPr>
          <w:bCs/>
        </w:rPr>
      </w:pPr>
      <w:r>
        <w:rPr>
          <w:b/>
          <w:bCs/>
        </w:rPr>
        <w:t>FPL</w:t>
      </w:r>
      <w:r w:rsidRPr="00701945">
        <w:rPr>
          <w:b/>
          <w:bCs/>
        </w:rPr>
        <w:t>:</w:t>
      </w:r>
      <w:r>
        <w:rPr>
          <w:b/>
          <w:bCs/>
        </w:rPr>
        <w:tab/>
      </w:r>
      <w:r w:rsidR="005B37CB" w:rsidRPr="00C72DC2">
        <w:t>Yes.</w:t>
      </w:r>
      <w:r w:rsidR="005B37CB" w:rsidRPr="00C518C7">
        <w:t xml:space="preserve"> </w:t>
      </w:r>
      <w:r w:rsidR="005B37CB">
        <w:t>Upon issuance of an order approving FPL’s SolarTogether Program and Tariff, this docket should be closed.</w:t>
      </w:r>
    </w:p>
    <w:p w:rsidR="00172151" w:rsidRPr="00D61D5A" w:rsidRDefault="00172151" w:rsidP="00172151">
      <w:pPr>
        <w:ind w:left="1530" w:hanging="1530"/>
        <w:jc w:val="both"/>
        <w:rPr>
          <w:bCs/>
        </w:rPr>
      </w:pPr>
    </w:p>
    <w:p w:rsidR="00172151" w:rsidRDefault="00172151" w:rsidP="0090775B">
      <w:pPr>
        <w:ind w:left="1440" w:hanging="1440"/>
        <w:jc w:val="both"/>
      </w:pPr>
      <w:r>
        <w:rPr>
          <w:b/>
          <w:bCs/>
        </w:rPr>
        <w:t>OPC:</w:t>
      </w:r>
      <w:r>
        <w:tab/>
      </w:r>
      <w:r w:rsidR="00E32BDA">
        <w:t>After the Petition is denied, the docket should be closed.</w:t>
      </w:r>
    </w:p>
    <w:p w:rsidR="00172151" w:rsidRDefault="00172151" w:rsidP="00172151">
      <w:pPr>
        <w:ind w:left="1530" w:hanging="1530"/>
        <w:jc w:val="both"/>
      </w:pPr>
    </w:p>
    <w:p w:rsidR="00172151" w:rsidRPr="00AD36F6" w:rsidRDefault="00172151" w:rsidP="0090775B">
      <w:pPr>
        <w:ind w:left="1440" w:hanging="1440"/>
        <w:jc w:val="both"/>
      </w:pPr>
      <w:r w:rsidRPr="00AD36F6">
        <w:rPr>
          <w:b/>
        </w:rPr>
        <w:t>FIPUG:</w:t>
      </w:r>
      <w:r w:rsidRPr="00AD36F6">
        <w:rPr>
          <w:b/>
        </w:rPr>
        <w:tab/>
      </w:r>
      <w:r w:rsidR="00D60A89">
        <w:t>FIPUG did not file a brief.</w:t>
      </w:r>
    </w:p>
    <w:p w:rsidR="00172151" w:rsidRDefault="00172151" w:rsidP="00172151">
      <w:pPr>
        <w:ind w:left="1530" w:hanging="1530"/>
        <w:jc w:val="both"/>
        <w:rPr>
          <w:b/>
        </w:rPr>
      </w:pPr>
    </w:p>
    <w:p w:rsidR="00172151" w:rsidRPr="00AD36F6" w:rsidRDefault="00172151" w:rsidP="0090775B">
      <w:pPr>
        <w:ind w:left="1440" w:hanging="1440"/>
        <w:jc w:val="both"/>
      </w:pPr>
      <w:r>
        <w:rPr>
          <w:b/>
        </w:rPr>
        <w:t>SACE:</w:t>
      </w:r>
      <w:r>
        <w:rPr>
          <w:b/>
        </w:rPr>
        <w:tab/>
      </w:r>
      <w:r w:rsidR="00EA014E" w:rsidRPr="00E32BDA">
        <w:rPr>
          <w:rFonts w:eastAsiaTheme="minorHAnsi"/>
          <w:bCs/>
          <w:color w:val="000000"/>
        </w:rPr>
        <w:t>No position</w:t>
      </w:r>
      <w:r w:rsidR="00E32BDA">
        <w:rPr>
          <w:rFonts w:eastAsiaTheme="minorHAnsi"/>
          <w:bCs/>
          <w:color w:val="000000"/>
        </w:rPr>
        <w:t>.</w:t>
      </w:r>
    </w:p>
    <w:p w:rsidR="00172151" w:rsidRPr="00AD36F6" w:rsidRDefault="00172151" w:rsidP="00172151">
      <w:pPr>
        <w:jc w:val="both"/>
      </w:pPr>
    </w:p>
    <w:p w:rsidR="007C3452" w:rsidRDefault="00172151" w:rsidP="004669FB">
      <w:pPr>
        <w:ind w:left="1440" w:hanging="1440"/>
        <w:jc w:val="both"/>
        <w:rPr>
          <w:b/>
          <w:bCs/>
        </w:rPr>
      </w:pPr>
      <w:r>
        <w:rPr>
          <w:b/>
          <w:bCs/>
        </w:rPr>
        <w:t>VOTE</w:t>
      </w:r>
    </w:p>
    <w:p w:rsidR="00172151" w:rsidRDefault="00172151" w:rsidP="004669FB">
      <w:pPr>
        <w:ind w:left="1440" w:hanging="1440"/>
        <w:jc w:val="both"/>
        <w:rPr>
          <w:bCs/>
        </w:rPr>
      </w:pPr>
      <w:r>
        <w:rPr>
          <w:b/>
          <w:bCs/>
        </w:rPr>
        <w:t>SOLAR:</w:t>
      </w:r>
      <w:r>
        <w:rPr>
          <w:b/>
          <w:bCs/>
        </w:rPr>
        <w:tab/>
      </w:r>
      <w:r w:rsidR="005066BE">
        <w:t>Yes. Docket No. 20190061-EI should be closed once the Commission’s decisions on all of the issues have become final and the Commission has concluded that the docket has otherwise met the requirements for closure.</w:t>
      </w:r>
    </w:p>
    <w:p w:rsidR="00172151" w:rsidRDefault="00172151" w:rsidP="00172151">
      <w:pPr>
        <w:ind w:left="1530" w:hanging="1530"/>
        <w:jc w:val="both"/>
        <w:rPr>
          <w:bCs/>
        </w:rPr>
      </w:pPr>
    </w:p>
    <w:p w:rsidR="00172151" w:rsidRDefault="00172151" w:rsidP="0090775B">
      <w:pPr>
        <w:ind w:left="1440" w:hanging="1440"/>
        <w:jc w:val="both"/>
        <w:rPr>
          <w:bCs/>
        </w:rPr>
      </w:pPr>
      <w:r>
        <w:rPr>
          <w:b/>
          <w:bCs/>
        </w:rPr>
        <w:t>WALMART:</w:t>
      </w:r>
      <w:r>
        <w:rPr>
          <w:bCs/>
        </w:rPr>
        <w:tab/>
      </w:r>
      <w:r w:rsidR="00A21CEE">
        <w:rPr>
          <w:bCs/>
        </w:rPr>
        <w:t>In accordance with paragraph 8 of the Settlement Agreement, this Docket should be close</w:t>
      </w:r>
      <w:r w:rsidR="00CF71D9">
        <w:rPr>
          <w:bCs/>
        </w:rPr>
        <w:t>d</w:t>
      </w:r>
      <w:r w:rsidR="00A21CEE">
        <w:rPr>
          <w:bCs/>
        </w:rPr>
        <w:t xml:space="preserve"> effective on the date of a Commission Order approving that the Settlement Agreement is final. Should the Commission not approve the Settlement Agreement, then Walmart takes no position as to this issue. </w:t>
      </w:r>
    </w:p>
    <w:p w:rsidR="00172151" w:rsidRDefault="00172151" w:rsidP="00172151">
      <w:pPr>
        <w:ind w:left="1530" w:hanging="1530"/>
        <w:jc w:val="both"/>
        <w:rPr>
          <w:bCs/>
        </w:rPr>
      </w:pPr>
    </w:p>
    <w:p w:rsidR="00172151" w:rsidRPr="00F00B1E" w:rsidRDefault="00172151" w:rsidP="00172151">
      <w:pPr>
        <w:ind w:left="1530" w:hanging="1530"/>
        <w:jc w:val="both"/>
        <w:rPr>
          <w:bCs/>
        </w:rPr>
      </w:pPr>
    </w:p>
    <w:p w:rsidR="00172151" w:rsidRDefault="00172151" w:rsidP="00172151">
      <w:pPr>
        <w:pStyle w:val="IssueHeading"/>
        <w:spacing w:after="0"/>
        <w:jc w:val="center"/>
        <w:rPr>
          <w:i w:val="0"/>
          <w:szCs w:val="24"/>
        </w:rPr>
      </w:pPr>
      <w:r w:rsidRPr="00F00B1E">
        <w:rPr>
          <w:i w:val="0"/>
          <w:szCs w:val="24"/>
        </w:rPr>
        <w:t>Parties’ Arguments</w:t>
      </w:r>
    </w:p>
    <w:p w:rsidR="00840988" w:rsidRPr="00840988" w:rsidRDefault="00840988" w:rsidP="00840988">
      <w:pPr>
        <w:pStyle w:val="BodyText"/>
        <w:spacing w:after="0"/>
      </w:pPr>
    </w:p>
    <w:p w:rsidR="00172151" w:rsidRDefault="00941C48" w:rsidP="00172151">
      <w:pPr>
        <w:pStyle w:val="BodyText"/>
      </w:pPr>
      <w:r>
        <w:t xml:space="preserve">FPL, OPC, </w:t>
      </w:r>
      <w:r w:rsidR="00C35A61">
        <w:t xml:space="preserve">Walmart, </w:t>
      </w:r>
      <w:r>
        <w:t xml:space="preserve">and Vote Solar contend that the docket should be closed as set forth in their respective positions. </w:t>
      </w:r>
    </w:p>
    <w:p w:rsidR="00172151" w:rsidRDefault="00172151" w:rsidP="00840988">
      <w:pPr>
        <w:pStyle w:val="BodyText"/>
        <w:spacing w:after="0"/>
      </w:pPr>
    </w:p>
    <w:p w:rsidR="00172151" w:rsidRDefault="00172151" w:rsidP="00172151">
      <w:pPr>
        <w:pStyle w:val="BodyText"/>
        <w:spacing w:after="0"/>
        <w:jc w:val="center"/>
        <w:rPr>
          <w:rFonts w:ascii="Arial" w:hAnsi="Arial" w:cs="Arial"/>
          <w:b/>
        </w:rPr>
      </w:pPr>
      <w:r w:rsidRPr="00293975">
        <w:rPr>
          <w:rFonts w:ascii="Arial" w:hAnsi="Arial" w:cs="Arial"/>
          <w:b/>
        </w:rPr>
        <w:t>Conclusion</w:t>
      </w:r>
    </w:p>
    <w:p w:rsidR="00840988" w:rsidRPr="00795F14" w:rsidRDefault="00840988" w:rsidP="00795F14">
      <w:pPr>
        <w:pStyle w:val="BodyText"/>
        <w:spacing w:after="0"/>
        <w:rPr>
          <w:rFonts w:ascii="Arial" w:hAnsi="Arial" w:cs="Arial"/>
        </w:rPr>
      </w:pPr>
    </w:p>
    <w:p w:rsidR="00172151" w:rsidRPr="00F00B1E" w:rsidRDefault="00941C48" w:rsidP="00172151">
      <w:pPr>
        <w:pStyle w:val="BodyText"/>
      </w:pPr>
      <w:r>
        <w:t>Staff recommends that the docket be closed upon issuance of the Commission’s final order and the time for filing an appeal has run.</w:t>
      </w:r>
    </w:p>
    <w:p w:rsidR="005D214B" w:rsidRDefault="005D214B" w:rsidP="00E275D8">
      <w:pPr>
        <w:pStyle w:val="BodyText"/>
        <w:sectPr w:rsidR="005D214B" w:rsidSect="0068481F">
          <w:pgSz w:w="12240" w:h="15840" w:code="1"/>
          <w:pgMar w:top="1584" w:right="1440" w:bottom="1440" w:left="1440" w:header="720" w:footer="720" w:gutter="0"/>
          <w:cols w:space="720"/>
          <w:formProt w:val="0"/>
          <w:docGrid w:linePitch="360"/>
        </w:sectPr>
      </w:pPr>
    </w:p>
    <w:p w:rsidR="003D6416" w:rsidRDefault="005D214B" w:rsidP="00E275D8">
      <w:pPr>
        <w:pStyle w:val="BodyText"/>
        <w:sectPr w:rsidR="003D6416" w:rsidSect="0068481F">
          <w:headerReference w:type="default" r:id="rId17"/>
          <w:footerReference w:type="default" r:id="rId18"/>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71588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943600" cy="7715885"/>
                    </a:xfrm>
                    <a:prstGeom prst="rect">
                      <a:avLst/>
                    </a:prstGeom>
                  </pic:spPr>
                </pic:pic>
              </a:graphicData>
            </a:graphic>
          </wp:inline>
        </w:drawing>
      </w:r>
    </w:p>
    <w:p w:rsidR="004057CF" w:rsidRDefault="005D214B" w:rsidP="004057CF">
      <w:pPr>
        <w:pStyle w:val="BodyText"/>
        <w:jc w:val="center"/>
        <w:rPr>
          <w:noProof/>
        </w:rPr>
      </w:pPr>
      <w:r>
        <w:rPr>
          <w:noProof/>
        </w:rPr>
        <w:lastRenderedPageBreak/>
        <w:drawing>
          <wp:inline distT="0" distB="0" distL="0" distR="0">
            <wp:extent cx="4587875" cy="5943600"/>
            <wp:effectExtent l="0" t="0" r="3175" b="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587875" cy="5943600"/>
                    </a:xfrm>
                    <a:prstGeom prst="rect">
                      <a:avLst/>
                    </a:prstGeom>
                  </pic:spPr>
                </pic:pic>
              </a:graphicData>
            </a:graphic>
          </wp:inline>
        </w:drawing>
      </w:r>
    </w:p>
    <w:p w:rsidR="005D214B" w:rsidRDefault="005D214B" w:rsidP="004057CF">
      <w:pPr>
        <w:pStyle w:val="BodyText"/>
        <w:jc w:val="center"/>
        <w:rPr>
          <w:noProof/>
        </w:rPr>
        <w:sectPr w:rsidR="005D214B" w:rsidSect="005D214B">
          <w:headerReference w:type="default" r:id="rId21"/>
          <w:footerReference w:type="default" r:id="rId22"/>
          <w:pgSz w:w="12240" w:h="15840" w:code="1"/>
          <w:pgMar w:top="1584" w:right="1440" w:bottom="1440" w:left="1440" w:header="720" w:footer="720" w:gutter="0"/>
          <w:cols w:space="720"/>
          <w:formProt w:val="0"/>
          <w:docGrid w:linePitch="360"/>
        </w:sectPr>
      </w:pPr>
    </w:p>
    <w:p w:rsidR="005D214B" w:rsidRDefault="005D214B" w:rsidP="004057CF">
      <w:pPr>
        <w:pStyle w:val="BodyText"/>
        <w:jc w:val="center"/>
        <w:rPr>
          <w:noProof/>
        </w:rPr>
      </w:pPr>
    </w:p>
    <w:p w:rsidR="005D214B" w:rsidRDefault="005D214B" w:rsidP="004057CF">
      <w:pPr>
        <w:pStyle w:val="BodyText"/>
        <w:jc w:val="center"/>
      </w:pPr>
      <w:r>
        <w:rPr>
          <w:noProof/>
        </w:rPr>
        <w:drawing>
          <wp:inline distT="0" distB="0" distL="0" distR="0">
            <wp:extent cx="4577080" cy="59436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577080" cy="5943600"/>
                    </a:xfrm>
                    <a:prstGeom prst="rect">
                      <a:avLst/>
                    </a:prstGeom>
                  </pic:spPr>
                </pic:pic>
              </a:graphicData>
            </a:graphic>
          </wp:inline>
        </w:drawing>
      </w:r>
    </w:p>
    <w:p w:rsidR="005D214B" w:rsidRDefault="005D214B" w:rsidP="004057CF">
      <w:pPr>
        <w:pStyle w:val="BodyText"/>
        <w:jc w:val="center"/>
        <w:sectPr w:rsidR="005D214B" w:rsidSect="005D214B">
          <w:headerReference w:type="default" r:id="rId24"/>
          <w:pgSz w:w="12240" w:h="15840" w:code="1"/>
          <w:pgMar w:top="1584" w:right="1440" w:bottom="1440" w:left="1440" w:header="720" w:footer="720" w:gutter="0"/>
          <w:cols w:space="720"/>
          <w:formProt w:val="0"/>
          <w:docGrid w:linePitch="360"/>
        </w:sectPr>
      </w:pPr>
    </w:p>
    <w:p w:rsidR="00E06484" w:rsidRDefault="00D36796" w:rsidP="004057CF">
      <w:pPr>
        <w:pStyle w:val="BodyText"/>
        <w:jc w:val="center"/>
      </w:pPr>
      <w:r>
        <w:rPr>
          <w:noProof/>
        </w:rPr>
        <w:lastRenderedPageBreak/>
        <w:drawing>
          <wp:inline distT="0" distB="0" distL="0" distR="0">
            <wp:extent cx="5943600" cy="445960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943600" cy="4459605"/>
                    </a:xfrm>
                    <a:prstGeom prst="rect">
                      <a:avLst/>
                    </a:prstGeom>
                  </pic:spPr>
                </pic:pic>
              </a:graphicData>
            </a:graphic>
          </wp:inline>
        </w:drawing>
      </w:r>
    </w:p>
    <w:p w:rsidR="00ED4823" w:rsidRDefault="00ED4823" w:rsidP="00ED4823">
      <w:pPr>
        <w:pStyle w:val="BodyText"/>
        <w:ind w:left="1440" w:firstLine="720"/>
        <w:sectPr w:rsidR="00ED4823" w:rsidSect="00C55128">
          <w:headerReference w:type="default" r:id="rId26"/>
          <w:pgSz w:w="15840" w:h="12240" w:orient="landscape" w:code="1"/>
          <w:pgMar w:top="1440" w:right="1584" w:bottom="1440" w:left="1440" w:header="720" w:footer="720" w:gutter="0"/>
          <w:cols w:space="720"/>
          <w:formProt w:val="0"/>
          <w:docGrid w:linePitch="360"/>
        </w:sectPr>
      </w:pPr>
      <w:r>
        <w:t>EXH 63</w:t>
      </w:r>
    </w:p>
    <w:p w:rsidR="004D25FE" w:rsidRDefault="004D25FE" w:rsidP="00E275D8">
      <w:pPr>
        <w:pStyle w:val="BodyText"/>
        <w:rPr>
          <w:noProof/>
        </w:rPr>
      </w:pPr>
    </w:p>
    <w:p w:rsidR="004D25FE" w:rsidRDefault="004D25FE" w:rsidP="00E275D8">
      <w:pPr>
        <w:pStyle w:val="BodyText"/>
        <w:rPr>
          <w:noProof/>
        </w:rPr>
      </w:pPr>
    </w:p>
    <w:p w:rsidR="00760048" w:rsidRDefault="00BF6CE9" w:rsidP="004D25FE">
      <w:pPr>
        <w:pStyle w:val="BodyText"/>
        <w:jc w:val="center"/>
      </w:pPr>
      <w:r>
        <w:rPr>
          <w:noProof/>
        </w:rPr>
        <w:drawing>
          <wp:inline distT="0" distB="0" distL="0" distR="0">
            <wp:extent cx="5943600" cy="44577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3600" cy="4457700"/>
                    </a:xfrm>
                    <a:prstGeom prst="rect">
                      <a:avLst/>
                    </a:prstGeom>
                  </pic:spPr>
                </pic:pic>
              </a:graphicData>
            </a:graphic>
          </wp:inline>
        </w:drawing>
      </w:r>
    </w:p>
    <w:p w:rsidR="00ED4823" w:rsidRDefault="00ED4823" w:rsidP="00ED4823">
      <w:pPr>
        <w:pStyle w:val="BodyText"/>
        <w:ind w:left="720" w:firstLine="720"/>
        <w:sectPr w:rsidR="00ED4823" w:rsidSect="00D410AF">
          <w:headerReference w:type="default" r:id="rId28"/>
          <w:pgSz w:w="15840" w:h="12240" w:orient="landscape" w:code="1"/>
          <w:pgMar w:top="1440" w:right="1584" w:bottom="1440" w:left="1440" w:header="720" w:footer="720" w:gutter="0"/>
          <w:cols w:space="720"/>
          <w:formProt w:val="0"/>
          <w:docGrid w:linePitch="360"/>
        </w:sectPr>
      </w:pPr>
      <w:r>
        <w:t>EXH 64</w:t>
      </w:r>
    </w:p>
    <w:p w:rsidR="0090293E" w:rsidRDefault="0090293E" w:rsidP="0090293E">
      <w:pPr>
        <w:pStyle w:val="BodyText"/>
        <w:jc w:val="center"/>
        <w:rPr>
          <w:noProof/>
        </w:rPr>
      </w:pPr>
    </w:p>
    <w:p w:rsidR="0090293E" w:rsidRDefault="0090293E" w:rsidP="0090293E">
      <w:pPr>
        <w:pStyle w:val="BodyText"/>
        <w:jc w:val="center"/>
        <w:rPr>
          <w:noProof/>
        </w:rPr>
      </w:pPr>
    </w:p>
    <w:p w:rsidR="005228E0" w:rsidRDefault="0063681B" w:rsidP="0090293E">
      <w:pPr>
        <w:pStyle w:val="BodyText"/>
        <w:jc w:val="center"/>
      </w:pPr>
      <w:r>
        <w:rPr>
          <w:noProof/>
        </w:rPr>
        <w:drawing>
          <wp:inline distT="0" distB="0" distL="0" distR="0">
            <wp:extent cx="5943600" cy="44577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43600" cy="4457700"/>
                    </a:xfrm>
                    <a:prstGeom prst="rect">
                      <a:avLst/>
                    </a:prstGeom>
                  </pic:spPr>
                </pic:pic>
              </a:graphicData>
            </a:graphic>
          </wp:inline>
        </w:drawing>
      </w:r>
    </w:p>
    <w:p w:rsidR="00ED4823" w:rsidRDefault="00ED4823" w:rsidP="00C55128">
      <w:pPr>
        <w:pStyle w:val="BodyText"/>
        <w:ind w:left="720" w:firstLine="720"/>
        <w:jc w:val="left"/>
      </w:pPr>
      <w:r>
        <w:t>EXH 64</w:t>
      </w:r>
    </w:p>
    <w:sectPr w:rsidR="00ED4823" w:rsidSect="0090293E">
      <w:headerReference w:type="default" r:id="rId30"/>
      <w:pgSz w:w="15840" w:h="12240" w:orient="landscape" w:code="1"/>
      <w:pgMar w:top="1440" w:right="1584"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907" w:rsidRDefault="001C1907">
      <w:r>
        <w:separator/>
      </w:r>
    </w:p>
  </w:endnote>
  <w:endnote w:type="continuationSeparator" w:id="0">
    <w:p w:rsidR="001C1907" w:rsidRDefault="001C1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907" w:rsidRDefault="001C1907" w:rsidP="0090293E">
    <w:pPr>
      <w:pStyle w:val="Footer"/>
      <w:tabs>
        <w:tab w:val="clear" w:pos="4320"/>
        <w:tab w:val="clear" w:pos="8640"/>
        <w:tab w:val="center" w:pos="4674"/>
        <w:tab w:val="right" w:pos="9360"/>
      </w:tabs>
      <w:jc w:val="center"/>
    </w:pPr>
    <w:r>
      <w:t xml:space="preserve">- </w:t>
    </w:r>
    <w:r>
      <w:rPr>
        <w:rStyle w:val="PageNumber"/>
      </w:rPr>
      <w:fldChar w:fldCharType="begin"/>
    </w:r>
    <w:r>
      <w:rPr>
        <w:rStyle w:val="PageNumber"/>
      </w:rPr>
      <w:instrText xml:space="preserve"> PAGE </w:instrText>
    </w:r>
    <w:r>
      <w:rPr>
        <w:rStyle w:val="PageNumber"/>
      </w:rPr>
      <w:fldChar w:fldCharType="separate"/>
    </w:r>
    <w:r w:rsidR="00D87C5F">
      <w:rPr>
        <w:rStyle w:val="PageNumber"/>
        <w:noProof/>
      </w:rPr>
      <w:t>40</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907" w:rsidRDefault="001C190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907" w:rsidRDefault="001C1907" w:rsidP="0090293E">
    <w:pPr>
      <w:pStyle w:val="Footer"/>
      <w:tabs>
        <w:tab w:val="clear" w:pos="4320"/>
        <w:tab w:val="clear" w:pos="8640"/>
        <w:tab w:val="center" w:pos="4674"/>
        <w:tab w:val="right" w:pos="9360"/>
      </w:tabs>
      <w:jc w:val="center"/>
    </w:pPr>
    <w:r>
      <w:t xml:space="preserve">- </w:t>
    </w:r>
    <w:r>
      <w:rPr>
        <w:rStyle w:val="PageNumber"/>
      </w:rPr>
      <w:fldChar w:fldCharType="begin"/>
    </w:r>
    <w:r>
      <w:rPr>
        <w:rStyle w:val="PageNumber"/>
      </w:rPr>
      <w:instrText xml:space="preserve"> PAGE </w:instrText>
    </w:r>
    <w:r>
      <w:rPr>
        <w:rStyle w:val="PageNumber"/>
      </w:rPr>
      <w:fldChar w:fldCharType="separate"/>
    </w:r>
    <w:r w:rsidR="00D87C5F">
      <w:rPr>
        <w:rStyle w:val="PageNumber"/>
        <w:noProof/>
      </w:rPr>
      <w:t>41</w:t>
    </w:r>
    <w:r>
      <w:rPr>
        <w:rStyle w:val="PageNumber"/>
      </w:rPr>
      <w:fldChar w:fldCharType="end"/>
    </w:r>
    <w:r>
      <w:rPr>
        <w:rStyle w:val="PageNumber"/>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907" w:rsidRDefault="001C1907" w:rsidP="0090293E">
    <w:pPr>
      <w:pStyle w:val="Footer"/>
      <w:tabs>
        <w:tab w:val="clear" w:pos="4320"/>
        <w:tab w:val="clear" w:pos="8640"/>
        <w:tab w:val="center" w:pos="4674"/>
        <w:tab w:val="right" w:pos="9360"/>
      </w:tabs>
      <w:jc w:val="center"/>
    </w:pPr>
    <w:r>
      <w:t xml:space="preserve">- </w:t>
    </w:r>
    <w:r>
      <w:rPr>
        <w:rStyle w:val="PageNumber"/>
      </w:rPr>
      <w:fldChar w:fldCharType="begin"/>
    </w:r>
    <w:r>
      <w:rPr>
        <w:rStyle w:val="PageNumber"/>
      </w:rPr>
      <w:instrText xml:space="preserve"> PAGE </w:instrText>
    </w:r>
    <w:r>
      <w:rPr>
        <w:rStyle w:val="PageNumber"/>
      </w:rPr>
      <w:fldChar w:fldCharType="separate"/>
    </w:r>
    <w:r w:rsidR="00D87C5F">
      <w:rPr>
        <w:rStyle w:val="PageNumber"/>
        <w:noProof/>
      </w:rPr>
      <w:t>46</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907" w:rsidRDefault="001C1907">
      <w:r>
        <w:separator/>
      </w:r>
    </w:p>
  </w:footnote>
  <w:footnote w:type="continuationSeparator" w:id="0">
    <w:p w:rsidR="001C1907" w:rsidRDefault="001C1907">
      <w:r>
        <w:continuationSeparator/>
      </w:r>
    </w:p>
  </w:footnote>
  <w:footnote w:id="1">
    <w:p w:rsidR="001C1907" w:rsidRPr="00F6391C" w:rsidRDefault="001C1907" w:rsidP="00570F41">
      <w:pPr>
        <w:pStyle w:val="FootnoteText"/>
      </w:pPr>
      <w:r w:rsidRPr="00616C04">
        <w:rPr>
          <w:rStyle w:val="FootnoteReference"/>
        </w:rPr>
        <w:footnoteRef/>
      </w:r>
      <w:r w:rsidRPr="00F6391C">
        <w:rPr>
          <w:i/>
        </w:rPr>
        <w:t>Sierra Club v. Brown,</w:t>
      </w:r>
      <w:r>
        <w:t xml:space="preserve"> 243 So. 3d 903 (Fla. 2018);</w:t>
      </w:r>
      <w:r w:rsidRPr="00F6391C">
        <w:t xml:space="preserve"> </w:t>
      </w:r>
      <w:r w:rsidRPr="00F6391C">
        <w:rPr>
          <w:i/>
        </w:rPr>
        <w:t>Citizens of State v. Florida Public Service Co</w:t>
      </w:r>
      <w:r>
        <w:rPr>
          <w:i/>
        </w:rPr>
        <w:t>m</w:t>
      </w:r>
      <w:r w:rsidRPr="00F6391C">
        <w:rPr>
          <w:i/>
        </w:rPr>
        <w:t>m'n</w:t>
      </w:r>
      <w:r w:rsidRPr="00F6391C">
        <w:t>, 146 So. 3d 1143 (Fla. 2014)</w:t>
      </w:r>
      <w:r>
        <w:t xml:space="preserve">; </w:t>
      </w:r>
      <w:r w:rsidRPr="00F6391C">
        <w:rPr>
          <w:i/>
        </w:rPr>
        <w:t>South Florida Hosp. and Healthcare Ass'n v. Jaber</w:t>
      </w:r>
      <w:r>
        <w:rPr>
          <w:i/>
        </w:rPr>
        <w:t xml:space="preserve">, </w:t>
      </w:r>
      <w:r w:rsidRPr="00F6391C">
        <w:t>887 So.</w:t>
      </w:r>
      <w:r>
        <w:t xml:space="preserve"> </w:t>
      </w:r>
      <w:r w:rsidRPr="00F6391C">
        <w:t>2d 1210</w:t>
      </w:r>
      <w:r>
        <w:t xml:space="preserve"> (Fla. 2004).</w:t>
      </w:r>
    </w:p>
  </w:footnote>
  <w:footnote w:id="2">
    <w:p w:rsidR="001C1907" w:rsidRDefault="001C1907">
      <w:pPr>
        <w:pStyle w:val="FootnoteText"/>
      </w:pPr>
      <w:r>
        <w:rPr>
          <w:rStyle w:val="FootnoteReference"/>
        </w:rPr>
        <w:footnoteRef/>
      </w:r>
      <w:r>
        <w:t>Sections 403.501-403.518, F.S., are known as the Florida Electrical Power Plant Siting Act. The PPSA specifies that any solar or steam driven electrical power plant of 75 MW or more must obtain an affirmative determination of need from the Commission as a condition precedent before obtaining other siting approvals for construction of the proposed plant. Sections 403.506 and 403.519, F.S.</w:t>
      </w:r>
    </w:p>
  </w:footnote>
  <w:footnote w:id="3">
    <w:p w:rsidR="001C1907" w:rsidRDefault="001C1907" w:rsidP="00F13795">
      <w:pPr>
        <w:pStyle w:val="FootnoteText"/>
      </w:pPr>
      <w:r>
        <w:rPr>
          <w:rStyle w:val="FootnoteReference"/>
        </w:rPr>
        <w:footnoteRef/>
      </w:r>
      <w:r>
        <w:t>FPL’s current settlement has a termination date of December 31, 2020, unless FPL notifies the parties by March 30, 2020, that it wishes to extend its current base rates until December 31, 2021. Order No. PSC-2016-0560-AS-EI.</w:t>
      </w:r>
    </w:p>
  </w:footnote>
  <w:footnote w:id="4">
    <w:p w:rsidR="001C1907" w:rsidRDefault="001C1907" w:rsidP="00117CDA">
      <w:pPr>
        <w:autoSpaceDE w:val="0"/>
        <w:autoSpaceDN w:val="0"/>
        <w:adjustRightInd w:val="0"/>
        <w:jc w:val="both"/>
      </w:pPr>
      <w:r>
        <w:rPr>
          <w:rStyle w:val="FootnoteReference"/>
        </w:rPr>
        <w:footnoteRef/>
      </w:r>
      <w:r>
        <w:rPr>
          <w:sz w:val="20"/>
          <w:szCs w:val="20"/>
        </w:rPr>
        <w:t xml:space="preserve">Order No. PSC-99-2507-S-EU, </w:t>
      </w:r>
      <w:r w:rsidRPr="00117CDA">
        <w:rPr>
          <w:sz w:val="20"/>
          <w:szCs w:val="20"/>
        </w:rPr>
        <w:t>issued December 22, 1999, in Docket No.</w:t>
      </w:r>
      <w:r>
        <w:rPr>
          <w:sz w:val="20"/>
          <w:szCs w:val="20"/>
        </w:rPr>
        <w:t xml:space="preserve"> 19</w:t>
      </w:r>
      <w:r w:rsidRPr="00117CDA">
        <w:rPr>
          <w:sz w:val="20"/>
          <w:szCs w:val="20"/>
        </w:rPr>
        <w:t xml:space="preserve">981890-EU, </w:t>
      </w:r>
      <w:r w:rsidRPr="00117CDA">
        <w:rPr>
          <w:i/>
          <w:sz w:val="20"/>
          <w:szCs w:val="20"/>
        </w:rPr>
        <w:t xml:space="preserve">In re: Generic investigation into the aggregate electric utility reserve margins planned for Peninsular Florida. </w:t>
      </w:r>
      <w:r>
        <w:rPr>
          <w:sz w:val="20"/>
          <w:szCs w:val="20"/>
        </w:rPr>
        <w:t>FPL, and other</w:t>
      </w:r>
      <w:r w:rsidRPr="00117CDA">
        <w:rPr>
          <w:sz w:val="20"/>
          <w:szCs w:val="20"/>
        </w:rPr>
        <w:t xml:space="preserve"> investor</w:t>
      </w:r>
      <w:r>
        <w:rPr>
          <w:sz w:val="20"/>
          <w:szCs w:val="20"/>
        </w:rPr>
        <w:t>-</w:t>
      </w:r>
      <w:r w:rsidRPr="00117CDA">
        <w:rPr>
          <w:sz w:val="20"/>
          <w:szCs w:val="20"/>
        </w:rPr>
        <w:t>owne</w:t>
      </w:r>
      <w:r>
        <w:rPr>
          <w:sz w:val="20"/>
          <w:szCs w:val="20"/>
        </w:rPr>
        <w:t>d</w:t>
      </w:r>
      <w:r w:rsidRPr="00117CDA">
        <w:rPr>
          <w:sz w:val="20"/>
          <w:szCs w:val="20"/>
        </w:rPr>
        <w:t xml:space="preserve"> utilities</w:t>
      </w:r>
      <w:r>
        <w:rPr>
          <w:sz w:val="20"/>
          <w:szCs w:val="20"/>
        </w:rPr>
        <w:t>,</w:t>
      </w:r>
      <w:r w:rsidRPr="00117CDA">
        <w:rPr>
          <w:sz w:val="20"/>
          <w:szCs w:val="20"/>
        </w:rPr>
        <w:t xml:space="preserve"> voluntarily adopted a minimum reserve margin planning criterion of 20 percent.</w:t>
      </w:r>
    </w:p>
    <w:p w:rsidR="001C1907" w:rsidRDefault="001C1907" w:rsidP="00117CDA">
      <w:pPr>
        <w:pStyle w:val="FootnoteText"/>
      </w:pPr>
    </w:p>
  </w:footnote>
  <w:footnote w:id="5">
    <w:p w:rsidR="001C1907" w:rsidRDefault="001C1907" w:rsidP="005659CD">
      <w:pPr>
        <w:pStyle w:val="FootnoteText"/>
      </w:pPr>
      <w:r>
        <w:rPr>
          <w:rStyle w:val="FootnoteReference"/>
        </w:rPr>
        <w:footnoteRef/>
      </w:r>
      <w:r>
        <w:t>Program bill credits less program bill surcharges. (OPC BR 13, FN 9)</w:t>
      </w:r>
    </w:p>
  </w:footnote>
  <w:footnote w:id="6">
    <w:p w:rsidR="001C1907" w:rsidRPr="00FA5796" w:rsidRDefault="001C1907" w:rsidP="003A5CD7">
      <w:pPr>
        <w:pStyle w:val="FootnoteText"/>
        <w:rPr>
          <w:i/>
        </w:rPr>
      </w:pPr>
      <w:r>
        <w:rPr>
          <w:rStyle w:val="FootnoteReference"/>
        </w:rPr>
        <w:footnoteRef/>
      </w:r>
      <w:r>
        <w:t xml:space="preserve">Order No. PSC-08-0397-PAA-EI, issued June 16, 2008, in Docket No. 20070733-EI, </w:t>
      </w:r>
      <w:r>
        <w:rPr>
          <w:i/>
        </w:rPr>
        <w:t>In re: Complaint No. 694187E by Cutrale Citrus Juices USA, Inc. against Tampa Electric Company for refusing to provide transformer ownership discount for electrical service provided through Minute Maid substation</w:t>
      </w:r>
      <w:r>
        <w:t xml:space="preserve">; </w:t>
      </w:r>
      <w:r>
        <w:rPr>
          <w:i/>
        </w:rPr>
        <w:t>see, e.g.</w:t>
      </w:r>
      <w:r>
        <w:t xml:space="preserve">, Order No. PSC-09-0283-FOF-EI, issued April 30, 2009, in Docket No. 20080317-EI, </w:t>
      </w:r>
      <w:r>
        <w:rPr>
          <w:i/>
        </w:rPr>
        <w:t>In re: Petition for rate increase by Tampa Electric Company</w:t>
      </w:r>
      <w:r>
        <w:t xml:space="preserve"> (declining to design preferential rates for schools based on non-cost-based factors).</w:t>
      </w:r>
    </w:p>
  </w:footnote>
  <w:footnote w:id="7">
    <w:p w:rsidR="001C1907" w:rsidRDefault="001C1907" w:rsidP="003A5CD7">
      <w:pPr>
        <w:pStyle w:val="FootnoteText"/>
      </w:pPr>
      <w:r>
        <w:rPr>
          <w:rStyle w:val="FootnoteReference"/>
        </w:rPr>
        <w:footnoteRef/>
      </w:r>
      <w:r>
        <w:rPr>
          <w:i/>
        </w:rPr>
        <w:t>See</w:t>
      </w:r>
      <w:r w:rsidRPr="00A77318">
        <w:t xml:space="preserve"> </w:t>
      </w:r>
      <w:r w:rsidRPr="00C41866">
        <w:t xml:space="preserve">Order No. 24151, issued February 25, 1991, in Docket No. 19890200-EQ, </w:t>
      </w:r>
      <w:r w:rsidRPr="00C41866">
        <w:rPr>
          <w:i/>
        </w:rPr>
        <w:t>In r</w:t>
      </w:r>
      <w:r>
        <w:rPr>
          <w:i/>
        </w:rPr>
        <w:t>e: Petition of Tampa Electric Company</w:t>
      </w:r>
      <w:r w:rsidRPr="00C41866">
        <w:rPr>
          <w:i/>
        </w:rPr>
        <w:t xml:space="preserve"> for </w:t>
      </w:r>
      <w:r>
        <w:rPr>
          <w:i/>
        </w:rPr>
        <w:t>a</w:t>
      </w:r>
      <w:r w:rsidRPr="00C41866">
        <w:rPr>
          <w:i/>
        </w:rPr>
        <w:t xml:space="preserve">pproval of </w:t>
      </w:r>
      <w:r>
        <w:rPr>
          <w:i/>
        </w:rPr>
        <w:t>c</w:t>
      </w:r>
      <w:r w:rsidRPr="00C41866">
        <w:rPr>
          <w:i/>
        </w:rPr>
        <w:t xml:space="preserve">onstruction </w:t>
      </w:r>
      <w:r>
        <w:rPr>
          <w:i/>
        </w:rPr>
        <w:t>d</w:t>
      </w:r>
      <w:r w:rsidRPr="00C41866">
        <w:rPr>
          <w:i/>
        </w:rPr>
        <w:t xml:space="preserve">eferral </w:t>
      </w:r>
      <w:r>
        <w:rPr>
          <w:i/>
        </w:rPr>
        <w:t>a</w:t>
      </w:r>
      <w:r w:rsidRPr="00C41866">
        <w:rPr>
          <w:i/>
        </w:rPr>
        <w:t>greement with IMC Fertilizer, Inc.</w:t>
      </w:r>
      <w:r w:rsidRPr="00C41866">
        <w:t xml:space="preserve"> (</w:t>
      </w:r>
      <w:r>
        <w:t xml:space="preserve">holding that Section 366.03, F.S., “prohibits only those rates which are </w:t>
      </w:r>
      <w:r>
        <w:rPr>
          <w:i/>
        </w:rPr>
        <w:t>unduly</w:t>
      </w:r>
      <w:r>
        <w:t xml:space="preserve"> discriminatory”); </w:t>
      </w:r>
      <w:r>
        <w:rPr>
          <w:i/>
        </w:rPr>
        <w:t xml:space="preserve">see also </w:t>
      </w:r>
      <w:r w:rsidRPr="00796A17">
        <w:rPr>
          <w:i/>
        </w:rPr>
        <w:t>Mo. River Energy Servs. v. FERC</w:t>
      </w:r>
      <w:r w:rsidRPr="00796A17">
        <w:t>, 918 F.3d 954, 958 (D.C. Cir. 2019) (citations o</w:t>
      </w:r>
      <w:r>
        <w:t>mitted) (</w:t>
      </w:r>
      <w:r w:rsidRPr="00796A17">
        <w:t>“</w:t>
      </w:r>
      <w:r>
        <w:t>[A]</w:t>
      </w:r>
      <w:r w:rsidRPr="00796A17">
        <w:t xml:space="preserve"> mere difference in the treatment of two entities does not violate [the F</w:t>
      </w:r>
      <w:r>
        <w:t xml:space="preserve">ederal </w:t>
      </w:r>
      <w:r w:rsidRPr="00796A17">
        <w:t>P</w:t>
      </w:r>
      <w:r>
        <w:t xml:space="preserve">ower </w:t>
      </w:r>
      <w:r w:rsidRPr="00796A17">
        <w:t>A</w:t>
      </w:r>
      <w:r>
        <w:t>ct</w:t>
      </w:r>
      <w:r w:rsidRPr="00796A17">
        <w:t>]; instead, undue discrimination occurs only if the entities are ‘similarly situated,’ such that ‘there is no reason for the difference.’”</w:t>
      </w:r>
      <w:r>
        <w:t>).</w:t>
      </w:r>
    </w:p>
  </w:footnote>
  <w:footnote w:id="8">
    <w:p w:rsidR="001C1907" w:rsidRDefault="001C1907" w:rsidP="003A5CD7">
      <w:pPr>
        <w:pStyle w:val="FootnoteText"/>
      </w:pPr>
      <w:r>
        <w:rPr>
          <w:rStyle w:val="FootnoteReference"/>
        </w:rPr>
        <w:footnoteRef/>
      </w:r>
      <w:r>
        <w:rPr>
          <w:i/>
        </w:rPr>
        <w:t>E.g.</w:t>
      </w:r>
      <w:r>
        <w:t xml:space="preserve">, Order No. PSC-05-0226-FOF-EI, issued February 25, 2005, in Docket No. 20030623-EI, </w:t>
      </w:r>
      <w:r>
        <w:rPr>
          <w:i/>
        </w:rPr>
        <w:t>In re: Complaints by Ocean Properties, Ltd., J.C. Penney Corp., Target Stores, Inc., and Dillard’s Department Stores Inc. against Florida Power &amp; Light Company concerning thermal demand meter error</w:t>
      </w:r>
      <w:r>
        <w:t xml:space="preserve"> (holding that FPL had not given certain customers any undue preference because FPL treated similarly situated customers similarly); Order No. 22197, issued November 20, 1989, in Docket No. 19891171-TI, </w:t>
      </w:r>
      <w:r>
        <w:rPr>
          <w:i/>
        </w:rPr>
        <w:t>In re: Proposed tariff filing by AT&amp;T Communications of the Southern States, Inc. for provisional waiver of Rule 25-24.485(1)(</w:t>
      </w:r>
      <w:proofErr w:type="spellStart"/>
      <w:r>
        <w:rPr>
          <w:i/>
        </w:rPr>
        <w:t>i</w:t>
      </w:r>
      <w:proofErr w:type="spellEnd"/>
      <w:r>
        <w:rPr>
          <w:i/>
        </w:rPr>
        <w:t>) and permission to provide Miami Children’s Hospital public service offering of free long distance for the period 10/30/89 through 8/28/90</w:t>
      </w:r>
      <w:r>
        <w:t xml:space="preserve"> (interpreting similar language in former Section 364.10, F.S., to require similarly situated customers to be treated similarly).</w:t>
      </w:r>
    </w:p>
  </w:footnote>
  <w:footnote w:id="9">
    <w:p w:rsidR="001C1907" w:rsidRDefault="001C1907" w:rsidP="003A5CD7">
      <w:pPr>
        <w:pStyle w:val="FootnoteText"/>
      </w:pPr>
      <w:r>
        <w:rPr>
          <w:rStyle w:val="FootnoteReference"/>
        </w:rPr>
        <w:footnoteRef/>
      </w:r>
      <w:r>
        <w:rPr>
          <w:i/>
        </w:rPr>
        <w:t xml:space="preserve">Compare </w:t>
      </w:r>
      <w:r>
        <w:t>16 U.S.C. § </w:t>
      </w:r>
      <w:proofErr w:type="gramStart"/>
      <w:r>
        <w:t>824d(</w:t>
      </w:r>
      <w:proofErr w:type="gramEnd"/>
      <w:r>
        <w:t>b) (2018) (“</w:t>
      </w:r>
      <w:r w:rsidRPr="003940EE">
        <w:t>No public utility shall</w:t>
      </w:r>
      <w:r>
        <w:t xml:space="preserve"> . . .</w:t>
      </w:r>
      <w:r w:rsidRPr="003940EE">
        <w:t xml:space="preserve"> make or grant any undue preference or advantage to any person or subject any person to any u</w:t>
      </w:r>
      <w:r>
        <w:t xml:space="preserve">ndue prejudice or disadvantage”) </w:t>
      </w:r>
      <w:r>
        <w:rPr>
          <w:i/>
        </w:rPr>
        <w:t>with</w:t>
      </w:r>
      <w:r>
        <w:t xml:space="preserve"> § 366.03 (“</w:t>
      </w:r>
      <w:r w:rsidRPr="00AF133D">
        <w:t>No public utility shall make or give any undue or unreasonable preference or advantage to any person or locality, or subject the same to any undue or unreasonable prejudice or disadvantage in any respect.</w:t>
      </w:r>
      <w:r>
        <w:t>”).</w:t>
      </w:r>
    </w:p>
  </w:footnote>
  <w:footnote w:id="10">
    <w:p w:rsidR="001C1907" w:rsidRDefault="001C1907" w:rsidP="001B38A9">
      <w:pPr>
        <w:pStyle w:val="FootnoteText"/>
      </w:pPr>
      <w:r>
        <w:rPr>
          <w:rStyle w:val="FootnoteReference"/>
        </w:rPr>
        <w:footnoteRef/>
      </w:r>
      <w:r w:rsidRPr="001221CB">
        <w:rPr>
          <w:i/>
        </w:rPr>
        <w:t>C.F. Industries, Inc. v. Nichols</w:t>
      </w:r>
      <w:r>
        <w:t xml:space="preserve">, 536 So. 2d 234 (Fla. 1988). </w:t>
      </w:r>
    </w:p>
  </w:footnote>
  <w:footnote w:id="11">
    <w:p w:rsidR="001C1907" w:rsidRDefault="001C1907" w:rsidP="00027BA9">
      <w:pPr>
        <w:pStyle w:val="FootnoteText"/>
      </w:pPr>
      <w:r>
        <w:rPr>
          <w:rStyle w:val="FootnoteReference"/>
        </w:rPr>
        <w:footnoteRef/>
      </w:r>
      <w:r>
        <w:t xml:space="preserve">Order No. PSC-15-0026-FOF-EI, issued January 7, 2015, in Docket No. 20130223-EI, </w:t>
      </w:r>
      <w:r>
        <w:rPr>
          <w:i/>
        </w:rPr>
        <w:t xml:space="preserve">In re: Petition for approval of optional non-standard meter rider, by Florida Power &amp; Light Company, </w:t>
      </w:r>
      <w:r>
        <w:t>p. 3</w:t>
      </w:r>
      <w:r>
        <w:rPr>
          <w:i/>
        </w:rPr>
        <w:t xml:space="preserve"> </w:t>
      </w:r>
      <w:r>
        <w:t>(“FPL witness Deason testified that we have a long and consistent history of setting rates based upon a regulated utility's costs. We agree. We have consistently set rates based on the cost of the service and have allocated those costs to the customer or class of customers who have caused those costs to be incurred.”)</w:t>
      </w:r>
    </w:p>
    <w:p w:rsidR="001C1907" w:rsidRDefault="001C1907" w:rsidP="00027BA9">
      <w:pPr>
        <w:pStyle w:val="FootnoteText"/>
      </w:pPr>
    </w:p>
  </w:footnote>
  <w:footnote w:id="12">
    <w:p w:rsidR="001C1907" w:rsidRDefault="001C1907">
      <w:pPr>
        <w:pStyle w:val="FootnoteText"/>
      </w:pPr>
      <w:r>
        <w:rPr>
          <w:rStyle w:val="FootnoteReference"/>
        </w:rPr>
        <w:footnoteRef/>
      </w:r>
      <w:r>
        <w:t xml:space="preserve">Order No. PSC-2014-0468-TRF-EI, issued August 29, 2014, in Docket No. 20140070-EI, </w:t>
      </w:r>
      <w:r w:rsidRPr="00BF504B">
        <w:rPr>
          <w:i/>
        </w:rPr>
        <w:t>In re: Petition for approval of voluntary solar partnership pilot program and tariff, by Florida Power &amp; Light Company.</w:t>
      </w:r>
    </w:p>
  </w:footnote>
  <w:footnote w:id="13">
    <w:p w:rsidR="001C1907" w:rsidRDefault="001C1907">
      <w:pPr>
        <w:pStyle w:val="FootnoteText"/>
      </w:pPr>
      <w:r>
        <w:rPr>
          <w:rStyle w:val="FootnoteReference"/>
        </w:rPr>
        <w:footnoteRef/>
      </w:r>
      <w:r>
        <w:t>See FN 2.</w:t>
      </w:r>
    </w:p>
  </w:footnote>
  <w:footnote w:id="14">
    <w:p w:rsidR="001C1907" w:rsidRDefault="001C1907" w:rsidP="00BF29F3">
      <w:pPr>
        <w:pStyle w:val="FootnoteText"/>
      </w:pPr>
      <w:r>
        <w:rPr>
          <w:rStyle w:val="FootnoteReference"/>
        </w:rPr>
        <w:footnoteRef/>
      </w:r>
      <w:r>
        <w:t>The Utility’s original petition, filed March 13, 2019, included the accrual of AFUDC for all five SolarTogether Projects, but was amended to exclude Projects 3, 4, and 5 in the revised petition filed September 23, 2019. Projects 3, 4, and 5 are no longer expected to utilize a common EPC contractor, and thus no longer met FPL’s internal accounting policy. (EXH</w:t>
      </w:r>
      <w:r w:rsidRPr="004C2FB7">
        <w:t xml:space="preserve"> 48</w:t>
      </w:r>
      <w:r>
        <w:t>, BSP 351)</w:t>
      </w:r>
    </w:p>
  </w:footnote>
  <w:footnote w:id="15">
    <w:p w:rsidR="001C1907" w:rsidRDefault="001C1907" w:rsidP="00BF29F3">
      <w:pPr>
        <w:pStyle w:val="FootnoteText"/>
      </w:pPr>
      <w:r>
        <w:rPr>
          <w:rStyle w:val="FootnoteReference"/>
        </w:rPr>
        <w:footnoteRef/>
      </w:r>
      <w:r>
        <w:t>Rule 25-6.0141, F.A.C., requires that in order for projects to be eligible to accrue AFUDC they must involve plant additions in excess of 0.5 percent of the total balances in FERC Account 101 and 106, and are expected to be completed in excess of one year after construction commences.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907" w:rsidRDefault="001C1907" w:rsidP="00220732">
    <w:pPr>
      <w:pStyle w:val="Header"/>
      <w:tabs>
        <w:tab w:val="clear" w:pos="4320"/>
        <w:tab w:val="clear" w:pos="8640"/>
        <w:tab w:val="right" w:pos="9360"/>
      </w:tabs>
    </w:pPr>
    <w:bookmarkStart w:id="14" w:name="DocketLabel"/>
    <w:r>
      <w:t>Docket No.</w:t>
    </w:r>
    <w:bookmarkEnd w:id="14"/>
    <w:r>
      <w:t xml:space="preserve"> </w:t>
    </w:r>
    <w:bookmarkStart w:id="15" w:name="DocketList"/>
    <w:r>
      <w:t>20190061-EI</w:t>
    </w:r>
    <w:bookmarkEnd w:id="15"/>
  </w:p>
  <w:p w:rsidR="001C1907" w:rsidRDefault="001C1907">
    <w:pPr>
      <w:pStyle w:val="Header"/>
    </w:pPr>
    <w:r>
      <w:t xml:space="preserve">Date: </w:t>
    </w:r>
    <w:r w:rsidR="003E7FDD">
      <w:fldChar w:fldCharType="begin"/>
    </w:r>
    <w:r w:rsidR="003E7FDD">
      <w:instrText xml:space="preserve"> REF FilingDate </w:instrText>
    </w:r>
    <w:r w:rsidR="003E7FDD">
      <w:fldChar w:fldCharType="separate"/>
    </w:r>
    <w:r w:rsidR="00D87C5F">
      <w:t>February 21, 2020</w:t>
    </w:r>
    <w:r w:rsidR="003E7FDD">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907" w:rsidRDefault="001C1907" w:rsidP="00220732">
    <w:pPr>
      <w:pStyle w:val="Header"/>
      <w:tabs>
        <w:tab w:val="clear" w:pos="4320"/>
        <w:tab w:val="clear" w:pos="8640"/>
        <w:tab w:val="right" w:pos="9360"/>
      </w:tabs>
    </w:pPr>
    <w:r>
      <w:fldChar w:fldCharType="begin"/>
    </w:r>
    <w:r>
      <w:instrText xml:space="preserve"> REF DocketLabel</w:instrText>
    </w:r>
    <w:r>
      <w:fldChar w:fldCharType="separate"/>
    </w:r>
    <w:r w:rsidR="00D87C5F">
      <w:t>Docket No.</w:t>
    </w:r>
    <w:r>
      <w:fldChar w:fldCharType="end"/>
    </w:r>
    <w:r>
      <w:t xml:space="preserve"> </w:t>
    </w:r>
    <w:r>
      <w:fldChar w:fldCharType="begin"/>
    </w:r>
    <w:r>
      <w:instrText xml:space="preserve"> REF DocketList</w:instrText>
    </w:r>
    <w:r>
      <w:fldChar w:fldCharType="separate"/>
    </w:r>
    <w:r w:rsidR="00D87C5F">
      <w:t>20190061-EI</w:t>
    </w:r>
    <w:r>
      <w:fldChar w:fldCharType="end"/>
    </w:r>
    <w:r>
      <w:tab/>
      <w:t xml:space="preserve">Issue </w:t>
    </w:r>
    <w:r w:rsidR="003E7FDD">
      <w:fldChar w:fldCharType="begin"/>
    </w:r>
    <w:r w:rsidR="003E7FDD">
      <w:instrText xml:space="preserve"> Seq Issue \c \* Arabic </w:instrText>
    </w:r>
    <w:r w:rsidR="003E7FDD">
      <w:fldChar w:fldCharType="separate"/>
    </w:r>
    <w:r w:rsidR="00D87C5F">
      <w:rPr>
        <w:noProof/>
      </w:rPr>
      <w:t>6</w:t>
    </w:r>
    <w:r w:rsidR="003E7FDD">
      <w:rPr>
        <w:noProof/>
      </w:rPr>
      <w:fldChar w:fldCharType="end"/>
    </w:r>
  </w:p>
  <w:p w:rsidR="001C1907" w:rsidRDefault="001C1907">
    <w:pPr>
      <w:pStyle w:val="Header"/>
    </w:pPr>
    <w:r>
      <w:t xml:space="preserve">Date: </w:t>
    </w:r>
    <w:r w:rsidR="003E7FDD">
      <w:fldChar w:fldCharType="begin"/>
    </w:r>
    <w:r w:rsidR="003E7FDD">
      <w:instrText xml:space="preserve"> REF FilingDate </w:instrText>
    </w:r>
    <w:r w:rsidR="003E7FDD">
      <w:fldChar w:fldCharType="separate"/>
    </w:r>
    <w:r w:rsidR="00D87C5F">
      <w:t>February 21, 2020</w:t>
    </w:r>
    <w:r w:rsidR="003E7FDD">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907" w:rsidRDefault="001C190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907" w:rsidRDefault="001C1907" w:rsidP="00220732">
    <w:pPr>
      <w:pStyle w:val="Header"/>
      <w:tabs>
        <w:tab w:val="clear" w:pos="4320"/>
        <w:tab w:val="clear" w:pos="8640"/>
        <w:tab w:val="right" w:pos="9360"/>
      </w:tabs>
    </w:pPr>
    <w:r>
      <w:fldChar w:fldCharType="begin"/>
    </w:r>
    <w:r>
      <w:instrText xml:space="preserve"> REF DocketLabel</w:instrText>
    </w:r>
    <w:r>
      <w:fldChar w:fldCharType="separate"/>
    </w:r>
    <w:r w:rsidR="00D87C5F">
      <w:t>Docket No.</w:t>
    </w:r>
    <w:r>
      <w:fldChar w:fldCharType="end"/>
    </w:r>
    <w:r>
      <w:t xml:space="preserve"> </w:t>
    </w:r>
    <w:r>
      <w:fldChar w:fldCharType="begin"/>
    </w:r>
    <w:r>
      <w:instrText xml:space="preserve"> REF DocketList</w:instrText>
    </w:r>
    <w:r>
      <w:fldChar w:fldCharType="separate"/>
    </w:r>
    <w:r w:rsidR="00D87C5F">
      <w:t>20190061-EI</w:t>
    </w:r>
    <w:r>
      <w:fldChar w:fldCharType="end"/>
    </w:r>
    <w:r>
      <w:tab/>
      <w:t>Attachment 1</w:t>
    </w:r>
  </w:p>
  <w:p w:rsidR="001C1907" w:rsidRDefault="001C1907" w:rsidP="005D214B">
    <w:pPr>
      <w:pStyle w:val="Header"/>
      <w:tabs>
        <w:tab w:val="clear" w:pos="8640"/>
        <w:tab w:val="right" w:pos="9360"/>
      </w:tabs>
    </w:pPr>
    <w:r>
      <w:t xml:space="preserve">Date: </w:t>
    </w:r>
    <w:r w:rsidR="003E7FDD">
      <w:fldChar w:fldCharType="begin"/>
    </w:r>
    <w:r w:rsidR="003E7FDD">
      <w:instrText xml:space="preserve"> REF FilingDate </w:instrText>
    </w:r>
    <w:r w:rsidR="003E7FDD">
      <w:fldChar w:fldCharType="separate"/>
    </w:r>
    <w:r w:rsidR="00D87C5F">
      <w:t>February 21, 2020</w:t>
    </w:r>
    <w:r w:rsidR="003E7FDD">
      <w:fldChar w:fldCharType="end"/>
    </w:r>
    <w:r>
      <w:tab/>
    </w:r>
    <w:r>
      <w:tab/>
      <w:t>Page 1 of 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907" w:rsidRDefault="001C1907" w:rsidP="004057CF">
    <w:pPr>
      <w:pStyle w:val="Header"/>
      <w:tabs>
        <w:tab w:val="clear" w:pos="4320"/>
        <w:tab w:val="clear" w:pos="8640"/>
      </w:tabs>
    </w:pPr>
    <w:r>
      <w:fldChar w:fldCharType="begin"/>
    </w:r>
    <w:r>
      <w:instrText xml:space="preserve"> REF DocketLabel</w:instrText>
    </w:r>
    <w:r>
      <w:fldChar w:fldCharType="separate"/>
    </w:r>
    <w:r w:rsidR="00D87C5F">
      <w:t>Docket No.</w:t>
    </w:r>
    <w:r>
      <w:fldChar w:fldCharType="end"/>
    </w:r>
    <w:r>
      <w:t xml:space="preserve"> </w:t>
    </w:r>
    <w:r>
      <w:fldChar w:fldCharType="begin"/>
    </w:r>
    <w:r>
      <w:instrText xml:space="preserve"> REF DocketList</w:instrText>
    </w:r>
    <w:r>
      <w:fldChar w:fldCharType="separate"/>
    </w:r>
    <w:r w:rsidR="00D87C5F">
      <w:t>20190061-EI</w:t>
    </w:r>
    <w:r>
      <w:fldChar w:fldCharType="end"/>
    </w:r>
    <w:r>
      <w:tab/>
    </w:r>
    <w:r>
      <w:tab/>
    </w:r>
    <w:r>
      <w:tab/>
    </w:r>
    <w:r>
      <w:tab/>
    </w:r>
    <w:r>
      <w:tab/>
    </w:r>
    <w:r>
      <w:tab/>
      <w:t xml:space="preserve">                         Attachment 1</w:t>
    </w:r>
  </w:p>
  <w:p w:rsidR="001C1907" w:rsidRDefault="001C1907" w:rsidP="005D214B">
    <w:pPr>
      <w:pStyle w:val="Header"/>
      <w:tabs>
        <w:tab w:val="clear" w:pos="8640"/>
        <w:tab w:val="right" w:pos="9360"/>
      </w:tabs>
    </w:pPr>
    <w:r>
      <w:t xml:space="preserve">Date: </w:t>
    </w:r>
    <w:r w:rsidR="003E7FDD">
      <w:fldChar w:fldCharType="begin"/>
    </w:r>
    <w:r w:rsidR="003E7FDD">
      <w:instrText xml:space="preserve"> REF FilingDate </w:instrText>
    </w:r>
    <w:r w:rsidR="003E7FDD">
      <w:fldChar w:fldCharType="separate"/>
    </w:r>
    <w:r w:rsidR="00D87C5F">
      <w:t>February 21, 2020</w:t>
    </w:r>
    <w:r w:rsidR="003E7FDD">
      <w:fldChar w:fldCharType="end"/>
    </w:r>
    <w:r>
      <w:tab/>
    </w:r>
    <w:r>
      <w:tab/>
      <w:t>Page 2 of 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907" w:rsidRDefault="001C1907" w:rsidP="004057CF">
    <w:pPr>
      <w:pStyle w:val="Header"/>
      <w:tabs>
        <w:tab w:val="clear" w:pos="4320"/>
        <w:tab w:val="clear" w:pos="8640"/>
      </w:tabs>
    </w:pPr>
    <w:r>
      <w:fldChar w:fldCharType="begin"/>
    </w:r>
    <w:r>
      <w:instrText xml:space="preserve"> REF DocketLabel</w:instrText>
    </w:r>
    <w:r>
      <w:fldChar w:fldCharType="separate"/>
    </w:r>
    <w:r w:rsidR="00D87C5F">
      <w:t>Docket No.</w:t>
    </w:r>
    <w:r>
      <w:fldChar w:fldCharType="end"/>
    </w:r>
    <w:r>
      <w:t xml:space="preserve"> </w:t>
    </w:r>
    <w:r>
      <w:fldChar w:fldCharType="begin"/>
    </w:r>
    <w:r>
      <w:instrText xml:space="preserve"> REF DocketList</w:instrText>
    </w:r>
    <w:r>
      <w:fldChar w:fldCharType="separate"/>
    </w:r>
    <w:r w:rsidR="00D87C5F">
      <w:t>20190061-EI</w:t>
    </w:r>
    <w:r>
      <w:fldChar w:fldCharType="end"/>
    </w:r>
    <w:r>
      <w:tab/>
    </w:r>
    <w:r>
      <w:tab/>
    </w:r>
    <w:r>
      <w:tab/>
    </w:r>
    <w:r>
      <w:tab/>
    </w:r>
    <w:r>
      <w:tab/>
    </w:r>
    <w:r>
      <w:tab/>
      <w:t xml:space="preserve">                         Attachment 1</w:t>
    </w:r>
  </w:p>
  <w:p w:rsidR="001C1907" w:rsidRDefault="001C1907" w:rsidP="005D214B">
    <w:pPr>
      <w:pStyle w:val="Header"/>
      <w:tabs>
        <w:tab w:val="clear" w:pos="8640"/>
        <w:tab w:val="right" w:pos="9360"/>
      </w:tabs>
    </w:pPr>
    <w:r>
      <w:t xml:space="preserve">Date: </w:t>
    </w:r>
    <w:r w:rsidR="003E7FDD">
      <w:fldChar w:fldCharType="begin"/>
    </w:r>
    <w:r w:rsidR="003E7FDD">
      <w:instrText xml:space="preserve"> REF FilingDate </w:instrText>
    </w:r>
    <w:r w:rsidR="003E7FDD">
      <w:fldChar w:fldCharType="separate"/>
    </w:r>
    <w:r w:rsidR="00D87C5F">
      <w:t>February 21, 2020</w:t>
    </w:r>
    <w:r w:rsidR="003E7FDD">
      <w:fldChar w:fldCharType="end"/>
    </w:r>
    <w:r>
      <w:tab/>
    </w:r>
    <w:r>
      <w:tab/>
      <w:t>Page 3 of 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907" w:rsidRDefault="001C1907" w:rsidP="004057CF">
    <w:pPr>
      <w:pStyle w:val="Header"/>
      <w:tabs>
        <w:tab w:val="clear" w:pos="4320"/>
        <w:tab w:val="clear" w:pos="8640"/>
      </w:tabs>
    </w:pPr>
    <w:r>
      <w:fldChar w:fldCharType="begin"/>
    </w:r>
    <w:r>
      <w:instrText xml:space="preserve"> REF DocketLabel</w:instrText>
    </w:r>
    <w:r>
      <w:fldChar w:fldCharType="separate"/>
    </w:r>
    <w:r w:rsidR="00D87C5F">
      <w:t>Docket No.</w:t>
    </w:r>
    <w:r>
      <w:fldChar w:fldCharType="end"/>
    </w:r>
    <w:r>
      <w:t xml:space="preserve"> </w:t>
    </w:r>
    <w:r>
      <w:fldChar w:fldCharType="begin"/>
    </w:r>
    <w:r>
      <w:instrText xml:space="preserve"> REF DocketList</w:instrText>
    </w:r>
    <w:r>
      <w:fldChar w:fldCharType="separate"/>
    </w:r>
    <w:r w:rsidR="00D87C5F">
      <w:t>20190061-EI</w:t>
    </w:r>
    <w:r>
      <w:fldChar w:fldCharType="end"/>
    </w:r>
    <w:r>
      <w:tab/>
    </w:r>
    <w:r>
      <w:tab/>
    </w:r>
    <w:r>
      <w:tab/>
    </w:r>
    <w:r>
      <w:tab/>
    </w:r>
    <w:r>
      <w:tab/>
    </w:r>
    <w:r>
      <w:tab/>
      <w:t xml:space="preserve">                                                                             Attachment 2</w:t>
    </w:r>
  </w:p>
  <w:p w:rsidR="001C1907" w:rsidRDefault="001C1907" w:rsidP="00C55128">
    <w:pPr>
      <w:pStyle w:val="Header"/>
      <w:tabs>
        <w:tab w:val="clear" w:pos="8640"/>
        <w:tab w:val="right" w:pos="12780"/>
      </w:tabs>
    </w:pPr>
    <w:r>
      <w:t xml:space="preserve">Date: </w:t>
    </w:r>
    <w:r w:rsidR="003E7FDD">
      <w:fldChar w:fldCharType="begin"/>
    </w:r>
    <w:r w:rsidR="003E7FDD">
      <w:instrText xml:space="preserve"> REF FilingDate </w:instrText>
    </w:r>
    <w:r w:rsidR="003E7FDD">
      <w:fldChar w:fldCharType="separate"/>
    </w:r>
    <w:r w:rsidR="00D87C5F">
      <w:t>February 21, 2020</w:t>
    </w:r>
    <w:r w:rsidR="003E7FDD">
      <w:fldChar w:fldCharType="end"/>
    </w:r>
    <w:r>
      <w:tab/>
    </w:r>
    <w:r>
      <w:tab/>
      <w:t>Page 1 of 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907" w:rsidRDefault="001C1907" w:rsidP="00D410AF">
    <w:pPr>
      <w:pStyle w:val="Header"/>
      <w:tabs>
        <w:tab w:val="clear" w:pos="4320"/>
        <w:tab w:val="clear" w:pos="8640"/>
      </w:tabs>
    </w:pPr>
    <w:r>
      <w:fldChar w:fldCharType="begin"/>
    </w:r>
    <w:r>
      <w:instrText xml:space="preserve"> REF DocketLabel</w:instrText>
    </w:r>
    <w:r>
      <w:fldChar w:fldCharType="separate"/>
    </w:r>
    <w:r w:rsidR="00D87C5F">
      <w:t>Docket No.</w:t>
    </w:r>
    <w:r>
      <w:fldChar w:fldCharType="end"/>
    </w:r>
    <w:r>
      <w:t xml:space="preserve"> </w:t>
    </w:r>
    <w:r>
      <w:fldChar w:fldCharType="begin"/>
    </w:r>
    <w:r>
      <w:instrText xml:space="preserve"> REF DocketList</w:instrText>
    </w:r>
    <w:r>
      <w:fldChar w:fldCharType="separate"/>
    </w:r>
    <w:r w:rsidR="00D87C5F">
      <w:t>20190061-EI</w:t>
    </w:r>
    <w:r>
      <w:fldChar w:fldCharType="end"/>
    </w:r>
    <w:r>
      <w:tab/>
    </w:r>
    <w:r>
      <w:tab/>
    </w:r>
    <w:r>
      <w:tab/>
    </w:r>
    <w:r>
      <w:tab/>
    </w:r>
    <w:r>
      <w:tab/>
    </w:r>
    <w:r>
      <w:tab/>
    </w:r>
    <w:r>
      <w:tab/>
    </w:r>
    <w:r>
      <w:tab/>
    </w:r>
    <w:r>
      <w:tab/>
    </w:r>
    <w:r>
      <w:tab/>
    </w:r>
    <w:r>
      <w:tab/>
    </w:r>
    <w:r>
      <w:tab/>
      <w:t xml:space="preserve">           Attachment 3</w:t>
    </w:r>
  </w:p>
  <w:p w:rsidR="001C1907" w:rsidRDefault="001C1907" w:rsidP="00C55128">
    <w:pPr>
      <w:pStyle w:val="Header"/>
      <w:tabs>
        <w:tab w:val="clear" w:pos="8640"/>
        <w:tab w:val="right" w:pos="12780"/>
      </w:tabs>
    </w:pPr>
    <w:r>
      <w:t xml:space="preserve">Date: </w:t>
    </w:r>
    <w:r w:rsidR="003E7FDD">
      <w:fldChar w:fldCharType="begin"/>
    </w:r>
    <w:r w:rsidR="003E7FDD">
      <w:instrText xml:space="preserve"> REF FilingDate </w:instrText>
    </w:r>
    <w:r w:rsidR="003E7FDD">
      <w:fldChar w:fldCharType="separate"/>
    </w:r>
    <w:r w:rsidR="00D87C5F">
      <w:t>February 21, 2020</w:t>
    </w:r>
    <w:r w:rsidR="003E7FDD">
      <w:fldChar w:fldCharType="end"/>
    </w:r>
    <w:r>
      <w:tab/>
    </w:r>
    <w:r>
      <w:tab/>
      <w:t>Page 1 of 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907" w:rsidRDefault="001C1907" w:rsidP="0090293E">
    <w:pPr>
      <w:pStyle w:val="Header"/>
      <w:tabs>
        <w:tab w:val="clear" w:pos="4320"/>
        <w:tab w:val="clear" w:pos="8640"/>
      </w:tabs>
    </w:pPr>
    <w:r>
      <w:fldChar w:fldCharType="begin"/>
    </w:r>
    <w:r>
      <w:instrText xml:space="preserve"> REF DocketLabel</w:instrText>
    </w:r>
    <w:r>
      <w:fldChar w:fldCharType="separate"/>
    </w:r>
    <w:r w:rsidR="00D87C5F">
      <w:t>Docket No.</w:t>
    </w:r>
    <w:r>
      <w:fldChar w:fldCharType="end"/>
    </w:r>
    <w:r>
      <w:t xml:space="preserve"> </w:t>
    </w:r>
    <w:r>
      <w:fldChar w:fldCharType="begin"/>
    </w:r>
    <w:r>
      <w:instrText xml:space="preserve"> REF DocketList</w:instrText>
    </w:r>
    <w:r>
      <w:fldChar w:fldCharType="separate"/>
    </w:r>
    <w:r w:rsidR="00D87C5F">
      <w:t>20190061-EI</w:t>
    </w:r>
    <w:r>
      <w:fldChar w:fldCharType="end"/>
    </w:r>
    <w:r>
      <w:tab/>
    </w:r>
    <w:r>
      <w:tab/>
    </w:r>
    <w:r>
      <w:tab/>
    </w:r>
    <w:r>
      <w:tab/>
    </w:r>
    <w:r>
      <w:tab/>
    </w:r>
    <w:r>
      <w:tab/>
    </w:r>
    <w:r>
      <w:tab/>
    </w:r>
    <w:r>
      <w:tab/>
    </w:r>
    <w:r>
      <w:tab/>
    </w:r>
    <w:r>
      <w:tab/>
    </w:r>
    <w:r>
      <w:tab/>
    </w:r>
    <w:r>
      <w:tab/>
      <w:t xml:space="preserve">           Attachment 4</w:t>
    </w:r>
  </w:p>
  <w:p w:rsidR="001C1907" w:rsidRDefault="001C1907" w:rsidP="00C55128">
    <w:pPr>
      <w:pStyle w:val="Header"/>
      <w:tabs>
        <w:tab w:val="clear" w:pos="8640"/>
        <w:tab w:val="right" w:pos="12780"/>
      </w:tabs>
    </w:pPr>
    <w:r>
      <w:t xml:space="preserve">Date: </w:t>
    </w:r>
    <w:r w:rsidR="003E7FDD">
      <w:fldChar w:fldCharType="begin"/>
    </w:r>
    <w:r w:rsidR="003E7FDD">
      <w:instrText xml:space="preserve"> REF FilingDate </w:instrText>
    </w:r>
    <w:r w:rsidR="003E7FDD">
      <w:fldChar w:fldCharType="separate"/>
    </w:r>
    <w:r w:rsidR="00D87C5F">
      <w:t>February 21, 2020</w:t>
    </w:r>
    <w:r w:rsidR="003E7FDD">
      <w:fldChar w:fldCharType="end"/>
    </w:r>
    <w:r>
      <w:tab/>
    </w:r>
    <w:r>
      <w:tab/>
      <w:t>Page 1 of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0B9C7ED6"/>
    <w:multiLevelType w:val="hybridMultilevel"/>
    <w:tmpl w:val="4E5A4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10293F"/>
    <w:multiLevelType w:val="hybridMultilevel"/>
    <w:tmpl w:val="44A85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6F1A26"/>
    <w:multiLevelType w:val="hybridMultilevel"/>
    <w:tmpl w:val="899A3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D9F09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0"/>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4780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334F9A"/>
    <w:rsid w:val="000033F3"/>
    <w:rsid w:val="000043D5"/>
    <w:rsid w:val="00006170"/>
    <w:rsid w:val="00006181"/>
    <w:rsid w:val="0000681E"/>
    <w:rsid w:val="00007FEE"/>
    <w:rsid w:val="00010E37"/>
    <w:rsid w:val="00016AE7"/>
    <w:rsid w:val="000172DA"/>
    <w:rsid w:val="00017C41"/>
    <w:rsid w:val="000208C5"/>
    <w:rsid w:val="00021791"/>
    <w:rsid w:val="0002294B"/>
    <w:rsid w:val="000247C5"/>
    <w:rsid w:val="00024973"/>
    <w:rsid w:val="000265E4"/>
    <w:rsid w:val="00026D62"/>
    <w:rsid w:val="000277C2"/>
    <w:rsid w:val="00027BA9"/>
    <w:rsid w:val="00034B12"/>
    <w:rsid w:val="00034CE6"/>
    <w:rsid w:val="0003598E"/>
    <w:rsid w:val="00035B48"/>
    <w:rsid w:val="00036661"/>
    <w:rsid w:val="00036CE2"/>
    <w:rsid w:val="00040D99"/>
    <w:rsid w:val="00041058"/>
    <w:rsid w:val="000437FE"/>
    <w:rsid w:val="00045A95"/>
    <w:rsid w:val="00050E8F"/>
    <w:rsid w:val="000513BE"/>
    <w:rsid w:val="00051769"/>
    <w:rsid w:val="000548E4"/>
    <w:rsid w:val="00055159"/>
    <w:rsid w:val="00065A06"/>
    <w:rsid w:val="000666F3"/>
    <w:rsid w:val="00067F70"/>
    <w:rsid w:val="00070652"/>
    <w:rsid w:val="00070DCB"/>
    <w:rsid w:val="000711C7"/>
    <w:rsid w:val="00072CCA"/>
    <w:rsid w:val="00073120"/>
    <w:rsid w:val="000764D0"/>
    <w:rsid w:val="0008053C"/>
    <w:rsid w:val="0008264B"/>
    <w:rsid w:val="000828D3"/>
    <w:rsid w:val="00085827"/>
    <w:rsid w:val="00085F59"/>
    <w:rsid w:val="00086B50"/>
    <w:rsid w:val="000918E4"/>
    <w:rsid w:val="00097A88"/>
    <w:rsid w:val="000A0D8E"/>
    <w:rsid w:val="000A2B57"/>
    <w:rsid w:val="000A418B"/>
    <w:rsid w:val="000A4E32"/>
    <w:rsid w:val="000A541A"/>
    <w:rsid w:val="000B17F9"/>
    <w:rsid w:val="000B1D21"/>
    <w:rsid w:val="000B2448"/>
    <w:rsid w:val="000B3781"/>
    <w:rsid w:val="000B4C63"/>
    <w:rsid w:val="000B58C6"/>
    <w:rsid w:val="000B732C"/>
    <w:rsid w:val="000C20DB"/>
    <w:rsid w:val="000C3282"/>
    <w:rsid w:val="000C3616"/>
    <w:rsid w:val="000C4431"/>
    <w:rsid w:val="000C7F3C"/>
    <w:rsid w:val="000D1C06"/>
    <w:rsid w:val="000D2E7F"/>
    <w:rsid w:val="000D3355"/>
    <w:rsid w:val="000D4319"/>
    <w:rsid w:val="000D5241"/>
    <w:rsid w:val="000D5A8C"/>
    <w:rsid w:val="000D7EE9"/>
    <w:rsid w:val="000E0895"/>
    <w:rsid w:val="000E29A5"/>
    <w:rsid w:val="000F197B"/>
    <w:rsid w:val="000F2549"/>
    <w:rsid w:val="000F36F6"/>
    <w:rsid w:val="000F374A"/>
    <w:rsid w:val="000F639D"/>
    <w:rsid w:val="00100F8B"/>
    <w:rsid w:val="00102503"/>
    <w:rsid w:val="00105CAA"/>
    <w:rsid w:val="001076AF"/>
    <w:rsid w:val="0011392A"/>
    <w:rsid w:val="00113C86"/>
    <w:rsid w:val="00117C8C"/>
    <w:rsid w:val="00117CDA"/>
    <w:rsid w:val="00122139"/>
    <w:rsid w:val="00124C38"/>
    <w:rsid w:val="00124E2E"/>
    <w:rsid w:val="00125ED0"/>
    <w:rsid w:val="00125ED4"/>
    <w:rsid w:val="001305E9"/>
    <w:rsid w:val="001307AF"/>
    <w:rsid w:val="00132E2C"/>
    <w:rsid w:val="00132F3D"/>
    <w:rsid w:val="00133547"/>
    <w:rsid w:val="00135687"/>
    <w:rsid w:val="00135F6D"/>
    <w:rsid w:val="00137BC0"/>
    <w:rsid w:val="00140969"/>
    <w:rsid w:val="00141670"/>
    <w:rsid w:val="00142BE5"/>
    <w:rsid w:val="001508E1"/>
    <w:rsid w:val="0015506E"/>
    <w:rsid w:val="001552F7"/>
    <w:rsid w:val="00155A1C"/>
    <w:rsid w:val="00155BC9"/>
    <w:rsid w:val="00163031"/>
    <w:rsid w:val="00164B5B"/>
    <w:rsid w:val="00164BB5"/>
    <w:rsid w:val="00165260"/>
    <w:rsid w:val="00171A90"/>
    <w:rsid w:val="00172151"/>
    <w:rsid w:val="00172185"/>
    <w:rsid w:val="001725E4"/>
    <w:rsid w:val="001725F7"/>
    <w:rsid w:val="00176B0B"/>
    <w:rsid w:val="00180254"/>
    <w:rsid w:val="00181311"/>
    <w:rsid w:val="001828B4"/>
    <w:rsid w:val="00185C0A"/>
    <w:rsid w:val="00185FA3"/>
    <w:rsid w:val="00185FBD"/>
    <w:rsid w:val="00186D76"/>
    <w:rsid w:val="00191E1F"/>
    <w:rsid w:val="00192943"/>
    <w:rsid w:val="00195576"/>
    <w:rsid w:val="001976B2"/>
    <w:rsid w:val="001A09C9"/>
    <w:rsid w:val="001A20A5"/>
    <w:rsid w:val="001A27F1"/>
    <w:rsid w:val="001A40AB"/>
    <w:rsid w:val="001A66D7"/>
    <w:rsid w:val="001A7406"/>
    <w:rsid w:val="001B0CC1"/>
    <w:rsid w:val="001B38A9"/>
    <w:rsid w:val="001B4FEE"/>
    <w:rsid w:val="001B51C5"/>
    <w:rsid w:val="001B6F3F"/>
    <w:rsid w:val="001C0DD1"/>
    <w:rsid w:val="001C0FFA"/>
    <w:rsid w:val="001C1907"/>
    <w:rsid w:val="001C52B5"/>
    <w:rsid w:val="001C7F59"/>
    <w:rsid w:val="001D0233"/>
    <w:rsid w:val="001D0D3E"/>
    <w:rsid w:val="001D2046"/>
    <w:rsid w:val="001D5DDA"/>
    <w:rsid w:val="001D6295"/>
    <w:rsid w:val="001D703C"/>
    <w:rsid w:val="001D7F0D"/>
    <w:rsid w:val="001E0A43"/>
    <w:rsid w:val="001E1EF8"/>
    <w:rsid w:val="001E4047"/>
    <w:rsid w:val="001F2245"/>
    <w:rsid w:val="001F2C63"/>
    <w:rsid w:val="001F2D27"/>
    <w:rsid w:val="001F48C7"/>
    <w:rsid w:val="001F4F0C"/>
    <w:rsid w:val="001F6C13"/>
    <w:rsid w:val="001F6DA1"/>
    <w:rsid w:val="00204082"/>
    <w:rsid w:val="002044E6"/>
    <w:rsid w:val="00205C82"/>
    <w:rsid w:val="00205DC2"/>
    <w:rsid w:val="00207FAF"/>
    <w:rsid w:val="00211279"/>
    <w:rsid w:val="00212B17"/>
    <w:rsid w:val="00215433"/>
    <w:rsid w:val="00215482"/>
    <w:rsid w:val="00215569"/>
    <w:rsid w:val="002163B6"/>
    <w:rsid w:val="00217C3D"/>
    <w:rsid w:val="00220732"/>
    <w:rsid w:val="00221D32"/>
    <w:rsid w:val="00222CC5"/>
    <w:rsid w:val="00224C47"/>
    <w:rsid w:val="00225369"/>
    <w:rsid w:val="00225C3F"/>
    <w:rsid w:val="00226636"/>
    <w:rsid w:val="00226DC2"/>
    <w:rsid w:val="00227DB8"/>
    <w:rsid w:val="0023291C"/>
    <w:rsid w:val="00232C7E"/>
    <w:rsid w:val="00233126"/>
    <w:rsid w:val="00233C61"/>
    <w:rsid w:val="00234EBB"/>
    <w:rsid w:val="00244991"/>
    <w:rsid w:val="002452F0"/>
    <w:rsid w:val="00257B54"/>
    <w:rsid w:val="00262407"/>
    <w:rsid w:val="002639C2"/>
    <w:rsid w:val="00263D44"/>
    <w:rsid w:val="002661CB"/>
    <w:rsid w:val="002702AD"/>
    <w:rsid w:val="002711EE"/>
    <w:rsid w:val="002717C7"/>
    <w:rsid w:val="00271D54"/>
    <w:rsid w:val="0027457C"/>
    <w:rsid w:val="00274645"/>
    <w:rsid w:val="002761E1"/>
    <w:rsid w:val="0027634C"/>
    <w:rsid w:val="00287111"/>
    <w:rsid w:val="00287F72"/>
    <w:rsid w:val="00292D82"/>
    <w:rsid w:val="002932CC"/>
    <w:rsid w:val="002963CB"/>
    <w:rsid w:val="002A0BEC"/>
    <w:rsid w:val="002A14A2"/>
    <w:rsid w:val="002A2BB0"/>
    <w:rsid w:val="002A4069"/>
    <w:rsid w:val="002A5186"/>
    <w:rsid w:val="002A55C4"/>
    <w:rsid w:val="002A7961"/>
    <w:rsid w:val="002B09AB"/>
    <w:rsid w:val="002B2F2C"/>
    <w:rsid w:val="002B4A01"/>
    <w:rsid w:val="002B5859"/>
    <w:rsid w:val="002C3F3B"/>
    <w:rsid w:val="002D2157"/>
    <w:rsid w:val="002D226D"/>
    <w:rsid w:val="002D7A94"/>
    <w:rsid w:val="002E0880"/>
    <w:rsid w:val="002E381D"/>
    <w:rsid w:val="002F0110"/>
    <w:rsid w:val="002F5882"/>
    <w:rsid w:val="002F6030"/>
    <w:rsid w:val="00301974"/>
    <w:rsid w:val="00301E5C"/>
    <w:rsid w:val="003037E1"/>
    <w:rsid w:val="00304C70"/>
    <w:rsid w:val="0030588F"/>
    <w:rsid w:val="00305FAA"/>
    <w:rsid w:val="00307E51"/>
    <w:rsid w:val="003103EC"/>
    <w:rsid w:val="003144EF"/>
    <w:rsid w:val="0031500D"/>
    <w:rsid w:val="003153ED"/>
    <w:rsid w:val="00315C21"/>
    <w:rsid w:val="00316CC1"/>
    <w:rsid w:val="00320FAA"/>
    <w:rsid w:val="00322F74"/>
    <w:rsid w:val="0032448F"/>
    <w:rsid w:val="003324F9"/>
    <w:rsid w:val="00333ACA"/>
    <w:rsid w:val="00334F9A"/>
    <w:rsid w:val="00340073"/>
    <w:rsid w:val="0034311B"/>
    <w:rsid w:val="00343EB4"/>
    <w:rsid w:val="003454F3"/>
    <w:rsid w:val="00347041"/>
    <w:rsid w:val="00351BE9"/>
    <w:rsid w:val="00351DF8"/>
    <w:rsid w:val="003529E6"/>
    <w:rsid w:val="00353005"/>
    <w:rsid w:val="003535C8"/>
    <w:rsid w:val="003549D7"/>
    <w:rsid w:val="003632FD"/>
    <w:rsid w:val="00363F1A"/>
    <w:rsid w:val="00363F3F"/>
    <w:rsid w:val="0037196D"/>
    <w:rsid w:val="00372805"/>
    <w:rsid w:val="00373180"/>
    <w:rsid w:val="003735A7"/>
    <w:rsid w:val="003749B7"/>
    <w:rsid w:val="003751A5"/>
    <w:rsid w:val="00375AB9"/>
    <w:rsid w:val="00377ED3"/>
    <w:rsid w:val="003821A0"/>
    <w:rsid w:val="00383175"/>
    <w:rsid w:val="00385B04"/>
    <w:rsid w:val="003864CF"/>
    <w:rsid w:val="0039027A"/>
    <w:rsid w:val="00391692"/>
    <w:rsid w:val="00393434"/>
    <w:rsid w:val="00393668"/>
    <w:rsid w:val="003948AE"/>
    <w:rsid w:val="003A22A6"/>
    <w:rsid w:val="003A2CDB"/>
    <w:rsid w:val="003A3CE3"/>
    <w:rsid w:val="003A42F1"/>
    <w:rsid w:val="003A5494"/>
    <w:rsid w:val="003A57E9"/>
    <w:rsid w:val="003A5CD7"/>
    <w:rsid w:val="003B1CF4"/>
    <w:rsid w:val="003B2510"/>
    <w:rsid w:val="003B2A38"/>
    <w:rsid w:val="003B2AA0"/>
    <w:rsid w:val="003B2E93"/>
    <w:rsid w:val="003B39DB"/>
    <w:rsid w:val="003B5142"/>
    <w:rsid w:val="003C2CC4"/>
    <w:rsid w:val="003C3710"/>
    <w:rsid w:val="003C5BC5"/>
    <w:rsid w:val="003C6876"/>
    <w:rsid w:val="003D09E3"/>
    <w:rsid w:val="003D1F9A"/>
    <w:rsid w:val="003D3F95"/>
    <w:rsid w:val="003D4800"/>
    <w:rsid w:val="003D4FC5"/>
    <w:rsid w:val="003D6416"/>
    <w:rsid w:val="003E0EFC"/>
    <w:rsid w:val="003E4A2B"/>
    <w:rsid w:val="003E693B"/>
    <w:rsid w:val="003E76C2"/>
    <w:rsid w:val="003F13F9"/>
    <w:rsid w:val="003F1679"/>
    <w:rsid w:val="003F21EB"/>
    <w:rsid w:val="003F4A35"/>
    <w:rsid w:val="003F7FDD"/>
    <w:rsid w:val="00400676"/>
    <w:rsid w:val="00402481"/>
    <w:rsid w:val="00404179"/>
    <w:rsid w:val="004042B4"/>
    <w:rsid w:val="004057CF"/>
    <w:rsid w:val="00406D90"/>
    <w:rsid w:val="00410DC4"/>
    <w:rsid w:val="00411190"/>
    <w:rsid w:val="00412DAE"/>
    <w:rsid w:val="00413F0B"/>
    <w:rsid w:val="00420009"/>
    <w:rsid w:val="00421314"/>
    <w:rsid w:val="004230E1"/>
    <w:rsid w:val="004242E6"/>
    <w:rsid w:val="00431598"/>
    <w:rsid w:val="004319AD"/>
    <w:rsid w:val="00432D22"/>
    <w:rsid w:val="0043693E"/>
    <w:rsid w:val="00437D01"/>
    <w:rsid w:val="004426B8"/>
    <w:rsid w:val="00444432"/>
    <w:rsid w:val="00445424"/>
    <w:rsid w:val="00446D41"/>
    <w:rsid w:val="00451106"/>
    <w:rsid w:val="00454AE8"/>
    <w:rsid w:val="004567FE"/>
    <w:rsid w:val="00456A46"/>
    <w:rsid w:val="00456FCA"/>
    <w:rsid w:val="00457101"/>
    <w:rsid w:val="00463E3F"/>
    <w:rsid w:val="00463E59"/>
    <w:rsid w:val="00464A75"/>
    <w:rsid w:val="004669FB"/>
    <w:rsid w:val="00470E99"/>
    <w:rsid w:val="00471860"/>
    <w:rsid w:val="004746CA"/>
    <w:rsid w:val="00475647"/>
    <w:rsid w:val="00475CA4"/>
    <w:rsid w:val="00477026"/>
    <w:rsid w:val="004776A6"/>
    <w:rsid w:val="0048297E"/>
    <w:rsid w:val="00484807"/>
    <w:rsid w:val="0049035F"/>
    <w:rsid w:val="00493B04"/>
    <w:rsid w:val="004A4D8F"/>
    <w:rsid w:val="004A6A51"/>
    <w:rsid w:val="004A744D"/>
    <w:rsid w:val="004B1F68"/>
    <w:rsid w:val="004B32C9"/>
    <w:rsid w:val="004B3DC1"/>
    <w:rsid w:val="004B41AE"/>
    <w:rsid w:val="004B5638"/>
    <w:rsid w:val="004B60BD"/>
    <w:rsid w:val="004B6FB7"/>
    <w:rsid w:val="004C04A6"/>
    <w:rsid w:val="004C09C2"/>
    <w:rsid w:val="004C15AA"/>
    <w:rsid w:val="004C3150"/>
    <w:rsid w:val="004C3641"/>
    <w:rsid w:val="004C4390"/>
    <w:rsid w:val="004C4AF7"/>
    <w:rsid w:val="004C60ED"/>
    <w:rsid w:val="004D25FE"/>
    <w:rsid w:val="004D2881"/>
    <w:rsid w:val="004D385F"/>
    <w:rsid w:val="004D5B39"/>
    <w:rsid w:val="004D69FB"/>
    <w:rsid w:val="004D785B"/>
    <w:rsid w:val="004E0F38"/>
    <w:rsid w:val="004E18A0"/>
    <w:rsid w:val="004E202A"/>
    <w:rsid w:val="004E330D"/>
    <w:rsid w:val="004E3D63"/>
    <w:rsid w:val="004E49DB"/>
    <w:rsid w:val="004E5147"/>
    <w:rsid w:val="004E5BED"/>
    <w:rsid w:val="004E6329"/>
    <w:rsid w:val="004E69B5"/>
    <w:rsid w:val="004F2564"/>
    <w:rsid w:val="004F4614"/>
    <w:rsid w:val="004F54FA"/>
    <w:rsid w:val="004F5C43"/>
    <w:rsid w:val="004F60A1"/>
    <w:rsid w:val="004F66E3"/>
    <w:rsid w:val="005008FE"/>
    <w:rsid w:val="00505122"/>
    <w:rsid w:val="0050652D"/>
    <w:rsid w:val="005066BE"/>
    <w:rsid w:val="00506C03"/>
    <w:rsid w:val="005101B8"/>
    <w:rsid w:val="00511A11"/>
    <w:rsid w:val="0051236C"/>
    <w:rsid w:val="005146CF"/>
    <w:rsid w:val="00514907"/>
    <w:rsid w:val="00516496"/>
    <w:rsid w:val="005175FC"/>
    <w:rsid w:val="00517943"/>
    <w:rsid w:val="00521574"/>
    <w:rsid w:val="005228E0"/>
    <w:rsid w:val="0052294B"/>
    <w:rsid w:val="00523B11"/>
    <w:rsid w:val="0052572A"/>
    <w:rsid w:val="00530DE9"/>
    <w:rsid w:val="00531B11"/>
    <w:rsid w:val="00532DFB"/>
    <w:rsid w:val="00532FAF"/>
    <w:rsid w:val="00543CB3"/>
    <w:rsid w:val="005442E4"/>
    <w:rsid w:val="005442EE"/>
    <w:rsid w:val="005450A5"/>
    <w:rsid w:val="005475EC"/>
    <w:rsid w:val="00553DEC"/>
    <w:rsid w:val="0055529B"/>
    <w:rsid w:val="0055559C"/>
    <w:rsid w:val="00556811"/>
    <w:rsid w:val="00557084"/>
    <w:rsid w:val="00560FF0"/>
    <w:rsid w:val="005614BD"/>
    <w:rsid w:val="00561827"/>
    <w:rsid w:val="00562AD7"/>
    <w:rsid w:val="005644DC"/>
    <w:rsid w:val="00564B7D"/>
    <w:rsid w:val="00564CB1"/>
    <w:rsid w:val="00564E8A"/>
    <w:rsid w:val="005659CD"/>
    <w:rsid w:val="00570940"/>
    <w:rsid w:val="00570A7E"/>
    <w:rsid w:val="00570E6A"/>
    <w:rsid w:val="00570F41"/>
    <w:rsid w:val="0057154F"/>
    <w:rsid w:val="005732F4"/>
    <w:rsid w:val="00573BF1"/>
    <w:rsid w:val="0057474D"/>
    <w:rsid w:val="00575718"/>
    <w:rsid w:val="00576002"/>
    <w:rsid w:val="005775C3"/>
    <w:rsid w:val="0057769E"/>
    <w:rsid w:val="00580F69"/>
    <w:rsid w:val="00581CA3"/>
    <w:rsid w:val="00583E7B"/>
    <w:rsid w:val="00585698"/>
    <w:rsid w:val="0058621B"/>
    <w:rsid w:val="00587A44"/>
    <w:rsid w:val="00591AFB"/>
    <w:rsid w:val="00593016"/>
    <w:rsid w:val="00594F14"/>
    <w:rsid w:val="00596354"/>
    <w:rsid w:val="00596720"/>
    <w:rsid w:val="00596778"/>
    <w:rsid w:val="00597730"/>
    <w:rsid w:val="005977EC"/>
    <w:rsid w:val="00597BBB"/>
    <w:rsid w:val="00597DE7"/>
    <w:rsid w:val="005A0D23"/>
    <w:rsid w:val="005A0F69"/>
    <w:rsid w:val="005A4AA2"/>
    <w:rsid w:val="005B3102"/>
    <w:rsid w:val="005B3175"/>
    <w:rsid w:val="005B34B6"/>
    <w:rsid w:val="005B37CB"/>
    <w:rsid w:val="005B6C8F"/>
    <w:rsid w:val="005B6EC3"/>
    <w:rsid w:val="005C03A8"/>
    <w:rsid w:val="005C10F5"/>
    <w:rsid w:val="005C58DD"/>
    <w:rsid w:val="005C7B05"/>
    <w:rsid w:val="005D0D15"/>
    <w:rsid w:val="005D0F74"/>
    <w:rsid w:val="005D214B"/>
    <w:rsid w:val="005D2E7D"/>
    <w:rsid w:val="005D46FB"/>
    <w:rsid w:val="005D4A8F"/>
    <w:rsid w:val="005D561B"/>
    <w:rsid w:val="005D5ECF"/>
    <w:rsid w:val="005D6C75"/>
    <w:rsid w:val="005D6CB4"/>
    <w:rsid w:val="005D7AFA"/>
    <w:rsid w:val="005E12B4"/>
    <w:rsid w:val="005E2686"/>
    <w:rsid w:val="005E2F56"/>
    <w:rsid w:val="005F2C08"/>
    <w:rsid w:val="005F4074"/>
    <w:rsid w:val="005F468D"/>
    <w:rsid w:val="005F56C2"/>
    <w:rsid w:val="005F69A3"/>
    <w:rsid w:val="006000DE"/>
    <w:rsid w:val="00601C5C"/>
    <w:rsid w:val="00604CC7"/>
    <w:rsid w:val="00606094"/>
    <w:rsid w:val="00611990"/>
    <w:rsid w:val="00612C52"/>
    <w:rsid w:val="00615224"/>
    <w:rsid w:val="00615423"/>
    <w:rsid w:val="006165B2"/>
    <w:rsid w:val="00617276"/>
    <w:rsid w:val="00617589"/>
    <w:rsid w:val="006222CE"/>
    <w:rsid w:val="006239DB"/>
    <w:rsid w:val="0062527B"/>
    <w:rsid w:val="006257C6"/>
    <w:rsid w:val="00625D97"/>
    <w:rsid w:val="00625F1C"/>
    <w:rsid w:val="00626D7D"/>
    <w:rsid w:val="00627291"/>
    <w:rsid w:val="006279E1"/>
    <w:rsid w:val="00627B61"/>
    <w:rsid w:val="00627C24"/>
    <w:rsid w:val="00627C32"/>
    <w:rsid w:val="00630CEB"/>
    <w:rsid w:val="00630D56"/>
    <w:rsid w:val="0063151B"/>
    <w:rsid w:val="00632264"/>
    <w:rsid w:val="00632A33"/>
    <w:rsid w:val="00633816"/>
    <w:rsid w:val="006340AC"/>
    <w:rsid w:val="0063490B"/>
    <w:rsid w:val="0063669D"/>
    <w:rsid w:val="0063681B"/>
    <w:rsid w:val="006376E9"/>
    <w:rsid w:val="00641904"/>
    <w:rsid w:val="006451CE"/>
    <w:rsid w:val="006470BC"/>
    <w:rsid w:val="0065051E"/>
    <w:rsid w:val="006509C7"/>
    <w:rsid w:val="006532B1"/>
    <w:rsid w:val="006535E8"/>
    <w:rsid w:val="006553C7"/>
    <w:rsid w:val="006554D3"/>
    <w:rsid w:val="00662163"/>
    <w:rsid w:val="00663AB2"/>
    <w:rsid w:val="00664477"/>
    <w:rsid w:val="006650CD"/>
    <w:rsid w:val="00667036"/>
    <w:rsid w:val="00667BB2"/>
    <w:rsid w:val="00667BF5"/>
    <w:rsid w:val="00667FC3"/>
    <w:rsid w:val="0067075C"/>
    <w:rsid w:val="00673BDB"/>
    <w:rsid w:val="00674341"/>
    <w:rsid w:val="006771B8"/>
    <w:rsid w:val="00681016"/>
    <w:rsid w:val="00681E40"/>
    <w:rsid w:val="00681EF7"/>
    <w:rsid w:val="006831F4"/>
    <w:rsid w:val="006843B6"/>
    <w:rsid w:val="0068481F"/>
    <w:rsid w:val="00687A62"/>
    <w:rsid w:val="006908C3"/>
    <w:rsid w:val="00691796"/>
    <w:rsid w:val="006933D1"/>
    <w:rsid w:val="00695709"/>
    <w:rsid w:val="00696F5D"/>
    <w:rsid w:val="00697249"/>
    <w:rsid w:val="006A0BF8"/>
    <w:rsid w:val="006A7A4E"/>
    <w:rsid w:val="006A7B73"/>
    <w:rsid w:val="006B2A11"/>
    <w:rsid w:val="006B2E95"/>
    <w:rsid w:val="006B3947"/>
    <w:rsid w:val="006B4293"/>
    <w:rsid w:val="006B624F"/>
    <w:rsid w:val="006C0C95"/>
    <w:rsid w:val="006C1033"/>
    <w:rsid w:val="006C1689"/>
    <w:rsid w:val="006C31E3"/>
    <w:rsid w:val="006C69CB"/>
    <w:rsid w:val="006C76B3"/>
    <w:rsid w:val="006D1645"/>
    <w:rsid w:val="006D18D3"/>
    <w:rsid w:val="006D6046"/>
    <w:rsid w:val="006D7320"/>
    <w:rsid w:val="006D7FF5"/>
    <w:rsid w:val="006E08CB"/>
    <w:rsid w:val="006E1683"/>
    <w:rsid w:val="006E3463"/>
    <w:rsid w:val="006E598D"/>
    <w:rsid w:val="006F183F"/>
    <w:rsid w:val="006F4445"/>
    <w:rsid w:val="006F583F"/>
    <w:rsid w:val="006F58BA"/>
    <w:rsid w:val="006F70CA"/>
    <w:rsid w:val="007010FA"/>
    <w:rsid w:val="00702102"/>
    <w:rsid w:val="0070437D"/>
    <w:rsid w:val="007049DC"/>
    <w:rsid w:val="00704CF1"/>
    <w:rsid w:val="007059E1"/>
    <w:rsid w:val="00705B04"/>
    <w:rsid w:val="007063ED"/>
    <w:rsid w:val="00706B72"/>
    <w:rsid w:val="0071136A"/>
    <w:rsid w:val="007133AA"/>
    <w:rsid w:val="00723AF0"/>
    <w:rsid w:val="00724495"/>
    <w:rsid w:val="00724992"/>
    <w:rsid w:val="0073116E"/>
    <w:rsid w:val="00731B76"/>
    <w:rsid w:val="00734820"/>
    <w:rsid w:val="007349DC"/>
    <w:rsid w:val="007367C3"/>
    <w:rsid w:val="0074365E"/>
    <w:rsid w:val="00744B55"/>
    <w:rsid w:val="00744B5C"/>
    <w:rsid w:val="007459CF"/>
    <w:rsid w:val="00746CD9"/>
    <w:rsid w:val="007474F5"/>
    <w:rsid w:val="00747D41"/>
    <w:rsid w:val="007515FD"/>
    <w:rsid w:val="00760048"/>
    <w:rsid w:val="00760D80"/>
    <w:rsid w:val="00764761"/>
    <w:rsid w:val="00765588"/>
    <w:rsid w:val="00765D52"/>
    <w:rsid w:val="00765F0E"/>
    <w:rsid w:val="00766047"/>
    <w:rsid w:val="00766F3F"/>
    <w:rsid w:val="007709FB"/>
    <w:rsid w:val="00775835"/>
    <w:rsid w:val="007766D1"/>
    <w:rsid w:val="00776985"/>
    <w:rsid w:val="00777073"/>
    <w:rsid w:val="00780C09"/>
    <w:rsid w:val="00780DDF"/>
    <w:rsid w:val="007834E9"/>
    <w:rsid w:val="00783742"/>
    <w:rsid w:val="00786826"/>
    <w:rsid w:val="00787632"/>
    <w:rsid w:val="007879E7"/>
    <w:rsid w:val="00787DBC"/>
    <w:rsid w:val="0079019A"/>
    <w:rsid w:val="00791D2B"/>
    <w:rsid w:val="00792935"/>
    <w:rsid w:val="00795F14"/>
    <w:rsid w:val="00797765"/>
    <w:rsid w:val="007A04A1"/>
    <w:rsid w:val="007A1840"/>
    <w:rsid w:val="007A5126"/>
    <w:rsid w:val="007A5438"/>
    <w:rsid w:val="007A7B8B"/>
    <w:rsid w:val="007B4805"/>
    <w:rsid w:val="007B58D1"/>
    <w:rsid w:val="007B7315"/>
    <w:rsid w:val="007B7F0D"/>
    <w:rsid w:val="007C0528"/>
    <w:rsid w:val="007C0D17"/>
    <w:rsid w:val="007C3452"/>
    <w:rsid w:val="007C3D38"/>
    <w:rsid w:val="007C4556"/>
    <w:rsid w:val="007D0F35"/>
    <w:rsid w:val="007D3266"/>
    <w:rsid w:val="007D3AA5"/>
    <w:rsid w:val="007D4FEB"/>
    <w:rsid w:val="007D6146"/>
    <w:rsid w:val="007D7DB8"/>
    <w:rsid w:val="007E0CE7"/>
    <w:rsid w:val="007E0FB1"/>
    <w:rsid w:val="007E33D6"/>
    <w:rsid w:val="007E40C8"/>
    <w:rsid w:val="007E65DF"/>
    <w:rsid w:val="007F0ABD"/>
    <w:rsid w:val="007F1193"/>
    <w:rsid w:val="007F2457"/>
    <w:rsid w:val="007F2705"/>
    <w:rsid w:val="007F417F"/>
    <w:rsid w:val="007F4966"/>
    <w:rsid w:val="007F54B2"/>
    <w:rsid w:val="007F6212"/>
    <w:rsid w:val="007F7644"/>
    <w:rsid w:val="007F79F5"/>
    <w:rsid w:val="00802F00"/>
    <w:rsid w:val="008042BD"/>
    <w:rsid w:val="00807F6B"/>
    <w:rsid w:val="008159B4"/>
    <w:rsid w:val="00816624"/>
    <w:rsid w:val="008216CD"/>
    <w:rsid w:val="00822427"/>
    <w:rsid w:val="00822562"/>
    <w:rsid w:val="00823663"/>
    <w:rsid w:val="00823E48"/>
    <w:rsid w:val="00831309"/>
    <w:rsid w:val="008316F3"/>
    <w:rsid w:val="00832DDC"/>
    <w:rsid w:val="0083354E"/>
    <w:rsid w:val="00840988"/>
    <w:rsid w:val="00840E55"/>
    <w:rsid w:val="0084118F"/>
    <w:rsid w:val="008424D3"/>
    <w:rsid w:val="00847891"/>
    <w:rsid w:val="00850BAC"/>
    <w:rsid w:val="00854A3E"/>
    <w:rsid w:val="00854ABE"/>
    <w:rsid w:val="00855D08"/>
    <w:rsid w:val="00857904"/>
    <w:rsid w:val="00861A7B"/>
    <w:rsid w:val="00864D71"/>
    <w:rsid w:val="00864FF9"/>
    <w:rsid w:val="00865D59"/>
    <w:rsid w:val="00871B10"/>
    <w:rsid w:val="008726ED"/>
    <w:rsid w:val="008735F4"/>
    <w:rsid w:val="0087383F"/>
    <w:rsid w:val="00874344"/>
    <w:rsid w:val="00874385"/>
    <w:rsid w:val="00874E54"/>
    <w:rsid w:val="00875E36"/>
    <w:rsid w:val="008760CD"/>
    <w:rsid w:val="00881EEA"/>
    <w:rsid w:val="00882155"/>
    <w:rsid w:val="0088233B"/>
    <w:rsid w:val="00882AC7"/>
    <w:rsid w:val="00884E82"/>
    <w:rsid w:val="008852B0"/>
    <w:rsid w:val="0088599E"/>
    <w:rsid w:val="00886C37"/>
    <w:rsid w:val="00890E68"/>
    <w:rsid w:val="00892D99"/>
    <w:rsid w:val="00893315"/>
    <w:rsid w:val="0089630C"/>
    <w:rsid w:val="00896B27"/>
    <w:rsid w:val="008A3401"/>
    <w:rsid w:val="008A73CC"/>
    <w:rsid w:val="008B4B5F"/>
    <w:rsid w:val="008B5EC3"/>
    <w:rsid w:val="008B603B"/>
    <w:rsid w:val="008B62AE"/>
    <w:rsid w:val="008B6CC3"/>
    <w:rsid w:val="008C04B5"/>
    <w:rsid w:val="008C0690"/>
    <w:rsid w:val="008C14FA"/>
    <w:rsid w:val="008C157F"/>
    <w:rsid w:val="008C18A6"/>
    <w:rsid w:val="008C1E56"/>
    <w:rsid w:val="008C2440"/>
    <w:rsid w:val="008C2956"/>
    <w:rsid w:val="008C7B0B"/>
    <w:rsid w:val="008C7EA4"/>
    <w:rsid w:val="008D14AF"/>
    <w:rsid w:val="008D25CF"/>
    <w:rsid w:val="008D2EE5"/>
    <w:rsid w:val="008D4057"/>
    <w:rsid w:val="008E1619"/>
    <w:rsid w:val="008E1F19"/>
    <w:rsid w:val="008E4859"/>
    <w:rsid w:val="008E5702"/>
    <w:rsid w:val="008E7D6C"/>
    <w:rsid w:val="008F2262"/>
    <w:rsid w:val="008F39B6"/>
    <w:rsid w:val="008F3AC6"/>
    <w:rsid w:val="008F44C2"/>
    <w:rsid w:val="008F4D2B"/>
    <w:rsid w:val="008F7736"/>
    <w:rsid w:val="0090019E"/>
    <w:rsid w:val="00901086"/>
    <w:rsid w:val="00901C8A"/>
    <w:rsid w:val="0090293E"/>
    <w:rsid w:val="00905886"/>
    <w:rsid w:val="00905A05"/>
    <w:rsid w:val="009066A6"/>
    <w:rsid w:val="009070D6"/>
    <w:rsid w:val="009076C6"/>
    <w:rsid w:val="0090775B"/>
    <w:rsid w:val="0091019E"/>
    <w:rsid w:val="009106F1"/>
    <w:rsid w:val="00912404"/>
    <w:rsid w:val="009145D6"/>
    <w:rsid w:val="00915F1A"/>
    <w:rsid w:val="00920E64"/>
    <w:rsid w:val="00922002"/>
    <w:rsid w:val="00924020"/>
    <w:rsid w:val="0092450E"/>
    <w:rsid w:val="00926617"/>
    <w:rsid w:val="009271A7"/>
    <w:rsid w:val="00930BBE"/>
    <w:rsid w:val="009326A4"/>
    <w:rsid w:val="009353FC"/>
    <w:rsid w:val="0093658B"/>
    <w:rsid w:val="00941C48"/>
    <w:rsid w:val="009429FF"/>
    <w:rsid w:val="00942B55"/>
    <w:rsid w:val="009434B0"/>
    <w:rsid w:val="0094452F"/>
    <w:rsid w:val="00945BD6"/>
    <w:rsid w:val="009479FB"/>
    <w:rsid w:val="00951C45"/>
    <w:rsid w:val="00953F2E"/>
    <w:rsid w:val="00956E26"/>
    <w:rsid w:val="009614F8"/>
    <w:rsid w:val="009656F2"/>
    <w:rsid w:val="00966A08"/>
    <w:rsid w:val="00966AD4"/>
    <w:rsid w:val="00971207"/>
    <w:rsid w:val="00975CB4"/>
    <w:rsid w:val="00975D15"/>
    <w:rsid w:val="00982385"/>
    <w:rsid w:val="00982C6B"/>
    <w:rsid w:val="009830E3"/>
    <w:rsid w:val="009863B0"/>
    <w:rsid w:val="00987DE1"/>
    <w:rsid w:val="0099035E"/>
    <w:rsid w:val="00990571"/>
    <w:rsid w:val="00991408"/>
    <w:rsid w:val="0099673A"/>
    <w:rsid w:val="009A3330"/>
    <w:rsid w:val="009A4BE9"/>
    <w:rsid w:val="009A522F"/>
    <w:rsid w:val="009A56D2"/>
    <w:rsid w:val="009A5FDC"/>
    <w:rsid w:val="009A7C96"/>
    <w:rsid w:val="009A7E7D"/>
    <w:rsid w:val="009B0611"/>
    <w:rsid w:val="009B2345"/>
    <w:rsid w:val="009B4E39"/>
    <w:rsid w:val="009C125F"/>
    <w:rsid w:val="009C2A5F"/>
    <w:rsid w:val="009C30A7"/>
    <w:rsid w:val="009C3DB9"/>
    <w:rsid w:val="009D058C"/>
    <w:rsid w:val="009D4050"/>
    <w:rsid w:val="009D46E5"/>
    <w:rsid w:val="009D48C4"/>
    <w:rsid w:val="009D51BB"/>
    <w:rsid w:val="009D568A"/>
    <w:rsid w:val="009D623B"/>
    <w:rsid w:val="009D7297"/>
    <w:rsid w:val="009E0F68"/>
    <w:rsid w:val="009E7B6A"/>
    <w:rsid w:val="009E7C18"/>
    <w:rsid w:val="009F0217"/>
    <w:rsid w:val="009F04EC"/>
    <w:rsid w:val="009F21A0"/>
    <w:rsid w:val="009F26FA"/>
    <w:rsid w:val="009F2A7C"/>
    <w:rsid w:val="009F3218"/>
    <w:rsid w:val="009F3513"/>
    <w:rsid w:val="009F3B36"/>
    <w:rsid w:val="009F3DF6"/>
    <w:rsid w:val="009F5C55"/>
    <w:rsid w:val="009F6601"/>
    <w:rsid w:val="00A012F2"/>
    <w:rsid w:val="00A019B9"/>
    <w:rsid w:val="00A01A6D"/>
    <w:rsid w:val="00A07554"/>
    <w:rsid w:val="00A102E6"/>
    <w:rsid w:val="00A12238"/>
    <w:rsid w:val="00A12508"/>
    <w:rsid w:val="00A1282B"/>
    <w:rsid w:val="00A13A27"/>
    <w:rsid w:val="00A14A11"/>
    <w:rsid w:val="00A175B6"/>
    <w:rsid w:val="00A21835"/>
    <w:rsid w:val="00A21CEE"/>
    <w:rsid w:val="00A2374B"/>
    <w:rsid w:val="00A2406E"/>
    <w:rsid w:val="00A254F1"/>
    <w:rsid w:val="00A25779"/>
    <w:rsid w:val="00A25FCB"/>
    <w:rsid w:val="00A27D6E"/>
    <w:rsid w:val="00A328EC"/>
    <w:rsid w:val="00A33A51"/>
    <w:rsid w:val="00A3460C"/>
    <w:rsid w:val="00A4008E"/>
    <w:rsid w:val="00A41CA6"/>
    <w:rsid w:val="00A42113"/>
    <w:rsid w:val="00A43A55"/>
    <w:rsid w:val="00A45029"/>
    <w:rsid w:val="00A45AD6"/>
    <w:rsid w:val="00A46A87"/>
    <w:rsid w:val="00A47927"/>
    <w:rsid w:val="00A47FFC"/>
    <w:rsid w:val="00A51D54"/>
    <w:rsid w:val="00A531D2"/>
    <w:rsid w:val="00A5428E"/>
    <w:rsid w:val="00A5442F"/>
    <w:rsid w:val="00A54788"/>
    <w:rsid w:val="00A54FF9"/>
    <w:rsid w:val="00A56721"/>
    <w:rsid w:val="00A56765"/>
    <w:rsid w:val="00A56CB2"/>
    <w:rsid w:val="00A667B0"/>
    <w:rsid w:val="00A670D7"/>
    <w:rsid w:val="00A675AC"/>
    <w:rsid w:val="00A74D1F"/>
    <w:rsid w:val="00A7581F"/>
    <w:rsid w:val="00A758BC"/>
    <w:rsid w:val="00A75942"/>
    <w:rsid w:val="00A813BE"/>
    <w:rsid w:val="00A82904"/>
    <w:rsid w:val="00A836F7"/>
    <w:rsid w:val="00A8467B"/>
    <w:rsid w:val="00A847F2"/>
    <w:rsid w:val="00A85FF4"/>
    <w:rsid w:val="00A8733B"/>
    <w:rsid w:val="00A9026A"/>
    <w:rsid w:val="00A90D13"/>
    <w:rsid w:val="00A913BB"/>
    <w:rsid w:val="00A91F31"/>
    <w:rsid w:val="00A92DDC"/>
    <w:rsid w:val="00A92FB1"/>
    <w:rsid w:val="00A95A0C"/>
    <w:rsid w:val="00AA10B9"/>
    <w:rsid w:val="00AA2641"/>
    <w:rsid w:val="00AA2765"/>
    <w:rsid w:val="00AA53D6"/>
    <w:rsid w:val="00AA7487"/>
    <w:rsid w:val="00AA77B5"/>
    <w:rsid w:val="00AB0CB4"/>
    <w:rsid w:val="00AB1394"/>
    <w:rsid w:val="00AB17E1"/>
    <w:rsid w:val="00AB3434"/>
    <w:rsid w:val="00AB4092"/>
    <w:rsid w:val="00AB6C5D"/>
    <w:rsid w:val="00AC2FA7"/>
    <w:rsid w:val="00AC3401"/>
    <w:rsid w:val="00AC3B7B"/>
    <w:rsid w:val="00AC51A7"/>
    <w:rsid w:val="00AC78AD"/>
    <w:rsid w:val="00AD0A9E"/>
    <w:rsid w:val="00AD0B77"/>
    <w:rsid w:val="00AD36F6"/>
    <w:rsid w:val="00AD444B"/>
    <w:rsid w:val="00AD5614"/>
    <w:rsid w:val="00AD64B4"/>
    <w:rsid w:val="00AD6C78"/>
    <w:rsid w:val="00AE1DB1"/>
    <w:rsid w:val="00AE2EAB"/>
    <w:rsid w:val="00AE3595"/>
    <w:rsid w:val="00AE5D6A"/>
    <w:rsid w:val="00AF09AC"/>
    <w:rsid w:val="00AF0CBB"/>
    <w:rsid w:val="00AF41E1"/>
    <w:rsid w:val="00AF5F89"/>
    <w:rsid w:val="00AF651C"/>
    <w:rsid w:val="00AF73CB"/>
    <w:rsid w:val="00AF7717"/>
    <w:rsid w:val="00B002D6"/>
    <w:rsid w:val="00B03379"/>
    <w:rsid w:val="00B035E7"/>
    <w:rsid w:val="00B04915"/>
    <w:rsid w:val="00B05B51"/>
    <w:rsid w:val="00B074FD"/>
    <w:rsid w:val="00B113F5"/>
    <w:rsid w:val="00B11B78"/>
    <w:rsid w:val="00B142D9"/>
    <w:rsid w:val="00B14E5A"/>
    <w:rsid w:val="00B15370"/>
    <w:rsid w:val="00B16DA4"/>
    <w:rsid w:val="00B17A48"/>
    <w:rsid w:val="00B17BEB"/>
    <w:rsid w:val="00B21A3C"/>
    <w:rsid w:val="00B223C0"/>
    <w:rsid w:val="00B229D0"/>
    <w:rsid w:val="00B2325B"/>
    <w:rsid w:val="00B234ED"/>
    <w:rsid w:val="00B249B2"/>
    <w:rsid w:val="00B2502E"/>
    <w:rsid w:val="00B25378"/>
    <w:rsid w:val="00B25CA3"/>
    <w:rsid w:val="00B26B1E"/>
    <w:rsid w:val="00B2765A"/>
    <w:rsid w:val="00B30ECE"/>
    <w:rsid w:val="00B3109A"/>
    <w:rsid w:val="00B31398"/>
    <w:rsid w:val="00B35F6B"/>
    <w:rsid w:val="00B35F9F"/>
    <w:rsid w:val="00B375EF"/>
    <w:rsid w:val="00B400B6"/>
    <w:rsid w:val="00B42D0F"/>
    <w:rsid w:val="00B44AD3"/>
    <w:rsid w:val="00B46CE4"/>
    <w:rsid w:val="00B47A15"/>
    <w:rsid w:val="00B50A83"/>
    <w:rsid w:val="00B516ED"/>
    <w:rsid w:val="00B53D58"/>
    <w:rsid w:val="00B53D61"/>
    <w:rsid w:val="00B56322"/>
    <w:rsid w:val="00B57A6A"/>
    <w:rsid w:val="00B63113"/>
    <w:rsid w:val="00B65B00"/>
    <w:rsid w:val="00B72718"/>
    <w:rsid w:val="00B760F1"/>
    <w:rsid w:val="00B7669E"/>
    <w:rsid w:val="00B76D0F"/>
    <w:rsid w:val="00B770DD"/>
    <w:rsid w:val="00B772BD"/>
    <w:rsid w:val="00B77DA1"/>
    <w:rsid w:val="00B822A0"/>
    <w:rsid w:val="00B858AE"/>
    <w:rsid w:val="00B85964"/>
    <w:rsid w:val="00B913E7"/>
    <w:rsid w:val="00B96250"/>
    <w:rsid w:val="00B965D4"/>
    <w:rsid w:val="00BA0D55"/>
    <w:rsid w:val="00BA37B3"/>
    <w:rsid w:val="00BA4AFC"/>
    <w:rsid w:val="00BA4CC6"/>
    <w:rsid w:val="00BA5505"/>
    <w:rsid w:val="00BA6B6A"/>
    <w:rsid w:val="00BB034F"/>
    <w:rsid w:val="00BB221A"/>
    <w:rsid w:val="00BB3493"/>
    <w:rsid w:val="00BB54B3"/>
    <w:rsid w:val="00BB685F"/>
    <w:rsid w:val="00BB7397"/>
    <w:rsid w:val="00BB7468"/>
    <w:rsid w:val="00BC058F"/>
    <w:rsid w:val="00BC188A"/>
    <w:rsid w:val="00BC3FD4"/>
    <w:rsid w:val="00BC402E"/>
    <w:rsid w:val="00BC438F"/>
    <w:rsid w:val="00BC5D1B"/>
    <w:rsid w:val="00BC6B6F"/>
    <w:rsid w:val="00BD0D8E"/>
    <w:rsid w:val="00BD0F48"/>
    <w:rsid w:val="00BD519D"/>
    <w:rsid w:val="00BD5EFE"/>
    <w:rsid w:val="00BD6CA4"/>
    <w:rsid w:val="00BD7941"/>
    <w:rsid w:val="00BE2452"/>
    <w:rsid w:val="00BE6DDB"/>
    <w:rsid w:val="00BE7B8C"/>
    <w:rsid w:val="00BF048C"/>
    <w:rsid w:val="00BF083A"/>
    <w:rsid w:val="00BF29F3"/>
    <w:rsid w:val="00BF2BC2"/>
    <w:rsid w:val="00BF2F07"/>
    <w:rsid w:val="00BF5010"/>
    <w:rsid w:val="00BF504B"/>
    <w:rsid w:val="00BF583C"/>
    <w:rsid w:val="00BF6CE9"/>
    <w:rsid w:val="00C03D5F"/>
    <w:rsid w:val="00C07D88"/>
    <w:rsid w:val="00C105C7"/>
    <w:rsid w:val="00C13791"/>
    <w:rsid w:val="00C16F82"/>
    <w:rsid w:val="00C24549"/>
    <w:rsid w:val="00C246FF"/>
    <w:rsid w:val="00C24D95"/>
    <w:rsid w:val="00C26219"/>
    <w:rsid w:val="00C30554"/>
    <w:rsid w:val="00C31BB3"/>
    <w:rsid w:val="00C328A5"/>
    <w:rsid w:val="00C35710"/>
    <w:rsid w:val="00C35A61"/>
    <w:rsid w:val="00C3651A"/>
    <w:rsid w:val="00C36977"/>
    <w:rsid w:val="00C375C8"/>
    <w:rsid w:val="00C40753"/>
    <w:rsid w:val="00C410E3"/>
    <w:rsid w:val="00C436CD"/>
    <w:rsid w:val="00C452DA"/>
    <w:rsid w:val="00C467DA"/>
    <w:rsid w:val="00C477D9"/>
    <w:rsid w:val="00C47AC7"/>
    <w:rsid w:val="00C5175C"/>
    <w:rsid w:val="00C54ECA"/>
    <w:rsid w:val="00C55128"/>
    <w:rsid w:val="00C57AAC"/>
    <w:rsid w:val="00C60BA3"/>
    <w:rsid w:val="00C623F7"/>
    <w:rsid w:val="00C62A81"/>
    <w:rsid w:val="00C650BD"/>
    <w:rsid w:val="00C65286"/>
    <w:rsid w:val="00C71A6E"/>
    <w:rsid w:val="00C7349D"/>
    <w:rsid w:val="00C74C80"/>
    <w:rsid w:val="00C75BC5"/>
    <w:rsid w:val="00C76CD0"/>
    <w:rsid w:val="00C81670"/>
    <w:rsid w:val="00C81773"/>
    <w:rsid w:val="00C81B3D"/>
    <w:rsid w:val="00C82861"/>
    <w:rsid w:val="00C8297B"/>
    <w:rsid w:val="00C86896"/>
    <w:rsid w:val="00C907A8"/>
    <w:rsid w:val="00C931EE"/>
    <w:rsid w:val="00C93211"/>
    <w:rsid w:val="00C942EC"/>
    <w:rsid w:val="00C94A48"/>
    <w:rsid w:val="00C96047"/>
    <w:rsid w:val="00C964DB"/>
    <w:rsid w:val="00C979D0"/>
    <w:rsid w:val="00CA0818"/>
    <w:rsid w:val="00CA15C8"/>
    <w:rsid w:val="00CA2C8F"/>
    <w:rsid w:val="00CA30DA"/>
    <w:rsid w:val="00CA32E8"/>
    <w:rsid w:val="00CA3681"/>
    <w:rsid w:val="00CA3A24"/>
    <w:rsid w:val="00CA3F76"/>
    <w:rsid w:val="00CA4607"/>
    <w:rsid w:val="00CA79E9"/>
    <w:rsid w:val="00CB1777"/>
    <w:rsid w:val="00CB33E9"/>
    <w:rsid w:val="00CC10A9"/>
    <w:rsid w:val="00CC2E63"/>
    <w:rsid w:val="00CC6473"/>
    <w:rsid w:val="00CC725D"/>
    <w:rsid w:val="00CD44AC"/>
    <w:rsid w:val="00CD5869"/>
    <w:rsid w:val="00CD5E3A"/>
    <w:rsid w:val="00CE141B"/>
    <w:rsid w:val="00CE2BF8"/>
    <w:rsid w:val="00CE3B82"/>
    <w:rsid w:val="00CE484E"/>
    <w:rsid w:val="00CE5BA4"/>
    <w:rsid w:val="00CE656F"/>
    <w:rsid w:val="00CF030E"/>
    <w:rsid w:val="00CF0DA8"/>
    <w:rsid w:val="00CF2E25"/>
    <w:rsid w:val="00CF32BF"/>
    <w:rsid w:val="00CF3A8F"/>
    <w:rsid w:val="00CF4453"/>
    <w:rsid w:val="00CF52EE"/>
    <w:rsid w:val="00CF5D94"/>
    <w:rsid w:val="00CF6289"/>
    <w:rsid w:val="00CF6BB7"/>
    <w:rsid w:val="00CF6CDB"/>
    <w:rsid w:val="00CF71D9"/>
    <w:rsid w:val="00CF7DC8"/>
    <w:rsid w:val="00CF7E0F"/>
    <w:rsid w:val="00D0007A"/>
    <w:rsid w:val="00D00C80"/>
    <w:rsid w:val="00D02346"/>
    <w:rsid w:val="00D034D7"/>
    <w:rsid w:val="00D04BE4"/>
    <w:rsid w:val="00D065A9"/>
    <w:rsid w:val="00D06FC7"/>
    <w:rsid w:val="00D11AEF"/>
    <w:rsid w:val="00D11FEE"/>
    <w:rsid w:val="00D12565"/>
    <w:rsid w:val="00D14127"/>
    <w:rsid w:val="00D146EA"/>
    <w:rsid w:val="00D15218"/>
    <w:rsid w:val="00D165B5"/>
    <w:rsid w:val="00D1672F"/>
    <w:rsid w:val="00D16FA1"/>
    <w:rsid w:val="00D22558"/>
    <w:rsid w:val="00D25E9E"/>
    <w:rsid w:val="00D274C0"/>
    <w:rsid w:val="00D3221B"/>
    <w:rsid w:val="00D33E31"/>
    <w:rsid w:val="00D36796"/>
    <w:rsid w:val="00D410AF"/>
    <w:rsid w:val="00D44B3A"/>
    <w:rsid w:val="00D46F67"/>
    <w:rsid w:val="00D47053"/>
    <w:rsid w:val="00D52E79"/>
    <w:rsid w:val="00D55D35"/>
    <w:rsid w:val="00D55EE9"/>
    <w:rsid w:val="00D60A89"/>
    <w:rsid w:val="00D60B16"/>
    <w:rsid w:val="00D60B67"/>
    <w:rsid w:val="00D60F02"/>
    <w:rsid w:val="00D61AE4"/>
    <w:rsid w:val="00D64BFF"/>
    <w:rsid w:val="00D65D20"/>
    <w:rsid w:val="00D66E49"/>
    <w:rsid w:val="00D70D71"/>
    <w:rsid w:val="00D71575"/>
    <w:rsid w:val="00D71D7D"/>
    <w:rsid w:val="00D72F74"/>
    <w:rsid w:val="00D730D8"/>
    <w:rsid w:val="00D73BAE"/>
    <w:rsid w:val="00D774E0"/>
    <w:rsid w:val="00D77900"/>
    <w:rsid w:val="00D77F55"/>
    <w:rsid w:val="00D81563"/>
    <w:rsid w:val="00D83231"/>
    <w:rsid w:val="00D83ECB"/>
    <w:rsid w:val="00D85407"/>
    <w:rsid w:val="00D85907"/>
    <w:rsid w:val="00D85F17"/>
    <w:rsid w:val="00D86712"/>
    <w:rsid w:val="00D87310"/>
    <w:rsid w:val="00D87C5F"/>
    <w:rsid w:val="00D9073E"/>
    <w:rsid w:val="00D91644"/>
    <w:rsid w:val="00D9221D"/>
    <w:rsid w:val="00D93375"/>
    <w:rsid w:val="00D94978"/>
    <w:rsid w:val="00D95557"/>
    <w:rsid w:val="00D958DF"/>
    <w:rsid w:val="00D96DA1"/>
    <w:rsid w:val="00D97D32"/>
    <w:rsid w:val="00DA51E7"/>
    <w:rsid w:val="00DA51F3"/>
    <w:rsid w:val="00DB0260"/>
    <w:rsid w:val="00DB0B78"/>
    <w:rsid w:val="00DB101E"/>
    <w:rsid w:val="00DB1C78"/>
    <w:rsid w:val="00DB2CD0"/>
    <w:rsid w:val="00DB4EAC"/>
    <w:rsid w:val="00DB7792"/>
    <w:rsid w:val="00DB7A4F"/>
    <w:rsid w:val="00DB7D96"/>
    <w:rsid w:val="00DB7D9A"/>
    <w:rsid w:val="00DC00A0"/>
    <w:rsid w:val="00DC0A04"/>
    <w:rsid w:val="00DC23FE"/>
    <w:rsid w:val="00DC39A5"/>
    <w:rsid w:val="00DC59E6"/>
    <w:rsid w:val="00DD010A"/>
    <w:rsid w:val="00DD150B"/>
    <w:rsid w:val="00DD270A"/>
    <w:rsid w:val="00DD29CF"/>
    <w:rsid w:val="00DD4FBC"/>
    <w:rsid w:val="00DD5025"/>
    <w:rsid w:val="00DD7994"/>
    <w:rsid w:val="00DE42D8"/>
    <w:rsid w:val="00DE590C"/>
    <w:rsid w:val="00DF1510"/>
    <w:rsid w:val="00E02F1F"/>
    <w:rsid w:val="00E03BAA"/>
    <w:rsid w:val="00E03F65"/>
    <w:rsid w:val="00E06484"/>
    <w:rsid w:val="00E15866"/>
    <w:rsid w:val="00E175AE"/>
    <w:rsid w:val="00E20A7D"/>
    <w:rsid w:val="00E2298A"/>
    <w:rsid w:val="00E232DD"/>
    <w:rsid w:val="00E24422"/>
    <w:rsid w:val="00E2470F"/>
    <w:rsid w:val="00E275D8"/>
    <w:rsid w:val="00E27EBB"/>
    <w:rsid w:val="00E30572"/>
    <w:rsid w:val="00E30F6A"/>
    <w:rsid w:val="00E3117C"/>
    <w:rsid w:val="00E311AA"/>
    <w:rsid w:val="00E32807"/>
    <w:rsid w:val="00E32BDA"/>
    <w:rsid w:val="00E375CA"/>
    <w:rsid w:val="00E410DB"/>
    <w:rsid w:val="00E4520C"/>
    <w:rsid w:val="00E46149"/>
    <w:rsid w:val="00E515C0"/>
    <w:rsid w:val="00E5364F"/>
    <w:rsid w:val="00E5383C"/>
    <w:rsid w:val="00E54DC5"/>
    <w:rsid w:val="00E55A3A"/>
    <w:rsid w:val="00E567E8"/>
    <w:rsid w:val="00E61630"/>
    <w:rsid w:val="00E6213D"/>
    <w:rsid w:val="00E64679"/>
    <w:rsid w:val="00E65EBC"/>
    <w:rsid w:val="00E677FE"/>
    <w:rsid w:val="00E73432"/>
    <w:rsid w:val="00E73488"/>
    <w:rsid w:val="00E74D3D"/>
    <w:rsid w:val="00E77B0C"/>
    <w:rsid w:val="00E77FB8"/>
    <w:rsid w:val="00E80AAE"/>
    <w:rsid w:val="00E8234F"/>
    <w:rsid w:val="00E8350F"/>
    <w:rsid w:val="00E838B0"/>
    <w:rsid w:val="00E83F46"/>
    <w:rsid w:val="00E85324"/>
    <w:rsid w:val="00E86A7C"/>
    <w:rsid w:val="00E878E1"/>
    <w:rsid w:val="00E87F2C"/>
    <w:rsid w:val="00E92BB4"/>
    <w:rsid w:val="00E95278"/>
    <w:rsid w:val="00E95E5C"/>
    <w:rsid w:val="00EA014E"/>
    <w:rsid w:val="00EA2273"/>
    <w:rsid w:val="00EA22FF"/>
    <w:rsid w:val="00EA3340"/>
    <w:rsid w:val="00EA3611"/>
    <w:rsid w:val="00EA4518"/>
    <w:rsid w:val="00EA6F95"/>
    <w:rsid w:val="00EA7C3C"/>
    <w:rsid w:val="00EB23B0"/>
    <w:rsid w:val="00EB2DB3"/>
    <w:rsid w:val="00EC20E6"/>
    <w:rsid w:val="00EC3FBB"/>
    <w:rsid w:val="00EC6B7A"/>
    <w:rsid w:val="00EC7D9F"/>
    <w:rsid w:val="00ED3A87"/>
    <w:rsid w:val="00ED4823"/>
    <w:rsid w:val="00ED5B67"/>
    <w:rsid w:val="00EE015F"/>
    <w:rsid w:val="00EE3720"/>
    <w:rsid w:val="00EE45B5"/>
    <w:rsid w:val="00EE5C46"/>
    <w:rsid w:val="00EF0134"/>
    <w:rsid w:val="00EF1B5A"/>
    <w:rsid w:val="00EF264C"/>
    <w:rsid w:val="00EF3FEE"/>
    <w:rsid w:val="00EF59CA"/>
    <w:rsid w:val="00EF6B1D"/>
    <w:rsid w:val="00F00B1E"/>
    <w:rsid w:val="00F02699"/>
    <w:rsid w:val="00F02F81"/>
    <w:rsid w:val="00F032E2"/>
    <w:rsid w:val="00F046BD"/>
    <w:rsid w:val="00F04807"/>
    <w:rsid w:val="00F04B59"/>
    <w:rsid w:val="00F04B7B"/>
    <w:rsid w:val="00F11741"/>
    <w:rsid w:val="00F12B1C"/>
    <w:rsid w:val="00F132FE"/>
    <w:rsid w:val="00F13795"/>
    <w:rsid w:val="00F13CF8"/>
    <w:rsid w:val="00F147BD"/>
    <w:rsid w:val="00F15855"/>
    <w:rsid w:val="00F17A04"/>
    <w:rsid w:val="00F200B2"/>
    <w:rsid w:val="00F227DC"/>
    <w:rsid w:val="00F24DB3"/>
    <w:rsid w:val="00F32978"/>
    <w:rsid w:val="00F33E5A"/>
    <w:rsid w:val="00F35C2A"/>
    <w:rsid w:val="00F36790"/>
    <w:rsid w:val="00F40B51"/>
    <w:rsid w:val="00F41595"/>
    <w:rsid w:val="00F4374A"/>
    <w:rsid w:val="00F43CE3"/>
    <w:rsid w:val="00F4414D"/>
    <w:rsid w:val="00F44908"/>
    <w:rsid w:val="00F45284"/>
    <w:rsid w:val="00F4530F"/>
    <w:rsid w:val="00F45CB2"/>
    <w:rsid w:val="00F5072A"/>
    <w:rsid w:val="00F5269C"/>
    <w:rsid w:val="00F534B5"/>
    <w:rsid w:val="00F544C0"/>
    <w:rsid w:val="00F54699"/>
    <w:rsid w:val="00F54724"/>
    <w:rsid w:val="00F54CB6"/>
    <w:rsid w:val="00F55332"/>
    <w:rsid w:val="00F57336"/>
    <w:rsid w:val="00F62863"/>
    <w:rsid w:val="00F62C62"/>
    <w:rsid w:val="00F62D0D"/>
    <w:rsid w:val="00F63CDA"/>
    <w:rsid w:val="00F6504A"/>
    <w:rsid w:val="00F653DA"/>
    <w:rsid w:val="00F65519"/>
    <w:rsid w:val="00F66F65"/>
    <w:rsid w:val="00F713C0"/>
    <w:rsid w:val="00F7316B"/>
    <w:rsid w:val="00F75DDC"/>
    <w:rsid w:val="00F763E7"/>
    <w:rsid w:val="00F775FB"/>
    <w:rsid w:val="00F7792F"/>
    <w:rsid w:val="00F81782"/>
    <w:rsid w:val="00F842AA"/>
    <w:rsid w:val="00F8476F"/>
    <w:rsid w:val="00F853E1"/>
    <w:rsid w:val="00F85604"/>
    <w:rsid w:val="00F85C0B"/>
    <w:rsid w:val="00F862C8"/>
    <w:rsid w:val="00F914C7"/>
    <w:rsid w:val="00F94B7A"/>
    <w:rsid w:val="00F9677B"/>
    <w:rsid w:val="00FA0CCE"/>
    <w:rsid w:val="00FA17AC"/>
    <w:rsid w:val="00FA32DE"/>
    <w:rsid w:val="00FA3382"/>
    <w:rsid w:val="00FA3599"/>
    <w:rsid w:val="00FA59CD"/>
    <w:rsid w:val="00FB1740"/>
    <w:rsid w:val="00FB1D54"/>
    <w:rsid w:val="00FB491F"/>
    <w:rsid w:val="00FB766E"/>
    <w:rsid w:val="00FB7C6E"/>
    <w:rsid w:val="00FC001D"/>
    <w:rsid w:val="00FC0ED1"/>
    <w:rsid w:val="00FC269D"/>
    <w:rsid w:val="00FC5469"/>
    <w:rsid w:val="00FC666B"/>
    <w:rsid w:val="00FC6D7D"/>
    <w:rsid w:val="00FD1199"/>
    <w:rsid w:val="00FD16B0"/>
    <w:rsid w:val="00FD3C59"/>
    <w:rsid w:val="00FD4FED"/>
    <w:rsid w:val="00FD64D7"/>
    <w:rsid w:val="00FD7333"/>
    <w:rsid w:val="00FE0577"/>
    <w:rsid w:val="00FE0935"/>
    <w:rsid w:val="00FE2A57"/>
    <w:rsid w:val="00FE59EC"/>
    <w:rsid w:val="00FE5B67"/>
    <w:rsid w:val="00FE60D6"/>
    <w:rsid w:val="00FF4EEB"/>
    <w:rsid w:val="00FF5914"/>
    <w:rsid w:val="00FF5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78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numbering" w:styleId="111111">
    <w:name w:val="Outline List 2"/>
    <w:basedOn w:val="NoList"/>
    <w:rsid w:val="00F13795"/>
    <w:pPr>
      <w:numPr>
        <w:numId w:val="11"/>
      </w:numPr>
    </w:pPr>
  </w:style>
  <w:style w:type="character" w:styleId="FootnoteReference">
    <w:name w:val="footnote reference"/>
    <w:basedOn w:val="DefaultParagraphFont"/>
    <w:uiPriority w:val="99"/>
    <w:semiHidden/>
    <w:unhideWhenUsed/>
    <w:rsid w:val="00F13795"/>
    <w:rPr>
      <w:vertAlign w:val="superscript"/>
    </w:rPr>
  </w:style>
  <w:style w:type="character" w:customStyle="1" w:styleId="FootnoteTextChar">
    <w:name w:val="Footnote Text Char"/>
    <w:basedOn w:val="DefaultParagraphFont"/>
    <w:link w:val="FootnoteText"/>
    <w:uiPriority w:val="99"/>
    <w:rsid w:val="00EE45B5"/>
  </w:style>
  <w:style w:type="paragraph" w:customStyle="1" w:styleId="BodyText2S">
    <w:name w:val="BodyText 2S"/>
    <w:basedOn w:val="BodyText"/>
    <w:link w:val="BodyText2SChar"/>
    <w:qFormat/>
    <w:rsid w:val="009A522F"/>
    <w:pPr>
      <w:autoSpaceDE w:val="0"/>
      <w:autoSpaceDN w:val="0"/>
      <w:adjustRightInd w:val="0"/>
      <w:spacing w:after="0" w:line="480" w:lineRule="auto"/>
      <w:ind w:firstLine="720"/>
    </w:pPr>
    <w:rPr>
      <w:rFonts w:eastAsiaTheme="minorHAnsi" w:cstheme="minorBidi"/>
    </w:rPr>
  </w:style>
  <w:style w:type="character" w:customStyle="1" w:styleId="BodyText2SChar">
    <w:name w:val="BodyText 2S Char"/>
    <w:basedOn w:val="BodyTextChar"/>
    <w:link w:val="BodyText2S"/>
    <w:rsid w:val="009A522F"/>
    <w:rPr>
      <w:rFonts w:eastAsiaTheme="minorHAnsi" w:cstheme="minorBidi"/>
      <w:sz w:val="24"/>
      <w:szCs w:val="24"/>
    </w:rPr>
  </w:style>
  <w:style w:type="paragraph" w:customStyle="1" w:styleId="OrderBody">
    <w:name w:val="Order Body"/>
    <w:basedOn w:val="Normal"/>
    <w:link w:val="OrderBodyChar"/>
    <w:rsid w:val="00164B5B"/>
    <w:pPr>
      <w:jc w:val="both"/>
    </w:pPr>
  </w:style>
  <w:style w:type="character" w:customStyle="1" w:styleId="OrderBodyChar">
    <w:name w:val="Order Body Char"/>
    <w:link w:val="OrderBody"/>
    <w:rsid w:val="00164B5B"/>
    <w:rPr>
      <w:sz w:val="24"/>
      <w:szCs w:val="24"/>
    </w:rPr>
  </w:style>
  <w:style w:type="paragraph" w:styleId="ListParagraph">
    <w:name w:val="List Paragraph"/>
    <w:basedOn w:val="Normal"/>
    <w:uiPriority w:val="34"/>
    <w:qFormat/>
    <w:rsid w:val="00F4414D"/>
    <w:pPr>
      <w:ind w:left="720"/>
      <w:contextualSpacing/>
    </w:pPr>
  </w:style>
  <w:style w:type="paragraph" w:styleId="NoSpacing">
    <w:name w:val="No Spacing"/>
    <w:uiPriority w:val="1"/>
    <w:qFormat/>
    <w:rsid w:val="006F4445"/>
    <w:rPr>
      <w:rFonts w:asciiTheme="minorHAnsi" w:eastAsiaTheme="minorHAnsi" w:hAnsiTheme="minorHAnsi" w:cstheme="minorBidi"/>
      <w:sz w:val="22"/>
      <w:szCs w:val="22"/>
    </w:rPr>
  </w:style>
  <w:style w:type="character" w:styleId="EndnoteReference">
    <w:name w:val="endnote reference"/>
    <w:basedOn w:val="DefaultParagraphFont"/>
    <w:semiHidden/>
    <w:unhideWhenUsed/>
    <w:rsid w:val="00DD29C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numbering" w:styleId="111111">
    <w:name w:val="Outline List 2"/>
    <w:basedOn w:val="NoList"/>
    <w:rsid w:val="00F13795"/>
    <w:pPr>
      <w:numPr>
        <w:numId w:val="11"/>
      </w:numPr>
    </w:pPr>
  </w:style>
  <w:style w:type="character" w:styleId="FootnoteReference">
    <w:name w:val="footnote reference"/>
    <w:basedOn w:val="DefaultParagraphFont"/>
    <w:uiPriority w:val="99"/>
    <w:semiHidden/>
    <w:unhideWhenUsed/>
    <w:rsid w:val="00F13795"/>
    <w:rPr>
      <w:vertAlign w:val="superscript"/>
    </w:rPr>
  </w:style>
  <w:style w:type="character" w:customStyle="1" w:styleId="FootnoteTextChar">
    <w:name w:val="Footnote Text Char"/>
    <w:basedOn w:val="DefaultParagraphFont"/>
    <w:link w:val="FootnoteText"/>
    <w:uiPriority w:val="99"/>
    <w:rsid w:val="00EE45B5"/>
  </w:style>
  <w:style w:type="paragraph" w:customStyle="1" w:styleId="BodyText2S">
    <w:name w:val="BodyText 2S"/>
    <w:basedOn w:val="BodyText"/>
    <w:link w:val="BodyText2SChar"/>
    <w:qFormat/>
    <w:rsid w:val="009A522F"/>
    <w:pPr>
      <w:autoSpaceDE w:val="0"/>
      <w:autoSpaceDN w:val="0"/>
      <w:adjustRightInd w:val="0"/>
      <w:spacing w:after="0" w:line="480" w:lineRule="auto"/>
      <w:ind w:firstLine="720"/>
    </w:pPr>
    <w:rPr>
      <w:rFonts w:eastAsiaTheme="minorHAnsi" w:cstheme="minorBidi"/>
    </w:rPr>
  </w:style>
  <w:style w:type="character" w:customStyle="1" w:styleId="BodyText2SChar">
    <w:name w:val="BodyText 2S Char"/>
    <w:basedOn w:val="BodyTextChar"/>
    <w:link w:val="BodyText2S"/>
    <w:rsid w:val="009A522F"/>
    <w:rPr>
      <w:rFonts w:eastAsiaTheme="minorHAnsi" w:cstheme="minorBidi"/>
      <w:sz w:val="24"/>
      <w:szCs w:val="24"/>
    </w:rPr>
  </w:style>
  <w:style w:type="paragraph" w:customStyle="1" w:styleId="OrderBody">
    <w:name w:val="Order Body"/>
    <w:basedOn w:val="Normal"/>
    <w:link w:val="OrderBodyChar"/>
    <w:rsid w:val="00164B5B"/>
    <w:pPr>
      <w:jc w:val="both"/>
    </w:pPr>
  </w:style>
  <w:style w:type="character" w:customStyle="1" w:styleId="OrderBodyChar">
    <w:name w:val="Order Body Char"/>
    <w:link w:val="OrderBody"/>
    <w:rsid w:val="00164B5B"/>
    <w:rPr>
      <w:sz w:val="24"/>
      <w:szCs w:val="24"/>
    </w:rPr>
  </w:style>
  <w:style w:type="paragraph" w:styleId="ListParagraph">
    <w:name w:val="List Paragraph"/>
    <w:basedOn w:val="Normal"/>
    <w:uiPriority w:val="34"/>
    <w:qFormat/>
    <w:rsid w:val="00F4414D"/>
    <w:pPr>
      <w:ind w:left="720"/>
      <w:contextualSpacing/>
    </w:pPr>
  </w:style>
  <w:style w:type="paragraph" w:styleId="NoSpacing">
    <w:name w:val="No Spacing"/>
    <w:uiPriority w:val="1"/>
    <w:qFormat/>
    <w:rsid w:val="006F4445"/>
    <w:rPr>
      <w:rFonts w:asciiTheme="minorHAnsi" w:eastAsiaTheme="minorHAnsi" w:hAnsiTheme="minorHAnsi" w:cstheme="minorBidi"/>
      <w:sz w:val="22"/>
      <w:szCs w:val="22"/>
    </w:rPr>
  </w:style>
  <w:style w:type="character" w:styleId="EndnoteReference">
    <w:name w:val="endnote reference"/>
    <w:basedOn w:val="DefaultParagraphFont"/>
    <w:semiHidden/>
    <w:unhideWhenUsed/>
    <w:rsid w:val="00DD29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289156">
      <w:bodyDiv w:val="1"/>
      <w:marLeft w:val="0"/>
      <w:marRight w:val="0"/>
      <w:marTop w:val="0"/>
      <w:marBottom w:val="0"/>
      <w:divBdr>
        <w:top w:val="none" w:sz="0" w:space="0" w:color="auto"/>
        <w:left w:val="none" w:sz="0" w:space="0" w:color="auto"/>
        <w:bottom w:val="none" w:sz="0" w:space="0" w:color="auto"/>
        <w:right w:val="none" w:sz="0" w:space="0" w:color="auto"/>
      </w:divBdr>
    </w:div>
    <w:div w:id="1290013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8.jpeg"/><Relationship Id="rId30"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131C8-5B54-4FA4-A2B3-A26C6D788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46</Pages>
  <Words>15992</Words>
  <Characters>91159</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106938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Joann Parsons</dc:creator>
  <cp:lastModifiedBy>Joann Parsons</cp:lastModifiedBy>
  <cp:revision>2</cp:revision>
  <cp:lastPrinted>2020-02-21T19:51:00Z</cp:lastPrinted>
  <dcterms:created xsi:type="dcterms:W3CDTF">2020-02-21T19:56:00Z</dcterms:created>
  <dcterms:modified xsi:type="dcterms:W3CDTF">2020-02-21T19:56:00Z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20190061-EI</vt:lpwstr>
  </property>
  <property fmtid="{D5CDD505-2E9C-101B-9397-08002B2CF9AE}" pid="3" name="MasterDocument">
    <vt:bool>false</vt:bool>
  </property>
</Properties>
</file>