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rsidTr="001B1C7A">
        <w:trPr>
          <w:trHeight w:val="1971"/>
        </w:trPr>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14:anchorId="108EE7B3" wp14:editId="555B76F9">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0558E9">
            <w:pPr>
              <w:pStyle w:val="MemoHeading"/>
            </w:pPr>
            <w:bookmarkStart w:id="1" w:name="FilingDate"/>
            <w:r>
              <w:t>May 28, 2020</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0558E9" w:rsidRDefault="000558E9">
            <w:pPr>
              <w:pStyle w:val="MemoHeading"/>
            </w:pPr>
            <w:bookmarkStart w:id="2" w:name="From"/>
            <w:r>
              <w:t>Division of Engineering (</w:t>
            </w:r>
            <w:r w:rsidR="00C2271B">
              <w:t xml:space="preserve">M. </w:t>
            </w:r>
            <w:r>
              <w:t xml:space="preserve">Watts, </w:t>
            </w:r>
            <w:r w:rsidR="00F42FF3">
              <w:t xml:space="preserve">K. </w:t>
            </w:r>
            <w:r>
              <w:t>Johnson, Ramos)</w:t>
            </w:r>
          </w:p>
          <w:p w:rsidR="007C0528" w:rsidRDefault="000558E9">
            <w:pPr>
              <w:pStyle w:val="MemoHeading"/>
            </w:pPr>
            <w:r>
              <w:t>Office of the General Counsel (Lherisson)</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0558E9">
            <w:pPr>
              <w:pStyle w:val="MemoHeadingRe"/>
            </w:pPr>
            <w:bookmarkStart w:id="3" w:name="Re"/>
            <w:r>
              <w:t>Docket No. 20200012-WS – Application for amendment of Certificates 669-W and 571-S to delete territory in Sumter County, by South Sumter Utility Company, LLC.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0558E9">
            <w:pPr>
              <w:pStyle w:val="MemoHeading"/>
            </w:pPr>
            <w:bookmarkStart w:id="4" w:name="AgendaDate"/>
            <w:r>
              <w:t>06/09/20</w:t>
            </w:r>
            <w:bookmarkEnd w:id="4"/>
            <w:r w:rsidR="007C0528">
              <w:t xml:space="preserve"> – </w:t>
            </w:r>
            <w:bookmarkStart w:id="5" w:name="PermittedStatus"/>
            <w:r>
              <w:t>Regular Agenda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0558E9">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0558E9">
            <w:pPr>
              <w:pStyle w:val="MemoHeading"/>
            </w:pPr>
            <w:bookmarkStart w:id="7" w:name="PrehearingOfficer"/>
            <w:r>
              <w:t>Graham</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0558E9">
            <w:pPr>
              <w:pStyle w:val="MemoHeading"/>
            </w:pPr>
            <w:bookmarkStart w:id="9" w:name="CriticalDates"/>
            <w:r>
              <w:t>None</w:t>
            </w:r>
            <w:bookmarkEnd w:id="9"/>
          </w:p>
        </w:tc>
      </w:tr>
      <w:tr w:rsidR="007C0528" w:rsidTr="001B1C7A">
        <w:trPr>
          <w:trHeight w:val="279"/>
        </w:trPr>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0558E9">
            <w:pPr>
              <w:pStyle w:val="MemoHeading"/>
            </w:pPr>
            <w:bookmarkStart w:id="10" w:name="SpecialInstructions"/>
            <w:r>
              <w:t>None</w:t>
            </w:r>
            <w:bookmarkEnd w:id="10"/>
          </w:p>
        </w:tc>
      </w:tr>
    </w:tbl>
    <w:p w:rsidR="000E0DAA" w:rsidRDefault="000E0DAA" w:rsidP="001B1C7A">
      <w:pPr>
        <w:pStyle w:val="RecommendationMajorSectionHeading"/>
        <w:spacing w:after="0"/>
      </w:pPr>
      <w:bookmarkStart w:id="11" w:name="RecToC"/>
      <w:bookmarkStart w:id="12" w:name="CaseBackground"/>
      <w:bookmarkEnd w:id="11"/>
    </w:p>
    <w:p w:rsidR="007C0528" w:rsidRDefault="007C0528" w:rsidP="001B1C7A">
      <w:pPr>
        <w:pStyle w:val="RecommendationMajorSectionHeading"/>
        <w:spacing w:after="0"/>
      </w:pPr>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1B1C7A" w:rsidRPr="001B1C7A" w:rsidRDefault="001B1C7A" w:rsidP="001B1C7A">
      <w:pPr>
        <w:pStyle w:val="BodyText"/>
        <w:spacing w:after="0"/>
      </w:pPr>
    </w:p>
    <w:p w:rsidR="001B1C7A" w:rsidRDefault="001B1C7A" w:rsidP="001B1C7A">
      <w:pPr>
        <w:jc w:val="both"/>
        <w:rPr>
          <w:rFonts w:eastAsiaTheme="minorHAnsi"/>
          <w:szCs w:val="22"/>
        </w:rPr>
      </w:pPr>
      <w:r w:rsidRPr="001B1C7A">
        <w:rPr>
          <w:rFonts w:eastAsiaTheme="minorHAnsi"/>
          <w:szCs w:val="22"/>
        </w:rPr>
        <w:t>South Sumter Utility Company, LLC (SSU or Utility) is a Class C utility which provides service in Sumter County to approximately 1,854 water and wastewater customers. The Utility is in the Southwest Florida Management District and is not in a water use caution area. In its 2018</w:t>
      </w:r>
      <w:r>
        <w:rPr>
          <w:rFonts w:eastAsiaTheme="minorHAnsi"/>
          <w:szCs w:val="22"/>
        </w:rPr>
        <w:t xml:space="preserve"> A</w:t>
      </w:r>
      <w:r w:rsidRPr="001B1C7A">
        <w:rPr>
          <w:rFonts w:eastAsiaTheme="minorHAnsi"/>
          <w:szCs w:val="22"/>
        </w:rPr>
        <w:t xml:space="preserve">nnual </w:t>
      </w:r>
      <w:r>
        <w:rPr>
          <w:rFonts w:eastAsiaTheme="minorHAnsi"/>
          <w:szCs w:val="22"/>
        </w:rPr>
        <w:t>R</w:t>
      </w:r>
      <w:r w:rsidRPr="001B1C7A">
        <w:rPr>
          <w:rFonts w:eastAsiaTheme="minorHAnsi"/>
          <w:szCs w:val="22"/>
        </w:rPr>
        <w:t>eport, the Utility reported operating revenues of $3,220 for water and $4,136 for wastewater, and a net operating loss of $218,749 for water and $226,407 for wastewater.</w:t>
      </w:r>
      <w:r w:rsidR="004F4C00">
        <w:rPr>
          <w:rStyle w:val="FootnoteReference"/>
          <w:rFonts w:eastAsiaTheme="minorHAnsi"/>
          <w:szCs w:val="22"/>
        </w:rPr>
        <w:footnoteReference w:id="1"/>
      </w:r>
    </w:p>
    <w:p w:rsidR="001B1C7A" w:rsidRPr="001B1C7A" w:rsidRDefault="001B1C7A" w:rsidP="001B1C7A">
      <w:pPr>
        <w:jc w:val="both"/>
        <w:rPr>
          <w:rFonts w:eastAsiaTheme="minorHAnsi"/>
          <w:szCs w:val="22"/>
        </w:rPr>
      </w:pPr>
    </w:p>
    <w:p w:rsidR="007C0528" w:rsidRDefault="001B1C7A" w:rsidP="001B1C7A">
      <w:pPr>
        <w:spacing w:after="240"/>
        <w:jc w:val="both"/>
      </w:pPr>
      <w:r w:rsidRPr="001B1C7A">
        <w:rPr>
          <w:rFonts w:eastAsiaTheme="minorHAnsi"/>
          <w:szCs w:val="22"/>
        </w:rPr>
        <w:t xml:space="preserve">On January 8, 2020, pursuant to Section 367.045, Florida Statutes (F.S.), the Utility applied for </w:t>
      </w:r>
      <w:proofErr w:type="gramStart"/>
      <w:r w:rsidRPr="001B1C7A">
        <w:rPr>
          <w:rFonts w:eastAsiaTheme="minorHAnsi"/>
          <w:szCs w:val="22"/>
        </w:rPr>
        <w:t>an</w:t>
      </w:r>
      <w:proofErr w:type="gramEnd"/>
      <w:r w:rsidRPr="001B1C7A">
        <w:rPr>
          <w:rFonts w:eastAsiaTheme="minorHAnsi"/>
          <w:szCs w:val="22"/>
        </w:rPr>
        <w:t xml:space="preserve"> amendment to delete part of its service territory from Certificate No</w:t>
      </w:r>
      <w:r w:rsidR="00567A71">
        <w:rPr>
          <w:rFonts w:eastAsiaTheme="minorHAnsi"/>
          <w:szCs w:val="22"/>
        </w:rPr>
        <w:t>s</w:t>
      </w:r>
      <w:r w:rsidR="00A20122">
        <w:rPr>
          <w:rFonts w:eastAsiaTheme="minorHAnsi"/>
          <w:szCs w:val="22"/>
        </w:rPr>
        <w:t>. 66</w:t>
      </w:r>
      <w:r w:rsidRPr="001B1C7A">
        <w:rPr>
          <w:rFonts w:eastAsiaTheme="minorHAnsi"/>
          <w:szCs w:val="22"/>
        </w:rPr>
        <w:t xml:space="preserve">9-W and 571-S. The </w:t>
      </w:r>
      <w:r>
        <w:rPr>
          <w:rFonts w:eastAsiaTheme="minorHAnsi"/>
          <w:szCs w:val="22"/>
        </w:rPr>
        <w:t>U</w:t>
      </w:r>
      <w:r w:rsidRPr="001B1C7A">
        <w:rPr>
          <w:rFonts w:eastAsiaTheme="minorHAnsi"/>
          <w:szCs w:val="22"/>
        </w:rPr>
        <w:t>tility does not</w:t>
      </w:r>
      <w:r w:rsidR="003B62A8">
        <w:rPr>
          <w:rFonts w:eastAsiaTheme="minorHAnsi"/>
          <w:szCs w:val="22"/>
        </w:rPr>
        <w:t xml:space="preserve"> currently</w:t>
      </w:r>
      <w:r w:rsidRPr="001B1C7A">
        <w:rPr>
          <w:rFonts w:eastAsiaTheme="minorHAnsi"/>
          <w:szCs w:val="22"/>
        </w:rPr>
        <w:t xml:space="preserve"> provide water or wastewater service to this area. The </w:t>
      </w:r>
      <w:r w:rsidR="003B62A8">
        <w:rPr>
          <w:rFonts w:eastAsiaTheme="minorHAnsi"/>
          <w:szCs w:val="22"/>
        </w:rPr>
        <w:t xml:space="preserve">Utility requested this </w:t>
      </w:r>
      <w:r w:rsidRPr="001B1C7A">
        <w:rPr>
          <w:rFonts w:eastAsiaTheme="minorHAnsi"/>
          <w:szCs w:val="22"/>
        </w:rPr>
        <w:t xml:space="preserve">territory </w:t>
      </w:r>
      <w:r w:rsidR="003B62A8">
        <w:rPr>
          <w:rFonts w:eastAsiaTheme="minorHAnsi"/>
          <w:szCs w:val="22"/>
        </w:rPr>
        <w:t xml:space="preserve">be deleted </w:t>
      </w:r>
      <w:r w:rsidRPr="001B1C7A">
        <w:rPr>
          <w:rFonts w:eastAsiaTheme="minorHAnsi"/>
          <w:szCs w:val="22"/>
        </w:rPr>
        <w:t>from the service area because of the separation by the Florida Turnpike and the related difficulty in extending service to the area</w:t>
      </w:r>
      <w:r w:rsidR="00EF3521">
        <w:rPr>
          <w:rFonts w:eastAsiaTheme="minorHAnsi"/>
          <w:szCs w:val="22"/>
        </w:rPr>
        <w:t>. F</w:t>
      </w:r>
      <w:r w:rsidRPr="001B1C7A">
        <w:rPr>
          <w:rFonts w:eastAsiaTheme="minorHAnsi"/>
          <w:szCs w:val="22"/>
        </w:rPr>
        <w:t xml:space="preserve">or these reasons, SSU </w:t>
      </w:r>
      <w:r w:rsidR="003B62A8">
        <w:rPr>
          <w:rFonts w:eastAsiaTheme="minorHAnsi"/>
          <w:szCs w:val="22"/>
        </w:rPr>
        <w:t>believes</w:t>
      </w:r>
      <w:r w:rsidRPr="001B1C7A">
        <w:rPr>
          <w:rFonts w:eastAsiaTheme="minorHAnsi"/>
          <w:szCs w:val="22"/>
        </w:rPr>
        <w:t xml:space="preserve"> it is </w:t>
      </w:r>
      <w:r w:rsidRPr="001B1C7A">
        <w:rPr>
          <w:rFonts w:eastAsiaTheme="minorHAnsi"/>
          <w:szCs w:val="22"/>
        </w:rPr>
        <w:lastRenderedPageBreak/>
        <w:t>not the best alternative for water and wastewater service to the area. The Commission has jurisdiction pursuant to Section 367.045, F.S.</w:t>
      </w:r>
    </w:p>
    <w:bookmarkEnd w:id="12"/>
    <w:p w:rsidR="00EA2273" w:rsidRDefault="00EA2273">
      <w:pPr>
        <w:pStyle w:val="RecommendationMajorSectionHeading"/>
        <w:sectPr w:rsidR="00EA2273" w:rsidSect="001B1C7A">
          <w:headerReference w:type="default" r:id="rId9"/>
          <w:footerReference w:type="default" r:id="rId10"/>
          <w:type w:val="continuous"/>
          <w:pgSz w:w="12240" w:h="15840" w:code="1"/>
          <w:pgMar w:top="1350"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t>Discussion of Issues</w:t>
      </w:r>
    </w:p>
    <w:bookmarkEnd w:id="16"/>
    <w:p w:rsidR="00D423F9" w:rsidRDefault="00D423F9">
      <w:pPr>
        <w:pStyle w:val="IssueHeading"/>
        <w:rPr>
          <w:vanish/>
          <w:specVanish/>
        </w:rPr>
      </w:pPr>
      <w:r w:rsidRPr="004C3641">
        <w:t xml:space="preserve">Issue </w:t>
      </w:r>
      <w:r w:rsidR="00166D58">
        <w:fldChar w:fldCharType="begin"/>
      </w:r>
      <w:r w:rsidR="00166D58">
        <w:instrText xml:space="preserve"> SEQ Issue \* MERGEFORMAT </w:instrText>
      </w:r>
      <w:r w:rsidR="00166D58">
        <w:fldChar w:fldCharType="separate"/>
      </w:r>
      <w:r w:rsidR="00D42858">
        <w:rPr>
          <w:noProof/>
        </w:rPr>
        <w:t>1</w:t>
      </w:r>
      <w:r w:rsidR="00166D58">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D42858">
        <w:rPr>
          <w:noProof/>
        </w:rPr>
        <w:instrText>1</w:instrText>
      </w:r>
      <w:r>
        <w:fldChar w:fldCharType="end"/>
      </w:r>
      <w:r>
        <w:tab/>
        <w:instrText xml:space="preserve">" \l 1 </w:instrText>
      </w:r>
      <w:r>
        <w:fldChar w:fldCharType="end"/>
      </w:r>
      <w:r>
        <w:t> </w:t>
      </w:r>
    </w:p>
    <w:p w:rsidR="00D423F9" w:rsidRDefault="00D42858">
      <w:pPr>
        <w:pStyle w:val="BodyText"/>
      </w:pPr>
      <w:r>
        <w:rPr>
          <w:color w:val="000000"/>
        </w:rPr>
        <w:t xml:space="preserve">Should the Commission approve </w:t>
      </w:r>
      <w:r w:rsidR="001854D0">
        <w:rPr>
          <w:color w:val="000000"/>
        </w:rPr>
        <w:t>SSU</w:t>
      </w:r>
      <w:r w:rsidR="00340240">
        <w:rPr>
          <w:color w:val="000000"/>
        </w:rPr>
        <w:t>’</w:t>
      </w:r>
      <w:r>
        <w:rPr>
          <w:color w:val="000000"/>
        </w:rPr>
        <w:t xml:space="preserve">s application for amendment of Certificate Nos. 669-W and 571-S to delete territory </w:t>
      </w:r>
      <w:r w:rsidR="00340240">
        <w:rPr>
          <w:color w:val="000000"/>
        </w:rPr>
        <w:t>f</w:t>
      </w:r>
      <w:r w:rsidR="00340240" w:rsidRPr="00B3636C">
        <w:t>rom its certificated service area</w:t>
      </w:r>
      <w:r w:rsidR="00340240">
        <w:t xml:space="preserve"> </w:t>
      </w:r>
      <w:r>
        <w:rPr>
          <w:color w:val="000000"/>
        </w:rPr>
        <w:t>in Sumter County?</w:t>
      </w:r>
    </w:p>
    <w:p w:rsidR="00D423F9" w:rsidRPr="004C3641" w:rsidRDefault="00D423F9">
      <w:pPr>
        <w:pStyle w:val="IssueSubsectionHeading"/>
        <w:rPr>
          <w:vanish/>
          <w:specVanish/>
        </w:rPr>
      </w:pPr>
      <w:r w:rsidRPr="004C3641">
        <w:t>Recommendation: </w:t>
      </w:r>
    </w:p>
    <w:p w:rsidR="00D423F9" w:rsidRPr="001854D0" w:rsidRDefault="001854D0">
      <w:pPr>
        <w:pStyle w:val="BodyText"/>
      </w:pPr>
      <w:r w:rsidRPr="001854D0">
        <w:t xml:space="preserve">Yes. The Commission should approve the application filed by </w:t>
      </w:r>
      <w:r>
        <w:t>SSU</w:t>
      </w:r>
      <w:r w:rsidRPr="001854D0">
        <w:t xml:space="preserve"> to delete territory, as reflected on Attachment A, from its certificated service area, effective the day of the Commission</w:t>
      </w:r>
      <w:r w:rsidR="00340240">
        <w:t>’</w:t>
      </w:r>
      <w:r w:rsidRPr="001854D0">
        <w:t xml:space="preserve">s vote. </w:t>
      </w:r>
      <w:proofErr w:type="gramStart"/>
      <w:r w:rsidRPr="001854D0">
        <w:t xml:space="preserve">The resultant order should serve as </w:t>
      </w:r>
      <w:r>
        <w:t>SSU</w:t>
      </w:r>
      <w:r w:rsidR="00340240">
        <w:t>’</w:t>
      </w:r>
      <w:r w:rsidRPr="001854D0">
        <w:t>s amended certificate and should be retained by the Utility.</w:t>
      </w:r>
      <w:proofErr w:type="gramEnd"/>
      <w:r w:rsidRPr="001854D0">
        <w:t xml:space="preserve"> (</w:t>
      </w:r>
      <w:r>
        <w:t xml:space="preserve">M. </w:t>
      </w:r>
      <w:r w:rsidRPr="001854D0">
        <w:t>Wa</w:t>
      </w:r>
      <w:r>
        <w:t>tts</w:t>
      </w:r>
      <w:r w:rsidRPr="001854D0">
        <w:t>)</w:t>
      </w:r>
      <w:r w:rsidR="00D423F9">
        <w:t xml:space="preserve"> </w:t>
      </w:r>
    </w:p>
    <w:p w:rsidR="00D423F9" w:rsidRPr="001854D0" w:rsidRDefault="00D423F9">
      <w:pPr>
        <w:pStyle w:val="IssueSubsectionHeading"/>
        <w:rPr>
          <w:vanish/>
          <w:specVanish/>
        </w:rPr>
      </w:pPr>
      <w:r w:rsidRPr="001854D0">
        <w:t>Staff Analysis: </w:t>
      </w:r>
    </w:p>
    <w:p w:rsidR="001854D0" w:rsidRPr="001854D0" w:rsidRDefault="001854D0" w:rsidP="001854D0">
      <w:pPr>
        <w:pStyle w:val="BodyText"/>
      </w:pPr>
      <w:r w:rsidRPr="001854D0">
        <w:t xml:space="preserve">As stated, on January 8, 2020, SSU applied for an amendment to delete a portion of its certificated area. The </w:t>
      </w:r>
      <w:r>
        <w:t xml:space="preserve">area </w:t>
      </w:r>
      <w:r w:rsidR="00764C20">
        <w:t>proposed to be</w:t>
      </w:r>
      <w:r>
        <w:t xml:space="preserve"> deleted</w:t>
      </w:r>
      <w:r w:rsidR="00764C20">
        <w:t xml:space="preserve"> (deletion area)</w:t>
      </w:r>
      <w:r>
        <w:t xml:space="preserve"> is currently</w:t>
      </w:r>
      <w:r w:rsidRPr="001854D0">
        <w:t xml:space="preserve"> undeveloped.</w:t>
      </w:r>
    </w:p>
    <w:p w:rsidR="004240EB" w:rsidRDefault="001854D0" w:rsidP="008A22FA">
      <w:pPr>
        <w:jc w:val="both"/>
      </w:pPr>
      <w:r w:rsidRPr="00764C20">
        <w:t xml:space="preserve">The </w:t>
      </w:r>
      <w:r w:rsidR="00764C20" w:rsidRPr="00764C20">
        <w:t xml:space="preserve">deletion area is planned to be developed to serve approximately 1,161 equivalent residential connections. However, the deletion area is separated from adjacent SSU territory by Florida’s Turnpike. SSU stated in its application that the reason for the proposed deletion is the difficulty in extending service across Florida’s Turnpike. In response to staff’s first data request, SSU stated that a newly created water and wastewater service provider, Gibson Place Utility </w:t>
      </w:r>
      <w:r w:rsidR="008A22FA">
        <w:t>C</w:t>
      </w:r>
      <w:r w:rsidR="00764C20" w:rsidRPr="00764C20">
        <w:t>ompany, LLC</w:t>
      </w:r>
      <w:r w:rsidR="004240EB">
        <w:t xml:space="preserve"> </w:t>
      </w:r>
      <w:r w:rsidR="004240EB" w:rsidRPr="008A22FA">
        <w:t>(Gibson)</w:t>
      </w:r>
      <w:r w:rsidR="00764C20" w:rsidRPr="008A22FA">
        <w:t>, is the best alternative to provide water and wastewater service to the deletion area.</w:t>
      </w:r>
      <w:r w:rsidR="00020A40" w:rsidRPr="008A22FA">
        <w:rPr>
          <w:rStyle w:val="FootnoteReference"/>
        </w:rPr>
        <w:footnoteReference w:id="2"/>
      </w:r>
      <w:r w:rsidR="004240EB" w:rsidRPr="008A22FA">
        <w:t xml:space="preserve"> Staff has been advised that Gibson, which is affiliated with the Villages, plans to file an application for original water and wastewater certificates to serve territory that will include the territory being deleted from SSU’s certificated territory. </w:t>
      </w:r>
    </w:p>
    <w:p w:rsidR="008A22FA" w:rsidRPr="008A22FA" w:rsidRDefault="008A22FA" w:rsidP="008A22FA"/>
    <w:p w:rsidR="001854D0" w:rsidRPr="00764C20" w:rsidRDefault="001854D0" w:rsidP="001854D0">
      <w:pPr>
        <w:pStyle w:val="BodyText"/>
      </w:pPr>
      <w:r w:rsidRPr="00764C20">
        <w:t>An adequate service territory map and a territory description have been provided as prescribed by Rule 25-30.</w:t>
      </w:r>
      <w:r w:rsidRPr="00B3636C">
        <w:t>036(</w:t>
      </w:r>
      <w:r w:rsidR="00B3636C" w:rsidRPr="00B3636C">
        <w:t>4</w:t>
      </w:r>
      <w:proofErr w:type="gramStart"/>
      <w:r w:rsidRPr="00B3636C">
        <w:t>)(</w:t>
      </w:r>
      <w:proofErr w:type="gramEnd"/>
      <w:r w:rsidR="00B3636C" w:rsidRPr="00B3636C">
        <w:t>e</w:t>
      </w:r>
      <w:r w:rsidRPr="00B3636C">
        <w:t>) and (</w:t>
      </w:r>
      <w:r w:rsidR="00B3636C" w:rsidRPr="00B3636C">
        <w:t>g</w:t>
      </w:r>
      <w:r w:rsidRPr="00B3636C">
        <w:t xml:space="preserve">), Florida Administrative Code (F.A.C.). A description of the territory requested to be deleted by the </w:t>
      </w:r>
      <w:r w:rsidR="00764C20" w:rsidRPr="00B3636C">
        <w:t>U</w:t>
      </w:r>
      <w:r w:rsidRPr="00B3636C">
        <w:t xml:space="preserve">tility is appended to this recommendation as Attachment A. The </w:t>
      </w:r>
      <w:r w:rsidR="00B3636C" w:rsidRPr="00B3636C">
        <w:t>U</w:t>
      </w:r>
      <w:r w:rsidRPr="00B3636C">
        <w:t>tility submitted an affidavit</w:t>
      </w:r>
      <w:r w:rsidR="009F5804">
        <w:t xml:space="preserve"> with its January 8, 2020</w:t>
      </w:r>
      <w:r w:rsidR="00340240">
        <w:t>,</w:t>
      </w:r>
      <w:r w:rsidR="009F5804">
        <w:t xml:space="preserve"> application</w:t>
      </w:r>
      <w:r w:rsidRPr="00B3636C">
        <w:t xml:space="preserve"> consistent with </w:t>
      </w:r>
      <w:r w:rsidR="00B3636C" w:rsidRPr="00B3636C">
        <w:t>Rule</w:t>
      </w:r>
      <w:r w:rsidRPr="00B3636C">
        <w:t xml:space="preserve"> </w:t>
      </w:r>
      <w:r w:rsidR="00B3636C" w:rsidRPr="00B3636C">
        <w:t>25-30.03</w:t>
      </w:r>
      <w:r w:rsidR="00EF3521">
        <w:t>6</w:t>
      </w:r>
      <w:r w:rsidRPr="00B3636C">
        <w:t>(</w:t>
      </w:r>
      <w:r w:rsidR="00B3636C" w:rsidRPr="00B3636C">
        <w:t>4</w:t>
      </w:r>
      <w:proofErr w:type="gramStart"/>
      <w:r w:rsidRPr="00B3636C">
        <w:t>)(</w:t>
      </w:r>
      <w:proofErr w:type="gramEnd"/>
      <w:r w:rsidR="00B3636C" w:rsidRPr="00B3636C">
        <w:t>k</w:t>
      </w:r>
      <w:r w:rsidRPr="00B3636C">
        <w:t>), F.</w:t>
      </w:r>
      <w:r w:rsidR="00B3636C" w:rsidRPr="00B3636C">
        <w:t>A.C</w:t>
      </w:r>
      <w:r w:rsidRPr="00B3636C">
        <w:t xml:space="preserve">., </w:t>
      </w:r>
      <w:r w:rsidR="009F5804">
        <w:t xml:space="preserve">stating </w:t>
      </w:r>
      <w:r w:rsidRPr="00B3636C">
        <w:t xml:space="preserve">that it has tariffs and annual reports on file with the Commission. </w:t>
      </w:r>
      <w:r w:rsidR="0089283A" w:rsidRPr="0089283A">
        <w:rPr>
          <w:iCs/>
        </w:rPr>
        <w:t>Within its application, the Utility indicated it had filed its 2018 Annual Report. The Utility has requested an additional extension through June 1, 2020, to file its 2019 Annual Report.</w:t>
      </w:r>
      <w:r w:rsidR="009F5804" w:rsidRPr="0089283A">
        <w:t xml:space="preserve"> </w:t>
      </w:r>
      <w:r w:rsidRPr="0089283A">
        <w:t>I</w:t>
      </w:r>
      <w:r w:rsidRPr="00764C20">
        <w:t>n addition, the application contains proof of compliance with the noticing provisions set forth in Rule 25-30.030, F.A.C. No objections to the application have been received and the time for filing such has expired.</w:t>
      </w:r>
    </w:p>
    <w:p w:rsidR="00D423F9" w:rsidRPr="00B3636C" w:rsidRDefault="001854D0" w:rsidP="001854D0">
      <w:pPr>
        <w:pStyle w:val="BodyText"/>
      </w:pPr>
      <w:r w:rsidRPr="00B3636C">
        <w:t xml:space="preserve">Staff recommends that it is in the public interest to approve the application filed by </w:t>
      </w:r>
      <w:r w:rsidR="00B3636C" w:rsidRPr="00B3636C">
        <w:t>SSU</w:t>
      </w:r>
      <w:r w:rsidRPr="00B3636C">
        <w:t xml:space="preserve"> to amend its water certificate to delete the territory shown on Attachment A from its certificated service area. </w:t>
      </w:r>
      <w:proofErr w:type="gramStart"/>
      <w:r w:rsidRPr="00B3636C">
        <w:t xml:space="preserve">The resultant Commission order should serve as </w:t>
      </w:r>
      <w:r w:rsidR="00B3636C" w:rsidRPr="00B3636C">
        <w:t>SSU</w:t>
      </w:r>
      <w:r w:rsidR="00340240">
        <w:t>’</w:t>
      </w:r>
      <w:r w:rsidRPr="00B3636C">
        <w:t>s amended certificate and should be retained by the Utility.</w:t>
      </w:r>
      <w:proofErr w:type="gramEnd"/>
    </w:p>
    <w:p w:rsidR="00D42858" w:rsidRDefault="00D42858">
      <w:pPr>
        <w:pStyle w:val="IssueHeading"/>
        <w:rPr>
          <w:vanish/>
          <w:specVanish/>
        </w:rPr>
      </w:pPr>
      <w:r w:rsidRPr="004C3641">
        <w:rPr>
          <w:b w:val="0"/>
          <w:i w:val="0"/>
        </w:rPr>
        <w:br w:type="page"/>
      </w:r>
      <w:r w:rsidRPr="004C3641">
        <w:t xml:space="preserve">Issue </w:t>
      </w:r>
      <w:r w:rsidR="00E26A1B">
        <w:rPr>
          <w:noProof/>
        </w:rPr>
        <w:fldChar w:fldCharType="begin"/>
      </w:r>
      <w:r w:rsidR="00E26A1B">
        <w:rPr>
          <w:noProof/>
        </w:rPr>
        <w:instrText xml:space="preserve"> SEQ Issue \* MERGEFORMAT </w:instrText>
      </w:r>
      <w:r w:rsidR="00E26A1B">
        <w:rPr>
          <w:noProof/>
        </w:rPr>
        <w:fldChar w:fldCharType="separate"/>
      </w:r>
      <w:r>
        <w:rPr>
          <w:noProof/>
        </w:rPr>
        <w:t>2</w:t>
      </w:r>
      <w:r w:rsidR="00E26A1B">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 \l 1 </w:instrText>
      </w:r>
      <w:r>
        <w:fldChar w:fldCharType="end"/>
      </w:r>
      <w:r>
        <w:t> </w:t>
      </w:r>
    </w:p>
    <w:p w:rsidR="00D42858" w:rsidRDefault="00D42858">
      <w:pPr>
        <w:pStyle w:val="BodyText"/>
      </w:pPr>
      <w:r>
        <w:t>Should this docket be closed?</w:t>
      </w:r>
    </w:p>
    <w:p w:rsidR="00D42858" w:rsidRPr="004C3641" w:rsidRDefault="00D42858">
      <w:pPr>
        <w:pStyle w:val="IssueSubsectionHeading"/>
        <w:rPr>
          <w:vanish/>
          <w:specVanish/>
        </w:rPr>
      </w:pPr>
      <w:r w:rsidRPr="004C3641">
        <w:t>Recommendation: </w:t>
      </w:r>
    </w:p>
    <w:p w:rsidR="00D42858" w:rsidRDefault="00C2271B">
      <w:pPr>
        <w:pStyle w:val="BodyText"/>
      </w:pPr>
      <w:r w:rsidRPr="00C2271B">
        <w:t>Yes</w:t>
      </w:r>
      <w:r w:rsidR="00340240">
        <w:t>. I</w:t>
      </w:r>
      <w:r w:rsidRPr="00C2271B">
        <w:t>f staff</w:t>
      </w:r>
      <w:r w:rsidR="00340240">
        <w:t>’</w:t>
      </w:r>
      <w:r w:rsidRPr="00C2271B">
        <w:t>s recommendation in Issue 1 is approved, no further action is required, and the docket should be closed. (</w:t>
      </w:r>
      <w:r>
        <w:t>Lherisson</w:t>
      </w:r>
      <w:r w:rsidRPr="00C2271B">
        <w:t>)</w:t>
      </w:r>
      <w:r w:rsidR="00D42858">
        <w:t xml:space="preserve"> </w:t>
      </w:r>
    </w:p>
    <w:p w:rsidR="00D42858" w:rsidRPr="004C3641" w:rsidRDefault="00D42858">
      <w:pPr>
        <w:pStyle w:val="IssueSubsectionHeading"/>
        <w:rPr>
          <w:vanish/>
          <w:specVanish/>
        </w:rPr>
      </w:pPr>
      <w:r w:rsidRPr="004C3641">
        <w:t>Staff Analysis: </w:t>
      </w:r>
    </w:p>
    <w:p w:rsidR="00D42858" w:rsidRDefault="00C2271B">
      <w:pPr>
        <w:pStyle w:val="BodyText"/>
      </w:pPr>
      <w:r w:rsidRPr="00C2271B">
        <w:t>I</w:t>
      </w:r>
      <w:r>
        <w:t>f I</w:t>
      </w:r>
      <w:r w:rsidRPr="00C2271B">
        <w:t>ssue 1 is approved, no further action is required, and the docket should be closed.</w:t>
      </w:r>
    </w:p>
    <w:p w:rsidR="00D42858" w:rsidRDefault="00D42858" w:rsidP="00E275D8">
      <w:pPr>
        <w:pStyle w:val="BodyText"/>
        <w:sectPr w:rsidR="00D42858" w:rsidSect="0068481F">
          <w:headerReference w:type="default" r:id="rId11"/>
          <w:foot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6B0507" w:rsidRDefault="006B0507" w:rsidP="00E275D8">
      <w:pPr>
        <w:pStyle w:val="BodyText"/>
      </w:pPr>
      <w:r>
        <w:rPr>
          <w:noProof/>
        </w:rPr>
        <w:drawing>
          <wp:inline distT="0" distB="0" distL="0" distR="0">
            <wp:extent cx="5943600" cy="76917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691755"/>
                    </a:xfrm>
                    <a:prstGeom prst="rect">
                      <a:avLst/>
                    </a:prstGeom>
                  </pic:spPr>
                </pic:pic>
              </a:graphicData>
            </a:graphic>
          </wp:inline>
        </w:drawing>
      </w:r>
    </w:p>
    <w:p w:rsidR="006B0507" w:rsidRDefault="006B0507" w:rsidP="006B0507">
      <w:r>
        <w:br w:type="page"/>
      </w:r>
    </w:p>
    <w:p w:rsidR="006B0507" w:rsidRDefault="006B0507" w:rsidP="00E275D8">
      <w:pPr>
        <w:pStyle w:val="BodyText"/>
      </w:pPr>
      <w:r>
        <w:rPr>
          <w:noProof/>
        </w:rPr>
        <w:drawing>
          <wp:inline distT="0" distB="0" distL="0" distR="0">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691755"/>
                    </a:xfrm>
                    <a:prstGeom prst="rect">
                      <a:avLst/>
                    </a:prstGeom>
                  </pic:spPr>
                </pic:pic>
              </a:graphicData>
            </a:graphic>
          </wp:inline>
        </w:drawing>
      </w:r>
    </w:p>
    <w:p w:rsidR="006B0507" w:rsidRDefault="006B0507" w:rsidP="006B0507">
      <w:r>
        <w:br w:type="page"/>
      </w:r>
    </w:p>
    <w:p w:rsidR="006B0507" w:rsidRDefault="006B0507" w:rsidP="00E275D8">
      <w:pPr>
        <w:pStyle w:val="BodyText"/>
      </w:pPr>
      <w:r>
        <w:rPr>
          <w:noProof/>
        </w:rPr>
        <w:drawing>
          <wp:inline distT="0" distB="0" distL="0" distR="0">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691755"/>
                    </a:xfrm>
                    <a:prstGeom prst="rect">
                      <a:avLst/>
                    </a:prstGeom>
                  </pic:spPr>
                </pic:pic>
              </a:graphicData>
            </a:graphic>
          </wp:inline>
        </w:drawing>
      </w:r>
    </w:p>
    <w:p w:rsidR="006B0507" w:rsidRDefault="006B0507" w:rsidP="006B0507">
      <w:r>
        <w:br w:type="page"/>
      </w:r>
    </w:p>
    <w:p w:rsidR="006B0507" w:rsidRDefault="006B0507" w:rsidP="00E275D8">
      <w:pPr>
        <w:pStyle w:val="BodyText"/>
      </w:pPr>
      <w:r>
        <w:rPr>
          <w:noProof/>
        </w:rPr>
        <w:drawing>
          <wp:inline distT="0" distB="0" distL="0" distR="0">
            <wp:extent cx="5943600" cy="769175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691755"/>
                    </a:xfrm>
                    <a:prstGeom prst="rect">
                      <a:avLst/>
                    </a:prstGeom>
                  </pic:spPr>
                </pic:pic>
              </a:graphicData>
            </a:graphic>
          </wp:inline>
        </w:drawing>
      </w:r>
    </w:p>
    <w:p w:rsidR="006B0507" w:rsidRDefault="006B0507" w:rsidP="006B0507">
      <w:r>
        <w:br w:type="page"/>
      </w:r>
    </w:p>
    <w:p w:rsidR="006B0507" w:rsidRDefault="006B0507" w:rsidP="00E275D8">
      <w:pPr>
        <w:pStyle w:val="BodyText"/>
      </w:pPr>
      <w:r>
        <w:rPr>
          <w:noProof/>
        </w:rPr>
        <w:drawing>
          <wp:inline distT="0" distB="0" distL="0" distR="0">
            <wp:extent cx="5943600" cy="7691755"/>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691755"/>
                    </a:xfrm>
                    <a:prstGeom prst="rect">
                      <a:avLst/>
                    </a:prstGeom>
                  </pic:spPr>
                </pic:pic>
              </a:graphicData>
            </a:graphic>
          </wp:inline>
        </w:drawing>
      </w:r>
    </w:p>
    <w:p w:rsidR="006B0507" w:rsidRDefault="006B0507" w:rsidP="006B0507">
      <w:r>
        <w:br w:type="page"/>
      </w:r>
    </w:p>
    <w:p w:rsidR="006B0507" w:rsidRDefault="006B0507" w:rsidP="00E275D8">
      <w:pPr>
        <w:pStyle w:val="BodyText"/>
      </w:pPr>
      <w:r>
        <w:rPr>
          <w:noProof/>
        </w:rPr>
        <w:drawing>
          <wp:inline distT="0" distB="0" distL="0" distR="0">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691755"/>
                    </a:xfrm>
                    <a:prstGeom prst="rect">
                      <a:avLst/>
                    </a:prstGeom>
                  </pic:spPr>
                </pic:pic>
              </a:graphicData>
            </a:graphic>
          </wp:inline>
        </w:drawing>
      </w:r>
    </w:p>
    <w:p w:rsidR="006B0507" w:rsidRDefault="006B0507" w:rsidP="006B0507">
      <w:r>
        <w:br w:type="page"/>
      </w:r>
    </w:p>
    <w:p w:rsidR="006B0507" w:rsidRDefault="006B0507" w:rsidP="00E275D8">
      <w:pPr>
        <w:pStyle w:val="BodyText"/>
      </w:pPr>
      <w:r>
        <w:rPr>
          <w:noProof/>
        </w:rPr>
        <w:drawing>
          <wp:inline distT="0" distB="0" distL="0" distR="0">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691755"/>
                    </a:xfrm>
                    <a:prstGeom prst="rect">
                      <a:avLst/>
                    </a:prstGeom>
                  </pic:spPr>
                </pic:pic>
              </a:graphicData>
            </a:graphic>
          </wp:inline>
        </w:drawing>
      </w:r>
    </w:p>
    <w:p w:rsidR="006B0507" w:rsidRDefault="006B0507" w:rsidP="006B0507">
      <w:r>
        <w:br w:type="page"/>
      </w:r>
    </w:p>
    <w:p w:rsidR="006B0507" w:rsidRDefault="006B0507" w:rsidP="00E275D8">
      <w:pPr>
        <w:pStyle w:val="BodyText"/>
      </w:pPr>
      <w:r>
        <w:rPr>
          <w:noProof/>
        </w:rPr>
        <w:drawing>
          <wp:inline distT="0" distB="0" distL="0" distR="0">
            <wp:extent cx="5943600" cy="76917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691755"/>
                    </a:xfrm>
                    <a:prstGeom prst="rect">
                      <a:avLst/>
                    </a:prstGeom>
                  </pic:spPr>
                </pic:pic>
              </a:graphicData>
            </a:graphic>
          </wp:inline>
        </w:drawing>
      </w:r>
    </w:p>
    <w:p w:rsidR="006B0507" w:rsidRDefault="006B0507" w:rsidP="006B0507">
      <w:r>
        <w:br w:type="page"/>
      </w:r>
    </w:p>
    <w:p w:rsidR="006B0507" w:rsidRDefault="006B0507" w:rsidP="00E275D8">
      <w:pPr>
        <w:pStyle w:val="BodyText"/>
      </w:pPr>
      <w:r>
        <w:rPr>
          <w:noProof/>
        </w:rPr>
        <w:drawing>
          <wp:inline distT="0" distB="0" distL="0" distR="0">
            <wp:extent cx="5943600" cy="7691755"/>
            <wp:effectExtent l="0" t="0" r="0" b="4445"/>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691755"/>
                    </a:xfrm>
                    <a:prstGeom prst="rect">
                      <a:avLst/>
                    </a:prstGeom>
                  </pic:spPr>
                </pic:pic>
              </a:graphicData>
            </a:graphic>
          </wp:inline>
        </w:drawing>
      </w:r>
    </w:p>
    <w:p w:rsidR="006B0507" w:rsidRDefault="006B0507" w:rsidP="006B0507">
      <w:r>
        <w:br w:type="page"/>
      </w:r>
    </w:p>
    <w:p w:rsidR="006B0507" w:rsidRDefault="006B0507" w:rsidP="00E275D8">
      <w:pPr>
        <w:pStyle w:val="BodyText"/>
      </w:pPr>
      <w:r>
        <w:rPr>
          <w:noProof/>
        </w:rPr>
        <w:drawing>
          <wp:inline distT="0" distB="0" distL="0" distR="0">
            <wp:extent cx="5943600" cy="7691755"/>
            <wp:effectExtent l="0" t="0" r="0" b="4445"/>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7691755"/>
                    </a:xfrm>
                    <a:prstGeom prst="rect">
                      <a:avLst/>
                    </a:prstGeom>
                  </pic:spPr>
                </pic:pic>
              </a:graphicData>
            </a:graphic>
          </wp:inline>
        </w:drawing>
      </w:r>
    </w:p>
    <w:p w:rsidR="006B0507" w:rsidRDefault="006B0507" w:rsidP="006B0507">
      <w:r>
        <w:br w:type="page"/>
      </w:r>
    </w:p>
    <w:p w:rsidR="006B0507" w:rsidRDefault="006B0507" w:rsidP="00E275D8">
      <w:pPr>
        <w:pStyle w:val="BodyText"/>
      </w:pPr>
      <w:r>
        <w:rPr>
          <w:noProof/>
        </w:rPr>
        <w:drawing>
          <wp:inline distT="0" distB="0" distL="0" distR="0">
            <wp:extent cx="5943600" cy="7691755"/>
            <wp:effectExtent l="0" t="0" r="0" b="4445"/>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691755"/>
                    </a:xfrm>
                    <a:prstGeom prst="rect">
                      <a:avLst/>
                    </a:prstGeom>
                  </pic:spPr>
                </pic:pic>
              </a:graphicData>
            </a:graphic>
          </wp:inline>
        </w:drawing>
      </w:r>
    </w:p>
    <w:p w:rsidR="006B0507" w:rsidRDefault="006B0507" w:rsidP="006B0507">
      <w:r>
        <w:br w:type="page"/>
      </w:r>
    </w:p>
    <w:p w:rsidR="006B0507" w:rsidRDefault="006B0507" w:rsidP="00E275D8">
      <w:pPr>
        <w:pStyle w:val="BodyText"/>
      </w:pPr>
      <w:r>
        <w:rPr>
          <w:noProof/>
        </w:rPr>
        <w:drawing>
          <wp:inline distT="0" distB="0" distL="0" distR="0">
            <wp:extent cx="5943600" cy="7691755"/>
            <wp:effectExtent l="0" t="0" r="0" b="4445"/>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691755"/>
                    </a:xfrm>
                    <a:prstGeom prst="rect">
                      <a:avLst/>
                    </a:prstGeom>
                  </pic:spPr>
                </pic:pic>
              </a:graphicData>
            </a:graphic>
          </wp:inline>
        </w:drawing>
      </w:r>
    </w:p>
    <w:p w:rsidR="006B0507" w:rsidRDefault="006B0507" w:rsidP="006B0507">
      <w:r>
        <w:br w:type="page"/>
      </w:r>
    </w:p>
    <w:p w:rsidR="006B0507" w:rsidRDefault="006B0507" w:rsidP="00E275D8">
      <w:pPr>
        <w:pStyle w:val="BodyText"/>
      </w:pPr>
      <w:r>
        <w:rPr>
          <w:noProof/>
        </w:rPr>
        <w:drawing>
          <wp:inline distT="0" distB="0" distL="0" distR="0">
            <wp:extent cx="5943600" cy="7691755"/>
            <wp:effectExtent l="0" t="0" r="0" b="4445"/>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7691755"/>
                    </a:xfrm>
                    <a:prstGeom prst="rect">
                      <a:avLst/>
                    </a:prstGeom>
                  </pic:spPr>
                </pic:pic>
              </a:graphicData>
            </a:graphic>
          </wp:inline>
        </w:drawing>
      </w:r>
    </w:p>
    <w:p w:rsidR="006B0507" w:rsidRDefault="006B0507" w:rsidP="006B0507">
      <w:r>
        <w:br w:type="page"/>
      </w:r>
    </w:p>
    <w:p w:rsidR="006B0507" w:rsidRDefault="006B0507" w:rsidP="00E275D8">
      <w:pPr>
        <w:pStyle w:val="BodyText"/>
      </w:pPr>
      <w:r>
        <w:rPr>
          <w:noProof/>
        </w:rPr>
        <w:drawing>
          <wp:inline distT="0" distB="0" distL="0" distR="0">
            <wp:extent cx="5943600" cy="7691755"/>
            <wp:effectExtent l="0" t="0" r="0" b="4445"/>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7691755"/>
                    </a:xfrm>
                    <a:prstGeom prst="rect">
                      <a:avLst/>
                    </a:prstGeom>
                  </pic:spPr>
                </pic:pic>
              </a:graphicData>
            </a:graphic>
          </wp:inline>
        </w:drawing>
      </w:r>
    </w:p>
    <w:p w:rsidR="006B0507" w:rsidRDefault="006B0507" w:rsidP="006B0507">
      <w:r>
        <w:br w:type="page"/>
      </w:r>
    </w:p>
    <w:p w:rsidR="006B0507" w:rsidRDefault="006B0507" w:rsidP="00E275D8">
      <w:pPr>
        <w:pStyle w:val="BodyText"/>
      </w:pPr>
      <w:r>
        <w:rPr>
          <w:noProof/>
        </w:rPr>
        <w:drawing>
          <wp:inline distT="0" distB="0" distL="0" distR="0">
            <wp:extent cx="5943600" cy="7691755"/>
            <wp:effectExtent l="0" t="0" r="0" b="4445"/>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7691755"/>
                    </a:xfrm>
                    <a:prstGeom prst="rect">
                      <a:avLst/>
                    </a:prstGeom>
                  </pic:spPr>
                </pic:pic>
              </a:graphicData>
            </a:graphic>
          </wp:inline>
        </w:drawing>
      </w:r>
    </w:p>
    <w:p w:rsidR="006B0507" w:rsidRDefault="006B0507" w:rsidP="006B0507">
      <w:r>
        <w:br w:type="page"/>
      </w:r>
    </w:p>
    <w:p w:rsidR="006B0507" w:rsidRDefault="006B0507" w:rsidP="00E275D8">
      <w:pPr>
        <w:pStyle w:val="BodyText"/>
      </w:pPr>
      <w:r>
        <w:rPr>
          <w:noProof/>
        </w:rPr>
        <w:drawing>
          <wp:inline distT="0" distB="0" distL="0" distR="0">
            <wp:extent cx="5943600" cy="7691755"/>
            <wp:effectExtent l="0" t="0" r="0" b="4445"/>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7691755"/>
                    </a:xfrm>
                    <a:prstGeom prst="rect">
                      <a:avLst/>
                    </a:prstGeom>
                  </pic:spPr>
                </pic:pic>
              </a:graphicData>
            </a:graphic>
          </wp:inline>
        </w:drawing>
      </w:r>
    </w:p>
    <w:p w:rsidR="006B0507" w:rsidRDefault="006B0507" w:rsidP="006B0507">
      <w:r>
        <w:br w:type="page"/>
      </w:r>
    </w:p>
    <w:p w:rsidR="006B0507" w:rsidRDefault="006B0507" w:rsidP="00E275D8">
      <w:pPr>
        <w:pStyle w:val="BodyText"/>
      </w:pPr>
      <w:r>
        <w:rPr>
          <w:noProof/>
        </w:rPr>
        <w:drawing>
          <wp:inline distT="0" distB="0" distL="0" distR="0">
            <wp:extent cx="5943600" cy="7691755"/>
            <wp:effectExtent l="0" t="0" r="0" b="4445"/>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7691755"/>
                    </a:xfrm>
                    <a:prstGeom prst="rect">
                      <a:avLst/>
                    </a:prstGeom>
                  </pic:spPr>
                </pic:pic>
              </a:graphicData>
            </a:graphic>
          </wp:inline>
        </w:drawing>
      </w:r>
    </w:p>
    <w:p w:rsidR="006B0507" w:rsidRDefault="006B0507" w:rsidP="006B0507">
      <w:r>
        <w:br w:type="page"/>
      </w:r>
    </w:p>
    <w:p w:rsidR="006B0507" w:rsidRDefault="006B0507" w:rsidP="00E275D8">
      <w:pPr>
        <w:pStyle w:val="BodyText"/>
      </w:pPr>
      <w:r>
        <w:rPr>
          <w:noProof/>
        </w:rPr>
        <w:drawing>
          <wp:inline distT="0" distB="0" distL="0" distR="0">
            <wp:extent cx="5943600" cy="7691755"/>
            <wp:effectExtent l="0" t="0" r="0" b="4445"/>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7691755"/>
                    </a:xfrm>
                    <a:prstGeom prst="rect">
                      <a:avLst/>
                    </a:prstGeom>
                  </pic:spPr>
                </pic:pic>
              </a:graphicData>
            </a:graphic>
          </wp:inline>
        </w:drawing>
      </w:r>
    </w:p>
    <w:p w:rsidR="006B0507" w:rsidRDefault="006B0507" w:rsidP="006B0507">
      <w:r>
        <w:br w:type="page"/>
      </w:r>
    </w:p>
    <w:p w:rsidR="006B0507" w:rsidRDefault="006B0507" w:rsidP="00E275D8">
      <w:pPr>
        <w:pStyle w:val="BodyText"/>
      </w:pPr>
      <w:r>
        <w:rPr>
          <w:noProof/>
        </w:rPr>
        <w:drawing>
          <wp:inline distT="0" distB="0" distL="0" distR="0">
            <wp:extent cx="5943600" cy="7691755"/>
            <wp:effectExtent l="0" t="0" r="0" b="4445"/>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7691755"/>
                    </a:xfrm>
                    <a:prstGeom prst="rect">
                      <a:avLst/>
                    </a:prstGeom>
                  </pic:spPr>
                </pic:pic>
              </a:graphicData>
            </a:graphic>
          </wp:inline>
        </w:drawing>
      </w:r>
    </w:p>
    <w:p w:rsidR="006B0507" w:rsidRDefault="006B0507" w:rsidP="006B0507">
      <w:r>
        <w:br w:type="page"/>
      </w:r>
    </w:p>
    <w:p w:rsidR="006B0507" w:rsidRDefault="006B0507" w:rsidP="00E275D8">
      <w:pPr>
        <w:pStyle w:val="BodyText"/>
      </w:pPr>
      <w:r>
        <w:rPr>
          <w:noProof/>
        </w:rPr>
        <w:drawing>
          <wp:inline distT="0" distB="0" distL="0" distR="0">
            <wp:extent cx="5943600" cy="7691755"/>
            <wp:effectExtent l="0" t="0" r="0" b="4445"/>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7691755"/>
                    </a:xfrm>
                    <a:prstGeom prst="rect">
                      <a:avLst/>
                    </a:prstGeom>
                  </pic:spPr>
                </pic:pic>
              </a:graphicData>
            </a:graphic>
          </wp:inline>
        </w:drawing>
      </w:r>
    </w:p>
    <w:p w:rsidR="006B0507" w:rsidRDefault="006B0507" w:rsidP="006B0507">
      <w:r>
        <w:br w:type="page"/>
      </w:r>
    </w:p>
    <w:p w:rsidR="006B0507" w:rsidRDefault="006B0507" w:rsidP="00E275D8">
      <w:pPr>
        <w:pStyle w:val="BodyText"/>
      </w:pPr>
      <w:r>
        <w:rPr>
          <w:noProof/>
        </w:rPr>
        <w:drawing>
          <wp:inline distT="0" distB="0" distL="0" distR="0">
            <wp:extent cx="5943600" cy="7691755"/>
            <wp:effectExtent l="0" t="0" r="0" b="4445"/>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7691755"/>
                    </a:xfrm>
                    <a:prstGeom prst="rect">
                      <a:avLst/>
                    </a:prstGeom>
                  </pic:spPr>
                </pic:pic>
              </a:graphicData>
            </a:graphic>
          </wp:inline>
        </w:drawing>
      </w:r>
    </w:p>
    <w:p w:rsidR="006B0507" w:rsidRDefault="006B0507" w:rsidP="006B0507">
      <w:r>
        <w:br w:type="page"/>
      </w:r>
    </w:p>
    <w:p w:rsidR="006B0507" w:rsidRDefault="006B0507" w:rsidP="00E275D8">
      <w:pPr>
        <w:pStyle w:val="BodyText"/>
      </w:pPr>
      <w:r>
        <w:rPr>
          <w:noProof/>
        </w:rPr>
        <w:drawing>
          <wp:inline distT="0" distB="0" distL="0" distR="0">
            <wp:extent cx="5943600" cy="7691755"/>
            <wp:effectExtent l="0" t="0" r="0" b="4445"/>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7691755"/>
                    </a:xfrm>
                    <a:prstGeom prst="rect">
                      <a:avLst/>
                    </a:prstGeom>
                  </pic:spPr>
                </pic:pic>
              </a:graphicData>
            </a:graphic>
          </wp:inline>
        </w:drawing>
      </w:r>
    </w:p>
    <w:p w:rsidR="006B0507" w:rsidRDefault="006B0507" w:rsidP="006B0507">
      <w:r>
        <w:br w:type="page"/>
      </w:r>
    </w:p>
    <w:p w:rsidR="006B0507" w:rsidRDefault="006B0507" w:rsidP="00E275D8">
      <w:pPr>
        <w:pStyle w:val="BodyText"/>
      </w:pPr>
      <w:r>
        <w:rPr>
          <w:noProof/>
        </w:rPr>
        <w:drawing>
          <wp:inline distT="0" distB="0" distL="0" distR="0">
            <wp:extent cx="5943600" cy="7691755"/>
            <wp:effectExtent l="0" t="0" r="0" b="4445"/>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7691755"/>
                    </a:xfrm>
                    <a:prstGeom prst="rect">
                      <a:avLst/>
                    </a:prstGeom>
                  </pic:spPr>
                </pic:pic>
              </a:graphicData>
            </a:graphic>
          </wp:inline>
        </w:drawing>
      </w:r>
    </w:p>
    <w:p w:rsidR="006B0507" w:rsidRDefault="006B0507" w:rsidP="006B0507">
      <w:r>
        <w:br w:type="page"/>
      </w:r>
    </w:p>
    <w:p w:rsidR="006B0507" w:rsidRDefault="006B0507" w:rsidP="00E275D8">
      <w:pPr>
        <w:pStyle w:val="BodyText"/>
      </w:pPr>
      <w:r>
        <w:rPr>
          <w:noProof/>
        </w:rPr>
        <w:drawing>
          <wp:inline distT="0" distB="0" distL="0" distR="0">
            <wp:extent cx="5943600" cy="7691755"/>
            <wp:effectExtent l="0" t="0" r="0" b="4445"/>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7691755"/>
                    </a:xfrm>
                    <a:prstGeom prst="rect">
                      <a:avLst/>
                    </a:prstGeom>
                  </pic:spPr>
                </pic:pic>
              </a:graphicData>
            </a:graphic>
          </wp:inline>
        </w:drawing>
      </w:r>
    </w:p>
    <w:p w:rsidR="006B0507" w:rsidRDefault="006B0507" w:rsidP="006B0507">
      <w:r>
        <w:br w:type="page"/>
      </w:r>
    </w:p>
    <w:p w:rsidR="00D42858" w:rsidRDefault="006B0507" w:rsidP="00E275D8">
      <w:pPr>
        <w:pStyle w:val="BodyText"/>
      </w:pPr>
      <w:r>
        <w:rPr>
          <w:noProof/>
        </w:rPr>
        <w:drawing>
          <wp:inline distT="0" distB="0" distL="0" distR="0">
            <wp:extent cx="5943600" cy="7691755"/>
            <wp:effectExtent l="0" t="0" r="0" b="4445"/>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7691755"/>
                    </a:xfrm>
                    <a:prstGeom prst="rect">
                      <a:avLst/>
                    </a:prstGeom>
                  </pic:spPr>
                </pic:pic>
              </a:graphicData>
            </a:graphic>
          </wp:inline>
        </w:drawing>
      </w:r>
    </w:p>
    <w:sectPr w:rsidR="00D42858" w:rsidSect="0068481F">
      <w:headerReference w:type="default" r:id="rId40"/>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6A1B" w:rsidRDefault="00E26A1B">
      <w:r>
        <w:separator/>
      </w:r>
    </w:p>
  </w:endnote>
  <w:endnote w:type="continuationSeparator" w:id="0">
    <w:p w:rsidR="00E26A1B" w:rsidRDefault="00E26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8631D4">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858" w:rsidRDefault="00D42858">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8631D4">
      <w:rPr>
        <w:rStyle w:val="PageNumber"/>
        <w:noProof/>
      </w:rPr>
      <w:t>21</w:t>
    </w:r>
    <w:r>
      <w:rPr>
        <w:rStyle w:val="PageNumber"/>
      </w:rPr>
      <w:fldChar w:fldCharType="end"/>
    </w:r>
    <w:r>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6A1B" w:rsidRDefault="00E26A1B">
      <w:r>
        <w:separator/>
      </w:r>
    </w:p>
  </w:footnote>
  <w:footnote w:type="continuationSeparator" w:id="0">
    <w:p w:rsidR="00E26A1B" w:rsidRDefault="00E26A1B">
      <w:r>
        <w:continuationSeparator/>
      </w:r>
    </w:p>
  </w:footnote>
  <w:footnote w:id="1">
    <w:p w:rsidR="004F4C00" w:rsidRPr="004F4C00" w:rsidRDefault="004F4C00">
      <w:pPr>
        <w:pStyle w:val="FootnoteText"/>
      </w:pPr>
      <w:r>
        <w:rPr>
          <w:rStyle w:val="FootnoteReference"/>
        </w:rPr>
        <w:footnoteRef/>
      </w:r>
      <w:r>
        <w:t xml:space="preserve"> </w:t>
      </w:r>
      <w:r w:rsidRPr="004F4C00">
        <w:rPr>
          <w:color w:val="000000"/>
        </w:rPr>
        <w:t>The Utility has requested</w:t>
      </w:r>
      <w:r>
        <w:rPr>
          <w:color w:val="000000"/>
        </w:rPr>
        <w:t xml:space="preserve"> an extension to file its 2019 A</w:t>
      </w:r>
      <w:r w:rsidRPr="004F4C00">
        <w:rPr>
          <w:color w:val="000000"/>
        </w:rPr>
        <w:t xml:space="preserve">nnual </w:t>
      </w:r>
      <w:r>
        <w:rPr>
          <w:color w:val="000000"/>
        </w:rPr>
        <w:t>R</w:t>
      </w:r>
      <w:r w:rsidRPr="004F4C00">
        <w:rPr>
          <w:color w:val="000000"/>
        </w:rPr>
        <w:t>eport</w:t>
      </w:r>
      <w:r>
        <w:rPr>
          <w:color w:val="000000"/>
        </w:rPr>
        <w:t>.</w:t>
      </w:r>
    </w:p>
  </w:footnote>
  <w:footnote w:id="2">
    <w:p w:rsidR="00020A40" w:rsidRDefault="00020A40">
      <w:pPr>
        <w:pStyle w:val="FootnoteText"/>
      </w:pPr>
      <w:r>
        <w:rPr>
          <w:rStyle w:val="FootnoteReference"/>
        </w:rPr>
        <w:footnoteRef/>
      </w:r>
      <w:r>
        <w:t xml:space="preserve"> Document No. 00752-2020</w:t>
      </w:r>
      <w:r w:rsidR="00A9484C">
        <w:t>, filed February 3,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0558E9"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20200012-WS</w:t>
    </w:r>
    <w:bookmarkEnd w:id="15"/>
  </w:p>
  <w:p w:rsidR="00BC402E" w:rsidRDefault="00BC402E">
    <w:pPr>
      <w:pStyle w:val="Header"/>
    </w:pPr>
    <w:r>
      <w:t xml:space="preserve">Date: </w:t>
    </w:r>
    <w:r w:rsidR="00166D58">
      <w:fldChar w:fldCharType="begin"/>
    </w:r>
    <w:r w:rsidR="00166D58">
      <w:instrText xml:space="preserve"> REF FilingDate </w:instrText>
    </w:r>
    <w:r w:rsidR="00166D58">
      <w:fldChar w:fldCharType="separate"/>
    </w:r>
    <w:r w:rsidR="00D42858">
      <w:t>May 28, 2020</w:t>
    </w:r>
    <w:r w:rsidR="00166D58">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D42858">
      <w:t>Docket No.</w:t>
    </w:r>
    <w:r>
      <w:fldChar w:fldCharType="end"/>
    </w:r>
    <w:r>
      <w:t xml:space="preserve"> </w:t>
    </w:r>
    <w:r>
      <w:fldChar w:fldCharType="begin"/>
    </w:r>
    <w:r>
      <w:instrText xml:space="preserve"> REF DocketList</w:instrText>
    </w:r>
    <w:r>
      <w:fldChar w:fldCharType="separate"/>
    </w:r>
    <w:r w:rsidR="00D42858">
      <w:t>20200012-WS</w:t>
    </w:r>
    <w:r>
      <w:fldChar w:fldCharType="end"/>
    </w:r>
    <w:r>
      <w:tab/>
      <w:t xml:space="preserve">Issue </w:t>
    </w:r>
    <w:r w:rsidR="00166D58">
      <w:fldChar w:fldCharType="begin"/>
    </w:r>
    <w:r w:rsidR="00166D58">
      <w:instrText xml:space="preserve"> Seq Issue \c \* Arabic </w:instrText>
    </w:r>
    <w:r w:rsidR="00166D58">
      <w:fldChar w:fldCharType="separate"/>
    </w:r>
    <w:r w:rsidR="008631D4">
      <w:rPr>
        <w:noProof/>
      </w:rPr>
      <w:t>2</w:t>
    </w:r>
    <w:r w:rsidR="00166D58">
      <w:rPr>
        <w:noProof/>
      </w:rPr>
      <w:fldChar w:fldCharType="end"/>
    </w:r>
  </w:p>
  <w:p w:rsidR="00BC402E" w:rsidRDefault="00BC402E">
    <w:pPr>
      <w:pStyle w:val="Header"/>
    </w:pPr>
    <w:r>
      <w:t xml:space="preserve">Date: </w:t>
    </w:r>
    <w:r w:rsidR="00166D58">
      <w:fldChar w:fldCharType="begin"/>
    </w:r>
    <w:r w:rsidR="00166D58">
      <w:instrText xml:space="preserve"> REF FilingDate </w:instrText>
    </w:r>
    <w:r w:rsidR="00166D58">
      <w:fldChar w:fldCharType="separate"/>
    </w:r>
    <w:r w:rsidR="00D42858">
      <w:t>May 28, 2020</w:t>
    </w:r>
    <w:r w:rsidR="00166D58">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858" w:rsidRDefault="00D42858"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20200012-WS</w:t>
    </w:r>
    <w:r>
      <w:fldChar w:fldCharType="end"/>
    </w:r>
    <w:r>
      <w:tab/>
      <w:t>Attachment A</w:t>
    </w:r>
  </w:p>
  <w:p w:rsidR="00D42858" w:rsidRDefault="00D42858" w:rsidP="006B0507">
    <w:pPr>
      <w:pStyle w:val="Header"/>
      <w:tabs>
        <w:tab w:val="clear" w:pos="8640"/>
        <w:tab w:val="right" w:pos="9360"/>
      </w:tabs>
    </w:pPr>
    <w:r>
      <w:t xml:space="preserve">Date: </w:t>
    </w:r>
    <w:r w:rsidR="00166D58">
      <w:fldChar w:fldCharType="begin"/>
    </w:r>
    <w:r w:rsidR="00166D58">
      <w:instrText xml:space="preserve"> REF FilingDate </w:instrText>
    </w:r>
    <w:r w:rsidR="00166D58">
      <w:fldChar w:fldCharType="separate"/>
    </w:r>
    <w:r>
      <w:t>May 28, 2020</w:t>
    </w:r>
    <w:r w:rsidR="00166D58">
      <w:fldChar w:fldCharType="end"/>
    </w:r>
    <w:r w:rsidR="006B0507">
      <w:tab/>
    </w:r>
    <w:r w:rsidR="006B0507">
      <w:tab/>
      <w:t xml:space="preserve">Page </w:t>
    </w:r>
    <w:r w:rsidR="006B0507">
      <w:fldChar w:fldCharType="begin"/>
    </w:r>
    <w:r w:rsidR="006B0507">
      <w:instrText xml:space="preserve">= </w:instrText>
    </w:r>
    <w:r w:rsidR="006B0507">
      <w:fldChar w:fldCharType="begin"/>
    </w:r>
    <w:r w:rsidR="006B0507">
      <w:instrText xml:space="preserve">page  </w:instrText>
    </w:r>
    <w:r w:rsidR="006B0507">
      <w:fldChar w:fldCharType="separate"/>
    </w:r>
    <w:r w:rsidR="008631D4">
      <w:rPr>
        <w:noProof/>
      </w:rPr>
      <w:instrText>21</w:instrText>
    </w:r>
    <w:r w:rsidR="006B0507">
      <w:fldChar w:fldCharType="end"/>
    </w:r>
    <w:r w:rsidR="006B0507">
      <w:instrText>-</w:instrText>
    </w:r>
    <w:r w:rsidR="000E0DAA">
      <w:instrText>4</w:instrText>
    </w:r>
    <w:r w:rsidR="006B0507">
      <w:instrText xml:space="preserve"> </w:instrText>
    </w:r>
    <w:r w:rsidR="006B0507">
      <w:fldChar w:fldCharType="separate"/>
    </w:r>
    <w:r w:rsidR="008631D4">
      <w:rPr>
        <w:noProof/>
      </w:rPr>
      <w:t>17</w:t>
    </w:r>
    <w:r w:rsidR="006B0507">
      <w:fldChar w:fldCharType="end"/>
    </w:r>
    <w:r w:rsidR="006B0507">
      <w:t xml:space="preserve"> of 25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276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0558E9"/>
    <w:rsid w:val="000043D5"/>
    <w:rsid w:val="00006170"/>
    <w:rsid w:val="00010E37"/>
    <w:rsid w:val="000172DA"/>
    <w:rsid w:val="00020A40"/>
    <w:rsid w:val="000247C5"/>
    <w:rsid w:val="000277C2"/>
    <w:rsid w:val="00035B48"/>
    <w:rsid w:val="00036CE2"/>
    <w:rsid w:val="000437FE"/>
    <w:rsid w:val="000513BE"/>
    <w:rsid w:val="000558E9"/>
    <w:rsid w:val="00065A06"/>
    <w:rsid w:val="000666F3"/>
    <w:rsid w:val="00070DCB"/>
    <w:rsid w:val="00072CCA"/>
    <w:rsid w:val="00073120"/>
    <w:rsid w:val="000764D0"/>
    <w:rsid w:val="000828D3"/>
    <w:rsid w:val="000A2B57"/>
    <w:rsid w:val="000A418B"/>
    <w:rsid w:val="000C4431"/>
    <w:rsid w:val="000D1C06"/>
    <w:rsid w:val="000D4319"/>
    <w:rsid w:val="000E0DAA"/>
    <w:rsid w:val="000F374A"/>
    <w:rsid w:val="001076AF"/>
    <w:rsid w:val="00117C8C"/>
    <w:rsid w:val="00124C38"/>
    <w:rsid w:val="00124E2E"/>
    <w:rsid w:val="00125ED4"/>
    <w:rsid w:val="001305E9"/>
    <w:rsid w:val="001307AF"/>
    <w:rsid w:val="00135687"/>
    <w:rsid w:val="0015506E"/>
    <w:rsid w:val="00163031"/>
    <w:rsid w:val="00171A90"/>
    <w:rsid w:val="00180254"/>
    <w:rsid w:val="001854D0"/>
    <w:rsid w:val="00191E1F"/>
    <w:rsid w:val="00192943"/>
    <w:rsid w:val="001A7406"/>
    <w:rsid w:val="001B1C7A"/>
    <w:rsid w:val="001B4FEE"/>
    <w:rsid w:val="001B51C5"/>
    <w:rsid w:val="001B6F3F"/>
    <w:rsid w:val="001C52B5"/>
    <w:rsid w:val="001D0D3E"/>
    <w:rsid w:val="001F2245"/>
    <w:rsid w:val="001F2C63"/>
    <w:rsid w:val="001F48C7"/>
    <w:rsid w:val="001F6DA1"/>
    <w:rsid w:val="002044E6"/>
    <w:rsid w:val="00205C82"/>
    <w:rsid w:val="00205DC2"/>
    <w:rsid w:val="00212B17"/>
    <w:rsid w:val="002163B6"/>
    <w:rsid w:val="00220732"/>
    <w:rsid w:val="00221D32"/>
    <w:rsid w:val="00225C3F"/>
    <w:rsid w:val="00263D44"/>
    <w:rsid w:val="002702AD"/>
    <w:rsid w:val="00292D82"/>
    <w:rsid w:val="002963CB"/>
    <w:rsid w:val="002B4A01"/>
    <w:rsid w:val="002D226D"/>
    <w:rsid w:val="002F6030"/>
    <w:rsid w:val="003037E1"/>
    <w:rsid w:val="00307E51"/>
    <w:rsid w:val="003103EC"/>
    <w:rsid w:val="003144EF"/>
    <w:rsid w:val="00322F74"/>
    <w:rsid w:val="00340073"/>
    <w:rsid w:val="00340240"/>
    <w:rsid w:val="003632FD"/>
    <w:rsid w:val="00372805"/>
    <w:rsid w:val="00373180"/>
    <w:rsid w:val="00375AB9"/>
    <w:rsid w:val="003821A0"/>
    <w:rsid w:val="00385B04"/>
    <w:rsid w:val="003864CF"/>
    <w:rsid w:val="003948AE"/>
    <w:rsid w:val="003A22A6"/>
    <w:rsid w:val="003A5494"/>
    <w:rsid w:val="003B2510"/>
    <w:rsid w:val="003B62A8"/>
    <w:rsid w:val="003C2CC4"/>
    <w:rsid w:val="003C3710"/>
    <w:rsid w:val="003E0EFC"/>
    <w:rsid w:val="003E4A2B"/>
    <w:rsid w:val="003E76C2"/>
    <w:rsid w:val="003F1679"/>
    <w:rsid w:val="003F21EB"/>
    <w:rsid w:val="003F4A35"/>
    <w:rsid w:val="003F7FDD"/>
    <w:rsid w:val="00402481"/>
    <w:rsid w:val="004042B4"/>
    <w:rsid w:val="00410DC4"/>
    <w:rsid w:val="00412DAE"/>
    <w:rsid w:val="004240EB"/>
    <w:rsid w:val="004242E6"/>
    <w:rsid w:val="00431598"/>
    <w:rsid w:val="004319AD"/>
    <w:rsid w:val="004426B8"/>
    <w:rsid w:val="00444432"/>
    <w:rsid w:val="00471860"/>
    <w:rsid w:val="00477026"/>
    <w:rsid w:val="004A744D"/>
    <w:rsid w:val="004B60BD"/>
    <w:rsid w:val="004C3150"/>
    <w:rsid w:val="004C3641"/>
    <w:rsid w:val="004C4390"/>
    <w:rsid w:val="004C4AF7"/>
    <w:rsid w:val="004D2881"/>
    <w:rsid w:val="004D385F"/>
    <w:rsid w:val="004D5B39"/>
    <w:rsid w:val="004E330D"/>
    <w:rsid w:val="004E5147"/>
    <w:rsid w:val="004E69B5"/>
    <w:rsid w:val="004F4C00"/>
    <w:rsid w:val="004F5C43"/>
    <w:rsid w:val="0050652D"/>
    <w:rsid w:val="00506C03"/>
    <w:rsid w:val="00511A11"/>
    <w:rsid w:val="00516496"/>
    <w:rsid w:val="00523B11"/>
    <w:rsid w:val="0052572A"/>
    <w:rsid w:val="00532DFB"/>
    <w:rsid w:val="00543CB3"/>
    <w:rsid w:val="005442E4"/>
    <w:rsid w:val="0055529B"/>
    <w:rsid w:val="00560FF0"/>
    <w:rsid w:val="005614BD"/>
    <w:rsid w:val="00567A71"/>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43B6"/>
    <w:rsid w:val="0068481F"/>
    <w:rsid w:val="00696F5D"/>
    <w:rsid w:val="00697249"/>
    <w:rsid w:val="006B0507"/>
    <w:rsid w:val="006B3947"/>
    <w:rsid w:val="006B4293"/>
    <w:rsid w:val="006B624F"/>
    <w:rsid w:val="006C0C95"/>
    <w:rsid w:val="006C31E3"/>
    <w:rsid w:val="006D18D3"/>
    <w:rsid w:val="006E08CB"/>
    <w:rsid w:val="006E598D"/>
    <w:rsid w:val="0070437D"/>
    <w:rsid w:val="00704CF1"/>
    <w:rsid w:val="00705B04"/>
    <w:rsid w:val="00724992"/>
    <w:rsid w:val="0072516E"/>
    <w:rsid w:val="00734820"/>
    <w:rsid w:val="007349DC"/>
    <w:rsid w:val="0074365E"/>
    <w:rsid w:val="00744B55"/>
    <w:rsid w:val="00747E6B"/>
    <w:rsid w:val="007515FD"/>
    <w:rsid w:val="00760D80"/>
    <w:rsid w:val="00764C20"/>
    <w:rsid w:val="00770C88"/>
    <w:rsid w:val="00780C09"/>
    <w:rsid w:val="00780DDF"/>
    <w:rsid w:val="007834E9"/>
    <w:rsid w:val="00787DBC"/>
    <w:rsid w:val="0079019A"/>
    <w:rsid w:val="00792935"/>
    <w:rsid w:val="00792E52"/>
    <w:rsid w:val="007A04A1"/>
    <w:rsid w:val="007A1840"/>
    <w:rsid w:val="007C0528"/>
    <w:rsid w:val="007C3D38"/>
    <w:rsid w:val="007D0F35"/>
    <w:rsid w:val="007D4FEB"/>
    <w:rsid w:val="007D6146"/>
    <w:rsid w:val="007E0CE7"/>
    <w:rsid w:val="007F1193"/>
    <w:rsid w:val="007F417F"/>
    <w:rsid w:val="007F7644"/>
    <w:rsid w:val="008042BD"/>
    <w:rsid w:val="00816624"/>
    <w:rsid w:val="00822427"/>
    <w:rsid w:val="00822562"/>
    <w:rsid w:val="00823663"/>
    <w:rsid w:val="00832DDC"/>
    <w:rsid w:val="00850BAC"/>
    <w:rsid w:val="00854A3E"/>
    <w:rsid w:val="00855D08"/>
    <w:rsid w:val="008631D4"/>
    <w:rsid w:val="00874344"/>
    <w:rsid w:val="00882155"/>
    <w:rsid w:val="0088233B"/>
    <w:rsid w:val="0088599E"/>
    <w:rsid w:val="00886C37"/>
    <w:rsid w:val="0089283A"/>
    <w:rsid w:val="00892D99"/>
    <w:rsid w:val="00893315"/>
    <w:rsid w:val="008A22FA"/>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673A"/>
    <w:rsid w:val="009A3330"/>
    <w:rsid w:val="009A7C96"/>
    <w:rsid w:val="009C3DB9"/>
    <w:rsid w:val="009D46E5"/>
    <w:rsid w:val="009D568A"/>
    <w:rsid w:val="009F04EC"/>
    <w:rsid w:val="009F2A7C"/>
    <w:rsid w:val="009F3B36"/>
    <w:rsid w:val="009F5804"/>
    <w:rsid w:val="00A019B9"/>
    <w:rsid w:val="00A12508"/>
    <w:rsid w:val="00A1282B"/>
    <w:rsid w:val="00A13A27"/>
    <w:rsid w:val="00A175B6"/>
    <w:rsid w:val="00A20122"/>
    <w:rsid w:val="00A21835"/>
    <w:rsid w:val="00A2374B"/>
    <w:rsid w:val="00A27D6E"/>
    <w:rsid w:val="00A328EC"/>
    <w:rsid w:val="00A33A51"/>
    <w:rsid w:val="00A41CA6"/>
    <w:rsid w:val="00A47927"/>
    <w:rsid w:val="00A47FFC"/>
    <w:rsid w:val="00A5442F"/>
    <w:rsid w:val="00A54FF9"/>
    <w:rsid w:val="00A56765"/>
    <w:rsid w:val="00A675AC"/>
    <w:rsid w:val="00A7581F"/>
    <w:rsid w:val="00A92FB1"/>
    <w:rsid w:val="00A9484C"/>
    <w:rsid w:val="00A95A0C"/>
    <w:rsid w:val="00AA2765"/>
    <w:rsid w:val="00AA77B5"/>
    <w:rsid w:val="00AB6C5D"/>
    <w:rsid w:val="00AC3401"/>
    <w:rsid w:val="00AC51A7"/>
    <w:rsid w:val="00AD444B"/>
    <w:rsid w:val="00AD5614"/>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3636C"/>
    <w:rsid w:val="00B516ED"/>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E6DDB"/>
    <w:rsid w:val="00BF5010"/>
    <w:rsid w:val="00C03D5F"/>
    <w:rsid w:val="00C13791"/>
    <w:rsid w:val="00C2271B"/>
    <w:rsid w:val="00C31BB3"/>
    <w:rsid w:val="00C36977"/>
    <w:rsid w:val="00C467DA"/>
    <w:rsid w:val="00C477D9"/>
    <w:rsid w:val="00C60BA3"/>
    <w:rsid w:val="00C623F7"/>
    <w:rsid w:val="00C62A81"/>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2565"/>
    <w:rsid w:val="00D14127"/>
    <w:rsid w:val="00D423F9"/>
    <w:rsid w:val="00D42858"/>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F1510"/>
    <w:rsid w:val="00E02F1F"/>
    <w:rsid w:val="00E06484"/>
    <w:rsid w:val="00E20A7D"/>
    <w:rsid w:val="00E26A1B"/>
    <w:rsid w:val="00E275D8"/>
    <w:rsid w:val="00E30F6A"/>
    <w:rsid w:val="00E3117C"/>
    <w:rsid w:val="00E375CA"/>
    <w:rsid w:val="00E5364F"/>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3A87"/>
    <w:rsid w:val="00ED5B67"/>
    <w:rsid w:val="00EF264C"/>
    <w:rsid w:val="00EF3521"/>
    <w:rsid w:val="00EF3FEE"/>
    <w:rsid w:val="00F04B59"/>
    <w:rsid w:val="00F11741"/>
    <w:rsid w:val="00F12B1C"/>
    <w:rsid w:val="00F13CF8"/>
    <w:rsid w:val="00F15855"/>
    <w:rsid w:val="00F200B2"/>
    <w:rsid w:val="00F227DC"/>
    <w:rsid w:val="00F32978"/>
    <w:rsid w:val="00F42FF3"/>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5:docId w15:val="{CBB1C3B2-BAB4-48A9-99E8-38988858C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uiPriority w:val="99"/>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semiHidden/>
    <w:unhideWhenUsed/>
    <w:rsid w:val="00020A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47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image" Target="media/image26.JP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1.JP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C3D91-341A-4F61-8CD6-FFBEB5D7E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29</Pages>
  <Words>735</Words>
  <Characters>4366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Patricia Zellner</dc:creator>
  <cp:lastModifiedBy>Patricia Zellner</cp:lastModifiedBy>
  <cp:revision>2</cp:revision>
  <cp:lastPrinted>2004-01-27T20:32:00Z</cp:lastPrinted>
  <dcterms:created xsi:type="dcterms:W3CDTF">2020-05-28T12:40:00Z</dcterms:created>
  <dcterms:modified xsi:type="dcterms:W3CDTF">2020-05-28T12:40:00Z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20200012-WS</vt:lpwstr>
  </property>
  <property fmtid="{D5CDD505-2E9C-101B-9397-08002B2CF9AE}" pid="3" name="MasterDocument">
    <vt:bool>false</vt:bool>
  </property>
</Properties>
</file>