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BF3666" w:rsidP="00BF3666">
      <w:pPr>
        <w:pStyle w:val="OrderHeading"/>
      </w:pPr>
      <w:r>
        <w:t>BEFORE THE FLORIDA PUBLIC SERVICE COMMISSION</w:t>
      </w:r>
    </w:p>
    <w:p w:rsidR="00BF3666" w:rsidRDefault="00BF3666" w:rsidP="00BF3666">
      <w:pPr>
        <w:pStyle w:val="OrderBody"/>
      </w:pPr>
    </w:p>
    <w:p w:rsidR="00BF3666" w:rsidRDefault="00BF3666" w:rsidP="00BF3666">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BF3666" w:rsidRPr="00C63FCF" w:rsidTr="00C63FCF">
        <w:trPr>
          <w:trHeight w:val="828"/>
        </w:trPr>
        <w:tc>
          <w:tcPr>
            <w:tcW w:w="4788" w:type="dxa"/>
            <w:tcBorders>
              <w:bottom w:val="single" w:sz="8" w:space="0" w:color="auto"/>
              <w:right w:val="double" w:sz="6" w:space="0" w:color="auto"/>
            </w:tcBorders>
            <w:shd w:val="clear" w:color="auto" w:fill="auto"/>
          </w:tcPr>
          <w:p w:rsidR="00BF3666" w:rsidRDefault="00BF3666" w:rsidP="00C63FCF">
            <w:pPr>
              <w:pStyle w:val="OrderBody"/>
              <w:tabs>
                <w:tab w:val="center" w:pos="4320"/>
                <w:tab w:val="right" w:pos="8640"/>
              </w:tabs>
              <w:jc w:val="left"/>
            </w:pPr>
            <w:r>
              <w:t xml:space="preserve">In re: </w:t>
            </w:r>
            <w:bookmarkStart w:id="0" w:name="SSInRe"/>
            <w:bookmarkEnd w:id="0"/>
            <w:r>
              <w:t>Petition for approval of renewable energy tariff and standard offer contract, by Florida Power &amp; Light Company.</w:t>
            </w:r>
          </w:p>
        </w:tc>
        <w:tc>
          <w:tcPr>
            <w:tcW w:w="4788" w:type="dxa"/>
            <w:tcBorders>
              <w:left w:val="double" w:sz="6" w:space="0" w:color="auto"/>
            </w:tcBorders>
            <w:shd w:val="clear" w:color="auto" w:fill="auto"/>
          </w:tcPr>
          <w:p w:rsidR="00BF3666" w:rsidRDefault="00BF3666" w:rsidP="00BF3666">
            <w:pPr>
              <w:pStyle w:val="OrderBody"/>
            </w:pPr>
            <w:r>
              <w:t xml:space="preserve">DOCKET NO. </w:t>
            </w:r>
            <w:bookmarkStart w:id="1" w:name="SSDocketNo"/>
            <w:bookmarkEnd w:id="1"/>
            <w:r>
              <w:t>20200114-EQ</w:t>
            </w:r>
          </w:p>
          <w:p w:rsidR="00BF3666" w:rsidRDefault="00BF3666" w:rsidP="00C63FCF">
            <w:pPr>
              <w:pStyle w:val="OrderBody"/>
              <w:tabs>
                <w:tab w:val="center" w:pos="4320"/>
                <w:tab w:val="right" w:pos="8640"/>
              </w:tabs>
              <w:jc w:val="left"/>
            </w:pPr>
            <w:r>
              <w:t xml:space="preserve">ORDER NO. </w:t>
            </w:r>
            <w:bookmarkStart w:id="2" w:name="OrderNo0212"/>
            <w:r w:rsidR="00834E8F">
              <w:t>PSC-2020-0212-PAA-EQ</w:t>
            </w:r>
            <w:bookmarkEnd w:id="2"/>
          </w:p>
          <w:p w:rsidR="00BF3666" w:rsidRDefault="00BF3666" w:rsidP="00C63FCF">
            <w:pPr>
              <w:pStyle w:val="OrderBody"/>
              <w:tabs>
                <w:tab w:val="center" w:pos="4320"/>
                <w:tab w:val="right" w:pos="8640"/>
              </w:tabs>
              <w:jc w:val="left"/>
            </w:pPr>
            <w:r>
              <w:t xml:space="preserve">ISSUED: </w:t>
            </w:r>
            <w:r w:rsidR="00834E8F">
              <w:t>June 26, 2020</w:t>
            </w:r>
          </w:p>
        </w:tc>
      </w:tr>
    </w:tbl>
    <w:p w:rsidR="00BF3666" w:rsidRDefault="00BF3666" w:rsidP="00BF3666"/>
    <w:p w:rsidR="00BF3666" w:rsidRDefault="00BF3666" w:rsidP="00BF3666"/>
    <w:p w:rsidR="00BF3666" w:rsidRDefault="00BF3666" w:rsidP="00B67A43">
      <w:pPr>
        <w:ind w:firstLine="720"/>
        <w:jc w:val="both"/>
      </w:pPr>
      <w:bookmarkStart w:id="3" w:name="Commissioners"/>
      <w:bookmarkEnd w:id="3"/>
      <w:r>
        <w:t>The following Commissioners participated in the disposition of this matter:</w:t>
      </w:r>
    </w:p>
    <w:p w:rsidR="00BF3666" w:rsidRDefault="00BF3666" w:rsidP="00B67A43"/>
    <w:p w:rsidR="00BF3666" w:rsidRDefault="00BF3666" w:rsidP="00B67A43">
      <w:pPr>
        <w:jc w:val="center"/>
      </w:pPr>
      <w:r>
        <w:t>GARY F. CLARK, Chairman</w:t>
      </w:r>
    </w:p>
    <w:p w:rsidR="00BF3666" w:rsidRDefault="00BF3666" w:rsidP="00B67A43">
      <w:pPr>
        <w:jc w:val="center"/>
      </w:pPr>
      <w:r>
        <w:t>ART GRAHAM</w:t>
      </w:r>
    </w:p>
    <w:p w:rsidR="00BF3666" w:rsidRDefault="00BF3666" w:rsidP="00B67A43">
      <w:pPr>
        <w:jc w:val="center"/>
      </w:pPr>
      <w:r>
        <w:t>JULIE I. BROWN</w:t>
      </w:r>
    </w:p>
    <w:p w:rsidR="00BF3666" w:rsidRDefault="00BF3666" w:rsidP="00B67A43">
      <w:pPr>
        <w:jc w:val="center"/>
      </w:pPr>
      <w:r>
        <w:t>DONALD J. POLMANN</w:t>
      </w:r>
    </w:p>
    <w:p w:rsidR="00BF3666" w:rsidRDefault="00BF3666" w:rsidP="00B67A43">
      <w:pPr>
        <w:jc w:val="center"/>
      </w:pPr>
      <w:r>
        <w:t>ANDREW GILES FAY</w:t>
      </w:r>
    </w:p>
    <w:p w:rsidR="00BF3666" w:rsidRDefault="00BF3666" w:rsidP="00B67A43"/>
    <w:p w:rsidR="00BF3666" w:rsidRDefault="00BF3666" w:rsidP="00BF3666">
      <w:pPr>
        <w:pStyle w:val="OrderBody"/>
      </w:pPr>
    </w:p>
    <w:bookmarkStart w:id="4" w:name="OrderText"/>
    <w:bookmarkEnd w:id="4"/>
    <w:p w:rsidR="00BF3666" w:rsidRPr="003E4B2D" w:rsidRDefault="00BF3666">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BF3666" w:rsidRPr="003E4B2D" w:rsidRDefault="00BF3666" w:rsidP="00FE110B">
      <w:pPr>
        <w:pStyle w:val="OrderBody"/>
        <w:jc w:val="center"/>
        <w:rPr>
          <w:u w:val="single"/>
        </w:rPr>
      </w:pPr>
      <w:r w:rsidRPr="003E4B2D">
        <w:rPr>
          <w:u w:val="single"/>
        </w:rPr>
        <w:t>ORDER</w:t>
      </w:r>
      <w:bookmarkStart w:id="5" w:name="OrderTitle"/>
      <w:r w:rsidR="00FE110B">
        <w:rPr>
          <w:u w:val="single"/>
        </w:rPr>
        <w:t xml:space="preserve"> APPROVING FLORIDA POWER AND LIGHT COMPANY’S </w:t>
      </w:r>
      <w:r w:rsidR="00FE110B">
        <w:rPr>
          <w:u w:val="single"/>
        </w:rPr>
        <w:br/>
        <w:t>STANDARD OFFER CONTRACT AND RATE SCHEDULE QS-2</w:t>
      </w:r>
      <w:r>
        <w:rPr>
          <w:u w:val="single"/>
        </w:rPr>
        <w:t xml:space="preserve"> </w:t>
      </w:r>
      <w:bookmarkEnd w:id="5"/>
    </w:p>
    <w:p w:rsidR="00BF3666" w:rsidRPr="003E4B2D" w:rsidRDefault="00BF3666">
      <w:pPr>
        <w:pStyle w:val="OrderBody"/>
      </w:pPr>
    </w:p>
    <w:p w:rsidR="00BF3666" w:rsidRPr="003E4B2D" w:rsidRDefault="00BF3666">
      <w:pPr>
        <w:pStyle w:val="OrderBody"/>
      </w:pPr>
    </w:p>
    <w:p w:rsidR="00BF3666" w:rsidRPr="003E4B2D" w:rsidRDefault="00BF3666">
      <w:pPr>
        <w:pStyle w:val="OrderBody"/>
      </w:pPr>
      <w:r w:rsidRPr="003E4B2D">
        <w:t>BY THE COMMISSION:</w:t>
      </w:r>
    </w:p>
    <w:p w:rsidR="00BF3666" w:rsidRPr="003E4B2D" w:rsidRDefault="00BF3666">
      <w:pPr>
        <w:pStyle w:val="OrderBody"/>
      </w:pPr>
    </w:p>
    <w:p w:rsidR="00BF3666" w:rsidRDefault="00BF3666">
      <w:pPr>
        <w:pStyle w:val="OrderBody"/>
      </w:pPr>
      <w:r w:rsidRPr="003E4B2D">
        <w:tab/>
        <w:t>NOTICE is hereby given by the Florida Public Service Commission</w:t>
      </w:r>
      <w:r w:rsidR="00A2554C">
        <w:t xml:space="preserve"> (Commission)</w:t>
      </w:r>
      <w:r w:rsidRPr="003E4B2D">
        <w:t xml:space="preserve">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CB5276" w:rsidRDefault="00CB5276" w:rsidP="00BF3666"/>
    <w:p w:rsidR="00A2554C" w:rsidRDefault="00A2554C" w:rsidP="00A2554C">
      <w:pPr>
        <w:keepNext/>
        <w:jc w:val="center"/>
        <w:outlineLvl w:val="0"/>
        <w:rPr>
          <w:b/>
          <w:bCs/>
          <w:kern w:val="32"/>
          <w:szCs w:val="32"/>
        </w:rPr>
      </w:pPr>
      <w:r w:rsidRPr="00A0666A">
        <w:rPr>
          <w:b/>
          <w:bCs/>
          <w:kern w:val="32"/>
          <w:szCs w:val="32"/>
        </w:rPr>
        <w:t>Background</w:t>
      </w:r>
    </w:p>
    <w:p w:rsidR="00A2554C" w:rsidRPr="00A0666A" w:rsidRDefault="00A2554C" w:rsidP="00A2554C">
      <w:pPr>
        <w:keepNext/>
        <w:jc w:val="both"/>
        <w:outlineLvl w:val="0"/>
        <w:rPr>
          <w:b/>
          <w:bCs/>
          <w:kern w:val="32"/>
          <w:szCs w:val="32"/>
        </w:rPr>
      </w:pPr>
    </w:p>
    <w:p w:rsidR="00D57E57" w:rsidRDefault="00BF3666" w:rsidP="00A2554C">
      <w:pPr>
        <w:jc w:val="both"/>
      </w:pPr>
      <w:r>
        <w:tab/>
      </w:r>
      <w:r w:rsidRPr="00830EFA">
        <w:t>Section 366.91(3), Fl</w:t>
      </w:r>
      <w:r>
        <w:t xml:space="preserve">orida Statutes (F.S.), requires </w:t>
      </w:r>
      <w:r w:rsidRPr="00830EFA">
        <w:t>each investor-owned utility (IOU)</w:t>
      </w:r>
      <w:r>
        <w:t xml:space="preserve"> to</w:t>
      </w:r>
      <w:r w:rsidRPr="00830EFA">
        <w:t xml:space="preserve"> continuously offer to purchase capacity and energy from renewable generating facilities and small qualifying facilities. Rules 25-17.200 through 25-17.310, </w:t>
      </w:r>
      <w:r w:rsidR="00A2554C">
        <w:t>F.A.C.</w:t>
      </w:r>
      <w:r w:rsidRPr="00830EFA">
        <w:t xml:space="preserve">, implement the statute and require each IOU to file with </w:t>
      </w:r>
      <w:r w:rsidR="00D31B25">
        <w:t>this</w:t>
      </w:r>
      <w:r w:rsidRPr="00830EFA">
        <w:t xml:space="preserve"> Commission, by April 1 of each year, a revised standard offer contract based on the next avoidable fossil fueled generating unit of each technology type identified in the utilit</w:t>
      </w:r>
      <w:r>
        <w:t xml:space="preserve">y’s current Ten-Year Site Plan. On April l, 2020, </w:t>
      </w:r>
      <w:bookmarkStart w:id="6" w:name="_Hlk37233197"/>
      <w:r>
        <w:t xml:space="preserve">Florida Power &amp; Light Company </w:t>
      </w:r>
      <w:bookmarkEnd w:id="6"/>
      <w:r>
        <w:t>(FPL) filed a p</w:t>
      </w:r>
      <w:r w:rsidRPr="007E1784">
        <w:t xml:space="preserve">etition for approval of </w:t>
      </w:r>
      <w:r>
        <w:t xml:space="preserve">its </w:t>
      </w:r>
      <w:bookmarkStart w:id="7" w:name="_Hlk37233164"/>
      <w:r>
        <w:t>revised</w:t>
      </w:r>
      <w:r w:rsidRPr="007E1784">
        <w:t xml:space="preserve"> standard offer contract</w:t>
      </w:r>
      <w:bookmarkEnd w:id="7"/>
      <w:r w:rsidRPr="007E1784">
        <w:t>,</w:t>
      </w:r>
      <w:r>
        <w:t xml:space="preserve"> based on its 2020 Ten-Year Site Plan. </w:t>
      </w:r>
      <w:r w:rsidRPr="001E169C">
        <w:t>Since its initial filing, FPL has filed two revisions to its petition to correct typographical and calculation errors</w:t>
      </w:r>
      <w:r>
        <w:t>.</w:t>
      </w:r>
      <w:r>
        <w:rPr>
          <w:rStyle w:val="FootnoteReference"/>
        </w:rPr>
        <w:footnoteReference w:id="1"/>
      </w:r>
      <w:r>
        <w:t xml:space="preserve"> </w:t>
      </w:r>
      <w:r w:rsidR="00A2554C">
        <w:t>We have</w:t>
      </w:r>
      <w:r w:rsidRPr="00830EFA">
        <w:t xml:space="preserve"> jurisdiction over this standard offer contract pursuant to Sections 366.04 through 366.055</w:t>
      </w:r>
      <w:r>
        <w:t>,</w:t>
      </w:r>
      <w:r w:rsidRPr="00830EFA">
        <w:t xml:space="preserve"> and 366</w:t>
      </w:r>
      <w:r>
        <w:t>.9</w:t>
      </w:r>
      <w:r w:rsidRPr="00830EFA">
        <w:t>1, F.S.</w:t>
      </w:r>
    </w:p>
    <w:p w:rsidR="00BF3666" w:rsidRDefault="00BF3666" w:rsidP="00BF3666"/>
    <w:p w:rsidR="00A2554C" w:rsidRDefault="00A2554C" w:rsidP="00BF3666"/>
    <w:p w:rsidR="00A2554C" w:rsidRDefault="00A2554C" w:rsidP="00BF3666"/>
    <w:p w:rsidR="00A2554C" w:rsidRDefault="00A2554C" w:rsidP="00BF3666"/>
    <w:p w:rsidR="00BF3666" w:rsidRDefault="00BF3666" w:rsidP="00BF3666"/>
    <w:p w:rsidR="00A2554C" w:rsidRPr="00A0666A" w:rsidRDefault="00A2554C" w:rsidP="00A2554C">
      <w:pPr>
        <w:spacing w:after="240"/>
        <w:jc w:val="center"/>
        <w:outlineLvl w:val="0"/>
        <w:rPr>
          <w:b/>
          <w:bCs/>
          <w:i/>
          <w:kern w:val="32"/>
          <w:szCs w:val="32"/>
        </w:rPr>
      </w:pPr>
      <w:r w:rsidRPr="00A0666A">
        <w:rPr>
          <w:b/>
          <w:bCs/>
          <w:kern w:val="32"/>
          <w:szCs w:val="32"/>
        </w:rPr>
        <w:t>Review</w:t>
      </w:r>
    </w:p>
    <w:p w:rsidR="00BF3666" w:rsidRPr="00BF3666" w:rsidRDefault="00BF3666" w:rsidP="00A2554C">
      <w:pPr>
        <w:spacing w:after="240"/>
        <w:ind w:firstLine="720"/>
        <w:jc w:val="both"/>
      </w:pPr>
      <w:r w:rsidRPr="00BF3666">
        <w:t xml:space="preserve">Section 366.91(3), F.S., and Rule 25-17.250, F.A.C., require that FPL, an IOU, 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contract must provide a term of at least 10 years, and the payment terms must be based on the utility’s next avoidable fossil-fueled generating unit identified in its most recent Ten-Year Site Plan, or if no avoided unit is identified, its next avoidable planned purchase. </w:t>
      </w:r>
    </w:p>
    <w:p w:rsidR="00BF3666" w:rsidRPr="00BF3666" w:rsidRDefault="00BF3666" w:rsidP="00BF3666">
      <w:pPr>
        <w:spacing w:after="240"/>
        <w:jc w:val="both"/>
      </w:pPr>
      <w:r>
        <w:tab/>
      </w:r>
      <w:r w:rsidRPr="00BF3666">
        <w:t xml:space="preserve">FPL’s submitted 2020 Ten-Year Site Plan does not feature an avoidable fossil-fueled generating unit or planned purchases that could be deferred during the planning period, FPL could opt to offer only a standard contract for energy payments based on its as-available energy cost. However, to encourage renewable generation, FPL has identified a 1,991 megawatt (MW) natural gas-fired combined cycle unit (CC) as the next planned generating unit. The projected in-service date of the unit is June 1, 2030. </w:t>
      </w:r>
      <w:r w:rsidR="00F068EE">
        <w:t>We</w:t>
      </w:r>
      <w:r w:rsidRPr="00BF3666">
        <w:t xml:space="preserve"> </w:t>
      </w:r>
      <w:r w:rsidR="00F068EE">
        <w:t>have</w:t>
      </w:r>
      <w:r w:rsidRPr="00BF3666">
        <w:t xml:space="preserve"> approved using a unit outside of the Ten-Year Site Plan planning period previously.</w:t>
      </w:r>
      <w:r w:rsidRPr="00BF3666">
        <w:rPr>
          <w:vertAlign w:val="superscript"/>
        </w:rPr>
        <w:footnoteReference w:id="2"/>
      </w:r>
    </w:p>
    <w:p w:rsidR="00BF3666" w:rsidRPr="00BF3666" w:rsidRDefault="00BF3666" w:rsidP="00BF3666">
      <w:pPr>
        <w:spacing w:after="240"/>
        <w:jc w:val="both"/>
      </w:pPr>
      <w:r>
        <w:tab/>
      </w:r>
      <w:r w:rsidRPr="00BF3666">
        <w:t>Under FPL’s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BF3666" w:rsidRPr="00BF3666" w:rsidRDefault="00BF3666" w:rsidP="00BF3666">
      <w:pPr>
        <w:spacing w:after="240"/>
        <w:jc w:val="both"/>
      </w:pPr>
      <w:r>
        <w:tab/>
      </w:r>
      <w:r w:rsidRPr="00BF3666">
        <w:t xml:space="preserve">In order to promote renewable generation, </w:t>
      </w:r>
      <w:r w:rsidR="00F068EE">
        <w:t>we</w:t>
      </w:r>
      <w:r w:rsidRPr="00BF3666">
        <w:t xml:space="preserve"> </w:t>
      </w:r>
      <w:r w:rsidR="00F068EE">
        <w:t>require</w:t>
      </w:r>
      <w:r w:rsidRPr="00BF3666">
        <w:t xml:space="preserve"> the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2030), and thereafter, begin receiving capacity payments in addition to the energy payments. If either the early or early levelized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w:t>
      </w:r>
    </w:p>
    <w:p w:rsidR="00BF3666" w:rsidRPr="00BF3666" w:rsidRDefault="00BF3666" w:rsidP="00BF3666">
      <w:pPr>
        <w:jc w:val="both"/>
      </w:pPr>
      <w:r>
        <w:tab/>
      </w:r>
      <w:r w:rsidRPr="00BF3666">
        <w:t>Table 1 contains FPL’s estimates of the annual payments for each payment option available under the revised standard offer contract to an operator with a 50 MW facility operating at a capacity factor of 94 percent, which is the minimum capacity factor required under the contract to qualify for full capacity payments. Normal and levelized capacity payments begin with the projected in-service date of the avoided unit (June 1, 2030), while early and early levelized capacity payments begin in 2026 for this example.</w:t>
      </w:r>
    </w:p>
    <w:p w:rsidR="00BF3666" w:rsidRPr="00BF3666" w:rsidRDefault="00BF3666" w:rsidP="00BF3666">
      <w:pPr>
        <w:jc w:val="both"/>
      </w:pPr>
    </w:p>
    <w:p w:rsidR="00BF3666" w:rsidRPr="00BF3666" w:rsidRDefault="00BF3666" w:rsidP="00BF3666">
      <w:pPr>
        <w:jc w:val="center"/>
        <w:rPr>
          <w:rFonts w:ascii="Arial" w:hAnsi="Arial" w:cs="Arial"/>
          <w:b/>
        </w:rPr>
      </w:pPr>
      <w:r w:rsidRPr="00BF3666">
        <w:rPr>
          <w:rFonts w:ascii="Arial" w:hAnsi="Arial" w:cs="Arial"/>
          <w:b/>
        </w:rPr>
        <w:t>Table 1 - Estimated Annual Payments to a 50 MW Renewable Facility</w:t>
      </w:r>
    </w:p>
    <w:p w:rsidR="00BF3666" w:rsidRPr="00BF3666" w:rsidRDefault="00BF3666" w:rsidP="00BF3666">
      <w:pPr>
        <w:jc w:val="center"/>
        <w:rPr>
          <w:rFonts w:ascii="Arial" w:hAnsi="Arial" w:cs="Arial"/>
          <w:b/>
        </w:rPr>
      </w:pPr>
      <w:r w:rsidRPr="00BF3666">
        <w:rPr>
          <w:rFonts w:ascii="Arial" w:hAnsi="Arial" w:cs="Arial"/>
          <w:b/>
        </w:rPr>
        <w:t>(94% Capacity Factor)</w:t>
      </w:r>
    </w:p>
    <w:tbl>
      <w:tblPr>
        <w:tblStyle w:val="TableGrid"/>
        <w:tblW w:w="9387" w:type="dxa"/>
        <w:jc w:val="center"/>
        <w:tblCellMar>
          <w:left w:w="115" w:type="dxa"/>
          <w:right w:w="115" w:type="dxa"/>
        </w:tblCellMar>
        <w:tblLook w:val="04A0" w:firstRow="1" w:lastRow="0" w:firstColumn="1" w:lastColumn="0" w:noHBand="0" w:noVBand="1"/>
      </w:tblPr>
      <w:tblGrid>
        <w:gridCol w:w="1557"/>
        <w:gridCol w:w="1458"/>
        <w:gridCol w:w="1593"/>
        <w:gridCol w:w="1593"/>
        <w:gridCol w:w="1593"/>
        <w:gridCol w:w="1593"/>
      </w:tblGrid>
      <w:tr w:rsidR="00BF3666" w:rsidRPr="00BF3666" w:rsidTr="00EF7BEA">
        <w:trPr>
          <w:cantSplit/>
          <w:trHeight w:val="274"/>
          <w:jc w:val="center"/>
        </w:trPr>
        <w:tc>
          <w:tcPr>
            <w:tcW w:w="1557" w:type="dxa"/>
            <w:vMerge w:val="restart"/>
            <w:shd w:val="clear" w:color="auto" w:fill="auto"/>
            <w:vAlign w:val="bottom"/>
          </w:tcPr>
          <w:p w:rsidR="00BF3666" w:rsidRPr="00BF3666" w:rsidRDefault="00BF3666" w:rsidP="00BF3666">
            <w:pPr>
              <w:contextualSpacing/>
              <w:jc w:val="center"/>
            </w:pPr>
            <w:r w:rsidRPr="00BF3666">
              <w:t>Year</w:t>
            </w:r>
          </w:p>
        </w:tc>
        <w:tc>
          <w:tcPr>
            <w:tcW w:w="1458" w:type="dxa"/>
            <w:vMerge w:val="restart"/>
            <w:shd w:val="clear" w:color="auto" w:fill="auto"/>
            <w:vAlign w:val="bottom"/>
          </w:tcPr>
          <w:p w:rsidR="00BF3666" w:rsidRPr="00BF3666" w:rsidRDefault="00BF3666" w:rsidP="00BF3666">
            <w:pPr>
              <w:contextualSpacing/>
              <w:jc w:val="center"/>
            </w:pPr>
            <w:r w:rsidRPr="00BF3666">
              <w:t>Energy Payment</w:t>
            </w:r>
          </w:p>
        </w:tc>
        <w:tc>
          <w:tcPr>
            <w:tcW w:w="6372" w:type="dxa"/>
            <w:gridSpan w:val="4"/>
            <w:shd w:val="clear" w:color="auto" w:fill="auto"/>
            <w:vAlign w:val="bottom"/>
          </w:tcPr>
          <w:p w:rsidR="00BF3666" w:rsidRPr="00BF3666" w:rsidRDefault="00BF3666" w:rsidP="00BF3666">
            <w:pPr>
              <w:contextualSpacing/>
              <w:jc w:val="center"/>
            </w:pPr>
            <w:r w:rsidRPr="00BF3666">
              <w:t>Capacity Payment (By Type)</w:t>
            </w:r>
          </w:p>
        </w:tc>
      </w:tr>
      <w:tr w:rsidR="00BF3666" w:rsidRPr="00BF3666" w:rsidTr="00EF7BEA">
        <w:trPr>
          <w:cantSplit/>
          <w:trHeight w:val="274"/>
          <w:jc w:val="center"/>
        </w:trPr>
        <w:tc>
          <w:tcPr>
            <w:tcW w:w="1557" w:type="dxa"/>
            <w:vMerge/>
            <w:shd w:val="clear" w:color="auto" w:fill="auto"/>
            <w:vAlign w:val="bottom"/>
          </w:tcPr>
          <w:p w:rsidR="00BF3666" w:rsidRPr="00BF3666" w:rsidRDefault="00BF3666" w:rsidP="00BF3666">
            <w:pPr>
              <w:contextualSpacing/>
              <w:jc w:val="center"/>
            </w:pPr>
          </w:p>
        </w:tc>
        <w:tc>
          <w:tcPr>
            <w:tcW w:w="1458" w:type="dxa"/>
            <w:vMerge/>
            <w:shd w:val="clear" w:color="auto" w:fill="auto"/>
            <w:vAlign w:val="bottom"/>
          </w:tcPr>
          <w:p w:rsidR="00BF3666" w:rsidRPr="00BF3666" w:rsidRDefault="00BF3666" w:rsidP="00BF3666">
            <w:pPr>
              <w:contextualSpacing/>
              <w:jc w:val="center"/>
            </w:pPr>
          </w:p>
        </w:tc>
        <w:tc>
          <w:tcPr>
            <w:tcW w:w="1593" w:type="dxa"/>
            <w:shd w:val="clear" w:color="auto" w:fill="auto"/>
            <w:vAlign w:val="bottom"/>
          </w:tcPr>
          <w:p w:rsidR="00BF3666" w:rsidRPr="00BF3666" w:rsidRDefault="00BF3666" w:rsidP="00BF3666">
            <w:pPr>
              <w:contextualSpacing/>
              <w:jc w:val="center"/>
            </w:pPr>
            <w:r w:rsidRPr="00BF3666">
              <w:t>Normal</w:t>
            </w:r>
          </w:p>
        </w:tc>
        <w:tc>
          <w:tcPr>
            <w:tcW w:w="1593" w:type="dxa"/>
            <w:shd w:val="clear" w:color="auto" w:fill="auto"/>
            <w:vAlign w:val="bottom"/>
          </w:tcPr>
          <w:p w:rsidR="00BF3666" w:rsidRPr="00BF3666" w:rsidRDefault="00BF3666" w:rsidP="00BF3666">
            <w:pPr>
              <w:contextualSpacing/>
              <w:jc w:val="center"/>
            </w:pPr>
            <w:r w:rsidRPr="00BF3666">
              <w:t>Levelized</w:t>
            </w:r>
          </w:p>
        </w:tc>
        <w:tc>
          <w:tcPr>
            <w:tcW w:w="1593" w:type="dxa"/>
            <w:shd w:val="clear" w:color="auto" w:fill="auto"/>
            <w:vAlign w:val="bottom"/>
          </w:tcPr>
          <w:p w:rsidR="00BF3666" w:rsidRPr="00BF3666" w:rsidRDefault="00BF3666" w:rsidP="00BF3666">
            <w:pPr>
              <w:contextualSpacing/>
              <w:jc w:val="center"/>
            </w:pPr>
            <w:r w:rsidRPr="00BF3666">
              <w:t>Early</w:t>
            </w:r>
          </w:p>
        </w:tc>
        <w:tc>
          <w:tcPr>
            <w:tcW w:w="1593" w:type="dxa"/>
            <w:shd w:val="clear" w:color="auto" w:fill="auto"/>
            <w:vAlign w:val="bottom"/>
          </w:tcPr>
          <w:p w:rsidR="00BF3666" w:rsidRPr="00BF3666" w:rsidRDefault="00BF3666" w:rsidP="00BF3666">
            <w:pPr>
              <w:contextualSpacing/>
              <w:jc w:val="center"/>
            </w:pPr>
            <w:r w:rsidRPr="00BF3666">
              <w:t>Early Levelized</w:t>
            </w:r>
          </w:p>
        </w:tc>
      </w:tr>
      <w:tr w:rsidR="00BF3666" w:rsidRPr="00BF3666" w:rsidTr="00EF7BEA">
        <w:trPr>
          <w:cantSplit/>
          <w:trHeight w:val="274"/>
          <w:jc w:val="center"/>
        </w:trPr>
        <w:tc>
          <w:tcPr>
            <w:tcW w:w="1557" w:type="dxa"/>
            <w:vMerge/>
            <w:tcBorders>
              <w:bottom w:val="single" w:sz="4" w:space="0" w:color="auto"/>
            </w:tcBorders>
            <w:shd w:val="clear" w:color="auto" w:fill="auto"/>
            <w:vAlign w:val="bottom"/>
          </w:tcPr>
          <w:p w:rsidR="00BF3666" w:rsidRPr="00BF3666" w:rsidRDefault="00BF3666" w:rsidP="00BF3666">
            <w:pPr>
              <w:contextualSpacing/>
              <w:jc w:val="center"/>
            </w:pPr>
          </w:p>
        </w:tc>
        <w:tc>
          <w:tcPr>
            <w:tcW w:w="1458" w:type="dxa"/>
            <w:shd w:val="clear" w:color="auto" w:fill="auto"/>
            <w:vAlign w:val="bottom"/>
          </w:tcPr>
          <w:p w:rsidR="00BF3666" w:rsidRPr="00BF3666" w:rsidRDefault="00BF3666" w:rsidP="00BF3666">
            <w:pPr>
              <w:contextualSpacing/>
              <w:jc w:val="center"/>
            </w:pPr>
            <w:r w:rsidRPr="00BF3666">
              <w:t>$(000)</w:t>
            </w:r>
          </w:p>
        </w:tc>
        <w:tc>
          <w:tcPr>
            <w:tcW w:w="1593" w:type="dxa"/>
            <w:shd w:val="clear" w:color="auto" w:fill="auto"/>
            <w:vAlign w:val="bottom"/>
          </w:tcPr>
          <w:p w:rsidR="00BF3666" w:rsidRPr="00BF3666" w:rsidRDefault="00BF3666" w:rsidP="00BF3666">
            <w:pPr>
              <w:contextualSpacing/>
              <w:jc w:val="center"/>
            </w:pPr>
            <w:r w:rsidRPr="00BF3666">
              <w:t>$(000)</w:t>
            </w:r>
          </w:p>
        </w:tc>
        <w:tc>
          <w:tcPr>
            <w:tcW w:w="1593" w:type="dxa"/>
            <w:shd w:val="clear" w:color="auto" w:fill="auto"/>
            <w:vAlign w:val="bottom"/>
          </w:tcPr>
          <w:p w:rsidR="00BF3666" w:rsidRPr="00BF3666" w:rsidRDefault="00BF3666" w:rsidP="00BF3666">
            <w:pPr>
              <w:contextualSpacing/>
              <w:jc w:val="center"/>
            </w:pPr>
            <w:r w:rsidRPr="00BF3666">
              <w:t>$(000)</w:t>
            </w:r>
          </w:p>
        </w:tc>
        <w:tc>
          <w:tcPr>
            <w:tcW w:w="1593" w:type="dxa"/>
            <w:shd w:val="clear" w:color="auto" w:fill="auto"/>
            <w:vAlign w:val="bottom"/>
          </w:tcPr>
          <w:p w:rsidR="00BF3666" w:rsidRPr="00BF3666" w:rsidRDefault="00BF3666" w:rsidP="00BF3666">
            <w:pPr>
              <w:contextualSpacing/>
              <w:jc w:val="center"/>
            </w:pPr>
            <w:r w:rsidRPr="00BF3666">
              <w:t>$(000)</w:t>
            </w:r>
          </w:p>
        </w:tc>
        <w:tc>
          <w:tcPr>
            <w:tcW w:w="1593" w:type="dxa"/>
            <w:shd w:val="clear" w:color="auto" w:fill="auto"/>
            <w:vAlign w:val="bottom"/>
          </w:tcPr>
          <w:p w:rsidR="00BF3666" w:rsidRPr="00BF3666" w:rsidRDefault="00BF3666" w:rsidP="00BF3666">
            <w:pPr>
              <w:contextualSpacing/>
              <w:jc w:val="center"/>
            </w:pPr>
            <w:r w:rsidRPr="00BF3666">
              <w:t>$(000)</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2021</w:t>
            </w:r>
          </w:p>
        </w:tc>
        <w:tc>
          <w:tcPr>
            <w:tcW w:w="1458" w:type="dxa"/>
            <w:shd w:val="clear" w:color="auto" w:fill="auto"/>
            <w:vAlign w:val="center"/>
          </w:tcPr>
          <w:p w:rsidR="00BF3666" w:rsidRPr="00BF3666" w:rsidRDefault="00BF3666" w:rsidP="00BF3666">
            <w:pPr>
              <w:jc w:val="right"/>
              <w:rPr>
                <w:color w:val="000000"/>
              </w:rPr>
            </w:pPr>
            <w:r w:rsidRPr="00BF3666">
              <w:rPr>
                <w:color w:val="000000"/>
              </w:rPr>
              <w:t>6,908</w:t>
            </w:r>
          </w:p>
        </w:tc>
        <w:tc>
          <w:tcPr>
            <w:tcW w:w="1593" w:type="dxa"/>
            <w:shd w:val="clear" w:color="auto" w:fill="auto"/>
            <w:vAlign w:val="center"/>
          </w:tcPr>
          <w:p w:rsidR="00BF3666" w:rsidRPr="00BF3666" w:rsidRDefault="00BF3666" w:rsidP="00BF3666">
            <w:pPr>
              <w:jc w:val="center"/>
              <w:rPr>
                <w:color w:val="000000"/>
              </w:rPr>
            </w:pPr>
            <w:r w:rsidRPr="00BF3666">
              <w:rPr>
                <w:color w:val="000000"/>
              </w:rPr>
              <w:t>-</w:t>
            </w:r>
          </w:p>
        </w:tc>
        <w:tc>
          <w:tcPr>
            <w:tcW w:w="1593" w:type="dxa"/>
            <w:shd w:val="clear" w:color="auto" w:fill="auto"/>
            <w:vAlign w:val="center"/>
          </w:tcPr>
          <w:p w:rsidR="00BF3666" w:rsidRPr="00BF3666" w:rsidRDefault="00BF3666" w:rsidP="00BF3666">
            <w:pPr>
              <w:jc w:val="center"/>
              <w:rPr>
                <w:color w:val="000000"/>
              </w:rPr>
            </w:pPr>
            <w:r w:rsidRPr="00BF3666">
              <w:rPr>
                <w:color w:val="000000"/>
              </w:rPr>
              <w:t>-</w:t>
            </w:r>
          </w:p>
        </w:tc>
        <w:tc>
          <w:tcPr>
            <w:tcW w:w="1593" w:type="dxa"/>
            <w:shd w:val="clear" w:color="auto" w:fill="auto"/>
            <w:vAlign w:val="bottom"/>
          </w:tcPr>
          <w:p w:rsidR="00BF3666" w:rsidRPr="00BF3666" w:rsidRDefault="00BF3666" w:rsidP="00BF3666">
            <w:pPr>
              <w:jc w:val="center"/>
              <w:rPr>
                <w:color w:val="000000"/>
              </w:rPr>
            </w:pPr>
            <w:r w:rsidRPr="00BF3666">
              <w:rPr>
                <w:rFonts w:ascii="Cambria Math" w:hAnsi="Cambria Math" w:cs="Cambria Math"/>
                <w:color w:val="000000"/>
              </w:rPr>
              <w:t>‐</w:t>
            </w:r>
          </w:p>
        </w:tc>
        <w:tc>
          <w:tcPr>
            <w:tcW w:w="1593" w:type="dxa"/>
            <w:shd w:val="clear" w:color="auto" w:fill="auto"/>
            <w:vAlign w:val="bottom"/>
          </w:tcPr>
          <w:p w:rsidR="00BF3666" w:rsidRPr="00BF3666" w:rsidRDefault="00BF3666" w:rsidP="00BF3666">
            <w:pPr>
              <w:jc w:val="center"/>
              <w:rPr>
                <w:color w:val="000000"/>
              </w:rPr>
            </w:pPr>
            <w:r w:rsidRPr="00BF3666">
              <w:rPr>
                <w:rFonts w:ascii="Cambria Math" w:hAnsi="Cambria Math" w:cs="Cambria Math"/>
                <w:color w:val="000000"/>
              </w:rPr>
              <w:t>‐</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2022</w:t>
            </w:r>
          </w:p>
        </w:tc>
        <w:tc>
          <w:tcPr>
            <w:tcW w:w="1458" w:type="dxa"/>
            <w:shd w:val="clear" w:color="auto" w:fill="auto"/>
            <w:vAlign w:val="center"/>
          </w:tcPr>
          <w:p w:rsidR="00BF3666" w:rsidRPr="00BF3666" w:rsidRDefault="00BF3666" w:rsidP="00BF3666">
            <w:pPr>
              <w:jc w:val="right"/>
              <w:rPr>
                <w:color w:val="000000"/>
              </w:rPr>
            </w:pPr>
            <w:r w:rsidRPr="00BF3666">
              <w:rPr>
                <w:color w:val="000000"/>
              </w:rPr>
              <w:t>6,933</w:t>
            </w:r>
          </w:p>
        </w:tc>
        <w:tc>
          <w:tcPr>
            <w:tcW w:w="1593" w:type="dxa"/>
            <w:shd w:val="clear" w:color="auto" w:fill="auto"/>
            <w:vAlign w:val="center"/>
          </w:tcPr>
          <w:p w:rsidR="00BF3666" w:rsidRPr="00BF3666" w:rsidRDefault="00BF3666" w:rsidP="00BF3666">
            <w:pPr>
              <w:jc w:val="center"/>
              <w:rPr>
                <w:color w:val="000000"/>
              </w:rPr>
            </w:pPr>
            <w:r w:rsidRPr="00BF3666">
              <w:rPr>
                <w:color w:val="000000"/>
              </w:rPr>
              <w:t>-</w:t>
            </w:r>
          </w:p>
        </w:tc>
        <w:tc>
          <w:tcPr>
            <w:tcW w:w="1593" w:type="dxa"/>
            <w:shd w:val="clear" w:color="auto" w:fill="auto"/>
            <w:vAlign w:val="center"/>
          </w:tcPr>
          <w:p w:rsidR="00BF3666" w:rsidRPr="00BF3666" w:rsidRDefault="00BF3666" w:rsidP="00BF3666">
            <w:pPr>
              <w:jc w:val="center"/>
              <w:rPr>
                <w:color w:val="000000"/>
              </w:rPr>
            </w:pPr>
            <w:r w:rsidRPr="00BF3666">
              <w:rPr>
                <w:color w:val="000000"/>
              </w:rPr>
              <w:t>-</w:t>
            </w:r>
          </w:p>
        </w:tc>
        <w:tc>
          <w:tcPr>
            <w:tcW w:w="1593" w:type="dxa"/>
            <w:shd w:val="clear" w:color="auto" w:fill="auto"/>
            <w:vAlign w:val="bottom"/>
          </w:tcPr>
          <w:p w:rsidR="00BF3666" w:rsidRPr="00BF3666" w:rsidRDefault="00BF3666" w:rsidP="00BF3666">
            <w:pPr>
              <w:jc w:val="center"/>
              <w:rPr>
                <w:color w:val="000000"/>
              </w:rPr>
            </w:pPr>
            <w:r w:rsidRPr="00BF3666">
              <w:rPr>
                <w:rFonts w:ascii="Cambria Math" w:hAnsi="Cambria Math" w:cs="Cambria Math"/>
                <w:color w:val="000000"/>
              </w:rPr>
              <w:t>‐</w:t>
            </w:r>
          </w:p>
        </w:tc>
        <w:tc>
          <w:tcPr>
            <w:tcW w:w="1593" w:type="dxa"/>
            <w:shd w:val="clear" w:color="auto" w:fill="auto"/>
            <w:vAlign w:val="bottom"/>
          </w:tcPr>
          <w:p w:rsidR="00BF3666" w:rsidRPr="00BF3666" w:rsidRDefault="00BF3666" w:rsidP="00BF3666">
            <w:pPr>
              <w:jc w:val="center"/>
              <w:rPr>
                <w:color w:val="000000"/>
              </w:rPr>
            </w:pPr>
            <w:r w:rsidRPr="00BF3666">
              <w:rPr>
                <w:rFonts w:ascii="Cambria Math" w:hAnsi="Cambria Math" w:cs="Cambria Math"/>
                <w:color w:val="000000"/>
              </w:rPr>
              <w:t>‐</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2023</w:t>
            </w:r>
          </w:p>
        </w:tc>
        <w:tc>
          <w:tcPr>
            <w:tcW w:w="1458" w:type="dxa"/>
            <w:shd w:val="clear" w:color="auto" w:fill="auto"/>
            <w:vAlign w:val="center"/>
          </w:tcPr>
          <w:p w:rsidR="00BF3666" w:rsidRPr="00BF3666" w:rsidRDefault="00BF3666" w:rsidP="00BF3666">
            <w:pPr>
              <w:jc w:val="right"/>
              <w:rPr>
                <w:color w:val="000000"/>
              </w:rPr>
            </w:pPr>
            <w:r w:rsidRPr="00BF3666">
              <w:rPr>
                <w:color w:val="000000"/>
              </w:rPr>
              <w:t>8,038</w:t>
            </w:r>
          </w:p>
        </w:tc>
        <w:tc>
          <w:tcPr>
            <w:tcW w:w="1593" w:type="dxa"/>
            <w:shd w:val="clear" w:color="auto" w:fill="auto"/>
            <w:vAlign w:val="center"/>
          </w:tcPr>
          <w:p w:rsidR="00BF3666" w:rsidRPr="00BF3666" w:rsidRDefault="00BF3666" w:rsidP="00BF3666">
            <w:pPr>
              <w:jc w:val="center"/>
              <w:rPr>
                <w:color w:val="000000"/>
              </w:rPr>
            </w:pPr>
            <w:r w:rsidRPr="00BF3666">
              <w:rPr>
                <w:color w:val="000000"/>
              </w:rPr>
              <w:t>-</w:t>
            </w:r>
          </w:p>
        </w:tc>
        <w:tc>
          <w:tcPr>
            <w:tcW w:w="1593" w:type="dxa"/>
            <w:shd w:val="clear" w:color="auto" w:fill="auto"/>
            <w:vAlign w:val="center"/>
          </w:tcPr>
          <w:p w:rsidR="00BF3666" w:rsidRPr="00BF3666" w:rsidRDefault="00BF3666" w:rsidP="00BF3666">
            <w:pPr>
              <w:jc w:val="center"/>
              <w:rPr>
                <w:color w:val="000000"/>
              </w:rPr>
            </w:pPr>
            <w:r w:rsidRPr="00BF3666">
              <w:rPr>
                <w:color w:val="000000"/>
              </w:rPr>
              <w:t>-</w:t>
            </w:r>
          </w:p>
        </w:tc>
        <w:tc>
          <w:tcPr>
            <w:tcW w:w="1593" w:type="dxa"/>
            <w:shd w:val="clear" w:color="auto" w:fill="auto"/>
            <w:vAlign w:val="bottom"/>
          </w:tcPr>
          <w:p w:rsidR="00BF3666" w:rsidRPr="00BF3666" w:rsidRDefault="00BF3666" w:rsidP="00BF3666">
            <w:pPr>
              <w:jc w:val="center"/>
              <w:rPr>
                <w:color w:val="000000"/>
              </w:rPr>
            </w:pPr>
            <w:r w:rsidRPr="00BF3666">
              <w:rPr>
                <w:rFonts w:ascii="Cambria Math" w:hAnsi="Cambria Math" w:cs="Cambria Math"/>
                <w:color w:val="000000"/>
              </w:rPr>
              <w:t>‐</w:t>
            </w:r>
          </w:p>
        </w:tc>
        <w:tc>
          <w:tcPr>
            <w:tcW w:w="1593" w:type="dxa"/>
            <w:shd w:val="clear" w:color="auto" w:fill="auto"/>
            <w:vAlign w:val="bottom"/>
          </w:tcPr>
          <w:p w:rsidR="00BF3666" w:rsidRPr="00BF3666" w:rsidRDefault="00BF3666" w:rsidP="00BF3666">
            <w:pPr>
              <w:jc w:val="center"/>
              <w:rPr>
                <w:color w:val="000000"/>
              </w:rPr>
            </w:pPr>
            <w:r w:rsidRPr="00BF3666">
              <w:rPr>
                <w:rFonts w:ascii="Cambria Math" w:hAnsi="Cambria Math" w:cs="Cambria Math"/>
                <w:color w:val="000000"/>
              </w:rPr>
              <w:t>‐</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2024</w:t>
            </w:r>
          </w:p>
        </w:tc>
        <w:tc>
          <w:tcPr>
            <w:tcW w:w="1458" w:type="dxa"/>
            <w:shd w:val="clear" w:color="auto" w:fill="auto"/>
            <w:vAlign w:val="center"/>
          </w:tcPr>
          <w:p w:rsidR="00BF3666" w:rsidRPr="00BF3666" w:rsidRDefault="00BF3666" w:rsidP="00BF3666">
            <w:pPr>
              <w:jc w:val="right"/>
              <w:rPr>
                <w:color w:val="000000"/>
              </w:rPr>
            </w:pPr>
            <w:r w:rsidRPr="00BF3666">
              <w:rPr>
                <w:color w:val="000000"/>
              </w:rPr>
              <w:t>8,709</w:t>
            </w:r>
          </w:p>
        </w:tc>
        <w:tc>
          <w:tcPr>
            <w:tcW w:w="1593" w:type="dxa"/>
            <w:shd w:val="clear" w:color="auto" w:fill="auto"/>
            <w:vAlign w:val="center"/>
          </w:tcPr>
          <w:p w:rsidR="00BF3666" w:rsidRPr="00BF3666" w:rsidRDefault="00BF3666" w:rsidP="00BF3666">
            <w:pPr>
              <w:jc w:val="center"/>
              <w:rPr>
                <w:color w:val="000000"/>
              </w:rPr>
            </w:pPr>
            <w:r w:rsidRPr="00BF3666">
              <w:rPr>
                <w:color w:val="000000"/>
              </w:rPr>
              <w:t>-</w:t>
            </w:r>
          </w:p>
        </w:tc>
        <w:tc>
          <w:tcPr>
            <w:tcW w:w="1593" w:type="dxa"/>
            <w:shd w:val="clear" w:color="auto" w:fill="auto"/>
            <w:vAlign w:val="center"/>
          </w:tcPr>
          <w:p w:rsidR="00BF3666" w:rsidRPr="00BF3666" w:rsidRDefault="00BF3666" w:rsidP="00BF3666">
            <w:pPr>
              <w:jc w:val="center"/>
              <w:rPr>
                <w:color w:val="000000"/>
              </w:rPr>
            </w:pPr>
            <w:r w:rsidRPr="00BF3666">
              <w:rPr>
                <w:color w:val="000000"/>
              </w:rPr>
              <w:t>-</w:t>
            </w:r>
          </w:p>
        </w:tc>
        <w:tc>
          <w:tcPr>
            <w:tcW w:w="1593" w:type="dxa"/>
            <w:shd w:val="clear" w:color="auto" w:fill="auto"/>
            <w:vAlign w:val="bottom"/>
          </w:tcPr>
          <w:p w:rsidR="00BF3666" w:rsidRPr="00BF3666" w:rsidRDefault="00BF3666" w:rsidP="00BF3666">
            <w:pPr>
              <w:jc w:val="center"/>
              <w:rPr>
                <w:color w:val="000000"/>
              </w:rPr>
            </w:pPr>
            <w:r w:rsidRPr="00BF3666">
              <w:rPr>
                <w:rFonts w:ascii="Cambria Math" w:hAnsi="Cambria Math" w:cs="Cambria Math"/>
                <w:color w:val="000000"/>
              </w:rPr>
              <w:t>‐</w:t>
            </w:r>
          </w:p>
        </w:tc>
        <w:tc>
          <w:tcPr>
            <w:tcW w:w="1593" w:type="dxa"/>
            <w:shd w:val="clear" w:color="auto" w:fill="auto"/>
            <w:vAlign w:val="bottom"/>
          </w:tcPr>
          <w:p w:rsidR="00BF3666" w:rsidRPr="00BF3666" w:rsidRDefault="00BF3666" w:rsidP="00BF3666">
            <w:pPr>
              <w:jc w:val="center"/>
              <w:rPr>
                <w:color w:val="000000"/>
              </w:rPr>
            </w:pPr>
            <w:r w:rsidRPr="00BF3666">
              <w:rPr>
                <w:rFonts w:ascii="Cambria Math" w:hAnsi="Cambria Math" w:cs="Cambria Math"/>
                <w:color w:val="000000"/>
              </w:rPr>
              <w:t>‐</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2025</w:t>
            </w:r>
          </w:p>
        </w:tc>
        <w:tc>
          <w:tcPr>
            <w:tcW w:w="1458" w:type="dxa"/>
            <w:shd w:val="clear" w:color="auto" w:fill="auto"/>
            <w:vAlign w:val="center"/>
          </w:tcPr>
          <w:p w:rsidR="00BF3666" w:rsidRPr="00BF3666" w:rsidRDefault="00BF3666" w:rsidP="00BF3666">
            <w:pPr>
              <w:jc w:val="right"/>
              <w:rPr>
                <w:color w:val="000000"/>
              </w:rPr>
            </w:pPr>
            <w:r w:rsidRPr="00BF3666">
              <w:rPr>
                <w:color w:val="000000"/>
              </w:rPr>
              <w:t>9,648</w:t>
            </w:r>
          </w:p>
        </w:tc>
        <w:tc>
          <w:tcPr>
            <w:tcW w:w="1593" w:type="dxa"/>
            <w:shd w:val="clear" w:color="auto" w:fill="auto"/>
            <w:vAlign w:val="center"/>
          </w:tcPr>
          <w:p w:rsidR="00BF3666" w:rsidRPr="00BF3666" w:rsidRDefault="00BF3666" w:rsidP="00BF3666">
            <w:pPr>
              <w:jc w:val="center"/>
              <w:rPr>
                <w:color w:val="000000"/>
              </w:rPr>
            </w:pPr>
            <w:r w:rsidRPr="00BF3666">
              <w:rPr>
                <w:color w:val="000000"/>
              </w:rPr>
              <w:t>-</w:t>
            </w:r>
          </w:p>
        </w:tc>
        <w:tc>
          <w:tcPr>
            <w:tcW w:w="1593" w:type="dxa"/>
            <w:shd w:val="clear" w:color="auto" w:fill="auto"/>
            <w:vAlign w:val="center"/>
          </w:tcPr>
          <w:p w:rsidR="00BF3666" w:rsidRPr="00BF3666" w:rsidRDefault="00BF3666" w:rsidP="00BF3666">
            <w:pPr>
              <w:jc w:val="center"/>
              <w:rPr>
                <w:color w:val="000000"/>
              </w:rPr>
            </w:pPr>
            <w:r w:rsidRPr="00BF3666">
              <w:rPr>
                <w:color w:val="000000"/>
              </w:rPr>
              <w:t>-</w:t>
            </w:r>
          </w:p>
        </w:tc>
        <w:tc>
          <w:tcPr>
            <w:tcW w:w="1593" w:type="dxa"/>
            <w:shd w:val="clear" w:color="auto" w:fill="auto"/>
            <w:vAlign w:val="bottom"/>
          </w:tcPr>
          <w:p w:rsidR="00BF3666" w:rsidRPr="00BF3666" w:rsidRDefault="00BF3666" w:rsidP="00BF3666">
            <w:pPr>
              <w:jc w:val="center"/>
              <w:rPr>
                <w:color w:val="000000"/>
              </w:rPr>
            </w:pPr>
            <w:r w:rsidRPr="00BF3666">
              <w:rPr>
                <w:rFonts w:ascii="Cambria Math" w:hAnsi="Cambria Math" w:cs="Cambria Math"/>
                <w:color w:val="000000"/>
              </w:rPr>
              <w:t>‐</w:t>
            </w:r>
          </w:p>
        </w:tc>
        <w:tc>
          <w:tcPr>
            <w:tcW w:w="1593" w:type="dxa"/>
            <w:shd w:val="clear" w:color="auto" w:fill="auto"/>
            <w:vAlign w:val="bottom"/>
          </w:tcPr>
          <w:p w:rsidR="00BF3666" w:rsidRPr="00BF3666" w:rsidRDefault="00BF3666" w:rsidP="00BF3666">
            <w:pPr>
              <w:jc w:val="center"/>
              <w:rPr>
                <w:color w:val="000000"/>
              </w:rPr>
            </w:pPr>
            <w:r w:rsidRPr="00BF3666">
              <w:rPr>
                <w:rFonts w:ascii="Cambria Math" w:hAnsi="Cambria Math" w:cs="Cambria Math"/>
                <w:color w:val="000000"/>
              </w:rPr>
              <w:t>‐</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2026</w:t>
            </w:r>
          </w:p>
        </w:tc>
        <w:tc>
          <w:tcPr>
            <w:tcW w:w="1458" w:type="dxa"/>
            <w:shd w:val="clear" w:color="auto" w:fill="auto"/>
            <w:vAlign w:val="center"/>
          </w:tcPr>
          <w:p w:rsidR="00BF3666" w:rsidRPr="00BF3666" w:rsidRDefault="00BF3666" w:rsidP="00BF3666">
            <w:pPr>
              <w:jc w:val="right"/>
              <w:rPr>
                <w:color w:val="000000"/>
              </w:rPr>
            </w:pPr>
            <w:r w:rsidRPr="00BF3666">
              <w:rPr>
                <w:color w:val="000000"/>
              </w:rPr>
              <w:t>10,212</w:t>
            </w:r>
          </w:p>
        </w:tc>
        <w:tc>
          <w:tcPr>
            <w:tcW w:w="1593" w:type="dxa"/>
            <w:shd w:val="clear" w:color="auto" w:fill="auto"/>
            <w:vAlign w:val="center"/>
          </w:tcPr>
          <w:p w:rsidR="00BF3666" w:rsidRPr="00BF3666" w:rsidRDefault="00BF3666" w:rsidP="00BF3666">
            <w:pPr>
              <w:jc w:val="center"/>
              <w:rPr>
                <w:color w:val="000000"/>
              </w:rPr>
            </w:pPr>
            <w:r w:rsidRPr="00BF3666">
              <w:rPr>
                <w:color w:val="000000"/>
              </w:rPr>
              <w:t>-</w:t>
            </w:r>
          </w:p>
        </w:tc>
        <w:tc>
          <w:tcPr>
            <w:tcW w:w="1593" w:type="dxa"/>
            <w:shd w:val="clear" w:color="auto" w:fill="auto"/>
            <w:vAlign w:val="center"/>
          </w:tcPr>
          <w:p w:rsidR="00BF3666" w:rsidRPr="00BF3666" w:rsidRDefault="00BF3666" w:rsidP="00BF3666">
            <w:pPr>
              <w:jc w:val="center"/>
              <w:rPr>
                <w:color w:val="000000"/>
              </w:rPr>
            </w:pPr>
            <w:r w:rsidRPr="00BF3666">
              <w:rPr>
                <w:color w:val="000000"/>
              </w:rPr>
              <w:t>-</w:t>
            </w:r>
          </w:p>
        </w:tc>
        <w:tc>
          <w:tcPr>
            <w:tcW w:w="1593" w:type="dxa"/>
            <w:shd w:val="clear" w:color="auto" w:fill="auto"/>
            <w:vAlign w:val="bottom"/>
          </w:tcPr>
          <w:p w:rsidR="00BF3666" w:rsidRPr="00BF3666" w:rsidRDefault="00BF3666" w:rsidP="00BF3666">
            <w:pPr>
              <w:jc w:val="right"/>
              <w:rPr>
                <w:color w:val="000000"/>
              </w:rPr>
            </w:pPr>
            <w:r w:rsidRPr="00BF3666">
              <w:rPr>
                <w:color w:val="000000"/>
              </w:rPr>
              <w:t>1,975</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2,217</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2027</w:t>
            </w:r>
          </w:p>
        </w:tc>
        <w:tc>
          <w:tcPr>
            <w:tcW w:w="1458" w:type="dxa"/>
            <w:shd w:val="clear" w:color="auto" w:fill="auto"/>
            <w:vAlign w:val="center"/>
          </w:tcPr>
          <w:p w:rsidR="00BF3666" w:rsidRPr="00BF3666" w:rsidRDefault="00BF3666" w:rsidP="00BF3666">
            <w:pPr>
              <w:jc w:val="right"/>
              <w:rPr>
                <w:color w:val="000000"/>
              </w:rPr>
            </w:pPr>
            <w:r w:rsidRPr="00BF3666">
              <w:rPr>
                <w:color w:val="000000"/>
              </w:rPr>
              <w:t>10,639</w:t>
            </w:r>
          </w:p>
        </w:tc>
        <w:tc>
          <w:tcPr>
            <w:tcW w:w="1593" w:type="dxa"/>
            <w:shd w:val="clear" w:color="auto" w:fill="auto"/>
            <w:vAlign w:val="center"/>
          </w:tcPr>
          <w:p w:rsidR="00BF3666" w:rsidRPr="00BF3666" w:rsidRDefault="00BF3666" w:rsidP="00BF3666">
            <w:pPr>
              <w:jc w:val="center"/>
              <w:rPr>
                <w:color w:val="000000"/>
              </w:rPr>
            </w:pPr>
            <w:r w:rsidRPr="00BF3666">
              <w:rPr>
                <w:color w:val="000000"/>
              </w:rPr>
              <w:t>-</w:t>
            </w:r>
          </w:p>
        </w:tc>
        <w:tc>
          <w:tcPr>
            <w:tcW w:w="1593" w:type="dxa"/>
            <w:shd w:val="clear" w:color="auto" w:fill="auto"/>
            <w:vAlign w:val="center"/>
          </w:tcPr>
          <w:p w:rsidR="00BF3666" w:rsidRPr="00BF3666" w:rsidRDefault="00BF3666" w:rsidP="00BF3666">
            <w:pPr>
              <w:jc w:val="center"/>
              <w:rPr>
                <w:color w:val="000000"/>
              </w:rPr>
            </w:pPr>
            <w:r w:rsidRPr="00BF3666">
              <w:rPr>
                <w:color w:val="000000"/>
              </w:rPr>
              <w:t>-</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2,014</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2,217</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2028</w:t>
            </w:r>
          </w:p>
        </w:tc>
        <w:tc>
          <w:tcPr>
            <w:tcW w:w="1458" w:type="dxa"/>
            <w:shd w:val="clear" w:color="auto" w:fill="auto"/>
            <w:vAlign w:val="center"/>
          </w:tcPr>
          <w:p w:rsidR="00BF3666" w:rsidRPr="00BF3666" w:rsidRDefault="00BF3666" w:rsidP="00BF3666">
            <w:pPr>
              <w:jc w:val="right"/>
              <w:rPr>
                <w:color w:val="000000"/>
              </w:rPr>
            </w:pPr>
            <w:r w:rsidRPr="00BF3666">
              <w:rPr>
                <w:color w:val="000000"/>
              </w:rPr>
              <w:t>11,517</w:t>
            </w:r>
          </w:p>
        </w:tc>
        <w:tc>
          <w:tcPr>
            <w:tcW w:w="1593" w:type="dxa"/>
            <w:shd w:val="clear" w:color="auto" w:fill="auto"/>
            <w:vAlign w:val="center"/>
          </w:tcPr>
          <w:p w:rsidR="00BF3666" w:rsidRPr="00BF3666" w:rsidRDefault="00BF3666" w:rsidP="00BF3666">
            <w:pPr>
              <w:jc w:val="center"/>
              <w:rPr>
                <w:color w:val="000000"/>
              </w:rPr>
            </w:pPr>
            <w:r w:rsidRPr="00BF3666">
              <w:rPr>
                <w:color w:val="000000"/>
              </w:rPr>
              <w:t>-</w:t>
            </w:r>
          </w:p>
        </w:tc>
        <w:tc>
          <w:tcPr>
            <w:tcW w:w="1593" w:type="dxa"/>
            <w:shd w:val="clear" w:color="auto" w:fill="auto"/>
            <w:vAlign w:val="center"/>
          </w:tcPr>
          <w:p w:rsidR="00BF3666" w:rsidRPr="00BF3666" w:rsidRDefault="00BF3666" w:rsidP="00BF3666">
            <w:pPr>
              <w:jc w:val="center"/>
              <w:rPr>
                <w:color w:val="000000"/>
              </w:rPr>
            </w:pPr>
            <w:r w:rsidRPr="00BF3666">
              <w:rPr>
                <w:color w:val="000000"/>
              </w:rPr>
              <w:t>-</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2,054</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2,217</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2029</w:t>
            </w:r>
          </w:p>
        </w:tc>
        <w:tc>
          <w:tcPr>
            <w:tcW w:w="1458" w:type="dxa"/>
            <w:shd w:val="clear" w:color="auto" w:fill="auto"/>
            <w:vAlign w:val="center"/>
          </w:tcPr>
          <w:p w:rsidR="00BF3666" w:rsidRPr="00BF3666" w:rsidRDefault="00BF3666" w:rsidP="00BF3666">
            <w:pPr>
              <w:jc w:val="right"/>
              <w:rPr>
                <w:color w:val="000000"/>
              </w:rPr>
            </w:pPr>
            <w:r w:rsidRPr="00BF3666">
              <w:rPr>
                <w:color w:val="000000"/>
              </w:rPr>
              <w:t>11,540</w:t>
            </w:r>
          </w:p>
        </w:tc>
        <w:tc>
          <w:tcPr>
            <w:tcW w:w="1593" w:type="dxa"/>
            <w:shd w:val="clear" w:color="auto" w:fill="auto"/>
            <w:vAlign w:val="center"/>
          </w:tcPr>
          <w:p w:rsidR="00BF3666" w:rsidRPr="00BF3666" w:rsidRDefault="00BF3666" w:rsidP="00BF3666">
            <w:pPr>
              <w:jc w:val="center"/>
              <w:rPr>
                <w:color w:val="000000"/>
              </w:rPr>
            </w:pPr>
            <w:r w:rsidRPr="00BF3666">
              <w:rPr>
                <w:color w:val="000000"/>
              </w:rPr>
              <w:t>-</w:t>
            </w:r>
          </w:p>
        </w:tc>
        <w:tc>
          <w:tcPr>
            <w:tcW w:w="1593" w:type="dxa"/>
            <w:shd w:val="clear" w:color="auto" w:fill="auto"/>
            <w:vAlign w:val="center"/>
          </w:tcPr>
          <w:p w:rsidR="00BF3666" w:rsidRPr="00BF3666" w:rsidRDefault="00BF3666" w:rsidP="00BF3666">
            <w:pPr>
              <w:jc w:val="center"/>
              <w:rPr>
                <w:color w:val="000000"/>
              </w:rPr>
            </w:pPr>
            <w:r w:rsidRPr="00BF3666">
              <w:rPr>
                <w:color w:val="000000"/>
              </w:rPr>
              <w:t>-</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2,095</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2,217</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2030</w:t>
            </w:r>
          </w:p>
        </w:tc>
        <w:tc>
          <w:tcPr>
            <w:tcW w:w="1458" w:type="dxa"/>
            <w:shd w:val="clear" w:color="auto" w:fill="auto"/>
            <w:vAlign w:val="center"/>
          </w:tcPr>
          <w:p w:rsidR="00BF3666" w:rsidRPr="00BF3666" w:rsidRDefault="00BF3666" w:rsidP="00BF3666">
            <w:pPr>
              <w:jc w:val="right"/>
              <w:rPr>
                <w:color w:val="000000"/>
              </w:rPr>
            </w:pPr>
            <w:r w:rsidRPr="00BF3666">
              <w:rPr>
                <w:color w:val="000000"/>
              </w:rPr>
              <w:t>11,625</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3,263</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3,574</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2,137</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2,217</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2031</w:t>
            </w:r>
          </w:p>
        </w:tc>
        <w:tc>
          <w:tcPr>
            <w:tcW w:w="1458" w:type="dxa"/>
            <w:shd w:val="clear" w:color="auto" w:fill="auto"/>
            <w:vAlign w:val="center"/>
          </w:tcPr>
          <w:p w:rsidR="00BF3666" w:rsidRPr="00BF3666" w:rsidRDefault="00BF3666" w:rsidP="00BF3666">
            <w:pPr>
              <w:jc w:val="right"/>
              <w:rPr>
                <w:color w:val="000000"/>
              </w:rPr>
            </w:pPr>
            <w:r w:rsidRPr="00BF3666">
              <w:rPr>
                <w:color w:val="000000"/>
              </w:rPr>
              <w:t>11,910</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3,332</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3,574</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2,180</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2,217</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2032</w:t>
            </w:r>
          </w:p>
        </w:tc>
        <w:tc>
          <w:tcPr>
            <w:tcW w:w="1458" w:type="dxa"/>
            <w:shd w:val="clear" w:color="auto" w:fill="auto"/>
            <w:vAlign w:val="center"/>
          </w:tcPr>
          <w:p w:rsidR="00BF3666" w:rsidRPr="00BF3666" w:rsidRDefault="00BF3666" w:rsidP="00BF3666">
            <w:pPr>
              <w:jc w:val="right"/>
              <w:rPr>
                <w:color w:val="000000"/>
              </w:rPr>
            </w:pPr>
            <w:r w:rsidRPr="00BF3666">
              <w:rPr>
                <w:color w:val="000000"/>
              </w:rPr>
              <w:t>12,556</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3,402</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3,574</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2,223</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2,217</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2033</w:t>
            </w:r>
          </w:p>
        </w:tc>
        <w:tc>
          <w:tcPr>
            <w:tcW w:w="1458" w:type="dxa"/>
            <w:shd w:val="clear" w:color="auto" w:fill="auto"/>
            <w:vAlign w:val="center"/>
          </w:tcPr>
          <w:p w:rsidR="00BF3666" w:rsidRPr="00BF3666" w:rsidRDefault="00BF3666" w:rsidP="00BF3666">
            <w:pPr>
              <w:jc w:val="right"/>
              <w:rPr>
                <w:color w:val="000000"/>
              </w:rPr>
            </w:pPr>
            <w:r w:rsidRPr="00BF3666">
              <w:rPr>
                <w:color w:val="000000"/>
              </w:rPr>
              <w:t>12,862</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3,473</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3,574</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2,268</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2,217</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2034</w:t>
            </w:r>
          </w:p>
        </w:tc>
        <w:tc>
          <w:tcPr>
            <w:tcW w:w="1458" w:type="dxa"/>
            <w:shd w:val="clear" w:color="auto" w:fill="auto"/>
            <w:vAlign w:val="center"/>
          </w:tcPr>
          <w:p w:rsidR="00BF3666" w:rsidRPr="00BF3666" w:rsidRDefault="00BF3666" w:rsidP="00BF3666">
            <w:pPr>
              <w:jc w:val="right"/>
              <w:rPr>
                <w:color w:val="000000"/>
              </w:rPr>
            </w:pPr>
            <w:r w:rsidRPr="00BF3666">
              <w:rPr>
                <w:color w:val="000000"/>
              </w:rPr>
              <w:t>13,404</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3,546</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3,574</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2,313</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2,217</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2035</w:t>
            </w:r>
          </w:p>
        </w:tc>
        <w:tc>
          <w:tcPr>
            <w:tcW w:w="1458" w:type="dxa"/>
            <w:shd w:val="clear" w:color="auto" w:fill="auto"/>
            <w:vAlign w:val="center"/>
          </w:tcPr>
          <w:p w:rsidR="00BF3666" w:rsidRPr="00BF3666" w:rsidRDefault="00BF3666" w:rsidP="00BF3666">
            <w:pPr>
              <w:jc w:val="right"/>
              <w:rPr>
                <w:color w:val="000000"/>
              </w:rPr>
            </w:pPr>
            <w:r w:rsidRPr="00BF3666">
              <w:rPr>
                <w:color w:val="000000"/>
              </w:rPr>
              <w:t>13,035</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3,620</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3,574</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2,359</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2,217</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2036</w:t>
            </w:r>
          </w:p>
        </w:tc>
        <w:tc>
          <w:tcPr>
            <w:tcW w:w="1458" w:type="dxa"/>
            <w:shd w:val="clear" w:color="auto" w:fill="auto"/>
            <w:vAlign w:val="center"/>
          </w:tcPr>
          <w:p w:rsidR="00BF3666" w:rsidRPr="00BF3666" w:rsidRDefault="00BF3666" w:rsidP="00BF3666">
            <w:pPr>
              <w:jc w:val="right"/>
              <w:rPr>
                <w:color w:val="000000"/>
              </w:rPr>
            </w:pPr>
            <w:r w:rsidRPr="00BF3666">
              <w:rPr>
                <w:color w:val="000000"/>
              </w:rPr>
              <w:t>13,102</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3,696</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3,574</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2,407</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2,217</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2037</w:t>
            </w:r>
          </w:p>
        </w:tc>
        <w:tc>
          <w:tcPr>
            <w:tcW w:w="1458" w:type="dxa"/>
            <w:shd w:val="clear" w:color="auto" w:fill="auto"/>
            <w:vAlign w:val="center"/>
          </w:tcPr>
          <w:p w:rsidR="00BF3666" w:rsidRPr="00BF3666" w:rsidRDefault="00BF3666" w:rsidP="00BF3666">
            <w:pPr>
              <w:jc w:val="right"/>
              <w:rPr>
                <w:color w:val="000000"/>
              </w:rPr>
            </w:pPr>
            <w:r w:rsidRPr="00BF3666">
              <w:rPr>
                <w:color w:val="000000"/>
              </w:rPr>
              <w:t>12,370</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3,774</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3,574</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2,455</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2,217</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2038</w:t>
            </w:r>
          </w:p>
        </w:tc>
        <w:tc>
          <w:tcPr>
            <w:tcW w:w="1458" w:type="dxa"/>
            <w:shd w:val="clear" w:color="auto" w:fill="auto"/>
            <w:vAlign w:val="center"/>
          </w:tcPr>
          <w:p w:rsidR="00BF3666" w:rsidRPr="00BF3666" w:rsidRDefault="00BF3666" w:rsidP="00BF3666">
            <w:pPr>
              <w:jc w:val="right"/>
              <w:rPr>
                <w:color w:val="000000"/>
              </w:rPr>
            </w:pPr>
            <w:r w:rsidRPr="00BF3666">
              <w:rPr>
                <w:color w:val="000000"/>
              </w:rPr>
              <w:t>12,076</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3,853</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3,574</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2,504</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2,217</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2039</w:t>
            </w:r>
          </w:p>
        </w:tc>
        <w:tc>
          <w:tcPr>
            <w:tcW w:w="1458" w:type="dxa"/>
            <w:shd w:val="clear" w:color="auto" w:fill="auto"/>
            <w:vAlign w:val="center"/>
          </w:tcPr>
          <w:p w:rsidR="00BF3666" w:rsidRPr="00BF3666" w:rsidRDefault="00BF3666" w:rsidP="00BF3666">
            <w:pPr>
              <w:jc w:val="right"/>
              <w:rPr>
                <w:color w:val="000000"/>
              </w:rPr>
            </w:pPr>
            <w:r w:rsidRPr="00BF3666">
              <w:rPr>
                <w:color w:val="000000"/>
              </w:rPr>
              <w:t>13,828</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3,934</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3,574</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2,554</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2,217</w:t>
            </w:r>
          </w:p>
        </w:tc>
      </w:tr>
      <w:tr w:rsidR="00BF3666" w:rsidRPr="00BF3666" w:rsidTr="00EF7BEA">
        <w:trPr>
          <w:cantSplit/>
          <w:trHeight w:val="274"/>
          <w:jc w:val="center"/>
        </w:trPr>
        <w:tc>
          <w:tcPr>
            <w:tcW w:w="1557" w:type="dxa"/>
            <w:shd w:val="clear" w:color="auto" w:fill="auto"/>
            <w:vAlign w:val="bottom"/>
          </w:tcPr>
          <w:p w:rsidR="00BF3666" w:rsidRPr="00BF3666" w:rsidRDefault="00BF3666" w:rsidP="00BF3666">
            <w:pPr>
              <w:contextualSpacing/>
              <w:jc w:val="center"/>
              <w:rPr>
                <w:color w:val="000000"/>
                <w:lang w:eastAsia="ja-JP"/>
              </w:rPr>
            </w:pPr>
            <w:r w:rsidRPr="00BF3666">
              <w:rPr>
                <w:color w:val="000000"/>
              </w:rPr>
              <w:t>2040</w:t>
            </w:r>
          </w:p>
        </w:tc>
        <w:tc>
          <w:tcPr>
            <w:tcW w:w="1458" w:type="dxa"/>
            <w:shd w:val="clear" w:color="auto" w:fill="auto"/>
            <w:vAlign w:val="center"/>
          </w:tcPr>
          <w:p w:rsidR="00BF3666" w:rsidRPr="00BF3666" w:rsidRDefault="00BF3666" w:rsidP="00BF3666">
            <w:pPr>
              <w:jc w:val="right"/>
              <w:rPr>
                <w:color w:val="000000"/>
              </w:rPr>
            </w:pPr>
            <w:r w:rsidRPr="00BF3666">
              <w:rPr>
                <w:color w:val="000000"/>
              </w:rPr>
              <w:t>13,613</w:t>
            </w:r>
          </w:p>
        </w:tc>
        <w:tc>
          <w:tcPr>
            <w:tcW w:w="1593" w:type="dxa"/>
            <w:shd w:val="clear" w:color="auto" w:fill="auto"/>
            <w:vAlign w:val="center"/>
          </w:tcPr>
          <w:p w:rsidR="00BF3666" w:rsidRPr="00BF3666" w:rsidRDefault="00BF3666" w:rsidP="00BF3666">
            <w:pPr>
              <w:jc w:val="right"/>
              <w:rPr>
                <w:color w:val="000000"/>
              </w:rPr>
            </w:pPr>
            <w:r w:rsidRPr="00BF3666">
              <w:rPr>
                <w:color w:val="000000"/>
              </w:rPr>
              <w:t>4,016</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3,574</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2,605</w:t>
            </w:r>
          </w:p>
        </w:tc>
        <w:tc>
          <w:tcPr>
            <w:tcW w:w="1593" w:type="dxa"/>
            <w:shd w:val="clear" w:color="auto" w:fill="auto"/>
            <w:vAlign w:val="bottom"/>
          </w:tcPr>
          <w:p w:rsidR="00BF3666" w:rsidRPr="00BF3666" w:rsidRDefault="00BF3666" w:rsidP="00BF3666">
            <w:pPr>
              <w:jc w:val="right"/>
              <w:rPr>
                <w:color w:val="000000"/>
              </w:rPr>
            </w:pPr>
            <w:r w:rsidRPr="00BF3666">
              <w:rPr>
                <w:color w:val="000000"/>
              </w:rPr>
              <w:t>2,217</w:t>
            </w:r>
          </w:p>
        </w:tc>
      </w:tr>
      <w:tr w:rsidR="00BF3666" w:rsidRPr="00BF3666" w:rsidTr="00EF7BEA">
        <w:trPr>
          <w:cantSplit/>
          <w:trHeight w:val="274"/>
          <w:jc w:val="center"/>
        </w:trPr>
        <w:tc>
          <w:tcPr>
            <w:tcW w:w="1557" w:type="dxa"/>
            <w:shd w:val="clear" w:color="auto" w:fill="auto"/>
            <w:vAlign w:val="center"/>
          </w:tcPr>
          <w:p w:rsidR="00BF3666" w:rsidRPr="00BF3666" w:rsidRDefault="00BF3666" w:rsidP="00BF3666">
            <w:pPr>
              <w:contextualSpacing/>
              <w:jc w:val="center"/>
              <w:rPr>
                <w:color w:val="000000"/>
                <w:lang w:eastAsia="ja-JP"/>
              </w:rPr>
            </w:pPr>
            <w:r w:rsidRPr="00BF3666">
              <w:rPr>
                <w:color w:val="000000"/>
              </w:rPr>
              <w:t>Total</w:t>
            </w:r>
          </w:p>
        </w:tc>
        <w:tc>
          <w:tcPr>
            <w:tcW w:w="1458" w:type="dxa"/>
            <w:shd w:val="clear" w:color="auto" w:fill="auto"/>
            <w:vAlign w:val="center"/>
          </w:tcPr>
          <w:p w:rsidR="00BF3666" w:rsidRPr="00BF3666" w:rsidRDefault="00BF3666" w:rsidP="00BF3666">
            <w:pPr>
              <w:jc w:val="right"/>
              <w:rPr>
                <w:color w:val="000000"/>
              </w:rPr>
            </w:pPr>
            <w:r w:rsidRPr="00BF3666">
              <w:rPr>
                <w:color w:val="000000"/>
              </w:rPr>
              <w:t>224,525</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39,908</w:t>
            </w:r>
          </w:p>
        </w:tc>
        <w:tc>
          <w:tcPr>
            <w:tcW w:w="1593" w:type="dxa"/>
            <w:shd w:val="clear" w:color="auto" w:fill="auto"/>
            <w:vAlign w:val="center"/>
          </w:tcPr>
          <w:p w:rsidR="00BF3666" w:rsidRPr="00BF3666" w:rsidRDefault="00BF3666" w:rsidP="00BF3666">
            <w:pPr>
              <w:jc w:val="right"/>
              <w:rPr>
                <w:color w:val="000000"/>
              </w:rPr>
            </w:pPr>
            <w:r w:rsidRPr="00BF3666">
              <w:rPr>
                <w:color w:val="000000"/>
              </w:rPr>
              <w:t>39,316</w:t>
            </w:r>
          </w:p>
        </w:tc>
        <w:tc>
          <w:tcPr>
            <w:tcW w:w="1593" w:type="dxa"/>
            <w:shd w:val="clear" w:color="auto" w:fill="auto"/>
            <w:vAlign w:val="bottom"/>
          </w:tcPr>
          <w:p w:rsidR="00BF3666" w:rsidRPr="00BF3666" w:rsidRDefault="00BF3666" w:rsidP="00BF3666">
            <w:pPr>
              <w:jc w:val="right"/>
              <w:rPr>
                <w:color w:val="000000"/>
              </w:rPr>
            </w:pPr>
            <w:r w:rsidRPr="00BF3666">
              <w:rPr>
                <w:color w:val="000000"/>
              </w:rPr>
              <w:t>34,143</w:t>
            </w:r>
          </w:p>
        </w:tc>
        <w:tc>
          <w:tcPr>
            <w:tcW w:w="1593" w:type="dxa"/>
            <w:shd w:val="clear" w:color="auto" w:fill="auto"/>
            <w:vAlign w:val="bottom"/>
          </w:tcPr>
          <w:p w:rsidR="00BF3666" w:rsidRPr="00BF3666" w:rsidRDefault="00BF3666" w:rsidP="00BF3666">
            <w:pPr>
              <w:jc w:val="right"/>
              <w:rPr>
                <w:color w:val="000000"/>
              </w:rPr>
            </w:pPr>
            <w:r w:rsidRPr="00BF3666">
              <w:rPr>
                <w:color w:val="000000"/>
              </w:rPr>
              <w:t>33,253</w:t>
            </w:r>
          </w:p>
        </w:tc>
      </w:tr>
      <w:tr w:rsidR="00BF3666" w:rsidRPr="00BF3666" w:rsidTr="00EF7BEA">
        <w:trPr>
          <w:cantSplit/>
          <w:trHeight w:val="274"/>
          <w:jc w:val="center"/>
        </w:trPr>
        <w:tc>
          <w:tcPr>
            <w:tcW w:w="1557" w:type="dxa"/>
            <w:shd w:val="clear" w:color="auto" w:fill="auto"/>
            <w:vAlign w:val="center"/>
          </w:tcPr>
          <w:p w:rsidR="00BF3666" w:rsidRPr="00BF3666" w:rsidRDefault="00BF3666" w:rsidP="00BF3666">
            <w:pPr>
              <w:contextualSpacing/>
              <w:jc w:val="center"/>
              <w:rPr>
                <w:color w:val="000000"/>
                <w:lang w:eastAsia="ja-JP"/>
              </w:rPr>
            </w:pPr>
            <w:r w:rsidRPr="00BF3666">
              <w:rPr>
                <w:color w:val="000000"/>
              </w:rPr>
              <w:t>Total (NPV)</w:t>
            </w:r>
          </w:p>
        </w:tc>
        <w:tc>
          <w:tcPr>
            <w:tcW w:w="1458" w:type="dxa"/>
            <w:shd w:val="clear" w:color="auto" w:fill="auto"/>
            <w:vAlign w:val="center"/>
          </w:tcPr>
          <w:p w:rsidR="00BF3666" w:rsidRPr="00BF3666" w:rsidRDefault="00BF3666" w:rsidP="00BF3666">
            <w:pPr>
              <w:jc w:val="right"/>
              <w:rPr>
                <w:color w:val="000000"/>
              </w:rPr>
            </w:pPr>
            <w:r w:rsidRPr="00BF3666">
              <w:rPr>
                <w:color w:val="000000"/>
              </w:rPr>
              <w:t>105,773</w:t>
            </w:r>
          </w:p>
        </w:tc>
        <w:tc>
          <w:tcPr>
            <w:tcW w:w="1593" w:type="dxa"/>
            <w:shd w:val="clear" w:color="auto" w:fill="auto"/>
            <w:vAlign w:val="center"/>
          </w:tcPr>
          <w:p w:rsidR="00BF3666" w:rsidRPr="00BF3666" w:rsidRDefault="00BF3666" w:rsidP="00BF3666">
            <w:pPr>
              <w:jc w:val="right"/>
              <w:rPr>
                <w:color w:val="000000"/>
              </w:rPr>
            </w:pPr>
            <w:r w:rsidRPr="00BF3666">
              <w:rPr>
                <w:color w:val="000000"/>
              </w:rPr>
              <w:t>13,601</w:t>
            </w:r>
          </w:p>
        </w:tc>
        <w:tc>
          <w:tcPr>
            <w:tcW w:w="1593" w:type="dxa"/>
            <w:shd w:val="clear" w:color="auto" w:fill="auto"/>
            <w:vAlign w:val="center"/>
          </w:tcPr>
          <w:p w:rsidR="00BF3666" w:rsidRPr="00BF3666" w:rsidRDefault="00BF3666" w:rsidP="00BF3666">
            <w:pPr>
              <w:jc w:val="right"/>
              <w:rPr>
                <w:color w:val="000000"/>
              </w:rPr>
            </w:pPr>
            <w:r w:rsidRPr="00BF3666">
              <w:rPr>
                <w:color w:val="000000"/>
              </w:rPr>
              <w:t>13,601</w:t>
            </w:r>
          </w:p>
        </w:tc>
        <w:tc>
          <w:tcPr>
            <w:tcW w:w="1593" w:type="dxa"/>
            <w:shd w:val="clear" w:color="auto" w:fill="auto"/>
            <w:vAlign w:val="bottom"/>
          </w:tcPr>
          <w:p w:rsidR="00BF3666" w:rsidRPr="00BF3666" w:rsidRDefault="00BF3666" w:rsidP="00BF3666">
            <w:pPr>
              <w:jc w:val="right"/>
              <w:rPr>
                <w:color w:val="000000"/>
              </w:rPr>
            </w:pPr>
            <w:r w:rsidRPr="00BF3666">
              <w:rPr>
                <w:color w:val="000000"/>
              </w:rPr>
              <w:t>13,601</w:t>
            </w:r>
          </w:p>
        </w:tc>
        <w:tc>
          <w:tcPr>
            <w:tcW w:w="1593" w:type="dxa"/>
            <w:shd w:val="clear" w:color="auto" w:fill="auto"/>
          </w:tcPr>
          <w:p w:rsidR="00BF3666" w:rsidRPr="00BF3666" w:rsidRDefault="00BF3666" w:rsidP="00BF3666">
            <w:pPr>
              <w:contextualSpacing/>
              <w:jc w:val="right"/>
            </w:pPr>
            <w:r w:rsidRPr="00BF3666">
              <w:rPr>
                <w:color w:val="000000"/>
              </w:rPr>
              <w:t>13,601</w:t>
            </w:r>
          </w:p>
        </w:tc>
      </w:tr>
    </w:tbl>
    <w:p w:rsidR="00F068EE" w:rsidRDefault="00BF3666" w:rsidP="00F068EE">
      <w:pPr>
        <w:spacing w:after="480"/>
        <w:jc w:val="both"/>
        <w:outlineLvl w:val="0"/>
        <w:rPr>
          <w:bCs/>
          <w:kern w:val="32"/>
          <w:szCs w:val="32"/>
        </w:rPr>
      </w:pPr>
      <w:r w:rsidRPr="00BF3666">
        <w:rPr>
          <w:bCs/>
          <w:kern w:val="32"/>
          <w:sz w:val="20"/>
          <w:szCs w:val="20"/>
        </w:rPr>
        <w:t xml:space="preserve">Source: FPL’s Amended Response to </w:t>
      </w:r>
      <w:r w:rsidR="00F068EE">
        <w:rPr>
          <w:bCs/>
          <w:kern w:val="32"/>
          <w:sz w:val="20"/>
          <w:szCs w:val="20"/>
        </w:rPr>
        <w:t xml:space="preserve">Our </w:t>
      </w:r>
      <w:r w:rsidRPr="00BF3666">
        <w:rPr>
          <w:bCs/>
          <w:kern w:val="32"/>
          <w:sz w:val="20"/>
          <w:szCs w:val="20"/>
        </w:rPr>
        <w:t>Staff’s First Data Request</w:t>
      </w:r>
      <w:r w:rsidRPr="00BF3666">
        <w:rPr>
          <w:bCs/>
          <w:kern w:val="32"/>
          <w:szCs w:val="32"/>
          <w:vertAlign w:val="superscript"/>
        </w:rPr>
        <w:footnoteReference w:id="3"/>
      </w:r>
    </w:p>
    <w:p w:rsidR="00254854" w:rsidRDefault="00BF3666" w:rsidP="00254854">
      <w:pPr>
        <w:spacing w:after="480"/>
        <w:jc w:val="both"/>
        <w:outlineLvl w:val="0"/>
      </w:pPr>
      <w:r>
        <w:tab/>
      </w:r>
      <w:r w:rsidRPr="00BF3666">
        <w:t xml:space="preserve">FPL’s standard offer contract, in type-and-strike format, is included as Attachment A to this </w:t>
      </w:r>
      <w:r w:rsidR="00F068EE">
        <w:t>Order</w:t>
      </w:r>
      <w:r w:rsidRPr="00BF3666">
        <w:t>. The changes made to FPL’s tariff sheets are consistent with the updated avoided unit. Revisions include updates to calendar dates and payment information which reflect the current economic and financial assumptions for the avoided unit.</w:t>
      </w:r>
    </w:p>
    <w:p w:rsidR="00254854" w:rsidRDefault="00254854" w:rsidP="00254854">
      <w:pPr>
        <w:spacing w:after="240"/>
        <w:jc w:val="center"/>
        <w:outlineLvl w:val="0"/>
        <w:rPr>
          <w:b/>
          <w:bCs/>
          <w:kern w:val="32"/>
          <w:szCs w:val="32"/>
        </w:rPr>
      </w:pPr>
    </w:p>
    <w:p w:rsidR="00254854" w:rsidRDefault="00254854" w:rsidP="00254854">
      <w:pPr>
        <w:spacing w:after="240"/>
        <w:jc w:val="center"/>
        <w:outlineLvl w:val="0"/>
        <w:rPr>
          <w:b/>
          <w:bCs/>
          <w:kern w:val="32"/>
          <w:szCs w:val="32"/>
        </w:rPr>
      </w:pPr>
    </w:p>
    <w:p w:rsidR="00254854" w:rsidRPr="00A0666A" w:rsidRDefault="00254854" w:rsidP="00254854">
      <w:pPr>
        <w:spacing w:after="240"/>
        <w:jc w:val="center"/>
        <w:outlineLvl w:val="0"/>
        <w:rPr>
          <w:b/>
          <w:bCs/>
          <w:i/>
          <w:kern w:val="32"/>
          <w:szCs w:val="32"/>
        </w:rPr>
      </w:pPr>
      <w:r>
        <w:rPr>
          <w:b/>
          <w:bCs/>
          <w:kern w:val="32"/>
          <w:szCs w:val="32"/>
        </w:rPr>
        <w:t>Decision</w:t>
      </w:r>
    </w:p>
    <w:p w:rsidR="00BF3666" w:rsidRDefault="00F068EE" w:rsidP="00A43CDA">
      <w:pPr>
        <w:spacing w:after="480"/>
        <w:jc w:val="both"/>
        <w:outlineLvl w:val="0"/>
      </w:pPr>
      <w:r>
        <w:t>We hereby approve</w:t>
      </w:r>
      <w:r w:rsidR="00BF3666" w:rsidRPr="00BF3666">
        <w:t xml:space="preserve"> FPL’s revised standard offer contract and associated rate schedule QS-2 as filed. The provisions of FPL’s revised standard offer contract conform to all requirements of Rules 25-17.200 through 25-17.310, F.A.C. The revised standard offer contract provides flexibility in the arrangements for payments so that a developer of renewable generation may select the payment stream best suited to its financial needs.</w:t>
      </w:r>
    </w:p>
    <w:p w:rsidR="00BF3666" w:rsidRDefault="00BF3666" w:rsidP="00BF3666">
      <w:pPr>
        <w:pStyle w:val="OrderBody"/>
      </w:pPr>
      <w:r>
        <w:tab/>
        <w:t>Based on the foregoing, it is</w:t>
      </w:r>
    </w:p>
    <w:p w:rsidR="00BF3666" w:rsidRDefault="00BF3666" w:rsidP="00BF3666">
      <w:pPr>
        <w:pStyle w:val="OrderBody"/>
      </w:pPr>
    </w:p>
    <w:p w:rsidR="00BF3666" w:rsidRDefault="00BF3666" w:rsidP="00BF3666">
      <w:pPr>
        <w:pStyle w:val="OrderBody"/>
      </w:pPr>
      <w:r>
        <w:tab/>
        <w:t>ORDERED by the Florida Public Service Commission that</w:t>
      </w:r>
      <w:r w:rsidR="00F068EE">
        <w:t xml:space="preserve"> Florida Power and Light Company’s </w:t>
      </w:r>
      <w:r w:rsidR="00F068EE" w:rsidRPr="00BF3666">
        <w:t>revised standard offer contract and associated rate schedule QS-2</w:t>
      </w:r>
      <w:r w:rsidR="00F068EE">
        <w:t xml:space="preserve"> are approved. It is further </w:t>
      </w:r>
    </w:p>
    <w:p w:rsidR="00BF3666" w:rsidRDefault="00BF3666" w:rsidP="00BF3666">
      <w:pPr>
        <w:pStyle w:val="OrderBody"/>
      </w:pPr>
    </w:p>
    <w:p w:rsidR="00BF3666" w:rsidRDefault="00BF3666" w:rsidP="00BF3666">
      <w:pPr>
        <w:pStyle w:val="OrderBody"/>
      </w:pPr>
      <w:r>
        <w:tab/>
        <w:t xml:space="preserve">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  </w:t>
      </w:r>
      <w:r w:rsidR="00F068EE">
        <w:t xml:space="preserve">Potential signatories should be aware that, if a timely protest is filed, Florida Power and Light Company’s standard offer contract may subsequently be revised. </w:t>
      </w:r>
      <w:r>
        <w:t>It is further</w:t>
      </w:r>
    </w:p>
    <w:p w:rsidR="00BF3666" w:rsidRDefault="00BF3666" w:rsidP="00BF3666">
      <w:pPr>
        <w:pStyle w:val="OrderBody"/>
      </w:pPr>
    </w:p>
    <w:p w:rsidR="00A43CDA" w:rsidRDefault="00BF3666" w:rsidP="00A43CDA">
      <w:pPr>
        <w:pStyle w:val="OrderBody"/>
      </w:pPr>
      <w:r>
        <w:tab/>
        <w:t>ORDERED that in the event this Order becomes final, this docket shall be closed.</w:t>
      </w:r>
    </w:p>
    <w:p w:rsidR="00A43CDA" w:rsidRDefault="00A43CDA" w:rsidP="00A43CDA">
      <w:pPr>
        <w:pStyle w:val="OrderBody"/>
      </w:pPr>
    </w:p>
    <w:p w:rsidR="00F068EE" w:rsidRDefault="00BF3666" w:rsidP="00834E8F">
      <w:pPr>
        <w:pStyle w:val="OrderBody"/>
        <w:ind w:firstLine="720"/>
      </w:pPr>
      <w:r>
        <w:t xml:space="preserve">By ORDER of the Florida Public Service Commission this </w:t>
      </w:r>
      <w:bookmarkStart w:id="8" w:name="replaceDate"/>
      <w:bookmarkEnd w:id="8"/>
      <w:r w:rsidR="00834E8F">
        <w:rPr>
          <w:u w:val="single"/>
        </w:rPr>
        <w:t>26th</w:t>
      </w:r>
      <w:r w:rsidR="00834E8F">
        <w:t xml:space="preserve"> day of </w:t>
      </w:r>
      <w:r w:rsidR="00834E8F">
        <w:rPr>
          <w:u w:val="single"/>
        </w:rPr>
        <w:t>June</w:t>
      </w:r>
      <w:r w:rsidR="00834E8F">
        <w:t xml:space="preserve">, </w:t>
      </w:r>
      <w:r w:rsidR="00834E8F">
        <w:rPr>
          <w:u w:val="single"/>
        </w:rPr>
        <w:t>2020</w:t>
      </w:r>
      <w:r w:rsidR="00834E8F">
        <w:t>.</w:t>
      </w:r>
    </w:p>
    <w:p w:rsidR="0037698C" w:rsidRPr="00834E8F" w:rsidRDefault="0037698C" w:rsidP="00834E8F">
      <w:pPr>
        <w:pStyle w:val="OrderBody"/>
        <w:ind w:firstLine="720"/>
      </w:pPr>
    </w:p>
    <w:p w:rsidR="00A43CDA" w:rsidRDefault="00A43CDA" w:rsidP="00BF3666">
      <w:pPr>
        <w:pStyle w:val="OrderBody"/>
        <w:keepNext/>
        <w:keepLines/>
      </w:pPr>
    </w:p>
    <w:p w:rsidR="0037698C" w:rsidRDefault="0037698C" w:rsidP="00BF3666">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BF3666" w:rsidTr="00BF3666">
        <w:tc>
          <w:tcPr>
            <w:tcW w:w="720" w:type="dxa"/>
            <w:shd w:val="clear" w:color="auto" w:fill="auto"/>
          </w:tcPr>
          <w:p w:rsidR="00BF3666" w:rsidRDefault="00BF3666" w:rsidP="00BF3666">
            <w:pPr>
              <w:pStyle w:val="OrderBody"/>
              <w:keepNext/>
              <w:keepLines/>
            </w:pPr>
            <w:bookmarkStart w:id="9" w:name="bkmrkSignature" w:colFirst="0" w:colLast="0"/>
          </w:p>
        </w:tc>
        <w:tc>
          <w:tcPr>
            <w:tcW w:w="4320" w:type="dxa"/>
            <w:tcBorders>
              <w:bottom w:val="single" w:sz="4" w:space="0" w:color="auto"/>
            </w:tcBorders>
            <w:shd w:val="clear" w:color="auto" w:fill="auto"/>
          </w:tcPr>
          <w:p w:rsidR="00BF3666" w:rsidRDefault="003B13D5" w:rsidP="00BF3666">
            <w:pPr>
              <w:pStyle w:val="OrderBody"/>
              <w:keepNext/>
              <w:keepLines/>
            </w:pPr>
            <w:r>
              <w:t>/s/ Adam J. Teitzman</w:t>
            </w:r>
            <w:bookmarkStart w:id="10" w:name="_GoBack"/>
            <w:bookmarkEnd w:id="10"/>
          </w:p>
        </w:tc>
      </w:tr>
      <w:bookmarkEnd w:id="9"/>
      <w:tr w:rsidR="00BF3666" w:rsidTr="00BF3666">
        <w:tc>
          <w:tcPr>
            <w:tcW w:w="720" w:type="dxa"/>
            <w:shd w:val="clear" w:color="auto" w:fill="auto"/>
          </w:tcPr>
          <w:p w:rsidR="00BF3666" w:rsidRDefault="00BF3666" w:rsidP="00BF3666">
            <w:pPr>
              <w:pStyle w:val="OrderBody"/>
              <w:keepNext/>
              <w:keepLines/>
            </w:pPr>
          </w:p>
        </w:tc>
        <w:tc>
          <w:tcPr>
            <w:tcW w:w="4320" w:type="dxa"/>
            <w:tcBorders>
              <w:top w:val="single" w:sz="4" w:space="0" w:color="auto"/>
            </w:tcBorders>
            <w:shd w:val="clear" w:color="auto" w:fill="auto"/>
          </w:tcPr>
          <w:p w:rsidR="00BF3666" w:rsidRDefault="00BF3666" w:rsidP="00BF3666">
            <w:pPr>
              <w:pStyle w:val="OrderBody"/>
              <w:keepNext/>
              <w:keepLines/>
            </w:pPr>
            <w:r>
              <w:t>ADAM J. TEITZMAN</w:t>
            </w:r>
          </w:p>
          <w:p w:rsidR="00BF3666" w:rsidRDefault="00BF3666" w:rsidP="00BF3666">
            <w:pPr>
              <w:pStyle w:val="OrderBody"/>
              <w:keepNext/>
              <w:keepLines/>
            </w:pPr>
            <w:r>
              <w:t>Commission Clerk</w:t>
            </w:r>
          </w:p>
        </w:tc>
      </w:tr>
    </w:tbl>
    <w:p w:rsidR="00BF3666" w:rsidRDefault="00BF3666" w:rsidP="00BF3666">
      <w:pPr>
        <w:pStyle w:val="OrderSigInfo"/>
        <w:keepNext/>
        <w:keepLines/>
      </w:pPr>
      <w:r>
        <w:t>Florida Public Service Commission</w:t>
      </w:r>
    </w:p>
    <w:p w:rsidR="00BF3666" w:rsidRDefault="00BF3666" w:rsidP="00BF3666">
      <w:pPr>
        <w:pStyle w:val="OrderSigInfo"/>
        <w:keepNext/>
        <w:keepLines/>
      </w:pPr>
      <w:r>
        <w:t>2540 Shumard Oak Boulevard</w:t>
      </w:r>
    </w:p>
    <w:p w:rsidR="00BF3666" w:rsidRDefault="00BF3666" w:rsidP="00BF3666">
      <w:pPr>
        <w:pStyle w:val="OrderSigInfo"/>
        <w:keepNext/>
        <w:keepLines/>
      </w:pPr>
      <w:r>
        <w:t>Tallahassee, Florida 32399</w:t>
      </w:r>
    </w:p>
    <w:p w:rsidR="00BF3666" w:rsidRDefault="00BF3666" w:rsidP="00BF3666">
      <w:pPr>
        <w:pStyle w:val="OrderSigInfo"/>
        <w:keepNext/>
        <w:keepLines/>
      </w:pPr>
      <w:r>
        <w:t>(850) 413</w:t>
      </w:r>
      <w:r>
        <w:noBreakHyphen/>
        <w:t>6770</w:t>
      </w:r>
    </w:p>
    <w:p w:rsidR="00BF3666" w:rsidRDefault="00BF3666" w:rsidP="00BF3666">
      <w:pPr>
        <w:pStyle w:val="OrderSigInfo"/>
        <w:keepNext/>
        <w:keepLines/>
      </w:pPr>
      <w:r>
        <w:t>www.floridapsc.com</w:t>
      </w:r>
    </w:p>
    <w:p w:rsidR="00BF3666" w:rsidRDefault="00BF3666" w:rsidP="00BF3666">
      <w:pPr>
        <w:pStyle w:val="OrderSigInfo"/>
        <w:keepNext/>
        <w:keepLines/>
      </w:pPr>
    </w:p>
    <w:p w:rsidR="00BF3666" w:rsidRDefault="00BF3666" w:rsidP="00BF3666">
      <w:pPr>
        <w:pStyle w:val="OrderSigInfo"/>
        <w:keepNext/>
        <w:keepLines/>
      </w:pPr>
      <w:r>
        <w:t>Copies furnished:  A copy of this document is provided to the parties of record at the time of issuance and, if applicable, interested persons.</w:t>
      </w:r>
    </w:p>
    <w:p w:rsidR="00BF3666" w:rsidRDefault="00BF3666" w:rsidP="00BF3666">
      <w:pPr>
        <w:pStyle w:val="OrderBody"/>
        <w:keepNext/>
        <w:keepLines/>
      </w:pPr>
    </w:p>
    <w:p w:rsidR="00F068EE" w:rsidRDefault="00BF3666" w:rsidP="00A43CDA">
      <w:pPr>
        <w:pStyle w:val="OrderBody"/>
        <w:keepNext/>
        <w:keepLines/>
      </w:pPr>
      <w:r>
        <w:t>AJW</w:t>
      </w:r>
    </w:p>
    <w:p w:rsidR="00426E8F" w:rsidRDefault="00426E8F" w:rsidP="00A43CDA">
      <w:pPr>
        <w:pStyle w:val="OrderBody"/>
        <w:keepNext/>
        <w:keepLines/>
      </w:pPr>
    </w:p>
    <w:p w:rsidR="00A43CDA" w:rsidRDefault="00A43CDA" w:rsidP="00BF3666">
      <w:pPr>
        <w:pStyle w:val="CenterUnderline"/>
      </w:pPr>
    </w:p>
    <w:p w:rsidR="00BF3666" w:rsidRDefault="00BF3666" w:rsidP="00BF3666">
      <w:pPr>
        <w:pStyle w:val="CenterUnderline"/>
      </w:pPr>
      <w:r>
        <w:t>NOTICE OF FURTHER PROCEEDINGS OR JUDICIAL REVIEW</w:t>
      </w:r>
    </w:p>
    <w:p w:rsidR="00BF3666" w:rsidRDefault="00BF3666" w:rsidP="00BF3666">
      <w:pPr>
        <w:pStyle w:val="CenterUnderline"/>
        <w:rPr>
          <w:u w:val="none"/>
        </w:rPr>
      </w:pPr>
    </w:p>
    <w:p w:rsidR="00BF3666" w:rsidRDefault="00BF3666" w:rsidP="00BF3666">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BF3666" w:rsidRDefault="00BF3666" w:rsidP="00BF3666">
      <w:pPr>
        <w:pStyle w:val="OrderBody"/>
      </w:pPr>
    </w:p>
    <w:p w:rsidR="00BF3666" w:rsidRDefault="00BF3666" w:rsidP="00BF3666">
      <w:pPr>
        <w:pStyle w:val="OrderBody"/>
      </w:pPr>
      <w:r>
        <w:tab/>
        <w:t>Mediation may be available on a case-by-case basis.  If mediation is conducted, it does not affect a substantially interested person's right to a hearing.</w:t>
      </w:r>
    </w:p>
    <w:p w:rsidR="00BF3666" w:rsidRDefault="00BF3666" w:rsidP="00BF3666">
      <w:pPr>
        <w:pStyle w:val="OrderBody"/>
      </w:pPr>
    </w:p>
    <w:p w:rsidR="00BF3666" w:rsidRDefault="00BF3666" w:rsidP="00BF3666">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834E8F">
        <w:rPr>
          <w:u w:val="single"/>
        </w:rPr>
        <w:t>July 17, 2020</w:t>
      </w:r>
      <w:r>
        <w:t>.</w:t>
      </w:r>
    </w:p>
    <w:p w:rsidR="00BF3666" w:rsidRDefault="00BF3666" w:rsidP="00BF3666">
      <w:pPr>
        <w:pStyle w:val="OrderBody"/>
      </w:pPr>
    </w:p>
    <w:p w:rsidR="00BF3666" w:rsidRDefault="00BF3666" w:rsidP="00BF3666">
      <w:pPr>
        <w:pStyle w:val="OrderBody"/>
      </w:pPr>
      <w:r>
        <w:tab/>
        <w:t>In the absence of such a petition, this order shall become final and effective upon the issuance of a Consummating Order.</w:t>
      </w:r>
    </w:p>
    <w:p w:rsidR="00BF3666" w:rsidRDefault="00BF3666" w:rsidP="00BF3666">
      <w:pPr>
        <w:pStyle w:val="OrderBody"/>
      </w:pPr>
    </w:p>
    <w:p w:rsidR="00BF3666" w:rsidRDefault="00BF3666" w:rsidP="00BF3666">
      <w:pPr>
        <w:pStyle w:val="OrderBody"/>
      </w:pPr>
      <w:r>
        <w:tab/>
        <w:t>Any objection or protest filed in this/these docket(s) before the issuance date of this order is considered abandoned unless it satisfies the foregoing conditions and is renewed within the specified protest period.</w:t>
      </w:r>
    </w:p>
    <w:p w:rsidR="00BF3666" w:rsidRDefault="00BF3666" w:rsidP="00BF3666">
      <w:pPr>
        <w:pStyle w:val="OrderBody"/>
      </w:pPr>
    </w:p>
    <w:p w:rsidR="00BF3666" w:rsidRDefault="00BF3666" w:rsidP="00BF3666">
      <w:pPr>
        <w:pStyle w:val="OrderBody"/>
      </w:pPr>
    </w:p>
    <w:p w:rsidR="00B4567D" w:rsidRDefault="00B4567D" w:rsidP="00BF3666">
      <w:pPr>
        <w:pStyle w:val="OrderBody"/>
        <w:sectPr w:rsidR="00B4567D">
          <w:headerReference w:type="even" r:id="rId7"/>
          <w:headerReference w:type="default" r:id="rId8"/>
          <w:footerReference w:type="even" r:id="rId9"/>
          <w:footerReference w:type="default" r:id="rId10"/>
          <w:headerReference w:type="first" r:id="rId11"/>
          <w:footerReference w:type="first" r:id="rId12"/>
          <w:pgSz w:w="12240" w:h="15840" w:code="1"/>
          <w:pgMar w:top="1440" w:right="1440" w:bottom="1440" w:left="1440" w:header="720" w:footer="720" w:gutter="0"/>
          <w:cols w:space="720"/>
          <w:titlePg/>
          <w:docGrid w:linePitch="360"/>
        </w:sectPr>
      </w:pPr>
    </w:p>
    <w:p w:rsidR="00BF3666" w:rsidRDefault="00B4567D" w:rsidP="00BF3666">
      <w:pPr>
        <w:pStyle w:val="OrderBody"/>
      </w:pPr>
      <w:r>
        <w:rPr>
          <w:noProof/>
        </w:rPr>
        <w:drawing>
          <wp:inline distT="0" distB="0" distL="0" distR="0" wp14:anchorId="0DC0464D" wp14:editId="2455BAE3">
            <wp:extent cx="5943600" cy="7691755"/>
            <wp:effectExtent l="0" t="0" r="0" b="4445"/>
            <wp:docPr id="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7691755"/>
                    </a:xfrm>
                    <a:prstGeom prst="rect">
                      <a:avLst/>
                    </a:prstGeom>
                  </pic:spPr>
                </pic:pic>
              </a:graphicData>
            </a:graphic>
          </wp:inline>
        </w:drawing>
      </w:r>
    </w:p>
    <w:p w:rsidR="00B4567D" w:rsidRDefault="00B4567D" w:rsidP="00BF3666">
      <w:pPr>
        <w:pStyle w:val="OrderBody"/>
      </w:pPr>
    </w:p>
    <w:p w:rsidR="00B4567D" w:rsidRDefault="00B4567D" w:rsidP="00BF3666">
      <w:pPr>
        <w:pStyle w:val="OrderBody"/>
      </w:pPr>
      <w:r>
        <w:rPr>
          <w:noProof/>
        </w:rPr>
        <w:drawing>
          <wp:inline distT="0" distB="0" distL="0" distR="0" wp14:anchorId="5FB61C15" wp14:editId="68602E2A">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7691755"/>
                    </a:xfrm>
                    <a:prstGeom prst="rect">
                      <a:avLst/>
                    </a:prstGeom>
                  </pic:spPr>
                </pic:pic>
              </a:graphicData>
            </a:graphic>
          </wp:inline>
        </w:drawing>
      </w:r>
    </w:p>
    <w:p w:rsidR="00B4567D" w:rsidRDefault="00B4567D" w:rsidP="00BF3666">
      <w:pPr>
        <w:pStyle w:val="OrderBody"/>
      </w:pPr>
    </w:p>
    <w:p w:rsidR="00B4567D" w:rsidRDefault="00B4567D" w:rsidP="00BF3666">
      <w:pPr>
        <w:pStyle w:val="OrderBody"/>
      </w:pPr>
      <w:r>
        <w:rPr>
          <w:noProof/>
        </w:rPr>
        <w:drawing>
          <wp:inline distT="0" distB="0" distL="0" distR="0" wp14:anchorId="3120070A" wp14:editId="34BACE98">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B4567D" w:rsidRDefault="00B4567D" w:rsidP="00BF3666">
      <w:pPr>
        <w:pStyle w:val="OrderBody"/>
      </w:pPr>
    </w:p>
    <w:p w:rsidR="00B4567D" w:rsidRDefault="00B4567D" w:rsidP="00BF3666">
      <w:pPr>
        <w:pStyle w:val="OrderBody"/>
      </w:pPr>
      <w:r>
        <w:rPr>
          <w:noProof/>
        </w:rPr>
        <w:drawing>
          <wp:inline distT="0" distB="0" distL="0" distR="0" wp14:anchorId="70489EC4" wp14:editId="2CFFA94F">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B4567D" w:rsidRDefault="00B4567D" w:rsidP="00BF3666">
      <w:pPr>
        <w:pStyle w:val="OrderBody"/>
      </w:pPr>
    </w:p>
    <w:p w:rsidR="00B4567D" w:rsidRDefault="00B4567D" w:rsidP="00BF3666">
      <w:pPr>
        <w:pStyle w:val="OrderBody"/>
      </w:pPr>
      <w:r>
        <w:rPr>
          <w:noProof/>
        </w:rPr>
        <w:drawing>
          <wp:inline distT="0" distB="0" distL="0" distR="0" wp14:anchorId="764D0D1F" wp14:editId="04FD5FD1">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B4567D" w:rsidRDefault="00B4567D" w:rsidP="00BF3666">
      <w:pPr>
        <w:pStyle w:val="OrderBody"/>
      </w:pPr>
    </w:p>
    <w:p w:rsidR="00B4567D" w:rsidRDefault="00B4567D" w:rsidP="00BF3666">
      <w:pPr>
        <w:pStyle w:val="OrderBody"/>
      </w:pPr>
      <w:r>
        <w:rPr>
          <w:noProof/>
        </w:rPr>
        <w:drawing>
          <wp:inline distT="0" distB="0" distL="0" distR="0" wp14:anchorId="68D918B9" wp14:editId="6B966A10">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B4567D" w:rsidRDefault="00B4567D" w:rsidP="00BF3666">
      <w:pPr>
        <w:pStyle w:val="OrderBody"/>
      </w:pPr>
    </w:p>
    <w:p w:rsidR="00B4567D" w:rsidRDefault="00B4567D" w:rsidP="00BF3666">
      <w:pPr>
        <w:pStyle w:val="OrderBody"/>
      </w:pPr>
      <w:r>
        <w:rPr>
          <w:noProof/>
        </w:rPr>
        <w:drawing>
          <wp:inline distT="0" distB="0" distL="0" distR="0" wp14:anchorId="30B8FEFE" wp14:editId="441B1C8E">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B4567D" w:rsidRDefault="00B4567D" w:rsidP="00BF3666">
      <w:pPr>
        <w:pStyle w:val="OrderBody"/>
      </w:pPr>
    </w:p>
    <w:p w:rsidR="00B4567D" w:rsidRDefault="00B4567D" w:rsidP="00BF3666">
      <w:pPr>
        <w:pStyle w:val="OrderBody"/>
      </w:pPr>
      <w:r>
        <w:rPr>
          <w:noProof/>
        </w:rPr>
        <w:drawing>
          <wp:inline distT="0" distB="0" distL="0" distR="0" wp14:anchorId="048AC298" wp14:editId="5A57E81B">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B4567D" w:rsidRDefault="00B4567D" w:rsidP="00BF3666">
      <w:pPr>
        <w:pStyle w:val="OrderBody"/>
      </w:pPr>
    </w:p>
    <w:p w:rsidR="00B4567D" w:rsidRDefault="00B4567D" w:rsidP="00BF3666">
      <w:pPr>
        <w:pStyle w:val="OrderBody"/>
      </w:pPr>
      <w:r>
        <w:rPr>
          <w:noProof/>
        </w:rPr>
        <w:drawing>
          <wp:inline distT="0" distB="0" distL="0" distR="0" wp14:anchorId="696856A5" wp14:editId="62D0E94E">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B4567D" w:rsidRDefault="00B4567D" w:rsidP="00BF3666">
      <w:pPr>
        <w:pStyle w:val="OrderBody"/>
      </w:pPr>
    </w:p>
    <w:p w:rsidR="00B4567D" w:rsidRDefault="00B4567D" w:rsidP="00BF3666">
      <w:pPr>
        <w:pStyle w:val="OrderBody"/>
      </w:pPr>
      <w:r>
        <w:rPr>
          <w:noProof/>
        </w:rPr>
        <w:drawing>
          <wp:inline distT="0" distB="0" distL="0" distR="0" wp14:anchorId="416F3FA9" wp14:editId="63EA16D3">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B4567D" w:rsidRDefault="00B4567D" w:rsidP="00BF3666">
      <w:pPr>
        <w:pStyle w:val="OrderBody"/>
      </w:pPr>
    </w:p>
    <w:p w:rsidR="00B4567D" w:rsidRDefault="001D6BBC" w:rsidP="00BF3666">
      <w:pPr>
        <w:pStyle w:val="OrderBody"/>
      </w:pPr>
      <w:r>
        <w:rPr>
          <w:noProof/>
        </w:rPr>
        <w:drawing>
          <wp:inline distT="0" distB="0" distL="0" distR="0" wp14:anchorId="29227953" wp14:editId="2A954091">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1D6BBC" w:rsidRDefault="001D6BBC" w:rsidP="00BF3666">
      <w:pPr>
        <w:pStyle w:val="OrderBody"/>
      </w:pPr>
    </w:p>
    <w:p w:rsidR="001D6BBC" w:rsidRDefault="001D6BBC" w:rsidP="00BF3666">
      <w:pPr>
        <w:pStyle w:val="OrderBody"/>
      </w:pPr>
      <w:r>
        <w:rPr>
          <w:noProof/>
        </w:rPr>
        <w:drawing>
          <wp:inline distT="0" distB="0" distL="0" distR="0" wp14:anchorId="0E58CFE0" wp14:editId="002B8C89">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1D6BBC" w:rsidRDefault="001D6BBC" w:rsidP="00BF3666">
      <w:pPr>
        <w:pStyle w:val="OrderBody"/>
      </w:pPr>
    </w:p>
    <w:p w:rsidR="001D6BBC" w:rsidRDefault="001D6BBC" w:rsidP="00BF3666">
      <w:pPr>
        <w:pStyle w:val="OrderBody"/>
      </w:pPr>
      <w:r>
        <w:rPr>
          <w:noProof/>
        </w:rPr>
        <w:drawing>
          <wp:inline distT="0" distB="0" distL="0" distR="0" wp14:anchorId="31B6315F" wp14:editId="3590CE12">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1D6BBC" w:rsidRDefault="001D6BBC" w:rsidP="00BF3666">
      <w:pPr>
        <w:pStyle w:val="OrderBody"/>
      </w:pPr>
    </w:p>
    <w:p w:rsidR="001D6BBC" w:rsidRDefault="001D6BBC" w:rsidP="00BF3666">
      <w:pPr>
        <w:pStyle w:val="OrderBody"/>
      </w:pPr>
      <w:r>
        <w:rPr>
          <w:noProof/>
        </w:rPr>
        <w:drawing>
          <wp:inline distT="0" distB="0" distL="0" distR="0" wp14:anchorId="56548F5B" wp14:editId="050C706D">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1D6BBC" w:rsidRDefault="001D6BBC" w:rsidP="00BF3666">
      <w:pPr>
        <w:pStyle w:val="OrderBody"/>
      </w:pPr>
    </w:p>
    <w:p w:rsidR="001D6BBC" w:rsidRDefault="001D6BBC" w:rsidP="00BF3666">
      <w:pPr>
        <w:pStyle w:val="OrderBody"/>
      </w:pPr>
      <w:r>
        <w:rPr>
          <w:noProof/>
        </w:rPr>
        <w:drawing>
          <wp:inline distT="0" distB="0" distL="0" distR="0" wp14:anchorId="50D6F302" wp14:editId="61356A44">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1D6BBC" w:rsidRDefault="001D6BBC" w:rsidP="00BF3666">
      <w:pPr>
        <w:pStyle w:val="OrderBody"/>
      </w:pPr>
    </w:p>
    <w:p w:rsidR="001D6BBC" w:rsidRDefault="001D6BBC" w:rsidP="00BF3666">
      <w:pPr>
        <w:pStyle w:val="OrderBody"/>
      </w:pPr>
      <w:r>
        <w:rPr>
          <w:noProof/>
        </w:rPr>
        <w:drawing>
          <wp:inline distT="0" distB="0" distL="0" distR="0" wp14:anchorId="13CA35A7" wp14:editId="4F78FE71">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1D6BBC" w:rsidRDefault="001D6BBC" w:rsidP="00BF3666">
      <w:pPr>
        <w:pStyle w:val="OrderBody"/>
      </w:pPr>
    </w:p>
    <w:p w:rsidR="001D6BBC" w:rsidRDefault="001D6BBC" w:rsidP="00BF3666">
      <w:pPr>
        <w:pStyle w:val="OrderBody"/>
      </w:pPr>
      <w:r>
        <w:rPr>
          <w:noProof/>
        </w:rPr>
        <w:drawing>
          <wp:inline distT="0" distB="0" distL="0" distR="0" wp14:anchorId="5665F506" wp14:editId="2075C7FD">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1D6BBC" w:rsidRDefault="001D6BBC" w:rsidP="00BF3666">
      <w:pPr>
        <w:pStyle w:val="OrderBody"/>
      </w:pPr>
    </w:p>
    <w:p w:rsidR="001D6BBC" w:rsidRDefault="001D6BBC" w:rsidP="00BF3666">
      <w:pPr>
        <w:pStyle w:val="OrderBody"/>
      </w:pPr>
      <w:r>
        <w:rPr>
          <w:noProof/>
        </w:rPr>
        <w:drawing>
          <wp:inline distT="0" distB="0" distL="0" distR="0" wp14:anchorId="1B716563" wp14:editId="684B5689">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1D6BBC" w:rsidRDefault="001D6BBC" w:rsidP="00BF3666">
      <w:pPr>
        <w:pStyle w:val="OrderBody"/>
      </w:pPr>
    </w:p>
    <w:p w:rsidR="001D6BBC" w:rsidRDefault="001D6BBC" w:rsidP="00BF3666">
      <w:pPr>
        <w:pStyle w:val="OrderBody"/>
      </w:pPr>
      <w:r>
        <w:rPr>
          <w:noProof/>
        </w:rPr>
        <w:drawing>
          <wp:inline distT="0" distB="0" distL="0" distR="0" wp14:anchorId="6418B01F" wp14:editId="222978CE">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1D6BBC" w:rsidRDefault="001D6BBC" w:rsidP="00BF3666">
      <w:pPr>
        <w:pStyle w:val="OrderBody"/>
      </w:pPr>
    </w:p>
    <w:p w:rsidR="001D6BBC" w:rsidRDefault="001D6BBC" w:rsidP="00BF3666">
      <w:pPr>
        <w:pStyle w:val="OrderBody"/>
      </w:pPr>
      <w:r>
        <w:rPr>
          <w:noProof/>
        </w:rPr>
        <w:drawing>
          <wp:inline distT="0" distB="0" distL="0" distR="0" wp14:anchorId="6FDC247A" wp14:editId="6B706224">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1D6BBC" w:rsidRDefault="001D6BBC" w:rsidP="00BF3666">
      <w:pPr>
        <w:pStyle w:val="OrderBody"/>
      </w:pPr>
    </w:p>
    <w:p w:rsidR="001D6BBC" w:rsidRDefault="00774F6E" w:rsidP="00BF3666">
      <w:pPr>
        <w:pStyle w:val="OrderBody"/>
      </w:pPr>
      <w:r>
        <w:rPr>
          <w:noProof/>
        </w:rPr>
        <w:drawing>
          <wp:inline distT="0" distB="0" distL="0" distR="0" wp14:anchorId="4CC30176" wp14:editId="701BE8DA">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774F6E" w:rsidRDefault="00774F6E" w:rsidP="00BF3666">
      <w:pPr>
        <w:pStyle w:val="OrderBody"/>
      </w:pPr>
    </w:p>
    <w:p w:rsidR="00774F6E" w:rsidRDefault="00774F6E" w:rsidP="00BF3666">
      <w:pPr>
        <w:pStyle w:val="OrderBody"/>
      </w:pPr>
      <w:r>
        <w:rPr>
          <w:noProof/>
        </w:rPr>
        <w:drawing>
          <wp:inline distT="0" distB="0" distL="0" distR="0" wp14:anchorId="1DC55C85" wp14:editId="377B13F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774F6E" w:rsidRDefault="00774F6E" w:rsidP="00BF3666">
      <w:pPr>
        <w:pStyle w:val="OrderBody"/>
      </w:pPr>
    </w:p>
    <w:p w:rsidR="00774F6E" w:rsidRDefault="00774F6E" w:rsidP="00BF3666">
      <w:pPr>
        <w:pStyle w:val="OrderBody"/>
      </w:pPr>
      <w:r>
        <w:rPr>
          <w:noProof/>
        </w:rPr>
        <w:drawing>
          <wp:inline distT="0" distB="0" distL="0" distR="0" wp14:anchorId="489CEFB0" wp14:editId="47A40309">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774F6E" w:rsidRDefault="00774F6E" w:rsidP="00BF3666">
      <w:pPr>
        <w:pStyle w:val="OrderBody"/>
      </w:pPr>
    </w:p>
    <w:p w:rsidR="00774F6E" w:rsidRDefault="00774F6E" w:rsidP="00BF3666">
      <w:pPr>
        <w:pStyle w:val="OrderBody"/>
      </w:pPr>
      <w:r>
        <w:rPr>
          <w:noProof/>
        </w:rPr>
        <w:drawing>
          <wp:inline distT="0" distB="0" distL="0" distR="0" wp14:anchorId="169FFDD4" wp14:editId="12D96C82">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774F6E" w:rsidRDefault="00774F6E" w:rsidP="00BF3666">
      <w:pPr>
        <w:pStyle w:val="OrderBody"/>
      </w:pPr>
    </w:p>
    <w:p w:rsidR="00774F6E" w:rsidRDefault="00774F6E" w:rsidP="00BF3666">
      <w:pPr>
        <w:pStyle w:val="OrderBody"/>
      </w:pPr>
      <w:r>
        <w:rPr>
          <w:noProof/>
        </w:rPr>
        <w:drawing>
          <wp:inline distT="0" distB="0" distL="0" distR="0" wp14:anchorId="7266AF78" wp14:editId="686672D8">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774F6E" w:rsidRDefault="00774F6E" w:rsidP="00BF3666">
      <w:pPr>
        <w:pStyle w:val="OrderBody"/>
      </w:pPr>
    </w:p>
    <w:p w:rsidR="00774F6E" w:rsidRDefault="00774F6E" w:rsidP="00BF3666">
      <w:pPr>
        <w:pStyle w:val="OrderBody"/>
      </w:pPr>
      <w:r>
        <w:rPr>
          <w:noProof/>
        </w:rPr>
        <w:drawing>
          <wp:inline distT="0" distB="0" distL="0" distR="0" wp14:anchorId="16CF6E60" wp14:editId="2ECA2647">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774F6E" w:rsidRDefault="00774F6E" w:rsidP="00BF3666">
      <w:pPr>
        <w:pStyle w:val="OrderBody"/>
      </w:pPr>
    </w:p>
    <w:p w:rsidR="00774F6E" w:rsidRDefault="00774F6E" w:rsidP="00BF3666">
      <w:pPr>
        <w:pStyle w:val="OrderBody"/>
      </w:pPr>
      <w:r>
        <w:rPr>
          <w:noProof/>
        </w:rPr>
        <w:drawing>
          <wp:inline distT="0" distB="0" distL="0" distR="0" wp14:anchorId="2B5F8F98" wp14:editId="0C148B72">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774F6E" w:rsidRDefault="00774F6E" w:rsidP="00BF3666">
      <w:pPr>
        <w:pStyle w:val="OrderBody"/>
      </w:pPr>
    </w:p>
    <w:p w:rsidR="00774F6E" w:rsidRDefault="00774F6E" w:rsidP="00BF3666">
      <w:pPr>
        <w:pStyle w:val="OrderBody"/>
      </w:pPr>
      <w:r>
        <w:rPr>
          <w:noProof/>
        </w:rPr>
        <w:drawing>
          <wp:inline distT="0" distB="0" distL="0" distR="0" wp14:anchorId="00F1F101" wp14:editId="5CB76317">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774F6E" w:rsidRDefault="00774F6E" w:rsidP="00BF3666">
      <w:pPr>
        <w:pStyle w:val="OrderBody"/>
      </w:pPr>
    </w:p>
    <w:p w:rsidR="00774F6E" w:rsidRDefault="00774F6E" w:rsidP="00BF3666">
      <w:pPr>
        <w:pStyle w:val="OrderBody"/>
      </w:pPr>
      <w:r>
        <w:rPr>
          <w:noProof/>
        </w:rPr>
        <w:drawing>
          <wp:inline distT="0" distB="0" distL="0" distR="0" wp14:anchorId="04AF37F4" wp14:editId="51023872">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774F6E" w:rsidRDefault="00774F6E" w:rsidP="00BF3666">
      <w:pPr>
        <w:pStyle w:val="OrderBody"/>
      </w:pPr>
    </w:p>
    <w:p w:rsidR="00774F6E" w:rsidRDefault="00774F6E" w:rsidP="00BF3666">
      <w:pPr>
        <w:pStyle w:val="OrderBody"/>
      </w:pPr>
      <w:r>
        <w:rPr>
          <w:noProof/>
        </w:rPr>
        <w:drawing>
          <wp:inline distT="0" distB="0" distL="0" distR="0" wp14:anchorId="2A3BF7AB" wp14:editId="5999369B">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774F6E" w:rsidRDefault="00774F6E" w:rsidP="00BF3666">
      <w:pPr>
        <w:pStyle w:val="OrderBody"/>
      </w:pPr>
    </w:p>
    <w:p w:rsidR="00774F6E" w:rsidRDefault="00774F6E" w:rsidP="00BF3666">
      <w:pPr>
        <w:pStyle w:val="OrderBody"/>
      </w:pPr>
      <w:r>
        <w:rPr>
          <w:noProof/>
        </w:rPr>
        <w:drawing>
          <wp:inline distT="0" distB="0" distL="0" distR="0" wp14:anchorId="098FF281" wp14:editId="72570033">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774F6E" w:rsidRDefault="00774F6E" w:rsidP="00BF3666">
      <w:pPr>
        <w:pStyle w:val="OrderBody"/>
      </w:pPr>
    </w:p>
    <w:p w:rsidR="00774F6E" w:rsidRDefault="00774F6E" w:rsidP="00BF3666">
      <w:pPr>
        <w:pStyle w:val="OrderBody"/>
      </w:pPr>
      <w:r>
        <w:rPr>
          <w:noProof/>
        </w:rPr>
        <w:drawing>
          <wp:inline distT="0" distB="0" distL="0" distR="0" wp14:anchorId="2F559F19" wp14:editId="02C5569B">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774F6E" w:rsidRDefault="00774F6E" w:rsidP="00BF3666">
      <w:pPr>
        <w:pStyle w:val="OrderBody"/>
      </w:pPr>
    </w:p>
    <w:p w:rsidR="00774F6E" w:rsidRDefault="00774F6E" w:rsidP="00BF3666">
      <w:pPr>
        <w:pStyle w:val="OrderBody"/>
      </w:pPr>
      <w:r>
        <w:rPr>
          <w:noProof/>
        </w:rPr>
        <w:drawing>
          <wp:inline distT="0" distB="0" distL="0" distR="0" wp14:anchorId="77669664" wp14:editId="35A478E2">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774F6E" w:rsidRDefault="00774F6E" w:rsidP="00BF3666">
      <w:pPr>
        <w:pStyle w:val="OrderBody"/>
      </w:pPr>
    </w:p>
    <w:p w:rsidR="00774F6E" w:rsidRDefault="00774F6E" w:rsidP="00BF3666">
      <w:pPr>
        <w:pStyle w:val="OrderBody"/>
      </w:pPr>
      <w:r>
        <w:rPr>
          <w:noProof/>
        </w:rPr>
        <w:drawing>
          <wp:inline distT="0" distB="0" distL="0" distR="0" wp14:anchorId="7726B1C7" wp14:editId="227F1E39">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774F6E" w:rsidRDefault="00774F6E" w:rsidP="00BF3666">
      <w:pPr>
        <w:pStyle w:val="OrderBody"/>
      </w:pPr>
    </w:p>
    <w:p w:rsidR="00774F6E" w:rsidRDefault="00774F6E" w:rsidP="00BF3666">
      <w:pPr>
        <w:pStyle w:val="OrderBody"/>
      </w:pPr>
      <w:r>
        <w:rPr>
          <w:noProof/>
        </w:rPr>
        <w:drawing>
          <wp:inline distT="0" distB="0" distL="0" distR="0" wp14:anchorId="6BAFDBC2" wp14:editId="548E7F7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774F6E" w:rsidRDefault="00774F6E" w:rsidP="00BF3666">
      <w:pPr>
        <w:pStyle w:val="OrderBody"/>
      </w:pPr>
    </w:p>
    <w:p w:rsidR="00774F6E" w:rsidRDefault="00774F6E" w:rsidP="00BF3666">
      <w:pPr>
        <w:pStyle w:val="OrderBody"/>
      </w:pPr>
      <w:r>
        <w:rPr>
          <w:noProof/>
        </w:rPr>
        <w:drawing>
          <wp:inline distT="0" distB="0" distL="0" distR="0" wp14:anchorId="403E775E" wp14:editId="3776200C">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774F6E" w:rsidRDefault="00774F6E" w:rsidP="00BF3666">
      <w:pPr>
        <w:pStyle w:val="OrderBody"/>
      </w:pPr>
    </w:p>
    <w:p w:rsidR="00774F6E" w:rsidRDefault="0012417D" w:rsidP="00BF3666">
      <w:pPr>
        <w:pStyle w:val="OrderBody"/>
      </w:pPr>
      <w:r>
        <w:rPr>
          <w:noProof/>
        </w:rPr>
        <w:drawing>
          <wp:inline distT="0" distB="0" distL="0" distR="0" wp14:anchorId="617F2FDF" wp14:editId="675C6D47">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p w:rsidR="0012417D" w:rsidRDefault="0012417D" w:rsidP="00BF3666">
      <w:pPr>
        <w:pStyle w:val="OrderBody"/>
      </w:pPr>
    </w:p>
    <w:p w:rsidR="0012417D" w:rsidRDefault="0012417D" w:rsidP="00BF3666">
      <w:pPr>
        <w:pStyle w:val="OrderBody"/>
      </w:pPr>
      <w:r>
        <w:rPr>
          <w:noProof/>
        </w:rPr>
        <w:drawing>
          <wp:inline distT="0" distB="0" distL="0" distR="0" wp14:anchorId="505EAD89" wp14:editId="5B34307E">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91755"/>
                    </a:xfrm>
                    <a:prstGeom prst="rect">
                      <a:avLst/>
                    </a:prstGeom>
                  </pic:spPr>
                </pic:pic>
              </a:graphicData>
            </a:graphic>
          </wp:inline>
        </w:drawing>
      </w:r>
    </w:p>
    <w:p w:rsidR="0012417D" w:rsidRDefault="0012417D" w:rsidP="00BF3666">
      <w:pPr>
        <w:pStyle w:val="OrderBody"/>
      </w:pPr>
    </w:p>
    <w:p w:rsidR="0012417D" w:rsidRDefault="0012417D" w:rsidP="00BF3666">
      <w:pPr>
        <w:pStyle w:val="OrderBody"/>
      </w:pPr>
      <w:r>
        <w:rPr>
          <w:noProof/>
        </w:rPr>
        <w:drawing>
          <wp:inline distT="0" distB="0" distL="0" distR="0" wp14:anchorId="3D3513B2" wp14:editId="384167CF">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1755"/>
                    </a:xfrm>
                    <a:prstGeom prst="rect">
                      <a:avLst/>
                    </a:prstGeom>
                  </pic:spPr>
                </pic:pic>
              </a:graphicData>
            </a:graphic>
          </wp:inline>
        </w:drawing>
      </w:r>
    </w:p>
    <w:p w:rsidR="0012417D" w:rsidRDefault="0012417D" w:rsidP="00BF3666">
      <w:pPr>
        <w:pStyle w:val="OrderBody"/>
      </w:pPr>
    </w:p>
    <w:p w:rsidR="0012417D" w:rsidRDefault="0012417D" w:rsidP="00BF3666">
      <w:pPr>
        <w:pStyle w:val="OrderBody"/>
      </w:pPr>
      <w:r>
        <w:rPr>
          <w:noProof/>
        </w:rPr>
        <w:drawing>
          <wp:inline distT="0" distB="0" distL="0" distR="0" wp14:anchorId="06C8EF58" wp14:editId="6592C74D">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91755"/>
                    </a:xfrm>
                    <a:prstGeom prst="rect">
                      <a:avLst/>
                    </a:prstGeom>
                  </pic:spPr>
                </pic:pic>
              </a:graphicData>
            </a:graphic>
          </wp:inline>
        </w:drawing>
      </w:r>
    </w:p>
    <w:p w:rsidR="0012417D" w:rsidRDefault="0012417D" w:rsidP="00BF3666">
      <w:pPr>
        <w:pStyle w:val="OrderBody"/>
      </w:pPr>
    </w:p>
    <w:p w:rsidR="0012417D" w:rsidRDefault="0012417D" w:rsidP="00BF3666">
      <w:pPr>
        <w:pStyle w:val="OrderBody"/>
      </w:pPr>
      <w:r>
        <w:rPr>
          <w:noProof/>
        </w:rPr>
        <w:drawing>
          <wp:inline distT="0" distB="0" distL="0" distR="0" wp14:anchorId="2BB19652" wp14:editId="56E08C6C">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1755"/>
                    </a:xfrm>
                    <a:prstGeom prst="rect">
                      <a:avLst/>
                    </a:prstGeom>
                  </pic:spPr>
                </pic:pic>
              </a:graphicData>
            </a:graphic>
          </wp:inline>
        </w:drawing>
      </w:r>
    </w:p>
    <w:p w:rsidR="0012417D" w:rsidRDefault="0012417D" w:rsidP="00BF3666">
      <w:pPr>
        <w:pStyle w:val="OrderBody"/>
      </w:pPr>
    </w:p>
    <w:p w:rsidR="0012417D" w:rsidRDefault="0012417D" w:rsidP="00BF3666">
      <w:pPr>
        <w:pStyle w:val="OrderBody"/>
      </w:pPr>
      <w:r>
        <w:rPr>
          <w:noProof/>
        </w:rPr>
        <w:drawing>
          <wp:inline distT="0" distB="0" distL="0" distR="0" wp14:anchorId="1DAFA611" wp14:editId="7682A314">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691755"/>
                    </a:xfrm>
                    <a:prstGeom prst="rect">
                      <a:avLst/>
                    </a:prstGeom>
                  </pic:spPr>
                </pic:pic>
              </a:graphicData>
            </a:graphic>
          </wp:inline>
        </w:drawing>
      </w:r>
    </w:p>
    <w:p w:rsidR="0012417D" w:rsidRDefault="0012417D" w:rsidP="00BF3666">
      <w:pPr>
        <w:pStyle w:val="OrderBody"/>
      </w:pPr>
    </w:p>
    <w:p w:rsidR="0012417D" w:rsidRDefault="0012417D" w:rsidP="00BF3666">
      <w:pPr>
        <w:pStyle w:val="OrderBody"/>
      </w:pPr>
      <w:r>
        <w:rPr>
          <w:noProof/>
        </w:rPr>
        <w:drawing>
          <wp:inline distT="0" distB="0" distL="0" distR="0" wp14:anchorId="6C62A043" wp14:editId="1EAB1F15">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691755"/>
                    </a:xfrm>
                    <a:prstGeom prst="rect">
                      <a:avLst/>
                    </a:prstGeom>
                  </pic:spPr>
                </pic:pic>
              </a:graphicData>
            </a:graphic>
          </wp:inline>
        </w:drawing>
      </w:r>
    </w:p>
    <w:p w:rsidR="0012417D" w:rsidRDefault="0012417D" w:rsidP="00BF3666">
      <w:pPr>
        <w:pStyle w:val="OrderBody"/>
      </w:pPr>
    </w:p>
    <w:p w:rsidR="0012417D" w:rsidRDefault="0012417D" w:rsidP="00BF3666">
      <w:pPr>
        <w:pStyle w:val="OrderBody"/>
      </w:pPr>
      <w:r>
        <w:rPr>
          <w:noProof/>
        </w:rPr>
        <w:drawing>
          <wp:inline distT="0" distB="0" distL="0" distR="0" wp14:anchorId="18E00EC2" wp14:editId="66A2F5F3">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691755"/>
                    </a:xfrm>
                    <a:prstGeom prst="rect">
                      <a:avLst/>
                    </a:prstGeom>
                  </pic:spPr>
                </pic:pic>
              </a:graphicData>
            </a:graphic>
          </wp:inline>
        </w:drawing>
      </w:r>
    </w:p>
    <w:p w:rsidR="0012417D" w:rsidRDefault="0012417D" w:rsidP="00BF3666">
      <w:pPr>
        <w:pStyle w:val="OrderBody"/>
      </w:pPr>
    </w:p>
    <w:p w:rsidR="0012417D" w:rsidRPr="00BF3666" w:rsidRDefault="0012417D" w:rsidP="00BF3666">
      <w:pPr>
        <w:pStyle w:val="OrderBody"/>
      </w:pPr>
      <w:r>
        <w:rPr>
          <w:noProof/>
        </w:rPr>
        <w:drawing>
          <wp:inline distT="0" distB="0" distL="0" distR="0" wp14:anchorId="6B77087E" wp14:editId="508DC913">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7691755"/>
                    </a:xfrm>
                    <a:prstGeom prst="rect">
                      <a:avLst/>
                    </a:prstGeom>
                  </pic:spPr>
                </pic:pic>
              </a:graphicData>
            </a:graphic>
          </wp:inline>
        </w:drawing>
      </w:r>
    </w:p>
    <w:sectPr w:rsidR="0012417D" w:rsidRPr="00BF3666">
      <w:headerReference w:type="default" r:id="rId58"/>
      <w:headerReference w:type="first" r:id="rId59"/>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F3666" w:rsidRDefault="00BF3666">
      <w:r>
        <w:separator/>
      </w:r>
    </w:p>
  </w:endnote>
  <w:endnote w:type="continuationSeparator" w:id="0">
    <w:p w:rsidR="00BF3666" w:rsidRDefault="00BF36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4E8F" w:rsidRDefault="00834E8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4E8F" w:rsidRDefault="00834E8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F3666" w:rsidRDefault="00BF3666">
      <w:r>
        <w:separator/>
      </w:r>
    </w:p>
  </w:footnote>
  <w:footnote w:type="continuationSeparator" w:id="0">
    <w:p w:rsidR="00BF3666" w:rsidRDefault="00BF3666">
      <w:r>
        <w:continuationSeparator/>
      </w:r>
    </w:p>
  </w:footnote>
  <w:footnote w:id="1">
    <w:p w:rsidR="00BF3666" w:rsidRDefault="00BF3666" w:rsidP="00BF3666">
      <w:pPr>
        <w:pStyle w:val="FootnoteText"/>
      </w:pPr>
      <w:r>
        <w:rPr>
          <w:rStyle w:val="FootnoteReference"/>
        </w:rPr>
        <w:footnoteRef/>
      </w:r>
      <w:r w:rsidR="00A2554C">
        <w:rPr>
          <w:i/>
        </w:rPr>
        <w:t xml:space="preserve"> </w:t>
      </w:r>
      <w:r w:rsidRPr="00A2554C">
        <w:rPr>
          <w:i/>
        </w:rPr>
        <w:t>See</w:t>
      </w:r>
      <w:r>
        <w:t xml:space="preserve"> Document Nos. 02341-2020 and 02557-2020 in Docket No. 20200114-EQ.</w:t>
      </w:r>
    </w:p>
  </w:footnote>
  <w:footnote w:id="2">
    <w:p w:rsidR="00BF3666" w:rsidRPr="00914B03" w:rsidRDefault="00BF3666" w:rsidP="00BF3666">
      <w:pPr>
        <w:pStyle w:val="FootnoteText"/>
        <w:rPr>
          <w:i/>
          <w:iCs/>
        </w:rPr>
      </w:pPr>
      <w:r>
        <w:rPr>
          <w:rStyle w:val="FootnoteReference"/>
        </w:rPr>
        <w:footnoteRef/>
      </w:r>
      <w:r w:rsidR="00F068EE">
        <w:t xml:space="preserve"> </w:t>
      </w:r>
      <w:r w:rsidRPr="00F068EE">
        <w:rPr>
          <w:i/>
        </w:rPr>
        <w:t>See</w:t>
      </w:r>
      <w:r>
        <w:t xml:space="preserve"> Order No. </w:t>
      </w:r>
      <w:r w:rsidRPr="006B386D">
        <w:t>PSC-2018-0316-PAA-EQ</w:t>
      </w:r>
      <w:r>
        <w:t xml:space="preserve">, issued June 20, 2018, in Docket No. </w:t>
      </w:r>
      <w:r w:rsidRPr="006B386D">
        <w:t>20180083</w:t>
      </w:r>
      <w:r>
        <w:t xml:space="preserve">-EQ, In re: </w:t>
      </w:r>
      <w:r w:rsidRPr="00914B03">
        <w:rPr>
          <w:i/>
          <w:iCs/>
        </w:rPr>
        <w:t>Petition for approval of</w:t>
      </w:r>
      <w:r>
        <w:rPr>
          <w:i/>
          <w:iCs/>
        </w:rPr>
        <w:t xml:space="preserve"> </w:t>
      </w:r>
      <w:r w:rsidRPr="00914B03">
        <w:rPr>
          <w:i/>
          <w:iCs/>
        </w:rPr>
        <w:t>renewable energy tariff and standard offer contract, by Florida Power &amp; Light Company</w:t>
      </w:r>
      <w:r>
        <w:t>.</w:t>
      </w:r>
    </w:p>
  </w:footnote>
  <w:footnote w:id="3">
    <w:p w:rsidR="00BF3666" w:rsidRDefault="00BF3666" w:rsidP="00BF3666">
      <w:pPr>
        <w:pStyle w:val="FootnoteText"/>
      </w:pPr>
      <w:r>
        <w:rPr>
          <w:rStyle w:val="FootnoteReference"/>
        </w:rPr>
        <w:footnoteRef/>
      </w:r>
      <w:r w:rsidRPr="004F0C5A">
        <w:t>Document No</w:t>
      </w:r>
      <w:r w:rsidRPr="00584C1A">
        <w:t xml:space="preserve">. 02342-2020, filed </w:t>
      </w:r>
      <w:r w:rsidRPr="00584C1A">
        <w:rPr>
          <w:color w:val="000000"/>
        </w:rPr>
        <w:t>May 1, 2020,</w:t>
      </w:r>
      <w:r w:rsidRPr="00584C1A">
        <w:t xml:space="preserve"> in Docket</w:t>
      </w:r>
      <w:r w:rsidRPr="004F0C5A">
        <w:t xml:space="preserve"> No. 2020011</w:t>
      </w:r>
      <w:r>
        <w:t>4</w:t>
      </w:r>
      <w:r w:rsidRPr="004F0C5A">
        <w:t>-EQ</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4E8F" w:rsidRDefault="00834E8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rsidP="0012417D">
    <w:pPr>
      <w:pStyle w:val="OrderHeader"/>
      <w:tabs>
        <w:tab w:val="left" w:pos="7200"/>
      </w:tabs>
    </w:pPr>
    <w:r>
      <w:t xml:space="preserve">ORDER NO. </w:t>
    </w:r>
    <w:fldSimple w:instr=" REF OrderNo0212 ">
      <w:r w:rsidR="003B13D5">
        <w:t>PSC-2020-0212-PAA-EQ</w:t>
      </w:r>
    </w:fldSimple>
    <w:r w:rsidR="0012417D">
      <w:tab/>
    </w:r>
    <w:r w:rsidR="0012417D">
      <w:tab/>
    </w:r>
  </w:p>
  <w:p w:rsidR="00FA6EFD" w:rsidRDefault="00BF3666">
    <w:pPr>
      <w:pStyle w:val="OrderHeader"/>
    </w:pPr>
    <w:bookmarkStart w:id="11" w:name="HeaderDocketNo"/>
    <w:bookmarkEnd w:id="11"/>
    <w:r>
      <w:t>DOCKET NO. 20200114-EQ</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B13D5">
      <w:rPr>
        <w:rStyle w:val="PageNumber"/>
        <w:noProof/>
      </w:rPr>
      <w:t>5</w:t>
    </w:r>
    <w:r>
      <w:rPr>
        <w:rStyle w:val="PageNumber"/>
      </w:rPr>
      <w:fldChar w:fldCharType="end"/>
    </w:r>
  </w:p>
  <w:p w:rsidR="00FA6EFD" w:rsidRDefault="00FA6EFD">
    <w:pPr>
      <w:pStyle w:val="Order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4E8F" w:rsidRDefault="00834E8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4E1C" w:rsidRDefault="000C4E1C" w:rsidP="0012417D">
    <w:pPr>
      <w:pStyle w:val="OrderHeader"/>
      <w:tabs>
        <w:tab w:val="left" w:pos="7200"/>
      </w:tabs>
    </w:pPr>
    <w:r>
      <w:t xml:space="preserve">ORDER NO. </w:t>
    </w:r>
    <w:r w:rsidR="00834E8F" w:rsidRPr="00834E8F">
      <w:t>PSC-2020-0212-PAA-EQ</w:t>
    </w:r>
    <w:r>
      <w:tab/>
    </w:r>
    <w:r>
      <w:tab/>
      <w:t>Attachment A</w:t>
    </w:r>
  </w:p>
  <w:p w:rsidR="000C4E1C" w:rsidRDefault="000C4E1C">
    <w:pPr>
      <w:pStyle w:val="OrderHeader"/>
    </w:pPr>
    <w:r>
      <w:t>DOCKET NO. 20200114-EQ</w:t>
    </w:r>
  </w:p>
  <w:p w:rsidR="000C4E1C" w:rsidRDefault="000C4E1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B13D5">
      <w:rPr>
        <w:rStyle w:val="PageNumber"/>
        <w:noProof/>
      </w:rPr>
      <w:t>21</w:t>
    </w:r>
    <w:r>
      <w:rPr>
        <w:rStyle w:val="PageNumber"/>
      </w:rPr>
      <w:fldChar w:fldCharType="end"/>
    </w:r>
  </w:p>
  <w:p w:rsidR="000C4E1C" w:rsidRDefault="000C4E1C">
    <w:pPr>
      <w:pStyle w:val="Order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567D" w:rsidRDefault="00B4567D" w:rsidP="00B4567D">
    <w:pPr>
      <w:pStyle w:val="OrderHeader"/>
      <w:tabs>
        <w:tab w:val="left" w:pos="7200"/>
      </w:tabs>
    </w:pPr>
    <w:r>
      <w:t xml:space="preserve">ORDER NO. </w:t>
    </w:r>
    <w:r w:rsidR="00834E8F">
      <w:t>PSC-2020-0212-PAA-EQ</w:t>
    </w:r>
    <w:r>
      <w:tab/>
    </w:r>
    <w:r>
      <w:tab/>
      <w:t>Attachment A</w:t>
    </w:r>
  </w:p>
  <w:p w:rsidR="00B4567D" w:rsidRDefault="00B4567D" w:rsidP="00B4567D">
    <w:pPr>
      <w:pStyle w:val="OrderHeader"/>
    </w:pPr>
    <w:r>
      <w:t>DOCKET NO. 20200114-EQ</w:t>
    </w:r>
  </w:p>
  <w:p w:rsidR="00B4567D" w:rsidRDefault="00B4567D" w:rsidP="00B4567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B13D5">
      <w:rPr>
        <w:rStyle w:val="PageNumber"/>
        <w:noProof/>
      </w:rPr>
      <w:t>6</w:t>
    </w:r>
    <w:r>
      <w:rPr>
        <w:rStyle w:val="PageNumber"/>
      </w:rPr>
      <w:fldChar w:fldCharType="end"/>
    </w:r>
  </w:p>
  <w:p w:rsidR="00B4567D" w:rsidRDefault="00B4567D">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00114-EQ"/>
  </w:docVars>
  <w:rsids>
    <w:rsidRoot w:val="00BF3666"/>
    <w:rsid w:val="000022B8"/>
    <w:rsid w:val="00025C9D"/>
    <w:rsid w:val="0003433F"/>
    <w:rsid w:val="00035A8C"/>
    <w:rsid w:val="00036BDD"/>
    <w:rsid w:val="00053AB9"/>
    <w:rsid w:val="00056229"/>
    <w:rsid w:val="00057AF1"/>
    <w:rsid w:val="00065FC2"/>
    <w:rsid w:val="00067685"/>
    <w:rsid w:val="00067B07"/>
    <w:rsid w:val="000730D7"/>
    <w:rsid w:val="00076E6B"/>
    <w:rsid w:val="00081AE4"/>
    <w:rsid w:val="0008247D"/>
    <w:rsid w:val="00090AFC"/>
    <w:rsid w:val="00096507"/>
    <w:rsid w:val="000B783E"/>
    <w:rsid w:val="000B7D81"/>
    <w:rsid w:val="000C1994"/>
    <w:rsid w:val="000C4E1C"/>
    <w:rsid w:val="000C6926"/>
    <w:rsid w:val="000D02B8"/>
    <w:rsid w:val="000D06E8"/>
    <w:rsid w:val="000D78FB"/>
    <w:rsid w:val="000E050C"/>
    <w:rsid w:val="000E20F0"/>
    <w:rsid w:val="000E344D"/>
    <w:rsid w:val="000E3F6D"/>
    <w:rsid w:val="000F359F"/>
    <w:rsid w:val="000F3B2C"/>
    <w:rsid w:val="000F3F6C"/>
    <w:rsid w:val="000F63EB"/>
    <w:rsid w:val="000F648A"/>
    <w:rsid w:val="000F7BE3"/>
    <w:rsid w:val="001052BA"/>
    <w:rsid w:val="001107B3"/>
    <w:rsid w:val="001114B1"/>
    <w:rsid w:val="001139D8"/>
    <w:rsid w:val="00116AD3"/>
    <w:rsid w:val="00121957"/>
    <w:rsid w:val="0012387E"/>
    <w:rsid w:val="0012417D"/>
    <w:rsid w:val="00126593"/>
    <w:rsid w:val="00136087"/>
    <w:rsid w:val="00142A96"/>
    <w:rsid w:val="001513DE"/>
    <w:rsid w:val="00154A71"/>
    <w:rsid w:val="001655D4"/>
    <w:rsid w:val="00187E32"/>
    <w:rsid w:val="00194A97"/>
    <w:rsid w:val="00194E81"/>
    <w:rsid w:val="001A15E7"/>
    <w:rsid w:val="001A33C9"/>
    <w:rsid w:val="001A58F3"/>
    <w:rsid w:val="001B034E"/>
    <w:rsid w:val="001C2847"/>
    <w:rsid w:val="001C3BB5"/>
    <w:rsid w:val="001C3F8C"/>
    <w:rsid w:val="001C6097"/>
    <w:rsid w:val="001C7126"/>
    <w:rsid w:val="001D008A"/>
    <w:rsid w:val="001D6BBC"/>
    <w:rsid w:val="001E0152"/>
    <w:rsid w:val="001E0FF5"/>
    <w:rsid w:val="001F4CA3"/>
    <w:rsid w:val="002002ED"/>
    <w:rsid w:val="002170E5"/>
    <w:rsid w:val="00220D57"/>
    <w:rsid w:val="0022721A"/>
    <w:rsid w:val="00230BB9"/>
    <w:rsid w:val="00241CEF"/>
    <w:rsid w:val="0025124E"/>
    <w:rsid w:val="00252B30"/>
    <w:rsid w:val="00254854"/>
    <w:rsid w:val="002613E4"/>
    <w:rsid w:val="0026544B"/>
    <w:rsid w:val="00276CDC"/>
    <w:rsid w:val="00277655"/>
    <w:rsid w:val="002824B7"/>
    <w:rsid w:val="00282AC4"/>
    <w:rsid w:val="00293DC9"/>
    <w:rsid w:val="002A11AC"/>
    <w:rsid w:val="002A6F30"/>
    <w:rsid w:val="002B3111"/>
    <w:rsid w:val="002C2096"/>
    <w:rsid w:val="002C7908"/>
    <w:rsid w:val="002D391B"/>
    <w:rsid w:val="002D4B1F"/>
    <w:rsid w:val="002D7D15"/>
    <w:rsid w:val="002E1B2E"/>
    <w:rsid w:val="002E27EB"/>
    <w:rsid w:val="002F2A9D"/>
    <w:rsid w:val="002F31C2"/>
    <w:rsid w:val="002F7BF6"/>
    <w:rsid w:val="00303FDE"/>
    <w:rsid w:val="00313C5B"/>
    <w:rsid w:val="003140E8"/>
    <w:rsid w:val="003231C7"/>
    <w:rsid w:val="00323839"/>
    <w:rsid w:val="003270C4"/>
    <w:rsid w:val="00331ED0"/>
    <w:rsid w:val="00332B0A"/>
    <w:rsid w:val="00333A41"/>
    <w:rsid w:val="00345434"/>
    <w:rsid w:val="0035495B"/>
    <w:rsid w:val="00355A93"/>
    <w:rsid w:val="00361522"/>
    <w:rsid w:val="0037196E"/>
    <w:rsid w:val="003744F5"/>
    <w:rsid w:val="0037698C"/>
    <w:rsid w:val="003875A9"/>
    <w:rsid w:val="00387BDE"/>
    <w:rsid w:val="00390DD8"/>
    <w:rsid w:val="00394DC6"/>
    <w:rsid w:val="00397C3E"/>
    <w:rsid w:val="003B13D5"/>
    <w:rsid w:val="003B1A09"/>
    <w:rsid w:val="003D4CCA"/>
    <w:rsid w:val="003D52A6"/>
    <w:rsid w:val="003D6416"/>
    <w:rsid w:val="003E1D48"/>
    <w:rsid w:val="003E711F"/>
    <w:rsid w:val="003F1D2B"/>
    <w:rsid w:val="00411DF2"/>
    <w:rsid w:val="00411E8F"/>
    <w:rsid w:val="004247F5"/>
    <w:rsid w:val="0042527B"/>
    <w:rsid w:val="00426E8F"/>
    <w:rsid w:val="00427EAC"/>
    <w:rsid w:val="00442994"/>
    <w:rsid w:val="004431B4"/>
    <w:rsid w:val="0044665E"/>
    <w:rsid w:val="0045537F"/>
    <w:rsid w:val="00457DC7"/>
    <w:rsid w:val="004640B3"/>
    <w:rsid w:val="00472BCC"/>
    <w:rsid w:val="004A25CD"/>
    <w:rsid w:val="004A26CC"/>
    <w:rsid w:val="004B2108"/>
    <w:rsid w:val="004B3A2B"/>
    <w:rsid w:val="004B70D3"/>
    <w:rsid w:val="004C312D"/>
    <w:rsid w:val="004D2D1B"/>
    <w:rsid w:val="004D5067"/>
    <w:rsid w:val="004D6838"/>
    <w:rsid w:val="004D72BC"/>
    <w:rsid w:val="004E469D"/>
    <w:rsid w:val="004E7F4F"/>
    <w:rsid w:val="004F2DDE"/>
    <w:rsid w:val="004F7826"/>
    <w:rsid w:val="0050097F"/>
    <w:rsid w:val="00514B1F"/>
    <w:rsid w:val="00523C5C"/>
    <w:rsid w:val="00525E93"/>
    <w:rsid w:val="0052671D"/>
    <w:rsid w:val="005300C0"/>
    <w:rsid w:val="00540E6B"/>
    <w:rsid w:val="0055595D"/>
    <w:rsid w:val="00556A10"/>
    <w:rsid w:val="00557F50"/>
    <w:rsid w:val="00571D3D"/>
    <w:rsid w:val="0058264B"/>
    <w:rsid w:val="005868AA"/>
    <w:rsid w:val="00590845"/>
    <w:rsid w:val="005963C2"/>
    <w:rsid w:val="005A0D69"/>
    <w:rsid w:val="005A31F4"/>
    <w:rsid w:val="005A73EA"/>
    <w:rsid w:val="005B45F7"/>
    <w:rsid w:val="005B63EA"/>
    <w:rsid w:val="005C1A88"/>
    <w:rsid w:val="005C5033"/>
    <w:rsid w:val="005E751B"/>
    <w:rsid w:val="005F3354"/>
    <w:rsid w:val="0060005E"/>
    <w:rsid w:val="0060095B"/>
    <w:rsid w:val="00601266"/>
    <w:rsid w:val="00610221"/>
    <w:rsid w:val="00610E73"/>
    <w:rsid w:val="00616DF2"/>
    <w:rsid w:val="0063168D"/>
    <w:rsid w:val="00647025"/>
    <w:rsid w:val="0064730A"/>
    <w:rsid w:val="006531A4"/>
    <w:rsid w:val="00660774"/>
    <w:rsid w:val="0066389A"/>
    <w:rsid w:val="0066495C"/>
    <w:rsid w:val="00665CC7"/>
    <w:rsid w:val="00672612"/>
    <w:rsid w:val="00677F18"/>
    <w:rsid w:val="00693483"/>
    <w:rsid w:val="006A0BF3"/>
    <w:rsid w:val="006B0036"/>
    <w:rsid w:val="006B0DA6"/>
    <w:rsid w:val="006C547E"/>
    <w:rsid w:val="006D2B51"/>
    <w:rsid w:val="006D5575"/>
    <w:rsid w:val="006D7191"/>
    <w:rsid w:val="006E42BE"/>
    <w:rsid w:val="006E5D4D"/>
    <w:rsid w:val="006E6D16"/>
    <w:rsid w:val="00703F2A"/>
    <w:rsid w:val="00704C5D"/>
    <w:rsid w:val="007072BC"/>
    <w:rsid w:val="00715275"/>
    <w:rsid w:val="00721B44"/>
    <w:rsid w:val="007232A2"/>
    <w:rsid w:val="00726366"/>
    <w:rsid w:val="00730CEF"/>
    <w:rsid w:val="00733B6B"/>
    <w:rsid w:val="00740808"/>
    <w:rsid w:val="007467C4"/>
    <w:rsid w:val="0076170F"/>
    <w:rsid w:val="0076669C"/>
    <w:rsid w:val="00766E46"/>
    <w:rsid w:val="00774F6E"/>
    <w:rsid w:val="00777727"/>
    <w:rsid w:val="0078166A"/>
    <w:rsid w:val="00782B79"/>
    <w:rsid w:val="00783811"/>
    <w:rsid w:val="007865E9"/>
    <w:rsid w:val="0079237D"/>
    <w:rsid w:val="00792383"/>
    <w:rsid w:val="00794D5A"/>
    <w:rsid w:val="00794DD9"/>
    <w:rsid w:val="007A060F"/>
    <w:rsid w:val="007B350E"/>
    <w:rsid w:val="007C0FBC"/>
    <w:rsid w:val="007C36E3"/>
    <w:rsid w:val="007C7134"/>
    <w:rsid w:val="007D3D20"/>
    <w:rsid w:val="007D742E"/>
    <w:rsid w:val="007E3AFD"/>
    <w:rsid w:val="00801DAD"/>
    <w:rsid w:val="00803189"/>
    <w:rsid w:val="00804E7A"/>
    <w:rsid w:val="00805FBB"/>
    <w:rsid w:val="008169A4"/>
    <w:rsid w:val="008278FE"/>
    <w:rsid w:val="00832598"/>
    <w:rsid w:val="0083397E"/>
    <w:rsid w:val="00834E8F"/>
    <w:rsid w:val="0083534B"/>
    <w:rsid w:val="00842035"/>
    <w:rsid w:val="00842602"/>
    <w:rsid w:val="008449F0"/>
    <w:rsid w:val="00847B45"/>
    <w:rsid w:val="00863A66"/>
    <w:rsid w:val="008703D7"/>
    <w:rsid w:val="00874429"/>
    <w:rsid w:val="00875D22"/>
    <w:rsid w:val="00883D9A"/>
    <w:rsid w:val="008919EF"/>
    <w:rsid w:val="00892B20"/>
    <w:rsid w:val="008931BC"/>
    <w:rsid w:val="0089695B"/>
    <w:rsid w:val="008A12EC"/>
    <w:rsid w:val="008B19A6"/>
    <w:rsid w:val="008B4EFB"/>
    <w:rsid w:val="008C21C8"/>
    <w:rsid w:val="008C6375"/>
    <w:rsid w:val="008C6A5B"/>
    <w:rsid w:val="008D498D"/>
    <w:rsid w:val="008D6D36"/>
    <w:rsid w:val="008E0693"/>
    <w:rsid w:val="008E26A5"/>
    <w:rsid w:val="008E42D2"/>
    <w:rsid w:val="008E6328"/>
    <w:rsid w:val="008F578F"/>
    <w:rsid w:val="009040EE"/>
    <w:rsid w:val="009057FD"/>
    <w:rsid w:val="00906FBA"/>
    <w:rsid w:val="009163E8"/>
    <w:rsid w:val="009228C7"/>
    <w:rsid w:val="00922A7F"/>
    <w:rsid w:val="00923A5E"/>
    <w:rsid w:val="00924FE7"/>
    <w:rsid w:val="00926E27"/>
    <w:rsid w:val="00931C8C"/>
    <w:rsid w:val="00943D21"/>
    <w:rsid w:val="0094504B"/>
    <w:rsid w:val="00964A38"/>
    <w:rsid w:val="00966A9D"/>
    <w:rsid w:val="0096742B"/>
    <w:rsid w:val="009718C5"/>
    <w:rsid w:val="009924CF"/>
    <w:rsid w:val="00994100"/>
    <w:rsid w:val="009A6B17"/>
    <w:rsid w:val="009D4C29"/>
    <w:rsid w:val="009F6AD2"/>
    <w:rsid w:val="00A00D8D"/>
    <w:rsid w:val="00A01BB6"/>
    <w:rsid w:val="00A2554C"/>
    <w:rsid w:val="00A4303C"/>
    <w:rsid w:val="00A43CDA"/>
    <w:rsid w:val="00A46CAF"/>
    <w:rsid w:val="00A470FD"/>
    <w:rsid w:val="00A50B5E"/>
    <w:rsid w:val="00A62DAB"/>
    <w:rsid w:val="00A6757A"/>
    <w:rsid w:val="00A726A6"/>
    <w:rsid w:val="00A74842"/>
    <w:rsid w:val="00A97535"/>
    <w:rsid w:val="00AA2BAA"/>
    <w:rsid w:val="00AA6516"/>
    <w:rsid w:val="00AA73F1"/>
    <w:rsid w:val="00AB0E1A"/>
    <w:rsid w:val="00AB1A30"/>
    <w:rsid w:val="00AB3C36"/>
    <w:rsid w:val="00AB3D30"/>
    <w:rsid w:val="00AD10EB"/>
    <w:rsid w:val="00AD1ED3"/>
    <w:rsid w:val="00B019C1"/>
    <w:rsid w:val="00B02001"/>
    <w:rsid w:val="00B03C50"/>
    <w:rsid w:val="00B0777D"/>
    <w:rsid w:val="00B11576"/>
    <w:rsid w:val="00B1195F"/>
    <w:rsid w:val="00B14D10"/>
    <w:rsid w:val="00B209C7"/>
    <w:rsid w:val="00B3644F"/>
    <w:rsid w:val="00B4057A"/>
    <w:rsid w:val="00B40894"/>
    <w:rsid w:val="00B41039"/>
    <w:rsid w:val="00B42987"/>
    <w:rsid w:val="00B444AE"/>
    <w:rsid w:val="00B4567D"/>
    <w:rsid w:val="00B45E75"/>
    <w:rsid w:val="00B50876"/>
    <w:rsid w:val="00B51074"/>
    <w:rsid w:val="00B54DAA"/>
    <w:rsid w:val="00B552E0"/>
    <w:rsid w:val="00B55AB0"/>
    <w:rsid w:val="00B55EE5"/>
    <w:rsid w:val="00B67A43"/>
    <w:rsid w:val="00B71D1F"/>
    <w:rsid w:val="00B72CFF"/>
    <w:rsid w:val="00B73DE6"/>
    <w:rsid w:val="00B761CD"/>
    <w:rsid w:val="00B86EF0"/>
    <w:rsid w:val="00B96969"/>
    <w:rsid w:val="00B97900"/>
    <w:rsid w:val="00BA1229"/>
    <w:rsid w:val="00BA44A8"/>
    <w:rsid w:val="00BA49C5"/>
    <w:rsid w:val="00BC786E"/>
    <w:rsid w:val="00BD5C92"/>
    <w:rsid w:val="00BE50E6"/>
    <w:rsid w:val="00BE7A0C"/>
    <w:rsid w:val="00BF3666"/>
    <w:rsid w:val="00BF6691"/>
    <w:rsid w:val="00C028FC"/>
    <w:rsid w:val="00C037F2"/>
    <w:rsid w:val="00C0386D"/>
    <w:rsid w:val="00C065A1"/>
    <w:rsid w:val="00C10ED5"/>
    <w:rsid w:val="00C151A6"/>
    <w:rsid w:val="00C24098"/>
    <w:rsid w:val="00C30A4E"/>
    <w:rsid w:val="00C411F3"/>
    <w:rsid w:val="00C44105"/>
    <w:rsid w:val="00C55A33"/>
    <w:rsid w:val="00C66692"/>
    <w:rsid w:val="00C673B5"/>
    <w:rsid w:val="00C7063D"/>
    <w:rsid w:val="00C830BC"/>
    <w:rsid w:val="00C8524D"/>
    <w:rsid w:val="00C90904"/>
    <w:rsid w:val="00C91123"/>
    <w:rsid w:val="00CA71FF"/>
    <w:rsid w:val="00CB5276"/>
    <w:rsid w:val="00CB5BFC"/>
    <w:rsid w:val="00CB68D7"/>
    <w:rsid w:val="00CB785B"/>
    <w:rsid w:val="00CC7E68"/>
    <w:rsid w:val="00CD7132"/>
    <w:rsid w:val="00CE0E6F"/>
    <w:rsid w:val="00CE3B21"/>
    <w:rsid w:val="00CE56FC"/>
    <w:rsid w:val="00CE7A4D"/>
    <w:rsid w:val="00CF32D2"/>
    <w:rsid w:val="00CF4CFE"/>
    <w:rsid w:val="00D02E0F"/>
    <w:rsid w:val="00D03EE8"/>
    <w:rsid w:val="00D13535"/>
    <w:rsid w:val="00D15497"/>
    <w:rsid w:val="00D17B79"/>
    <w:rsid w:val="00D23FEA"/>
    <w:rsid w:val="00D269CA"/>
    <w:rsid w:val="00D30B48"/>
    <w:rsid w:val="00D3168A"/>
    <w:rsid w:val="00D31B25"/>
    <w:rsid w:val="00D46FAA"/>
    <w:rsid w:val="00D47A40"/>
    <w:rsid w:val="00D51D33"/>
    <w:rsid w:val="00D57BB2"/>
    <w:rsid w:val="00D57E57"/>
    <w:rsid w:val="00D70752"/>
    <w:rsid w:val="00D80E2D"/>
    <w:rsid w:val="00D84D5E"/>
    <w:rsid w:val="00D8560E"/>
    <w:rsid w:val="00D8758F"/>
    <w:rsid w:val="00DA4EDD"/>
    <w:rsid w:val="00DA6B78"/>
    <w:rsid w:val="00DC1D94"/>
    <w:rsid w:val="00DC42CF"/>
    <w:rsid w:val="00DE057F"/>
    <w:rsid w:val="00DE2082"/>
    <w:rsid w:val="00DE2289"/>
    <w:rsid w:val="00DF09A7"/>
    <w:rsid w:val="00DF2B51"/>
    <w:rsid w:val="00E001D6"/>
    <w:rsid w:val="00E03A76"/>
    <w:rsid w:val="00E04410"/>
    <w:rsid w:val="00E07484"/>
    <w:rsid w:val="00E11351"/>
    <w:rsid w:val="00E4225C"/>
    <w:rsid w:val="00E44879"/>
    <w:rsid w:val="00E72914"/>
    <w:rsid w:val="00E75AE0"/>
    <w:rsid w:val="00E83C1F"/>
    <w:rsid w:val="00E85684"/>
    <w:rsid w:val="00E8794B"/>
    <w:rsid w:val="00E97656"/>
    <w:rsid w:val="00EA172C"/>
    <w:rsid w:val="00EA259B"/>
    <w:rsid w:val="00EA35A3"/>
    <w:rsid w:val="00EA3E6A"/>
    <w:rsid w:val="00EB18EF"/>
    <w:rsid w:val="00EB7951"/>
    <w:rsid w:val="00ED6A79"/>
    <w:rsid w:val="00EE17DF"/>
    <w:rsid w:val="00EF1482"/>
    <w:rsid w:val="00EF4621"/>
    <w:rsid w:val="00EF4D52"/>
    <w:rsid w:val="00EF6312"/>
    <w:rsid w:val="00F038B0"/>
    <w:rsid w:val="00F05F34"/>
    <w:rsid w:val="00F068EE"/>
    <w:rsid w:val="00F22B27"/>
    <w:rsid w:val="00F234A7"/>
    <w:rsid w:val="00F277B6"/>
    <w:rsid w:val="00F27DA5"/>
    <w:rsid w:val="00F37E07"/>
    <w:rsid w:val="00F4182A"/>
    <w:rsid w:val="00F54380"/>
    <w:rsid w:val="00F54B47"/>
    <w:rsid w:val="00F61247"/>
    <w:rsid w:val="00F63191"/>
    <w:rsid w:val="00F6702E"/>
    <w:rsid w:val="00F70E84"/>
    <w:rsid w:val="00F81E44"/>
    <w:rsid w:val="00F823DD"/>
    <w:rsid w:val="00FA092B"/>
    <w:rsid w:val="00FA4F6C"/>
    <w:rsid w:val="00FA6EFD"/>
    <w:rsid w:val="00FB3791"/>
    <w:rsid w:val="00FB6780"/>
    <w:rsid w:val="00FB74EA"/>
    <w:rsid w:val="00FD2C9E"/>
    <w:rsid w:val="00FD4786"/>
    <w:rsid w:val="00FD616C"/>
    <w:rsid w:val="00FE110B"/>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5D51FD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RecommendationMajorSectionHeading">
    <w:name w:val="Recommendation Major Section Heading"/>
    <w:basedOn w:val="Heading1"/>
    <w:next w:val="BodyText"/>
    <w:rsid w:val="00BF3666"/>
    <w:pPr>
      <w:jc w:val="center"/>
    </w:pPr>
    <w:rPr>
      <w:rFonts w:ascii="Arial" w:hAnsi="Arial"/>
      <w:b/>
    </w:rPr>
  </w:style>
  <w:style w:type="paragraph" w:styleId="BalloonText">
    <w:name w:val="Balloon Text"/>
    <w:basedOn w:val="Normal"/>
    <w:link w:val="BalloonTextChar"/>
    <w:semiHidden/>
    <w:unhideWhenUsed/>
    <w:rsid w:val="00B4567D"/>
    <w:rPr>
      <w:rFonts w:ascii="Tahoma" w:hAnsi="Tahoma" w:cs="Tahoma"/>
      <w:sz w:val="16"/>
      <w:szCs w:val="16"/>
    </w:rPr>
  </w:style>
  <w:style w:type="character" w:customStyle="1" w:styleId="BalloonTextChar">
    <w:name w:val="Balloon Text Char"/>
    <w:basedOn w:val="DefaultParagraphFont"/>
    <w:link w:val="BalloonText"/>
    <w:semiHidden/>
    <w:rsid w:val="00B4567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3.JPG"/><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image" Target="media/image17.JPG"/><Relationship Id="rId41" Type="http://schemas.openxmlformats.org/officeDocument/2006/relationships/image" Target="media/image29.JPG"/><Relationship Id="rId54" Type="http://schemas.openxmlformats.org/officeDocument/2006/relationships/image" Target="media/image42.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header" Target="header4.xml"/><Relationship Id="rId5"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5.JPG"/><Relationship Id="rId61"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7.JP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8" Type="http://schemas.openxmlformats.org/officeDocument/2006/relationships/header" Target="header2.xml"/><Relationship Id="rId51" Type="http://schemas.openxmlformats.org/officeDocument/2006/relationships/image" Target="media/image39.JPG"/><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header" Target="head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Clark,%20Graham,%20Brown,%20Polmann,%20and%20Fay.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2420BE-DB30-4125-B2D1-846D56D355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Clark, Graham, Brown, Polmann, and Fay</Template>
  <TotalTime>0</TotalTime>
  <Pages>50</Pages>
  <Words>1460</Words>
  <Characters>8324</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2020-06-26T14:14:00Z</dcterms:created>
  <dcterms:modified xsi:type="dcterms:W3CDTF">2020-06-26T16:27:00Z</dcterms:modified>
</cp:coreProperties>
</file>