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14:anchorId="16DE6A24" wp14:editId="6D9A9515">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9B5570">
            <w:pPr>
              <w:pStyle w:val="MemoHeading"/>
            </w:pPr>
            <w:bookmarkStart w:id="1" w:name="FilingDate"/>
            <w:r>
              <w:t>December 22, 2020</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9B5570" w:rsidRDefault="009B5570">
            <w:pPr>
              <w:pStyle w:val="MemoHeading"/>
            </w:pPr>
            <w:bookmarkStart w:id="2" w:name="From"/>
            <w:r>
              <w:t>Division of Economics (Forrest, Coston)</w:t>
            </w:r>
          </w:p>
          <w:p w:rsidR="007C0528" w:rsidRDefault="009B5570">
            <w:pPr>
              <w:pStyle w:val="MemoHeading"/>
            </w:pPr>
            <w:r>
              <w:t>Office of the General Counsel (Osborn, Crawford)</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9B5570">
            <w:pPr>
              <w:pStyle w:val="MemoHeadingRe"/>
            </w:pPr>
            <w:bookmarkStart w:id="3" w:name="Re"/>
            <w:r>
              <w:t>Docket No. 20200216-GU – Request for approval of tariff modifications to accommodate receipt and transportation of renewable natural gas from customers, by Florida City Gas.</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9B5570">
            <w:pPr>
              <w:pStyle w:val="MemoHeading"/>
            </w:pPr>
            <w:bookmarkStart w:id="4" w:name="AgendaDate"/>
            <w:r>
              <w:t>01/05/21</w:t>
            </w:r>
            <w:bookmarkEnd w:id="4"/>
            <w:r w:rsidR="007C0528">
              <w:t xml:space="preserve"> – </w:t>
            </w:r>
            <w:bookmarkStart w:id="5" w:name="PermittedStatus"/>
            <w:r>
              <w:t xml:space="preserve">Regular Agenda – </w:t>
            </w:r>
            <w:r w:rsidR="00633610">
              <w:t xml:space="preserve">Tariff Filing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633610">
            <w:pPr>
              <w:pStyle w:val="MemoHeading"/>
            </w:pPr>
            <w:bookmarkStart w:id="6" w:name="CommissionersAssigned"/>
            <w:bookmarkEnd w:id="6"/>
            <w:r>
              <w:t>All Commissioners</w:t>
            </w:r>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4B00FB">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4B1DF4">
            <w:pPr>
              <w:pStyle w:val="MemoHeading"/>
            </w:pPr>
            <w:bookmarkStart w:id="9" w:name="CriticalDates"/>
            <w:r>
              <w:t>05/14</w:t>
            </w:r>
            <w:r w:rsidR="009B5570">
              <w:t>/21 (8-Month Effective Date)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9B5570">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BE63FB" w:rsidRPr="00BE63FB" w:rsidRDefault="00BE63FB" w:rsidP="00BE63FB">
      <w:pPr>
        <w:pStyle w:val="BodyText"/>
      </w:pPr>
      <w:r w:rsidRPr="00BE63FB">
        <w:t>Florida City Gas (FCG or utility) is a local distribution company subject to the Commission’s jurisdiction pursuant to Chap</w:t>
      </w:r>
      <w:r w:rsidR="00110A86">
        <w:t>ter 366, Florida Statu</w:t>
      </w:r>
      <w:r w:rsidR="007861F9">
        <w:t>t</w:t>
      </w:r>
      <w:r w:rsidR="00110A86">
        <w:t>es (F.S.).</w:t>
      </w:r>
      <w:r w:rsidRPr="00BE63FB">
        <w:t xml:space="preserve"> </w:t>
      </w:r>
      <w:r w:rsidR="00110A86">
        <w:t xml:space="preserve">FCG </w:t>
      </w:r>
      <w:r w:rsidRPr="00BE63FB">
        <w:t>serves approximately 114,000 residential, commercial, and industrial natural gas customers in</w:t>
      </w:r>
      <w:r w:rsidR="00390F8C">
        <w:t xml:space="preserve"> southern</w:t>
      </w:r>
      <w:r w:rsidRPr="00BE63FB">
        <w:t xml:space="preserve"> Flo</w:t>
      </w:r>
      <w:r w:rsidR="00110A86">
        <w:t>rida. On September 15, 2020, the utility</w:t>
      </w:r>
      <w:r w:rsidRPr="00BE63FB">
        <w:t xml:space="preserve"> filed a petition </w:t>
      </w:r>
      <w:r w:rsidR="00390F8C">
        <w:t>requesting approval of</w:t>
      </w:r>
      <w:r w:rsidR="004B1DF4" w:rsidRPr="00BE63FB">
        <w:t xml:space="preserve"> a new</w:t>
      </w:r>
      <w:r w:rsidR="004B1DF4">
        <w:t xml:space="preserve"> Renewable Natural Gas Service</w:t>
      </w:r>
      <w:r w:rsidR="00390F8C">
        <w:t xml:space="preserve"> (RNGS)</w:t>
      </w:r>
      <w:r w:rsidR="00371F25">
        <w:t xml:space="preserve"> </w:t>
      </w:r>
      <w:r w:rsidR="00633610">
        <w:t>tariff</w:t>
      </w:r>
      <w:r w:rsidR="00371F25">
        <w:t xml:space="preserve"> </w:t>
      </w:r>
      <w:r w:rsidR="004B1DF4">
        <w:t xml:space="preserve">to allow </w:t>
      </w:r>
      <w:r w:rsidR="00D4370D">
        <w:t>FCG</w:t>
      </w:r>
      <w:r w:rsidR="004B1DF4">
        <w:t xml:space="preserve"> to provide biogas conditioning services</w:t>
      </w:r>
      <w:r w:rsidR="00D4370D">
        <w:t xml:space="preserve"> for the purpose of converting biogas</w:t>
      </w:r>
      <w:r w:rsidR="008620E2">
        <w:rPr>
          <w:rStyle w:val="FootnoteReference"/>
        </w:rPr>
        <w:footnoteReference w:id="1"/>
      </w:r>
      <w:r w:rsidR="00D4370D">
        <w:t xml:space="preserve"> into usable renewable natural gas</w:t>
      </w:r>
      <w:r w:rsidR="00390F8C">
        <w:t xml:space="preserve"> (RNG)</w:t>
      </w:r>
      <w:r w:rsidR="00D4370D">
        <w:t xml:space="preserve"> for the </w:t>
      </w:r>
      <w:r w:rsidR="008620E2">
        <w:t xml:space="preserve">biogas </w:t>
      </w:r>
      <w:r w:rsidR="00D4370D">
        <w:t>produc</w:t>
      </w:r>
      <w:r w:rsidR="008620E2">
        <w:t>er</w:t>
      </w:r>
      <w:r w:rsidR="004B1DF4">
        <w:t>. In addition, the petition requests</w:t>
      </w:r>
      <w:r w:rsidR="004B1DF4" w:rsidRPr="00BE63FB">
        <w:t xml:space="preserve"> </w:t>
      </w:r>
      <w:r w:rsidR="004B1DF4">
        <w:t xml:space="preserve">modifications </w:t>
      </w:r>
      <w:r w:rsidRPr="00BE63FB">
        <w:t>t</w:t>
      </w:r>
      <w:r w:rsidR="0012663D">
        <w:t xml:space="preserve">o </w:t>
      </w:r>
      <w:r w:rsidR="008620E2">
        <w:t>FCG’s</w:t>
      </w:r>
      <w:r w:rsidR="0012663D">
        <w:t xml:space="preserve"> Volume </w:t>
      </w:r>
      <w:r w:rsidR="00E14A9A">
        <w:t xml:space="preserve">No. </w:t>
      </w:r>
      <w:r w:rsidR="0012663D">
        <w:t>10</w:t>
      </w:r>
      <w:r w:rsidR="00E14A9A">
        <w:t xml:space="preserve"> natural gas</w:t>
      </w:r>
      <w:r w:rsidR="0012663D">
        <w:t xml:space="preserve"> tariffs</w:t>
      </w:r>
      <w:r w:rsidRPr="00BE63FB">
        <w:t xml:space="preserve"> to accommodate and allow for the receipt and transportation of RNG</w:t>
      </w:r>
      <w:r w:rsidR="00390F8C">
        <w:t xml:space="preserve"> through</w:t>
      </w:r>
      <w:r w:rsidRPr="00BE63FB">
        <w:t xml:space="preserve"> </w:t>
      </w:r>
      <w:r w:rsidR="008620E2">
        <w:t>the utility’s</w:t>
      </w:r>
      <w:r w:rsidRPr="00BE63FB">
        <w:t xml:space="preserve"> distribution system</w:t>
      </w:r>
      <w:r w:rsidR="00390F8C">
        <w:t xml:space="preserve"> on behalf of the</w:t>
      </w:r>
      <w:r w:rsidR="00633610">
        <w:t xml:space="preserve"> biogas producer</w:t>
      </w:r>
      <w:r w:rsidRPr="00BE63FB">
        <w:t xml:space="preserve">.  </w:t>
      </w:r>
    </w:p>
    <w:p w:rsidR="00BE63FB" w:rsidRPr="00BE63FB" w:rsidRDefault="00002F71" w:rsidP="00BE63FB">
      <w:pPr>
        <w:pStyle w:val="BodyText"/>
      </w:pPr>
      <w:r>
        <w:lastRenderedPageBreak/>
        <w:t>RNG</w:t>
      </w:r>
      <w:r w:rsidR="00BE63FB" w:rsidRPr="00BE63FB">
        <w:t xml:space="preserve"> is produced </w:t>
      </w:r>
      <w:r w:rsidR="004B1DF4">
        <w:t>by</w:t>
      </w:r>
      <w:r w:rsidR="00BE63FB" w:rsidRPr="00BE63FB">
        <w:t xml:space="preserve"> cleaning and conditioning </w:t>
      </w:r>
      <w:r w:rsidR="004B1DF4">
        <w:t>biogas</w:t>
      </w:r>
      <w:r w:rsidR="004B1DF4" w:rsidRPr="00BE63FB">
        <w:t xml:space="preserve"> </w:t>
      </w:r>
      <w:r w:rsidR="00BE63FB" w:rsidRPr="00BE63FB">
        <w:t>in order to meet pipeline quality gas standards. In 2017</w:t>
      </w:r>
      <w:r w:rsidR="002A7DD2">
        <w:t>,</w:t>
      </w:r>
      <w:r w:rsidR="00BE63FB" w:rsidRPr="00BE63FB">
        <w:t xml:space="preserve"> the Commission approved a similar petition by Peoples Gas System </w:t>
      </w:r>
      <w:r w:rsidR="00C03E23">
        <w:t>by</w:t>
      </w:r>
      <w:r w:rsidR="00BE63FB" w:rsidRPr="00BE63FB">
        <w:t xml:space="preserve"> Order No. PSC-2017-0497-TRF-GU.</w:t>
      </w:r>
      <w:r w:rsidR="005149FD">
        <w:rPr>
          <w:rStyle w:val="FootnoteReference"/>
        </w:rPr>
        <w:footnoteReference w:id="2"/>
      </w:r>
      <w:r w:rsidR="00BE63FB" w:rsidRPr="00BE63FB">
        <w:t xml:space="preserve"> </w:t>
      </w:r>
      <w:r w:rsidR="00390F8C">
        <w:t xml:space="preserve">The proposed </w:t>
      </w:r>
      <w:r w:rsidR="005E38CA">
        <w:t xml:space="preserve">new </w:t>
      </w:r>
      <w:r w:rsidR="00390F8C">
        <w:t xml:space="preserve">RNGS tariff, </w:t>
      </w:r>
      <w:r w:rsidR="00633610">
        <w:t xml:space="preserve">as shown on tariff </w:t>
      </w:r>
      <w:r w:rsidR="00390F8C">
        <w:t>sheet No</w:t>
      </w:r>
      <w:r w:rsidR="00633610">
        <w:t>s</w:t>
      </w:r>
      <w:r w:rsidR="00390F8C">
        <w:t>. 74.1</w:t>
      </w:r>
      <w:r w:rsidR="00633610">
        <w:t xml:space="preserve"> through 74.3</w:t>
      </w:r>
      <w:r w:rsidR="00390F8C">
        <w:t>, and the additional Volume No. 10 proposed tariff modifications</w:t>
      </w:r>
      <w:r w:rsidR="00E662BF">
        <w:t>,</w:t>
      </w:r>
      <w:r w:rsidR="00390F8C">
        <w:t xml:space="preserve"> are included as Attachment A of the recommendation.</w:t>
      </w:r>
    </w:p>
    <w:p w:rsidR="00BE63FB" w:rsidRPr="00BE63FB" w:rsidRDefault="00AD3FFD" w:rsidP="00371F25">
      <w:pPr>
        <w:autoSpaceDE w:val="0"/>
        <w:autoSpaceDN w:val="0"/>
        <w:adjustRightInd w:val="0"/>
        <w:jc w:val="both"/>
      </w:pPr>
      <w:r>
        <w:t>During the review of this petition, s</w:t>
      </w:r>
      <w:r w:rsidR="0012663D">
        <w:t>taff issued</w:t>
      </w:r>
      <w:r>
        <w:t xml:space="preserve"> two data requests,</w:t>
      </w:r>
      <w:r w:rsidR="00E662BF">
        <w:t xml:space="preserve"> </w:t>
      </w:r>
      <w:r>
        <w:t xml:space="preserve">for which </w:t>
      </w:r>
      <w:r w:rsidR="00371F25">
        <w:t>responses</w:t>
      </w:r>
      <w:r>
        <w:t xml:space="preserve"> were received</w:t>
      </w:r>
      <w:r w:rsidR="003355CC">
        <w:t xml:space="preserve"> on October 21, 2020</w:t>
      </w:r>
      <w:r>
        <w:t xml:space="preserve"> and November 25, 2020</w:t>
      </w:r>
      <w:r w:rsidR="003355CC">
        <w:t xml:space="preserve">. </w:t>
      </w:r>
      <w:r w:rsidR="002A7DD2">
        <w:t xml:space="preserve">By Order </w:t>
      </w:r>
      <w:r w:rsidR="007861F9">
        <w:t xml:space="preserve">No. </w:t>
      </w:r>
      <w:r w:rsidR="002A7DD2">
        <w:t>PSC-2020-0459</w:t>
      </w:r>
      <w:r w:rsidR="00371F25">
        <w:rPr>
          <w:rFonts w:ascii="TimesNewRomanPSMT" w:hAnsi="TimesNewRomanPSMT" w:cs="TimesNewRomanPSMT"/>
        </w:rPr>
        <w:t xml:space="preserve">-PCO-EI, issued </w:t>
      </w:r>
      <w:r w:rsidR="008620E2">
        <w:rPr>
          <w:rFonts w:ascii="TimesNewRomanPSMT" w:hAnsi="TimesNewRomanPSMT" w:cs="TimesNewRomanPSMT"/>
        </w:rPr>
        <w:t xml:space="preserve">on </w:t>
      </w:r>
      <w:r w:rsidR="00371F25">
        <w:rPr>
          <w:rFonts w:ascii="TimesNewRomanPSMT" w:hAnsi="TimesNewRomanPSMT" w:cs="TimesNewRomanPSMT"/>
        </w:rPr>
        <w:t xml:space="preserve">November 23, 2020, the Commission suspended the </w:t>
      </w:r>
      <w:r w:rsidR="00C03E23">
        <w:rPr>
          <w:rFonts w:ascii="TimesNewRomanPSMT" w:hAnsi="TimesNewRomanPSMT" w:cs="TimesNewRomanPSMT"/>
        </w:rPr>
        <w:t xml:space="preserve">tariff pursuant to the </w:t>
      </w:r>
      <w:r w:rsidR="00371F25">
        <w:rPr>
          <w:rFonts w:ascii="TimesNewRomanPSMT" w:hAnsi="TimesNewRomanPSMT" w:cs="TimesNewRomanPSMT"/>
        </w:rPr>
        <w:t xml:space="preserve">60-day file and suspend provision </w:t>
      </w:r>
      <w:r w:rsidR="00C03E23">
        <w:rPr>
          <w:rFonts w:ascii="TimesNewRomanPSMT" w:hAnsi="TimesNewRomanPSMT" w:cs="TimesNewRomanPSMT"/>
        </w:rPr>
        <w:t>in</w:t>
      </w:r>
      <w:r w:rsidR="00371F25">
        <w:rPr>
          <w:rFonts w:ascii="TimesNewRomanPSMT" w:hAnsi="TimesNewRomanPSMT" w:cs="TimesNewRomanPSMT"/>
        </w:rPr>
        <w:t xml:space="preserve"> Section 366.06(3), F.S.</w:t>
      </w:r>
      <w:r w:rsidR="00371F25" w:rsidRPr="00BE63FB" w:rsidDel="002A7DD2">
        <w:t xml:space="preserve"> </w:t>
      </w:r>
      <w:r w:rsidR="00BE63FB" w:rsidRPr="00BE63FB">
        <w:t>The Commission has jurisdiction over this matter pursuant to Sections 366.03, 366.04, 366.05, and 366.06</w:t>
      </w:r>
      <w:r w:rsidR="007861F9">
        <w:t>,</w:t>
      </w:r>
      <w:r w:rsidR="00BE63FB" w:rsidRPr="00BE63FB">
        <w:t xml:space="preserve"> F.S. </w:t>
      </w:r>
    </w:p>
    <w:p w:rsidR="0068481F" w:rsidRDefault="0068481F">
      <w:pPr>
        <w:pStyle w:val="BodyText"/>
      </w:pPr>
    </w:p>
    <w:p w:rsidR="007C0528" w:rsidRDefault="007C0528" w:rsidP="0068481F"/>
    <w:bookmarkEnd w:id="12"/>
    <w:p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BE63FB" w:rsidRDefault="00BE63FB">
      <w:pPr>
        <w:pStyle w:val="IssueHeading"/>
        <w:rPr>
          <w:vanish/>
          <w:specVanish/>
        </w:rPr>
      </w:pPr>
      <w:r w:rsidRPr="004C3641">
        <w:t xml:space="preserve">Issue </w:t>
      </w:r>
      <w:r w:rsidR="00AC1313">
        <w:fldChar w:fldCharType="begin"/>
      </w:r>
      <w:r w:rsidR="00AC1313">
        <w:instrText xml:space="preserve"> SEQ Issue \* MERGEFORMAT </w:instrText>
      </w:r>
      <w:r w:rsidR="00AC1313">
        <w:fldChar w:fldCharType="separate"/>
      </w:r>
      <w:r w:rsidR="003B03E8">
        <w:rPr>
          <w:noProof/>
        </w:rPr>
        <w:t>1</w:t>
      </w:r>
      <w:r w:rsidR="00AC1313">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3B03E8">
        <w:rPr>
          <w:noProof/>
        </w:rPr>
        <w:instrText>1</w:instrText>
      </w:r>
      <w:r>
        <w:fldChar w:fldCharType="end"/>
      </w:r>
      <w:r>
        <w:tab/>
        <w:instrText xml:space="preserve">" \l 1 </w:instrText>
      </w:r>
      <w:r>
        <w:fldChar w:fldCharType="end"/>
      </w:r>
      <w:r>
        <w:t> </w:t>
      </w:r>
    </w:p>
    <w:p w:rsidR="00BE63FB" w:rsidRDefault="00BE63FB">
      <w:pPr>
        <w:pStyle w:val="BodyText"/>
      </w:pPr>
      <w:r>
        <w:t> </w:t>
      </w:r>
      <w:r w:rsidRPr="00BE63FB">
        <w:t>Should the Commission approve</w:t>
      </w:r>
      <w:r w:rsidR="00110A86">
        <w:t xml:space="preserve"> FC</w:t>
      </w:r>
      <w:r w:rsidR="00371F25">
        <w:t xml:space="preserve">G’s </w:t>
      </w:r>
      <w:r w:rsidR="0012663D">
        <w:t>proposed</w:t>
      </w:r>
      <w:r w:rsidR="00371F25">
        <w:t xml:space="preserve"> </w:t>
      </w:r>
      <w:r w:rsidR="00E662BF">
        <w:t xml:space="preserve">new </w:t>
      </w:r>
      <w:r w:rsidR="00371F25">
        <w:t>RNGS</w:t>
      </w:r>
      <w:r w:rsidR="0012663D">
        <w:t xml:space="preserve"> tariff </w:t>
      </w:r>
      <w:r w:rsidR="00371F25">
        <w:t xml:space="preserve">and </w:t>
      </w:r>
      <w:r w:rsidR="0012663D">
        <w:t>modifications to its</w:t>
      </w:r>
      <w:r w:rsidR="00371F25">
        <w:t xml:space="preserve"> current</w:t>
      </w:r>
      <w:r w:rsidR="0012663D">
        <w:t xml:space="preserve"> Volume</w:t>
      </w:r>
      <w:r w:rsidR="00390F8C">
        <w:t xml:space="preserve"> No.</w:t>
      </w:r>
      <w:r w:rsidR="0012663D">
        <w:t xml:space="preserve"> 10 natural gas tariffs</w:t>
      </w:r>
      <w:r>
        <w:t>?</w:t>
      </w:r>
    </w:p>
    <w:p w:rsidR="00BE63FB" w:rsidRPr="004C3641" w:rsidRDefault="00BE63FB">
      <w:pPr>
        <w:pStyle w:val="IssueSubsectionHeading"/>
        <w:rPr>
          <w:vanish/>
          <w:specVanish/>
        </w:rPr>
      </w:pPr>
      <w:r w:rsidRPr="004C3641">
        <w:t>Recommendation: </w:t>
      </w:r>
    </w:p>
    <w:p w:rsidR="00BE63FB" w:rsidRDefault="00BE63FB" w:rsidP="00553A4A">
      <w:pPr>
        <w:autoSpaceDE w:val="0"/>
        <w:autoSpaceDN w:val="0"/>
        <w:adjustRightInd w:val="0"/>
        <w:jc w:val="both"/>
      </w:pPr>
      <w:r>
        <w:t xml:space="preserve">  </w:t>
      </w:r>
      <w:r w:rsidRPr="00BE63FB">
        <w:t xml:space="preserve">Yes, the Commission should approve FCG’s proposed </w:t>
      </w:r>
      <w:r w:rsidR="00553A4A">
        <w:t xml:space="preserve">new </w:t>
      </w:r>
      <w:r w:rsidR="00371F25" w:rsidRPr="00BE63FB">
        <w:t>RNGS</w:t>
      </w:r>
      <w:r w:rsidR="00371F25">
        <w:t xml:space="preserve"> tariff and modifications to its current Volume </w:t>
      </w:r>
      <w:r w:rsidR="00390F8C">
        <w:t xml:space="preserve">No. </w:t>
      </w:r>
      <w:r w:rsidR="00371F25">
        <w:t xml:space="preserve">10 </w:t>
      </w:r>
      <w:r w:rsidRPr="00BE63FB">
        <w:t>tariff</w:t>
      </w:r>
      <w:r w:rsidR="00371F25">
        <w:t>s</w:t>
      </w:r>
      <w:r w:rsidRPr="00BE63FB">
        <w:t>, effective</w:t>
      </w:r>
      <w:r w:rsidR="00371F25">
        <w:t xml:space="preserve"> January 5, 2021</w:t>
      </w:r>
      <w:r w:rsidR="00C11849">
        <w:t xml:space="preserve">. </w:t>
      </w:r>
      <w:r w:rsidR="00553A4A">
        <w:t>The RNG</w:t>
      </w:r>
      <w:r w:rsidR="00C03E23">
        <w:t>S</w:t>
      </w:r>
      <w:r w:rsidR="00553A4A">
        <w:t xml:space="preserve"> tariff would provide FCG with an opportunity to provide biogas conditioning services to interested customers and the utility demonstrated a reasonable approach to implementing the tariff. A participating customer would enter into an agreement with FCG and all capital and operating costs associated with the RNG cleaning and conditioning facility will be borne by the customer over the life of the contract. </w:t>
      </w:r>
      <w:r w:rsidR="00C11849">
        <w:t>(Forrest</w:t>
      </w:r>
      <w:r w:rsidR="00553A4A">
        <w:t>, Coston</w:t>
      </w:r>
      <w:r w:rsidR="00C11849">
        <w:t>)</w:t>
      </w:r>
    </w:p>
    <w:p w:rsidR="00553A4A" w:rsidRDefault="00553A4A" w:rsidP="00553A4A">
      <w:pPr>
        <w:autoSpaceDE w:val="0"/>
        <w:autoSpaceDN w:val="0"/>
        <w:adjustRightInd w:val="0"/>
        <w:jc w:val="both"/>
      </w:pPr>
    </w:p>
    <w:p w:rsidR="00882A9F" w:rsidRPr="005E38CA" w:rsidRDefault="00BE63FB" w:rsidP="005E38CA">
      <w:pPr>
        <w:pStyle w:val="IssueSubsectionHeading"/>
        <w:rPr>
          <w:rFonts w:ascii="Times New Roman" w:hAnsi="Times New Roman" w:cs="Times New Roman"/>
          <w:b w:val="0"/>
          <w:bCs w:val="0"/>
          <w:i w:val="0"/>
          <w:iCs w:val="0"/>
          <w:szCs w:val="24"/>
        </w:rPr>
      </w:pPr>
      <w:r w:rsidRPr="004C3641">
        <w:t>Staff Analysis: </w:t>
      </w:r>
      <w:r w:rsidR="003B7739" w:rsidRPr="005E38CA">
        <w:rPr>
          <w:rFonts w:ascii="Times New Roman" w:hAnsi="Times New Roman" w:cs="Times New Roman"/>
          <w:b w:val="0"/>
          <w:bCs w:val="0"/>
          <w:i w:val="0"/>
          <w:iCs w:val="0"/>
          <w:szCs w:val="24"/>
        </w:rPr>
        <w:t xml:space="preserve">FCG </w:t>
      </w:r>
      <w:r w:rsidR="005E38CA">
        <w:rPr>
          <w:rFonts w:ascii="Times New Roman" w:hAnsi="Times New Roman" w:cs="Times New Roman"/>
          <w:b w:val="0"/>
          <w:bCs w:val="0"/>
          <w:i w:val="0"/>
          <w:iCs w:val="0"/>
          <w:szCs w:val="24"/>
        </w:rPr>
        <w:t>explained</w:t>
      </w:r>
      <w:r w:rsidR="003B7739" w:rsidRPr="005E38CA">
        <w:rPr>
          <w:rFonts w:ascii="Times New Roman" w:hAnsi="Times New Roman" w:cs="Times New Roman"/>
          <w:b w:val="0"/>
          <w:bCs w:val="0"/>
          <w:i w:val="0"/>
          <w:iCs w:val="0"/>
          <w:szCs w:val="24"/>
        </w:rPr>
        <w:t xml:space="preserve"> that it </w:t>
      </w:r>
      <w:r w:rsidR="00473575" w:rsidRPr="005E38CA">
        <w:rPr>
          <w:rFonts w:ascii="Times New Roman" w:hAnsi="Times New Roman" w:cs="Times New Roman"/>
          <w:b w:val="0"/>
          <w:bCs w:val="0"/>
          <w:i w:val="0"/>
          <w:iCs w:val="0"/>
          <w:szCs w:val="24"/>
        </w:rPr>
        <w:t xml:space="preserve">has been </w:t>
      </w:r>
      <w:r w:rsidR="003B7739" w:rsidRPr="005E38CA">
        <w:rPr>
          <w:rFonts w:ascii="Times New Roman" w:hAnsi="Times New Roman" w:cs="Times New Roman"/>
          <w:b w:val="0"/>
          <w:bCs w:val="0"/>
          <w:i w:val="0"/>
          <w:iCs w:val="0"/>
          <w:szCs w:val="24"/>
        </w:rPr>
        <w:t>approached by</w:t>
      </w:r>
      <w:r w:rsidR="00A3337B">
        <w:rPr>
          <w:rFonts w:ascii="Times New Roman" w:hAnsi="Times New Roman" w:cs="Times New Roman"/>
          <w:b w:val="0"/>
          <w:bCs w:val="0"/>
          <w:i w:val="0"/>
          <w:iCs w:val="0"/>
          <w:szCs w:val="24"/>
        </w:rPr>
        <w:t xml:space="preserve"> municipalities or private businesses</w:t>
      </w:r>
      <w:r w:rsidR="00473575" w:rsidRPr="005E38CA">
        <w:rPr>
          <w:rFonts w:ascii="Times New Roman" w:hAnsi="Times New Roman" w:cs="Times New Roman"/>
          <w:b w:val="0"/>
          <w:bCs w:val="0"/>
          <w:i w:val="0"/>
          <w:iCs w:val="0"/>
          <w:szCs w:val="24"/>
        </w:rPr>
        <w:t xml:space="preserve"> seeking the opportunity to </w:t>
      </w:r>
      <w:r w:rsidR="008F7C31">
        <w:rPr>
          <w:rFonts w:ascii="Times New Roman" w:hAnsi="Times New Roman" w:cs="Times New Roman"/>
          <w:b w:val="0"/>
          <w:bCs w:val="0"/>
          <w:i w:val="0"/>
          <w:iCs w:val="0"/>
          <w:szCs w:val="24"/>
        </w:rPr>
        <w:t>contract</w:t>
      </w:r>
      <w:r w:rsidR="00473575" w:rsidRPr="005E38CA">
        <w:rPr>
          <w:rFonts w:ascii="Times New Roman" w:hAnsi="Times New Roman" w:cs="Times New Roman"/>
          <w:b w:val="0"/>
          <w:bCs w:val="0"/>
          <w:i w:val="0"/>
          <w:iCs w:val="0"/>
          <w:szCs w:val="24"/>
        </w:rPr>
        <w:t xml:space="preserve"> with the </w:t>
      </w:r>
      <w:r w:rsidR="000A579D" w:rsidRPr="005E38CA">
        <w:rPr>
          <w:rFonts w:ascii="Times New Roman" w:hAnsi="Times New Roman" w:cs="Times New Roman"/>
          <w:b w:val="0"/>
          <w:bCs w:val="0"/>
          <w:i w:val="0"/>
          <w:iCs w:val="0"/>
          <w:szCs w:val="24"/>
        </w:rPr>
        <w:t>utility</w:t>
      </w:r>
      <w:r w:rsidR="00473575" w:rsidRPr="005E38CA">
        <w:rPr>
          <w:rFonts w:ascii="Times New Roman" w:hAnsi="Times New Roman" w:cs="Times New Roman"/>
          <w:b w:val="0"/>
          <w:bCs w:val="0"/>
          <w:i w:val="0"/>
          <w:iCs w:val="0"/>
          <w:szCs w:val="24"/>
        </w:rPr>
        <w:t xml:space="preserve"> to</w:t>
      </w:r>
      <w:r w:rsidR="00E14A9A" w:rsidRPr="005E38CA">
        <w:rPr>
          <w:rFonts w:ascii="Times New Roman" w:hAnsi="Times New Roman" w:cs="Times New Roman"/>
          <w:b w:val="0"/>
          <w:bCs w:val="0"/>
          <w:i w:val="0"/>
          <w:iCs w:val="0"/>
          <w:szCs w:val="24"/>
        </w:rPr>
        <w:t xml:space="preserve"> construct and </w:t>
      </w:r>
      <w:r w:rsidR="001E5A0B" w:rsidRPr="005E38CA">
        <w:rPr>
          <w:rFonts w:ascii="Times New Roman" w:hAnsi="Times New Roman" w:cs="Times New Roman"/>
          <w:b w:val="0"/>
          <w:bCs w:val="0"/>
          <w:i w:val="0"/>
          <w:iCs w:val="0"/>
          <w:szCs w:val="24"/>
        </w:rPr>
        <w:t>operate</w:t>
      </w:r>
      <w:r w:rsidR="00E14A9A" w:rsidRPr="005E38CA">
        <w:rPr>
          <w:rFonts w:ascii="Times New Roman" w:hAnsi="Times New Roman" w:cs="Times New Roman"/>
          <w:b w:val="0"/>
          <w:bCs w:val="0"/>
          <w:i w:val="0"/>
          <w:iCs w:val="0"/>
          <w:szCs w:val="24"/>
        </w:rPr>
        <w:t xml:space="preserve"> conditioning facilities to</w:t>
      </w:r>
      <w:r w:rsidR="00473575" w:rsidRPr="005E38CA">
        <w:rPr>
          <w:rFonts w:ascii="Times New Roman" w:hAnsi="Times New Roman" w:cs="Times New Roman"/>
          <w:b w:val="0"/>
          <w:bCs w:val="0"/>
          <w:i w:val="0"/>
          <w:iCs w:val="0"/>
          <w:szCs w:val="24"/>
        </w:rPr>
        <w:t xml:space="preserve"> convert</w:t>
      </w:r>
      <w:r w:rsidR="003B7739" w:rsidRPr="005E38CA">
        <w:rPr>
          <w:rFonts w:ascii="Times New Roman" w:hAnsi="Times New Roman" w:cs="Times New Roman"/>
          <w:b w:val="0"/>
          <w:bCs w:val="0"/>
          <w:i w:val="0"/>
          <w:iCs w:val="0"/>
          <w:szCs w:val="24"/>
        </w:rPr>
        <w:t xml:space="preserve"> </w:t>
      </w:r>
      <w:r w:rsidR="00473575" w:rsidRPr="005E38CA">
        <w:rPr>
          <w:rFonts w:ascii="Times New Roman" w:hAnsi="Times New Roman" w:cs="Times New Roman"/>
          <w:b w:val="0"/>
          <w:bCs w:val="0"/>
          <w:i w:val="0"/>
          <w:iCs w:val="0"/>
          <w:szCs w:val="24"/>
        </w:rPr>
        <w:t xml:space="preserve">biogas into pipeline quality </w:t>
      </w:r>
      <w:r w:rsidR="008F7C31">
        <w:rPr>
          <w:rFonts w:ascii="Times New Roman" w:hAnsi="Times New Roman" w:cs="Times New Roman"/>
          <w:b w:val="0"/>
          <w:bCs w:val="0"/>
          <w:i w:val="0"/>
          <w:iCs w:val="0"/>
          <w:szCs w:val="24"/>
        </w:rPr>
        <w:t>RNG</w:t>
      </w:r>
      <w:r w:rsidR="003B7739" w:rsidRPr="005E38CA">
        <w:rPr>
          <w:rFonts w:ascii="Times New Roman" w:hAnsi="Times New Roman" w:cs="Times New Roman"/>
          <w:b w:val="0"/>
          <w:bCs w:val="0"/>
          <w:i w:val="0"/>
          <w:iCs w:val="0"/>
          <w:szCs w:val="24"/>
        </w:rPr>
        <w:t xml:space="preserve">. </w:t>
      </w:r>
      <w:r w:rsidR="008F46D8">
        <w:rPr>
          <w:rFonts w:ascii="Times New Roman" w:hAnsi="Times New Roman" w:cs="Times New Roman"/>
          <w:b w:val="0"/>
          <w:bCs w:val="0"/>
          <w:i w:val="0"/>
          <w:iCs w:val="0"/>
          <w:szCs w:val="24"/>
        </w:rPr>
        <w:t>Specifically, the utility stated that FCG has bee</w:t>
      </w:r>
      <w:r w:rsidR="008A47B8">
        <w:rPr>
          <w:rFonts w:ascii="Times New Roman" w:hAnsi="Times New Roman" w:cs="Times New Roman"/>
          <w:b w:val="0"/>
          <w:bCs w:val="0"/>
          <w:i w:val="0"/>
          <w:iCs w:val="0"/>
          <w:szCs w:val="24"/>
        </w:rPr>
        <w:t>n</w:t>
      </w:r>
      <w:r w:rsidR="008F46D8">
        <w:rPr>
          <w:rFonts w:ascii="Times New Roman" w:hAnsi="Times New Roman" w:cs="Times New Roman"/>
          <w:b w:val="0"/>
          <w:bCs w:val="0"/>
          <w:i w:val="0"/>
          <w:iCs w:val="0"/>
          <w:szCs w:val="24"/>
        </w:rPr>
        <w:t xml:space="preserve"> in contact with five entities who are </w:t>
      </w:r>
      <w:r w:rsidR="0092235F">
        <w:rPr>
          <w:rFonts w:ascii="Times New Roman" w:hAnsi="Times New Roman" w:cs="Times New Roman"/>
          <w:b w:val="0"/>
          <w:bCs w:val="0"/>
          <w:i w:val="0"/>
          <w:iCs w:val="0"/>
          <w:szCs w:val="24"/>
        </w:rPr>
        <w:t>evaluating</w:t>
      </w:r>
      <w:r w:rsidR="008F46D8">
        <w:rPr>
          <w:rFonts w:ascii="Times New Roman" w:hAnsi="Times New Roman" w:cs="Times New Roman"/>
          <w:b w:val="0"/>
          <w:bCs w:val="0"/>
          <w:i w:val="0"/>
          <w:iCs w:val="0"/>
          <w:szCs w:val="24"/>
        </w:rPr>
        <w:t xml:space="preserve"> the production of RN</w:t>
      </w:r>
      <w:r w:rsidR="008A47B8">
        <w:rPr>
          <w:rFonts w:ascii="Times New Roman" w:hAnsi="Times New Roman" w:cs="Times New Roman"/>
          <w:b w:val="0"/>
          <w:bCs w:val="0"/>
          <w:i w:val="0"/>
          <w:iCs w:val="0"/>
          <w:szCs w:val="24"/>
        </w:rPr>
        <w:t>G</w:t>
      </w:r>
      <w:r w:rsidR="008F46D8">
        <w:rPr>
          <w:rFonts w:ascii="Times New Roman" w:hAnsi="Times New Roman" w:cs="Times New Roman"/>
          <w:b w:val="0"/>
          <w:bCs w:val="0"/>
          <w:i w:val="0"/>
          <w:iCs w:val="0"/>
          <w:szCs w:val="24"/>
        </w:rPr>
        <w:t xml:space="preserve"> from landfill gas or waste treatment facilities. </w:t>
      </w:r>
      <w:r w:rsidR="003B7739" w:rsidRPr="005E38CA">
        <w:rPr>
          <w:rFonts w:ascii="Times New Roman" w:hAnsi="Times New Roman" w:cs="Times New Roman"/>
          <w:b w:val="0"/>
          <w:bCs w:val="0"/>
          <w:i w:val="0"/>
          <w:iCs w:val="0"/>
          <w:szCs w:val="24"/>
        </w:rPr>
        <w:t>The</w:t>
      </w:r>
      <w:r w:rsidR="008F46D8">
        <w:rPr>
          <w:rFonts w:ascii="Times New Roman" w:hAnsi="Times New Roman" w:cs="Times New Roman"/>
          <w:b w:val="0"/>
          <w:bCs w:val="0"/>
          <w:i w:val="0"/>
          <w:iCs w:val="0"/>
          <w:szCs w:val="24"/>
        </w:rPr>
        <w:t xml:space="preserve"> primary</w:t>
      </w:r>
      <w:r w:rsidR="003B7739" w:rsidRPr="005E38CA">
        <w:rPr>
          <w:rFonts w:ascii="Times New Roman" w:hAnsi="Times New Roman" w:cs="Times New Roman"/>
          <w:b w:val="0"/>
          <w:bCs w:val="0"/>
          <w:i w:val="0"/>
          <w:iCs w:val="0"/>
          <w:szCs w:val="24"/>
        </w:rPr>
        <w:t xml:space="preserve"> intention </w:t>
      </w:r>
      <w:r w:rsidR="008620E2">
        <w:rPr>
          <w:rFonts w:ascii="Times New Roman" w:hAnsi="Times New Roman" w:cs="Times New Roman"/>
          <w:b w:val="0"/>
          <w:bCs w:val="0"/>
          <w:i w:val="0"/>
          <w:iCs w:val="0"/>
          <w:szCs w:val="24"/>
        </w:rPr>
        <w:t>from the biogas-</w:t>
      </w:r>
      <w:r w:rsidR="00002F71" w:rsidRPr="005E38CA">
        <w:rPr>
          <w:rFonts w:ascii="Times New Roman" w:hAnsi="Times New Roman" w:cs="Times New Roman"/>
          <w:b w:val="0"/>
          <w:bCs w:val="0"/>
          <w:i w:val="0"/>
          <w:iCs w:val="0"/>
          <w:szCs w:val="24"/>
        </w:rPr>
        <w:t xml:space="preserve">producing customers </w:t>
      </w:r>
      <w:r w:rsidR="003355CC" w:rsidRPr="005E38CA">
        <w:rPr>
          <w:rFonts w:ascii="Times New Roman" w:hAnsi="Times New Roman" w:cs="Times New Roman"/>
          <w:b w:val="0"/>
          <w:bCs w:val="0"/>
          <w:i w:val="0"/>
          <w:iCs w:val="0"/>
          <w:szCs w:val="24"/>
        </w:rPr>
        <w:t xml:space="preserve">is to use the RNG </w:t>
      </w:r>
      <w:r w:rsidR="002C6EE5" w:rsidRPr="005E38CA">
        <w:rPr>
          <w:rFonts w:ascii="Times New Roman" w:hAnsi="Times New Roman" w:cs="Times New Roman"/>
          <w:b w:val="0"/>
          <w:bCs w:val="0"/>
          <w:i w:val="0"/>
          <w:iCs w:val="0"/>
          <w:szCs w:val="24"/>
        </w:rPr>
        <w:t xml:space="preserve">to help offset </w:t>
      </w:r>
      <w:r w:rsidR="005E38CA">
        <w:rPr>
          <w:rFonts w:ascii="Times New Roman" w:hAnsi="Times New Roman" w:cs="Times New Roman"/>
          <w:b w:val="0"/>
          <w:bCs w:val="0"/>
          <w:i w:val="0"/>
          <w:iCs w:val="0"/>
          <w:szCs w:val="24"/>
        </w:rPr>
        <w:t>their</w:t>
      </w:r>
      <w:r w:rsidR="00473575" w:rsidRPr="005E38CA">
        <w:rPr>
          <w:rFonts w:ascii="Times New Roman" w:hAnsi="Times New Roman" w:cs="Times New Roman"/>
          <w:b w:val="0"/>
          <w:bCs w:val="0"/>
          <w:i w:val="0"/>
          <w:iCs w:val="0"/>
          <w:szCs w:val="24"/>
        </w:rPr>
        <w:t xml:space="preserve"> natural gas demand</w:t>
      </w:r>
      <w:r w:rsidR="003B7739" w:rsidRPr="005E38CA">
        <w:rPr>
          <w:rFonts w:ascii="Times New Roman" w:hAnsi="Times New Roman" w:cs="Times New Roman"/>
          <w:b w:val="0"/>
          <w:bCs w:val="0"/>
          <w:i w:val="0"/>
          <w:iCs w:val="0"/>
          <w:szCs w:val="24"/>
        </w:rPr>
        <w:t>.</w:t>
      </w:r>
      <w:r w:rsidR="00A93EB6">
        <w:rPr>
          <w:rFonts w:ascii="Times New Roman" w:hAnsi="Times New Roman" w:cs="Times New Roman"/>
          <w:b w:val="0"/>
          <w:bCs w:val="0"/>
          <w:i w:val="0"/>
          <w:iCs w:val="0"/>
          <w:szCs w:val="24"/>
        </w:rPr>
        <w:t xml:space="preserve"> The utility stated that </w:t>
      </w:r>
      <w:r w:rsidR="008620E2">
        <w:rPr>
          <w:rFonts w:ascii="Times New Roman" w:hAnsi="Times New Roman" w:cs="Times New Roman"/>
          <w:b w:val="0"/>
          <w:bCs w:val="0"/>
          <w:i w:val="0"/>
          <w:iCs w:val="0"/>
          <w:szCs w:val="24"/>
        </w:rPr>
        <w:t xml:space="preserve">sources of </w:t>
      </w:r>
      <w:r w:rsidR="00A93EB6">
        <w:rPr>
          <w:rFonts w:ascii="Times New Roman" w:hAnsi="Times New Roman" w:cs="Times New Roman"/>
          <w:b w:val="0"/>
          <w:bCs w:val="0"/>
          <w:i w:val="0"/>
          <w:iCs w:val="0"/>
          <w:szCs w:val="24"/>
        </w:rPr>
        <w:t xml:space="preserve">biogas </w:t>
      </w:r>
      <w:r w:rsidR="008620E2">
        <w:rPr>
          <w:rFonts w:ascii="Times New Roman" w:hAnsi="Times New Roman" w:cs="Times New Roman"/>
          <w:b w:val="0"/>
          <w:bCs w:val="0"/>
          <w:i w:val="0"/>
          <w:iCs w:val="0"/>
          <w:szCs w:val="24"/>
        </w:rPr>
        <w:t>include</w:t>
      </w:r>
      <w:r w:rsidR="00A93EB6">
        <w:rPr>
          <w:rFonts w:ascii="Times New Roman" w:hAnsi="Times New Roman" w:cs="Times New Roman"/>
          <w:b w:val="0"/>
          <w:bCs w:val="0"/>
          <w:i w:val="0"/>
          <w:iCs w:val="0"/>
          <w:szCs w:val="24"/>
        </w:rPr>
        <w:t xml:space="preserve"> landfills, wastewater treatment plants, or </w:t>
      </w:r>
      <w:r w:rsidR="008F46D8">
        <w:rPr>
          <w:rFonts w:ascii="Times New Roman" w:hAnsi="Times New Roman" w:cs="Times New Roman"/>
          <w:b w:val="0"/>
          <w:bCs w:val="0"/>
          <w:i w:val="0"/>
          <w:iCs w:val="0"/>
          <w:szCs w:val="24"/>
        </w:rPr>
        <w:t xml:space="preserve">agricultural digesters </w:t>
      </w:r>
      <w:r w:rsidR="007861F9">
        <w:rPr>
          <w:rFonts w:ascii="Times New Roman" w:hAnsi="Times New Roman" w:cs="Times New Roman"/>
          <w:b w:val="0"/>
          <w:bCs w:val="0"/>
          <w:i w:val="0"/>
          <w:iCs w:val="0"/>
          <w:szCs w:val="24"/>
        </w:rPr>
        <w:t xml:space="preserve">associated with facilities </w:t>
      </w:r>
      <w:r w:rsidR="008F46D8">
        <w:rPr>
          <w:rFonts w:ascii="Times New Roman" w:hAnsi="Times New Roman" w:cs="Times New Roman"/>
          <w:b w:val="0"/>
          <w:bCs w:val="0"/>
          <w:i w:val="0"/>
          <w:iCs w:val="0"/>
          <w:szCs w:val="24"/>
        </w:rPr>
        <w:t xml:space="preserve">such as </w:t>
      </w:r>
      <w:r w:rsidR="00A93EB6">
        <w:rPr>
          <w:rFonts w:ascii="Times New Roman" w:hAnsi="Times New Roman" w:cs="Times New Roman"/>
          <w:b w:val="0"/>
          <w:bCs w:val="0"/>
          <w:i w:val="0"/>
          <w:iCs w:val="0"/>
          <w:szCs w:val="24"/>
        </w:rPr>
        <w:t>dairies.</w:t>
      </w:r>
      <w:r w:rsidR="008F7C31">
        <w:rPr>
          <w:rFonts w:ascii="Times New Roman" w:hAnsi="Times New Roman" w:cs="Times New Roman"/>
          <w:b w:val="0"/>
          <w:bCs w:val="0"/>
          <w:i w:val="0"/>
          <w:iCs w:val="0"/>
          <w:szCs w:val="24"/>
        </w:rPr>
        <w:t xml:space="preserve"> FCG also stated that the utility has received inquiries from residential and commercial/industrial customers regarding the availability of RNG.</w:t>
      </w:r>
    </w:p>
    <w:p w:rsidR="00882A9F" w:rsidRPr="00745511" w:rsidRDefault="00882A9F" w:rsidP="00882A9F">
      <w:pPr>
        <w:pStyle w:val="BodyText"/>
      </w:pPr>
      <w:r w:rsidRPr="00745511">
        <w:t>In its petition, the utility explained that once biogas has been cleaned and conditioned to pipeline quality safety standards, RNG is a “carbon-neutral” energy source</w:t>
      </w:r>
      <w:r w:rsidR="00592BDA">
        <w:t>.</w:t>
      </w:r>
      <w:r w:rsidRPr="00745511">
        <w:rPr>
          <w:rStyle w:val="FootnoteReference"/>
        </w:rPr>
        <w:footnoteReference w:id="3"/>
      </w:r>
      <w:r w:rsidRPr="00745511">
        <w:t xml:space="preserve"> Once </w:t>
      </w:r>
      <w:r w:rsidR="00534B93" w:rsidRPr="00745511">
        <w:t>conditioned</w:t>
      </w:r>
      <w:r w:rsidRPr="00745511">
        <w:t xml:space="preserve">, RNG can be interchangeable with natural gas </w:t>
      </w:r>
      <w:r w:rsidR="005E38CA">
        <w:t>from other sources</w:t>
      </w:r>
      <w:r w:rsidRPr="00745511">
        <w:t xml:space="preserve">. FCG stated in its petition that the use of RNG “reduces total emission of greenhouse gases.” </w:t>
      </w:r>
      <w:r w:rsidR="005E38CA">
        <w:t>W</w:t>
      </w:r>
      <w:r w:rsidRPr="00745511">
        <w:t xml:space="preserve">ithout the collection of the biogas to be conditioned into RNG, the biogas produced would escape into the atmosphere or be burned off at the source with the emissions from the burning process released into the atmosphere. </w:t>
      </w:r>
      <w:r w:rsidR="008F7C31">
        <w:t>Biogas producers currently may elect to install and maintain their own conditioning equipment or contract with a third-party for the service. FCG estimates that the costs for biogas conditioning equipment could range from $5 to $25 million</w:t>
      </w:r>
      <w:r w:rsidR="00132C6B">
        <w:t xml:space="preserve"> for a single facility</w:t>
      </w:r>
      <w:r w:rsidR="008F7C31">
        <w:t xml:space="preserve">. </w:t>
      </w:r>
    </w:p>
    <w:p w:rsidR="00882A9F" w:rsidRDefault="00882A9F" w:rsidP="00882A9F">
      <w:pPr>
        <w:pStyle w:val="BodyText"/>
      </w:pPr>
      <w:r w:rsidRPr="00745511">
        <w:t xml:space="preserve">FCG also noted that by assisting customers </w:t>
      </w:r>
      <w:r w:rsidR="007861F9">
        <w:t xml:space="preserve">to </w:t>
      </w:r>
      <w:r w:rsidRPr="00745511">
        <w:t xml:space="preserve">convert biogas into RNG, the resulting </w:t>
      </w:r>
      <w:r w:rsidR="0001744D">
        <w:t xml:space="preserve">natural </w:t>
      </w:r>
      <w:r w:rsidRPr="00745511">
        <w:t xml:space="preserve">gas would offset the demand </w:t>
      </w:r>
      <w:r w:rsidR="007861F9">
        <w:t>for</w:t>
      </w:r>
      <w:r w:rsidRPr="00745511">
        <w:t xml:space="preserve"> natural gas the customer is currently purchasing from the utility, thus freeing capacity on FCG</w:t>
      </w:r>
      <w:r w:rsidR="0001744D">
        <w:t>’s</w:t>
      </w:r>
      <w:r w:rsidRPr="00745511">
        <w:t xml:space="preserve"> distribution system. </w:t>
      </w:r>
      <w:r w:rsidR="00534B93" w:rsidRPr="00745511">
        <w:t>The utility states that t</w:t>
      </w:r>
      <w:r w:rsidRPr="00745511">
        <w:t>h</w:t>
      </w:r>
      <w:r w:rsidR="008A47B8">
        <w:t>e potential</w:t>
      </w:r>
      <w:r w:rsidRPr="00745511">
        <w:t xml:space="preserve"> offset of </w:t>
      </w:r>
      <w:r w:rsidR="008A47B8">
        <w:t xml:space="preserve">natural </w:t>
      </w:r>
      <w:r w:rsidRPr="00745511">
        <w:t>gas by the customer could allow for new growth within FCG</w:t>
      </w:r>
      <w:r w:rsidR="0001744D">
        <w:t>’s</w:t>
      </w:r>
      <w:r w:rsidRPr="00745511">
        <w:t xml:space="preserve"> service territory.</w:t>
      </w:r>
      <w:r>
        <w:t xml:space="preserve"> </w:t>
      </w:r>
    </w:p>
    <w:p w:rsidR="001E5A0B" w:rsidRDefault="00766184" w:rsidP="001E5A0B">
      <w:pPr>
        <w:pStyle w:val="First-LevelSubheading"/>
      </w:pPr>
      <w:r>
        <w:t xml:space="preserve">Proposed </w:t>
      </w:r>
      <w:r w:rsidR="001E5A0B">
        <w:t>New RNGS</w:t>
      </w:r>
      <w:r w:rsidR="0001744D">
        <w:t xml:space="preserve"> Tariff</w:t>
      </w:r>
    </w:p>
    <w:p w:rsidR="00882A9F" w:rsidRDefault="00882A9F" w:rsidP="00882A9F">
      <w:pPr>
        <w:pStyle w:val="BodyText"/>
      </w:pPr>
      <w:r>
        <w:t xml:space="preserve">Under the proposal, FCG would enter into a contract with a </w:t>
      </w:r>
      <w:r w:rsidR="0001744D">
        <w:t xml:space="preserve">biogas-producing </w:t>
      </w:r>
      <w:r>
        <w:t>customer to construct and operate the RNG facilities on behalf of the customer</w:t>
      </w:r>
      <w:r w:rsidR="007861F9">
        <w:t>.</w:t>
      </w:r>
      <w:r w:rsidR="00132C6B">
        <w:t xml:space="preserve"> </w:t>
      </w:r>
      <w:r w:rsidR="007861F9">
        <w:t>T</w:t>
      </w:r>
      <w:r>
        <w:t xml:space="preserve">he resulting </w:t>
      </w:r>
      <w:r w:rsidR="008F7C31">
        <w:t>RNG</w:t>
      </w:r>
      <w:r>
        <w:t xml:space="preserve"> </w:t>
      </w:r>
      <w:r w:rsidR="007861F9">
        <w:t xml:space="preserve">would </w:t>
      </w:r>
      <w:r>
        <w:t xml:space="preserve">be used onsite by the producing customer or injected into FCG’s </w:t>
      </w:r>
      <w:r w:rsidR="0001744D">
        <w:t xml:space="preserve">distribution </w:t>
      </w:r>
      <w:r>
        <w:t xml:space="preserve">system for transportation and delivery to </w:t>
      </w:r>
      <w:r w:rsidR="008F46D8">
        <w:t>another</w:t>
      </w:r>
      <w:r>
        <w:t xml:space="preserve"> location on behalf of the </w:t>
      </w:r>
      <w:r w:rsidR="0001744D">
        <w:t>customer</w:t>
      </w:r>
      <w:r>
        <w:t xml:space="preserve">. The </w:t>
      </w:r>
      <w:r w:rsidR="0001744D">
        <w:t>tariff</w:t>
      </w:r>
      <w:r>
        <w:t xml:space="preserve"> requires that all RNG be conditioned to meet the </w:t>
      </w:r>
      <w:r w:rsidR="0001744D">
        <w:t xml:space="preserve">utility’s </w:t>
      </w:r>
      <w:r>
        <w:t xml:space="preserve">gas </w:t>
      </w:r>
      <w:r w:rsidR="007861F9">
        <w:t xml:space="preserve">quality </w:t>
      </w:r>
      <w:r>
        <w:t xml:space="preserve">and heat standards. This requirement would ensure that all RNG produced under the </w:t>
      </w:r>
      <w:r w:rsidR="0001744D">
        <w:t xml:space="preserve">proposed </w:t>
      </w:r>
      <w:r>
        <w:t xml:space="preserve">tariff can be safely used without any </w:t>
      </w:r>
      <w:r>
        <w:lastRenderedPageBreak/>
        <w:t>adverse impact to the integrity of the customer’s and FCG’s natural gas equipment.</w:t>
      </w:r>
      <w:r w:rsidR="00C04DE7">
        <w:t xml:space="preserve"> The biogas equipment would be installed on the customer’s property or on utility-</w:t>
      </w:r>
      <w:r w:rsidR="007861F9">
        <w:t xml:space="preserve">owned </w:t>
      </w:r>
      <w:r w:rsidR="00C04DE7">
        <w:t xml:space="preserve">property if there isn’t </w:t>
      </w:r>
      <w:r w:rsidR="004C4305">
        <w:t xml:space="preserve">enough </w:t>
      </w:r>
      <w:r w:rsidR="00C04DE7">
        <w:t>room on the customer’s property.</w:t>
      </w:r>
    </w:p>
    <w:p w:rsidR="00390F8C" w:rsidRDefault="00332A74" w:rsidP="00390F8C">
      <w:pPr>
        <w:pStyle w:val="BodyText"/>
      </w:pPr>
      <w:r>
        <w:t xml:space="preserve">The proposed tariff requires that the utility and customer enter into a </w:t>
      </w:r>
      <w:r w:rsidR="003B03E8">
        <w:t>mutually satisfactory</w:t>
      </w:r>
      <w:r>
        <w:t xml:space="preserve"> RNG Service </w:t>
      </w:r>
      <w:r w:rsidR="001E5A0B">
        <w:t>Agreement</w:t>
      </w:r>
      <w:r w:rsidR="00AC02CC">
        <w:t xml:space="preserve"> (agreement)</w:t>
      </w:r>
      <w:r>
        <w:t xml:space="preserve">. The terms of this agreement would include the </w:t>
      </w:r>
      <w:r w:rsidR="001E5A0B">
        <w:t>design</w:t>
      </w:r>
      <w:r>
        <w:t xml:space="preserve">, </w:t>
      </w:r>
      <w:r w:rsidR="001E5A0B">
        <w:t>location</w:t>
      </w:r>
      <w:r>
        <w:t xml:space="preserve">, </w:t>
      </w:r>
      <w:r w:rsidR="001E5A0B">
        <w:t>quantity</w:t>
      </w:r>
      <w:r>
        <w:t xml:space="preserve">, quality </w:t>
      </w:r>
      <w:r w:rsidR="001E5A0B">
        <w:t>specifications</w:t>
      </w:r>
      <w:r>
        <w:t xml:space="preserve">, operational </w:t>
      </w:r>
      <w:r w:rsidR="001E5A0B">
        <w:t>requirements</w:t>
      </w:r>
      <w:r w:rsidR="00AC02CC">
        <w:t>,</w:t>
      </w:r>
      <w:r>
        <w:t xml:space="preserve"> and the required </w:t>
      </w:r>
      <w:r w:rsidR="001E5A0B">
        <w:t>Monthly</w:t>
      </w:r>
      <w:r>
        <w:t xml:space="preserve"> Service Charge. This charge w</w:t>
      </w:r>
      <w:r w:rsidR="00AC02CC">
        <w:t>ould</w:t>
      </w:r>
      <w:r>
        <w:t xml:space="preserve"> be designed to cover the costs of the construction, </w:t>
      </w:r>
      <w:r w:rsidR="001E5A0B">
        <w:t>operational costs</w:t>
      </w:r>
      <w:r>
        <w:t>,</w:t>
      </w:r>
      <w:r w:rsidR="00592BDA">
        <w:t xml:space="preserve"> </w:t>
      </w:r>
      <w:r>
        <w:t xml:space="preserve">and </w:t>
      </w:r>
      <w:r w:rsidR="001E5A0B">
        <w:t>carrying</w:t>
      </w:r>
      <w:r>
        <w:t xml:space="preserve"> costs of the facilities.</w:t>
      </w:r>
      <w:r w:rsidR="001E5A0B">
        <w:t xml:space="preserve"> In addition, i</w:t>
      </w:r>
      <w:r w:rsidR="00390F8C">
        <w:t xml:space="preserve">n the event that RNG is injected into FCG’s distribution system for </w:t>
      </w:r>
      <w:r w:rsidR="0092235F">
        <w:t>transportation</w:t>
      </w:r>
      <w:r w:rsidR="008F46D8">
        <w:t xml:space="preserve"> </w:t>
      </w:r>
      <w:r w:rsidR="00390F8C">
        <w:t xml:space="preserve">on behalf of the producing customer, </w:t>
      </w:r>
      <w:r w:rsidR="001E5A0B">
        <w:t xml:space="preserve">the </w:t>
      </w:r>
      <w:r w:rsidR="008F46D8">
        <w:t>RNG</w:t>
      </w:r>
      <w:r w:rsidR="00C03E23">
        <w:t>S</w:t>
      </w:r>
      <w:r w:rsidR="001E5A0B">
        <w:t xml:space="preserve"> tariff</w:t>
      </w:r>
      <w:r w:rsidR="00390F8C">
        <w:t xml:space="preserve"> requires that the customer pay the </w:t>
      </w:r>
      <w:r w:rsidR="008F46D8">
        <w:t>Commission-approved per-</w:t>
      </w:r>
      <w:proofErr w:type="spellStart"/>
      <w:r w:rsidR="008F46D8">
        <w:t>therm</w:t>
      </w:r>
      <w:proofErr w:type="spellEnd"/>
      <w:r w:rsidR="008F46D8">
        <w:t xml:space="preserve"> distribution charge</w:t>
      </w:r>
      <w:r w:rsidR="00390F8C">
        <w:t xml:space="preserve"> under the </w:t>
      </w:r>
      <w:r w:rsidR="008F46D8">
        <w:t>applicable</w:t>
      </w:r>
      <w:r w:rsidR="00390F8C">
        <w:t xml:space="preserve"> </w:t>
      </w:r>
      <w:r w:rsidR="008F46D8">
        <w:t>tariff</w:t>
      </w:r>
      <w:r w:rsidR="00390F8C">
        <w:t>. This safeguard ensures that there is not any cross-subsidization for transporting and delivering RNG on FCG’s distribution system</w:t>
      </w:r>
      <w:r w:rsidR="001E5A0B">
        <w:t xml:space="preserve"> on behalf of the </w:t>
      </w:r>
      <w:r w:rsidR="008F46D8">
        <w:t xml:space="preserve">biogas </w:t>
      </w:r>
      <w:r w:rsidR="001E5A0B">
        <w:t>customer</w:t>
      </w:r>
      <w:r w:rsidR="00390F8C">
        <w:t>.</w:t>
      </w:r>
    </w:p>
    <w:p w:rsidR="00DB4EB8" w:rsidRDefault="003355CC" w:rsidP="003B7739">
      <w:pPr>
        <w:pStyle w:val="BodyText"/>
      </w:pPr>
      <w:r w:rsidRPr="00534B93">
        <w:t>In the event that a customer produces more RNG than it needs for its facility</w:t>
      </w:r>
      <w:r w:rsidR="007861F9">
        <w:t>,</w:t>
      </w:r>
      <w:r w:rsidRPr="00534B93">
        <w:t xml:space="preserve"> the customer can do one of the following: </w:t>
      </w:r>
      <w:r w:rsidR="002C6EE5" w:rsidRPr="00534B93">
        <w:t>(a) make arrangements with FCG to inject the excess produced RNG into FCG’s system to deliver it to the producing customer at a different location, (b) inject the excess RNG into FCG’s system to deliver it to a third party that is a</w:t>
      </w:r>
      <w:r w:rsidR="00175234" w:rsidRPr="00534B93">
        <w:t>lso</w:t>
      </w:r>
      <w:r w:rsidR="002C6EE5" w:rsidRPr="00534B93">
        <w:t xml:space="preserve"> </w:t>
      </w:r>
      <w:r w:rsidR="007861F9">
        <w:t xml:space="preserve">a </w:t>
      </w:r>
      <w:r w:rsidR="002C6EE5" w:rsidRPr="00534B93">
        <w:t xml:space="preserve">customer of FCG, </w:t>
      </w:r>
      <w:r w:rsidR="007861F9">
        <w:t xml:space="preserve">or </w:t>
      </w:r>
      <w:r w:rsidR="002C6EE5" w:rsidRPr="00534B93">
        <w:t>(c) inject the excess into FCG’s system for delivery to the interstate pipeline for sale in the interstate gas market. In the case of excess supply of RNG</w:t>
      </w:r>
      <w:r w:rsidR="007861F9">
        <w:t>,</w:t>
      </w:r>
      <w:r w:rsidR="002C6EE5" w:rsidRPr="00534B93">
        <w:t xml:space="preserve"> the customer served under the tariff would contract directly with the purchasing entity</w:t>
      </w:r>
      <w:r w:rsidR="00175234" w:rsidRPr="00534B93">
        <w:t xml:space="preserve"> of the excess supply</w:t>
      </w:r>
      <w:r w:rsidR="002C6EE5" w:rsidRPr="00534B93">
        <w:t>. There is an addition</w:t>
      </w:r>
      <w:r w:rsidR="0012663D" w:rsidRPr="00534B93">
        <w:t>al</w:t>
      </w:r>
      <w:r w:rsidR="002C6EE5" w:rsidRPr="00534B93">
        <w:t xml:space="preserve"> option of storing the </w:t>
      </w:r>
      <w:r w:rsidR="00175234" w:rsidRPr="00710CCA">
        <w:t>excess RNG if there are</w:t>
      </w:r>
      <w:r w:rsidR="00470989" w:rsidRPr="00710CCA">
        <w:t xml:space="preserve"> storage</w:t>
      </w:r>
      <w:r w:rsidR="002C6EE5" w:rsidRPr="00710CCA">
        <w:t xml:space="preserve"> facilities available to that customer</w:t>
      </w:r>
      <w:r w:rsidR="00592BDA">
        <w:t>.</w:t>
      </w:r>
      <w:r w:rsidR="0066332C" w:rsidRPr="00534B93">
        <w:rPr>
          <w:rStyle w:val="FootnoteReference"/>
        </w:rPr>
        <w:footnoteReference w:id="4"/>
      </w:r>
      <w:r w:rsidR="002C6EE5" w:rsidRPr="00534B93">
        <w:t xml:space="preserve"> </w:t>
      </w:r>
    </w:p>
    <w:p w:rsidR="008620E2" w:rsidRDefault="008620E2" w:rsidP="003B7739">
      <w:pPr>
        <w:pStyle w:val="BodyText"/>
      </w:pPr>
      <w:r>
        <w:t>Finally, depending on the price and other variables</w:t>
      </w:r>
      <w:r w:rsidR="00DB4EB8">
        <w:t xml:space="preserve"> such as the location of the biogas source</w:t>
      </w:r>
      <w:r>
        <w:t>, FCG stated that the RNG could be purchased by FCG as part of its system supply</w:t>
      </w:r>
      <w:r w:rsidR="007861F9">
        <w:t>,</w:t>
      </w:r>
      <w:r>
        <w:t xml:space="preserve"> which would allow the utility to </w:t>
      </w:r>
      <w:r w:rsidR="00DB4EB8">
        <w:t>include in its portfolio a renewable natural gas source.</w:t>
      </w:r>
      <w:r w:rsidR="00DD76DB">
        <w:rPr>
          <w:rStyle w:val="FootnoteReference"/>
        </w:rPr>
        <w:footnoteReference w:id="5"/>
      </w:r>
      <w:r w:rsidR="00DB4EB8">
        <w:t xml:space="preserve"> Should FCG elect to purchase RNG from a biogas producer to serve its customers, FCG would seek Commission approval of the RNG costs through the annual Purchased Gas Adjustment proceeding. FCG explained that it is anticipated </w:t>
      </w:r>
      <w:r w:rsidR="007861F9">
        <w:t xml:space="preserve">that </w:t>
      </w:r>
      <w:r w:rsidR="00DB4EB8">
        <w:t xml:space="preserve">the cost of the RNG would be higher compared to the current cost of fossil natural gas; however, </w:t>
      </w:r>
      <w:r w:rsidR="00DE1E6D">
        <w:t xml:space="preserve">the location of the biogas producer could mitigate pipeline capacity costs FCG </w:t>
      </w:r>
      <w:r w:rsidR="00DD76DB">
        <w:t>incurs</w:t>
      </w:r>
      <w:r w:rsidR="00DE1E6D">
        <w:t xml:space="preserve"> to transport natural gas into its service territory.</w:t>
      </w:r>
    </w:p>
    <w:p w:rsidR="000B520C" w:rsidRDefault="000B520C" w:rsidP="000B520C">
      <w:pPr>
        <w:pStyle w:val="First-LevelSubheading"/>
      </w:pPr>
      <w:r>
        <w:t>Impact on the General Body of Ratepayers</w:t>
      </w:r>
    </w:p>
    <w:p w:rsidR="00C04DE7" w:rsidRDefault="000A579D" w:rsidP="00C04DE7">
      <w:pPr>
        <w:jc w:val="both"/>
        <w:rPr>
          <w:iCs/>
        </w:rPr>
      </w:pPr>
      <w:r>
        <w:t xml:space="preserve">FCG stated that the RNGS tariff has essential safeguards that ensure that the utility’s </w:t>
      </w:r>
      <w:r w:rsidR="005959BE">
        <w:t>general body of ratepayers</w:t>
      </w:r>
      <w:r>
        <w:t xml:space="preserve"> will </w:t>
      </w:r>
      <w:r w:rsidR="004C4305">
        <w:t xml:space="preserve">not </w:t>
      </w:r>
      <w:r>
        <w:t xml:space="preserve">subsidize the </w:t>
      </w:r>
      <w:r w:rsidR="005959BE">
        <w:t>biogas customers</w:t>
      </w:r>
      <w:r>
        <w:t xml:space="preserve"> </w:t>
      </w:r>
      <w:r w:rsidR="005959BE">
        <w:t xml:space="preserve">taking service </w:t>
      </w:r>
      <w:r>
        <w:t>under the RNGS tariff.</w:t>
      </w:r>
      <w:r w:rsidR="000920BF">
        <w:t xml:space="preserve"> </w:t>
      </w:r>
      <w:r w:rsidR="00592BDA">
        <w:rPr>
          <w:iCs/>
        </w:rPr>
        <w:t xml:space="preserve">Specifically, the utility </w:t>
      </w:r>
      <w:r w:rsidR="0081449F">
        <w:rPr>
          <w:iCs/>
        </w:rPr>
        <w:t>stated that it would</w:t>
      </w:r>
      <w:r w:rsidR="006D4F08" w:rsidRPr="006F75A2">
        <w:rPr>
          <w:iCs/>
        </w:rPr>
        <w:t xml:space="preserve"> ensure that service taken under the proposed RNGS tariff will not affect any </w:t>
      </w:r>
      <w:r w:rsidR="005959BE">
        <w:rPr>
          <w:iCs/>
        </w:rPr>
        <w:t>ratepayers</w:t>
      </w:r>
      <w:r w:rsidR="00B95B51">
        <w:rPr>
          <w:iCs/>
        </w:rPr>
        <w:t xml:space="preserve"> </w:t>
      </w:r>
      <w:r w:rsidR="006D4F08" w:rsidRPr="006F75A2">
        <w:rPr>
          <w:iCs/>
        </w:rPr>
        <w:t xml:space="preserve">by </w:t>
      </w:r>
      <w:r w:rsidR="00592BDA">
        <w:rPr>
          <w:iCs/>
        </w:rPr>
        <w:t>confirming the</w:t>
      </w:r>
      <w:r w:rsidR="00592BDA" w:rsidRPr="006F75A2">
        <w:rPr>
          <w:iCs/>
        </w:rPr>
        <w:t xml:space="preserve"> </w:t>
      </w:r>
      <w:r w:rsidR="006D4F08" w:rsidRPr="006F75A2">
        <w:rPr>
          <w:iCs/>
        </w:rPr>
        <w:t>credit</w:t>
      </w:r>
      <w:r w:rsidR="007861F9">
        <w:rPr>
          <w:iCs/>
        </w:rPr>
        <w:t xml:space="preserve"> </w:t>
      </w:r>
      <w:r w:rsidR="006D4F08" w:rsidRPr="006F75A2">
        <w:rPr>
          <w:iCs/>
        </w:rPr>
        <w:t xml:space="preserve">worthiness of the customers </w:t>
      </w:r>
      <w:r w:rsidR="0081449F">
        <w:rPr>
          <w:iCs/>
        </w:rPr>
        <w:t>taking</w:t>
      </w:r>
      <w:r w:rsidR="006D4F08" w:rsidRPr="006F75A2">
        <w:rPr>
          <w:iCs/>
        </w:rPr>
        <w:t xml:space="preserve"> serv</w:t>
      </w:r>
      <w:r w:rsidR="0081449F">
        <w:rPr>
          <w:iCs/>
        </w:rPr>
        <w:t>ice</w:t>
      </w:r>
      <w:r w:rsidR="006D4F08" w:rsidRPr="006F75A2">
        <w:rPr>
          <w:iCs/>
        </w:rPr>
        <w:t xml:space="preserve"> under the tariff. </w:t>
      </w:r>
      <w:r w:rsidR="0081449F">
        <w:rPr>
          <w:iCs/>
        </w:rPr>
        <w:t>I</w:t>
      </w:r>
      <w:r w:rsidR="0081449F" w:rsidRPr="006F75A2">
        <w:rPr>
          <w:iCs/>
        </w:rPr>
        <w:t xml:space="preserve">n </w:t>
      </w:r>
      <w:r w:rsidR="006D4F08" w:rsidRPr="006F75A2">
        <w:rPr>
          <w:iCs/>
        </w:rPr>
        <w:t>response to staff’s first data request</w:t>
      </w:r>
      <w:r w:rsidR="0081449F">
        <w:rPr>
          <w:iCs/>
        </w:rPr>
        <w:t xml:space="preserve">, </w:t>
      </w:r>
      <w:r w:rsidR="006D4F08" w:rsidRPr="006F75A2">
        <w:rPr>
          <w:iCs/>
        </w:rPr>
        <w:t>the utility</w:t>
      </w:r>
      <w:r w:rsidR="0081449F">
        <w:rPr>
          <w:iCs/>
        </w:rPr>
        <w:t xml:space="preserve"> stated it</w:t>
      </w:r>
      <w:r w:rsidR="006D4F08" w:rsidRPr="006F75A2">
        <w:rPr>
          <w:iCs/>
        </w:rPr>
        <w:t xml:space="preserve"> will do its due diligence </w:t>
      </w:r>
      <w:r w:rsidR="0081449F">
        <w:rPr>
          <w:iCs/>
        </w:rPr>
        <w:t>to</w:t>
      </w:r>
      <w:r w:rsidR="0081449F" w:rsidRPr="006F75A2">
        <w:rPr>
          <w:iCs/>
        </w:rPr>
        <w:t xml:space="preserve"> ensur</w:t>
      </w:r>
      <w:r w:rsidR="0081449F">
        <w:rPr>
          <w:iCs/>
        </w:rPr>
        <w:t>e</w:t>
      </w:r>
      <w:r w:rsidR="0081449F" w:rsidRPr="006F75A2">
        <w:rPr>
          <w:iCs/>
        </w:rPr>
        <w:t xml:space="preserve"> </w:t>
      </w:r>
      <w:r w:rsidR="006D4F08" w:rsidRPr="006F75A2">
        <w:rPr>
          <w:iCs/>
        </w:rPr>
        <w:t xml:space="preserve">that the </w:t>
      </w:r>
      <w:r w:rsidR="0081449F">
        <w:rPr>
          <w:iCs/>
        </w:rPr>
        <w:t xml:space="preserve">non-participants </w:t>
      </w:r>
      <w:r w:rsidR="006D4F08" w:rsidRPr="006F75A2">
        <w:rPr>
          <w:iCs/>
        </w:rPr>
        <w:t>are not at risk by requiring</w:t>
      </w:r>
      <w:r w:rsidR="0081449F">
        <w:rPr>
          <w:iCs/>
        </w:rPr>
        <w:t xml:space="preserve"> RNGS customers to provide</w:t>
      </w:r>
      <w:r w:rsidR="006D4F08" w:rsidRPr="006F75A2">
        <w:rPr>
          <w:iCs/>
        </w:rPr>
        <w:t xml:space="preserve"> one of the following options: (a)</w:t>
      </w:r>
      <w:r w:rsidR="000C7DF0">
        <w:rPr>
          <w:iCs/>
        </w:rPr>
        <w:t xml:space="preserve"> a deposit in the amount of</w:t>
      </w:r>
      <w:r w:rsidR="006D4F08" w:rsidRPr="006F75A2">
        <w:rPr>
          <w:iCs/>
        </w:rPr>
        <w:t xml:space="preserve"> two months estimated billing, (b) providing an immutable and binding letter of credit, or (c) a surety bond. </w:t>
      </w:r>
      <w:r w:rsidR="0081449F">
        <w:rPr>
          <w:iCs/>
        </w:rPr>
        <w:t>In addition, t</w:t>
      </w:r>
      <w:r w:rsidR="006D4F08" w:rsidRPr="006F75A2">
        <w:rPr>
          <w:iCs/>
        </w:rPr>
        <w:t>he utility stated that customers</w:t>
      </w:r>
      <w:r w:rsidR="006D4F08">
        <w:rPr>
          <w:iCs/>
        </w:rPr>
        <w:t xml:space="preserve"> served under the RNGS </w:t>
      </w:r>
      <w:r w:rsidR="006D4F08" w:rsidRPr="006F75A2">
        <w:rPr>
          <w:iCs/>
        </w:rPr>
        <w:t>tariff will also be required to provide banking references. FCG will perform credit analys</w:t>
      </w:r>
      <w:r w:rsidR="00BA58D3">
        <w:rPr>
          <w:iCs/>
        </w:rPr>
        <w:t>e</w:t>
      </w:r>
      <w:r w:rsidR="006D4F08" w:rsidRPr="006F75A2">
        <w:rPr>
          <w:iCs/>
        </w:rPr>
        <w:t>s for</w:t>
      </w:r>
      <w:r w:rsidR="000C7DF0">
        <w:rPr>
          <w:iCs/>
        </w:rPr>
        <w:t xml:space="preserve"> potential</w:t>
      </w:r>
      <w:r w:rsidR="006D4F08" w:rsidRPr="006F75A2">
        <w:rPr>
          <w:iCs/>
        </w:rPr>
        <w:t xml:space="preserve"> customers by using a reputable and unbiased reporting agency such as Dun &amp; Bradstreet or a similar reporting agency</w:t>
      </w:r>
      <w:r w:rsidR="00592BDA">
        <w:rPr>
          <w:iCs/>
        </w:rPr>
        <w:t>.</w:t>
      </w:r>
      <w:r w:rsidR="00294B5D">
        <w:rPr>
          <w:rStyle w:val="FootnoteReference"/>
          <w:iCs/>
        </w:rPr>
        <w:footnoteReference w:id="6"/>
      </w:r>
      <w:r w:rsidR="00C04DE7" w:rsidRPr="00C04DE7">
        <w:rPr>
          <w:iCs/>
        </w:rPr>
        <w:t xml:space="preserve"> </w:t>
      </w:r>
      <w:r w:rsidR="00C04DE7">
        <w:rPr>
          <w:iCs/>
        </w:rPr>
        <w:t>If a biogas customer were to default, FCG stated that the utility would discontinue biogas conditioning services and secure its equipment,</w:t>
      </w:r>
      <w:r w:rsidR="008E4DF8">
        <w:rPr>
          <w:iCs/>
        </w:rPr>
        <w:t xml:space="preserve"> and seek resolution of default according to the method used to </w:t>
      </w:r>
      <w:r w:rsidR="005C672F">
        <w:rPr>
          <w:iCs/>
        </w:rPr>
        <w:t>guarantee</w:t>
      </w:r>
      <w:r w:rsidR="008E4DF8">
        <w:rPr>
          <w:iCs/>
        </w:rPr>
        <w:t xml:space="preserve"> credit</w:t>
      </w:r>
      <w:r w:rsidR="00C04DE7">
        <w:rPr>
          <w:iCs/>
        </w:rPr>
        <w:t xml:space="preserve">. </w:t>
      </w:r>
    </w:p>
    <w:p w:rsidR="00C04DE7" w:rsidRDefault="00C04DE7" w:rsidP="00745511">
      <w:pPr>
        <w:jc w:val="both"/>
        <w:rPr>
          <w:iCs/>
        </w:rPr>
      </w:pPr>
    </w:p>
    <w:p w:rsidR="00592BDA" w:rsidRDefault="006D4F08" w:rsidP="00745511">
      <w:pPr>
        <w:jc w:val="both"/>
        <w:rPr>
          <w:iCs/>
        </w:rPr>
      </w:pPr>
      <w:r w:rsidRPr="006F75A2">
        <w:rPr>
          <w:iCs/>
        </w:rPr>
        <w:t>Staff recommends approval of the petition based, in part, on FCG’s assertion that it will implement a thorough and reasonable process to evaluate the credit worthiness of a potential customer to be served under the RNGS tariff</w:t>
      </w:r>
      <w:r w:rsidR="000920BF">
        <w:rPr>
          <w:iCs/>
        </w:rPr>
        <w:t>,</w:t>
      </w:r>
      <w:r w:rsidRPr="006F75A2">
        <w:rPr>
          <w:iCs/>
        </w:rPr>
        <w:t xml:space="preserve"> and the utility’s </w:t>
      </w:r>
      <w:r>
        <w:rPr>
          <w:iCs/>
        </w:rPr>
        <w:t xml:space="preserve">own </w:t>
      </w:r>
      <w:r w:rsidRPr="006F75A2">
        <w:rPr>
          <w:iCs/>
        </w:rPr>
        <w:t xml:space="preserve">internal risk assessment policies. Based on this process, the utility does not anticipate any cost impact to the general body of ratepayers. </w:t>
      </w:r>
    </w:p>
    <w:p w:rsidR="00402C5C" w:rsidRDefault="00402C5C" w:rsidP="00745511">
      <w:pPr>
        <w:jc w:val="both"/>
        <w:rPr>
          <w:iCs/>
        </w:rPr>
      </w:pPr>
    </w:p>
    <w:p w:rsidR="00592BDA" w:rsidRDefault="00592BDA" w:rsidP="00592BDA">
      <w:pPr>
        <w:pStyle w:val="First-LevelSubheading"/>
      </w:pPr>
      <w:r>
        <w:t>Proposed Modifications to Volume No. 10 Tariffs</w:t>
      </w:r>
    </w:p>
    <w:p w:rsidR="00592BDA" w:rsidRDefault="00592BDA" w:rsidP="00745511">
      <w:pPr>
        <w:jc w:val="both"/>
        <w:rPr>
          <w:iCs/>
        </w:rPr>
      </w:pPr>
      <w:r>
        <w:t>The proposed tariff modifications to FCG’s natural gas tariffs, Volume 10,</w:t>
      </w:r>
      <w:r w:rsidR="00630608">
        <w:t xml:space="preserve"> are necessary tariff changes to allow FCG to receive and transport on its distribution system the RNG on behalf of the biogas-producing customer.</w:t>
      </w:r>
      <w:r>
        <w:t xml:space="preserve"> These changes recognize that a</w:t>
      </w:r>
      <w:r w:rsidR="00C04DE7">
        <w:t>n</w:t>
      </w:r>
      <w:r>
        <w:t xml:space="preserve"> RNG customer could be delivering gas into the utility’s system, not taking it out.</w:t>
      </w:r>
      <w:r w:rsidR="00630608">
        <w:t xml:space="preserve"> Traditionally, natural gas utilities receive natural gas from intrastate or interstate pipelines.</w:t>
      </w:r>
    </w:p>
    <w:p w:rsidR="001E5A0B" w:rsidRPr="006F75A2" w:rsidRDefault="001E5A0B" w:rsidP="00745511">
      <w:pPr>
        <w:jc w:val="both"/>
        <w:rPr>
          <w:iCs/>
        </w:rPr>
      </w:pPr>
    </w:p>
    <w:p w:rsidR="002966A0" w:rsidRDefault="003355CC" w:rsidP="00390F8C">
      <w:pPr>
        <w:pStyle w:val="First-LevelSubheading"/>
      </w:pPr>
      <w:r>
        <w:t>Conclusion</w:t>
      </w:r>
    </w:p>
    <w:p w:rsidR="003355CC" w:rsidRPr="003B7739" w:rsidRDefault="00B95B51" w:rsidP="00745511">
      <w:pPr>
        <w:autoSpaceDE w:val="0"/>
        <w:autoSpaceDN w:val="0"/>
        <w:adjustRightInd w:val="0"/>
        <w:jc w:val="both"/>
      </w:pPr>
      <w:r>
        <w:t xml:space="preserve">Staff recommends </w:t>
      </w:r>
      <w:r w:rsidR="00592BDA">
        <w:t xml:space="preserve">that </w:t>
      </w:r>
      <w:r w:rsidR="00592BDA" w:rsidRPr="00BE63FB">
        <w:t xml:space="preserve">the Commission should approve FCG’s proposed </w:t>
      </w:r>
      <w:r w:rsidR="00630608">
        <w:t xml:space="preserve">new </w:t>
      </w:r>
      <w:r w:rsidR="00592BDA" w:rsidRPr="00BE63FB">
        <w:t>RNGS</w:t>
      </w:r>
      <w:r w:rsidR="00592BDA">
        <w:t xml:space="preserve"> tariff and proposed modifications to its current Volume No. 10 </w:t>
      </w:r>
      <w:r w:rsidR="00592BDA" w:rsidRPr="00BE63FB">
        <w:t>tariff</w:t>
      </w:r>
      <w:r w:rsidR="00592BDA">
        <w:t>s</w:t>
      </w:r>
      <w:r w:rsidR="00592BDA" w:rsidRPr="00BE63FB">
        <w:t>, effective</w:t>
      </w:r>
      <w:r w:rsidR="00592BDA">
        <w:t xml:space="preserve"> January 5, 2021</w:t>
      </w:r>
      <w:r>
        <w:t>, as shown in Attachment A</w:t>
      </w:r>
      <w:r w:rsidR="00A75155">
        <w:t xml:space="preserve"> of this recommendation. The RNG</w:t>
      </w:r>
      <w:r w:rsidR="00C03E23">
        <w:t>S</w:t>
      </w:r>
      <w:r w:rsidR="00A75155">
        <w:t xml:space="preserve"> tariff would provide FCG </w:t>
      </w:r>
      <w:r>
        <w:t>wi</w:t>
      </w:r>
      <w:r w:rsidR="00A75155">
        <w:t>th an opportunity to provide</w:t>
      </w:r>
      <w:r w:rsidR="00592BDA">
        <w:t xml:space="preserve"> biogas</w:t>
      </w:r>
      <w:r w:rsidR="00A75155">
        <w:t xml:space="preserve"> </w:t>
      </w:r>
      <w:r w:rsidR="00592BDA">
        <w:t>conditioning services</w:t>
      </w:r>
      <w:r>
        <w:t xml:space="preserve"> to intereste</w:t>
      </w:r>
      <w:r w:rsidR="00A75155">
        <w:t xml:space="preserve">d customers and the utility </w:t>
      </w:r>
      <w:r w:rsidR="00592BDA">
        <w:t xml:space="preserve">demonstrated </w:t>
      </w:r>
      <w:r>
        <w:t>a reasonable approach to implementing the tariff.</w:t>
      </w:r>
      <w:r w:rsidR="00A75155">
        <w:t xml:space="preserve"> A participating customer would </w:t>
      </w:r>
      <w:r>
        <w:t>enter into a</w:t>
      </w:r>
      <w:r w:rsidR="00630608">
        <w:t>n agreement</w:t>
      </w:r>
      <w:r>
        <w:t xml:space="preserve"> with </w:t>
      </w:r>
      <w:r w:rsidR="00A75155">
        <w:t xml:space="preserve">FCG </w:t>
      </w:r>
      <w:r>
        <w:t xml:space="preserve">and all capital and operating costs associated with the </w:t>
      </w:r>
      <w:r w:rsidR="00A75155">
        <w:t xml:space="preserve">RNG cleaning and conditioning facility will </w:t>
      </w:r>
      <w:r>
        <w:t>be borne by the customer over the life of the contract.</w:t>
      </w:r>
    </w:p>
    <w:p w:rsidR="003B7739" w:rsidRPr="003B7739" w:rsidRDefault="003B7739" w:rsidP="000A579D">
      <w:pPr>
        <w:pStyle w:val="BodyText"/>
      </w:pPr>
    </w:p>
    <w:p w:rsidR="003B7739" w:rsidRPr="003B7739" w:rsidRDefault="003B7739" w:rsidP="0057577B">
      <w:pPr>
        <w:pStyle w:val="BodyText"/>
      </w:pPr>
    </w:p>
    <w:p w:rsidR="003B7739" w:rsidRPr="003B7739" w:rsidRDefault="003B7739" w:rsidP="00390F8C">
      <w:pPr>
        <w:pStyle w:val="BodyText"/>
      </w:pPr>
    </w:p>
    <w:p w:rsidR="003B7739" w:rsidRDefault="003B7739" w:rsidP="00390F8C">
      <w:pPr>
        <w:pStyle w:val="BodyText"/>
      </w:pPr>
    </w:p>
    <w:p w:rsidR="00BE63FB" w:rsidRDefault="00BE63FB">
      <w:pPr>
        <w:pStyle w:val="BodyText"/>
      </w:pPr>
    </w:p>
    <w:p w:rsidR="00BE63FB" w:rsidRDefault="00BE63FB">
      <w:pPr>
        <w:pStyle w:val="IssueHeading"/>
        <w:rPr>
          <w:vanish/>
          <w:specVanish/>
        </w:rPr>
      </w:pPr>
      <w:r w:rsidRPr="004C3641">
        <w:rPr>
          <w:b w:val="0"/>
          <w:i w:val="0"/>
        </w:rPr>
        <w:br w:type="page"/>
      </w:r>
      <w:r w:rsidRPr="004C3641">
        <w:t xml:space="preserve">Issue </w:t>
      </w:r>
      <w:r w:rsidR="00AC1313">
        <w:fldChar w:fldCharType="begin"/>
      </w:r>
      <w:r w:rsidR="00AC1313">
        <w:instrText xml:space="preserve"> SEQ Issue \* MERGEFORMAT </w:instrText>
      </w:r>
      <w:r w:rsidR="00AC1313">
        <w:fldChar w:fldCharType="separate"/>
      </w:r>
      <w:r w:rsidR="003B03E8">
        <w:rPr>
          <w:noProof/>
        </w:rPr>
        <w:t>2</w:t>
      </w:r>
      <w:r w:rsidR="00AC1313">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3B03E8">
        <w:rPr>
          <w:noProof/>
        </w:rPr>
        <w:instrText>2</w:instrText>
      </w:r>
      <w:r>
        <w:fldChar w:fldCharType="end"/>
      </w:r>
      <w:r>
        <w:tab/>
        <w:instrText xml:space="preserve">" \l 1 </w:instrText>
      </w:r>
      <w:r>
        <w:fldChar w:fldCharType="end"/>
      </w:r>
      <w:r>
        <w:t> </w:t>
      </w:r>
    </w:p>
    <w:p w:rsidR="00BE63FB" w:rsidRDefault="00BE63FB">
      <w:pPr>
        <w:pStyle w:val="BodyText"/>
      </w:pPr>
      <w:r>
        <w:t> </w:t>
      </w:r>
      <w:r w:rsidRPr="00BE63FB">
        <w:t>Should this docket be closed?</w:t>
      </w:r>
    </w:p>
    <w:p w:rsidR="00BE63FB" w:rsidRPr="004C3641" w:rsidRDefault="00BE63FB">
      <w:pPr>
        <w:pStyle w:val="IssueSubsectionHeading"/>
        <w:rPr>
          <w:vanish/>
          <w:specVanish/>
        </w:rPr>
      </w:pPr>
      <w:r w:rsidRPr="004C3641">
        <w:t>Recommendation: </w:t>
      </w:r>
    </w:p>
    <w:p w:rsidR="00BE63FB" w:rsidRDefault="00BE63FB">
      <w:pPr>
        <w:pStyle w:val="BodyText"/>
      </w:pPr>
      <w:r>
        <w:t xml:space="preserve">  </w:t>
      </w:r>
      <w:r w:rsidR="005959BE">
        <w:t xml:space="preserve">Yes. </w:t>
      </w:r>
      <w:r w:rsidRPr="00BE63FB">
        <w:t>If Issue 1 is approved and a protest is filed within 21 days of the issuance of the order, the tariffs should remain in effect, with any revenues held subject to refund, pending resolution of the protest. If no timely protest is filed, this docket should be closed upon the issuance of a consummating order.</w:t>
      </w:r>
      <w:r>
        <w:t xml:space="preserve"> (Osborn</w:t>
      </w:r>
      <w:r w:rsidR="00C03E23">
        <w:t>, Crawford</w:t>
      </w:r>
      <w:r>
        <w:t>)</w:t>
      </w:r>
    </w:p>
    <w:p w:rsidR="00BE63FB" w:rsidRPr="004C3641" w:rsidRDefault="00BE63FB">
      <w:pPr>
        <w:pStyle w:val="IssueSubsectionHeading"/>
        <w:rPr>
          <w:vanish/>
          <w:specVanish/>
        </w:rPr>
      </w:pPr>
      <w:r w:rsidRPr="004C3641">
        <w:t>Staff Analysis: </w:t>
      </w:r>
    </w:p>
    <w:p w:rsidR="00BE63FB" w:rsidRPr="00BE63FB" w:rsidRDefault="00BE63FB" w:rsidP="00BE63FB">
      <w:pPr>
        <w:pStyle w:val="BodyText"/>
      </w:pPr>
      <w:r>
        <w:t> </w:t>
      </w:r>
      <w:r w:rsidRPr="00BE63FB">
        <w:t> If Issue 1 is approved and a protest is filed within 21 days of the issuance of the order, the tariffs should remain in effect, with any revenues held subject to refund, pending resolution of the protest. If no timely protest is filed, this docket should be closed upon the issuance of a consummating order.</w:t>
      </w:r>
    </w:p>
    <w:p w:rsidR="00BE63FB" w:rsidRDefault="00BE63FB">
      <w:pPr>
        <w:pStyle w:val="BodyText"/>
      </w:pPr>
    </w:p>
    <w:p w:rsidR="0057577B" w:rsidRDefault="0057577B" w:rsidP="00E275D8">
      <w:pPr>
        <w:pStyle w:val="BodyText"/>
        <w:sectPr w:rsidR="0057577B"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E06484" w:rsidRDefault="00A34D52" w:rsidP="00745511">
      <w:pPr>
        <w:tabs>
          <w:tab w:val="left" w:pos="3600"/>
        </w:tabs>
      </w:pPr>
      <w:r>
        <w:tab/>
      </w:r>
      <w:r w:rsidR="000401CC">
        <w:pict w14:anchorId="5E5634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605.25pt">
            <v:imagedata r:id="rId14" o:title="RNG tariffs_Page_01"/>
          </v:shape>
        </w:pict>
      </w:r>
      <w:r w:rsidR="000401CC">
        <w:pict w14:anchorId="2C308A6D">
          <v:shape id="_x0000_i1026" type="#_x0000_t75" style="width:467.25pt;height:605.25pt">
            <v:imagedata r:id="rId15" o:title="RNG tariffs_Page_02"/>
          </v:shape>
        </w:pict>
      </w:r>
      <w:r w:rsidR="000401CC">
        <w:pict w14:anchorId="5D3B3171">
          <v:shape id="_x0000_i1027" type="#_x0000_t75" style="width:467.25pt;height:605.25pt">
            <v:imagedata r:id="rId16" o:title="RNG tariffs_Page_03"/>
          </v:shape>
        </w:pict>
      </w:r>
      <w:r w:rsidR="000401CC">
        <w:pict w14:anchorId="42E49E95">
          <v:shape id="_x0000_i1028" type="#_x0000_t75" style="width:467.25pt;height:605.25pt">
            <v:imagedata r:id="rId17" o:title="RNG tariffs_Page_04"/>
          </v:shape>
        </w:pict>
      </w:r>
      <w:r w:rsidR="000401CC">
        <w:pict w14:anchorId="57A48E7F">
          <v:shape id="_x0000_i1029" type="#_x0000_t75" style="width:467.25pt;height:605.25pt">
            <v:imagedata r:id="rId18" o:title="RNG tariffs_Page_05"/>
          </v:shape>
        </w:pict>
      </w:r>
      <w:r w:rsidR="000401CC">
        <w:pict w14:anchorId="5EFB8C34">
          <v:shape id="_x0000_i1030" type="#_x0000_t75" style="width:467.25pt;height:605.25pt">
            <v:imagedata r:id="rId19" o:title="RNG tariffs_Page_06"/>
          </v:shape>
        </w:pict>
      </w:r>
      <w:r w:rsidR="000401CC">
        <w:pict w14:anchorId="733EA092">
          <v:shape id="_x0000_i1031" type="#_x0000_t75" style="width:466.5pt;height:605.25pt">
            <v:imagedata r:id="rId20" o:title="RNG tariffs_Page_07"/>
          </v:shape>
        </w:pict>
      </w:r>
      <w:r w:rsidR="000401CC">
        <w:pict w14:anchorId="44A300A4">
          <v:shape id="_x0000_i1032" type="#_x0000_t75" style="width:466.5pt;height:605.25pt">
            <v:imagedata r:id="rId21" o:title="RNG tariffs_Page_08"/>
          </v:shape>
        </w:pict>
      </w:r>
      <w:r w:rsidR="000401CC">
        <w:pict w14:anchorId="3C5C7A4E">
          <v:shape id="_x0000_i1033" type="#_x0000_t75" style="width:466.5pt;height:605.25pt">
            <v:imagedata r:id="rId22" o:title="RNG tariffs_Page_09"/>
          </v:shape>
        </w:pict>
      </w:r>
      <w:r w:rsidR="000401CC">
        <w:pict w14:anchorId="42CCDD4D">
          <v:shape id="_x0000_i1034" type="#_x0000_t75" style="width:466.5pt;height:605.25pt">
            <v:imagedata r:id="rId23" o:title="RNG tariffs_Page_10"/>
          </v:shape>
        </w:pict>
      </w:r>
      <w:r w:rsidR="000401CC">
        <w:pict w14:anchorId="48529A14">
          <v:shape id="_x0000_i1035" type="#_x0000_t75" style="width:466.5pt;height:605.25pt">
            <v:imagedata r:id="rId24" o:title="RNG tariffs_Page_11"/>
          </v:shape>
        </w:pict>
      </w:r>
      <w:r w:rsidR="000401CC">
        <w:pict w14:anchorId="23EDD991">
          <v:shape id="_x0000_i1036" type="#_x0000_t75" style="width:466.5pt;height:605.25pt">
            <v:imagedata r:id="rId25" o:title="RNG tariffs_Page_12"/>
          </v:shape>
        </w:pict>
      </w:r>
      <w:r w:rsidR="000401CC">
        <w:pict w14:anchorId="76C06384">
          <v:shape id="_x0000_i1037" type="#_x0000_t75" style="width:466.5pt;height:605.25pt">
            <v:imagedata r:id="rId26" o:title="RNG tariffs_Page_13"/>
          </v:shape>
        </w:pict>
      </w:r>
      <w:r w:rsidR="000401CC">
        <w:pict w14:anchorId="4DB6C8F8">
          <v:shape id="_x0000_i1038" type="#_x0000_t75" style="width:466.5pt;height:605.25pt">
            <v:imagedata r:id="rId27" o:title="RNG tariffs_Page_14"/>
          </v:shape>
        </w:pict>
      </w:r>
      <w:r w:rsidR="000401CC">
        <w:pict w14:anchorId="7848C268">
          <v:shape id="_x0000_i1039" type="#_x0000_t75" style="width:466.5pt;height:605.25pt">
            <v:imagedata r:id="rId28" o:title="RNG tariffs_Page_15"/>
          </v:shape>
        </w:pict>
      </w:r>
      <w:r w:rsidR="00AC1313">
        <w:pict w14:anchorId="1A571AB3">
          <v:shape id="_x0000_i1040" type="#_x0000_t75" style="width:466.5pt;height:605.25pt">
            <v:imagedata r:id="rId29" o:title="RNG tariffs_Page_16"/>
          </v:shape>
        </w:pict>
      </w:r>
      <w:r w:rsidR="000401CC">
        <w:pict w14:anchorId="1AA815E1">
          <v:shape id="_x0000_i1041" type="#_x0000_t75" style="width:467.25pt;height:605.25pt">
            <v:imagedata r:id="rId30" o:title="RNG tariffs_Page_17"/>
          </v:shape>
        </w:pict>
      </w:r>
      <w:r w:rsidR="000401CC">
        <w:pict w14:anchorId="3D5C0BD7">
          <v:shape id="_x0000_i1042" type="#_x0000_t75" style="width:467.25pt;height:605.25pt">
            <v:imagedata r:id="rId31" o:title="RNG tariffs_Page_18"/>
          </v:shape>
        </w:pict>
      </w:r>
      <w:r w:rsidR="000401CC">
        <w:pict w14:anchorId="0F3F0C4D">
          <v:shape id="_x0000_i1043" type="#_x0000_t75" style="width:467.25pt;height:605.25pt">
            <v:imagedata r:id="rId32" o:title="RNG tariffs_Page_19"/>
          </v:shape>
        </w:pict>
      </w:r>
      <w:r w:rsidR="000401CC">
        <w:pict w14:anchorId="00C7AD9C">
          <v:shape id="_x0000_i1044" type="#_x0000_t75" style="width:467.25pt;height:605.25pt">
            <v:imagedata r:id="rId33" o:title="RNG tariffs_Page_20"/>
          </v:shape>
        </w:pict>
      </w:r>
      <w:r w:rsidR="000401CC">
        <w:pict w14:anchorId="075BDFAA">
          <v:shape id="_x0000_i1045" type="#_x0000_t75" style="width:467.25pt;height:605.25pt">
            <v:imagedata r:id="rId34" o:title="RNG tariffs_Page_21"/>
          </v:shape>
        </w:pict>
      </w:r>
      <w:r w:rsidR="000401CC">
        <w:pict w14:anchorId="6AA033C1">
          <v:shape id="_x0000_i1046" type="#_x0000_t75" style="width:467.25pt;height:605.25pt">
            <v:imagedata r:id="rId35" o:title="RNG tariffs_Page_22"/>
          </v:shape>
        </w:pict>
      </w:r>
      <w:r w:rsidR="000401CC">
        <w:pict w14:anchorId="1EEE64E5">
          <v:shape id="_x0000_i1047" type="#_x0000_t75" style="width:467.25pt;height:605.25pt">
            <v:imagedata r:id="rId36" o:title="RNG tariffs_Page_23"/>
          </v:shape>
        </w:pict>
      </w:r>
      <w:r w:rsidR="000401CC">
        <w:pict w14:anchorId="3AA16508">
          <v:shape id="_x0000_i1048" type="#_x0000_t75" style="width:467.25pt;height:605.25pt">
            <v:imagedata r:id="rId37" o:title="RNG tariffs_Page_24"/>
          </v:shape>
        </w:pict>
      </w:r>
      <w:r w:rsidR="000401CC">
        <w:pict w14:anchorId="5CADB474">
          <v:shape id="_x0000_i1049" type="#_x0000_t75" style="width:467.25pt;height:605.25pt">
            <v:imagedata r:id="rId38" o:title="RNG tariffs_Page_25"/>
          </v:shape>
        </w:pict>
      </w:r>
      <w:r w:rsidR="000401CC">
        <w:pict w14:anchorId="0EF0AA19">
          <v:shape id="_x0000_i1050" type="#_x0000_t75" style="width:467.25pt;height:605.25pt">
            <v:imagedata r:id="rId39" o:title="RNG tariffs_Page_26"/>
          </v:shape>
        </w:pict>
      </w:r>
      <w:r w:rsidR="000401CC">
        <w:pict w14:anchorId="41BA4066">
          <v:shape id="_x0000_i1051" type="#_x0000_t75" style="width:467.25pt;height:605.25pt">
            <v:imagedata r:id="rId40" o:title="RNG tariffs_Page_27"/>
          </v:shape>
        </w:pict>
      </w:r>
      <w:r w:rsidR="000401CC">
        <w:pict w14:anchorId="21454F31">
          <v:shape id="_x0000_i1052" type="#_x0000_t75" style="width:467.25pt;height:605.25pt">
            <v:imagedata r:id="rId41" o:title="RNG tariffs_Page_28"/>
          </v:shape>
        </w:pict>
      </w:r>
      <w:r w:rsidR="000401CC">
        <w:pict w14:anchorId="7AFBBEDF">
          <v:shape id="_x0000_i1053" type="#_x0000_t75" style="width:467.25pt;height:605.25pt">
            <v:imagedata r:id="rId42" o:title="RNG tariffs_Page_29"/>
          </v:shape>
        </w:pict>
      </w:r>
      <w:r w:rsidR="000401CC">
        <w:pict w14:anchorId="26D67A6F">
          <v:shape id="_x0000_i1054" type="#_x0000_t75" style="width:467.25pt;height:605.25pt">
            <v:imagedata r:id="rId43" o:title="RNG tariffs_Page_30"/>
          </v:shape>
        </w:pict>
      </w:r>
      <w:r w:rsidR="000401CC">
        <w:pict w14:anchorId="0D23ACE6">
          <v:shape id="_x0000_i1055" type="#_x0000_t75" style="width:467.25pt;height:605.25pt">
            <v:imagedata r:id="rId44" o:title="RNG tariffs_Page_31"/>
          </v:shape>
        </w:pict>
      </w:r>
      <w:r w:rsidR="000401CC">
        <w:pict w14:anchorId="2CACAC5A">
          <v:shape id="_x0000_i1056" type="#_x0000_t75" style="width:467.25pt;height:605.25pt">
            <v:imagedata r:id="rId45" o:title="RNG tariffs_Page_32"/>
          </v:shape>
        </w:pict>
      </w:r>
      <w:r w:rsidR="00BA7053" w:rsidRPr="00BA7053">
        <w:rPr>
          <w:noProof/>
        </w:rPr>
        <w:drawing>
          <wp:inline distT="0" distB="0" distL="0" distR="0">
            <wp:extent cx="5943600" cy="7691718"/>
            <wp:effectExtent l="0" t="0" r="0" b="5080"/>
            <wp:docPr id="2" name="Picture 2" descr="C:\Users\AMICK\AppData\Local\Microsoft\Windows\INetCache\Content.Outlook\ITN5OZ49\RNG tariffs attachment pg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MICK\AppData\Local\Microsoft\Windows\INetCache\Content.Outlook\ITN5OZ49\RNG tariffs attachment pg 3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BA7053" w:rsidRDefault="00BA7053" w:rsidP="00745511">
      <w:pPr>
        <w:tabs>
          <w:tab w:val="left" w:pos="3600"/>
        </w:tabs>
      </w:pPr>
      <w:r w:rsidRPr="00BA7053">
        <w:rPr>
          <w:noProof/>
        </w:rPr>
        <w:drawing>
          <wp:inline distT="0" distB="0" distL="0" distR="0">
            <wp:extent cx="5943600" cy="7691718"/>
            <wp:effectExtent l="0" t="0" r="0" b="5080"/>
            <wp:docPr id="3" name="Picture 3" descr="C:\Users\AMICK\AppData\Local\Microsoft\Windows\INetCache\Content.Outlook\ITN5OZ49\RNG tariffs attachment page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MICK\AppData\Local\Microsoft\Windows\INetCache\Content.Outlook\ITN5OZ49\RNG tariffs attachment page 3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BA7053" w:rsidRPr="00390F8C" w:rsidRDefault="00BA7053" w:rsidP="00745511">
      <w:pPr>
        <w:tabs>
          <w:tab w:val="left" w:pos="3600"/>
        </w:tabs>
      </w:pPr>
      <w:r w:rsidRPr="00BA7053">
        <w:rPr>
          <w:noProof/>
        </w:rPr>
        <w:drawing>
          <wp:inline distT="0" distB="0" distL="0" distR="0">
            <wp:extent cx="5943600" cy="7691718"/>
            <wp:effectExtent l="0" t="0" r="0" b="5080"/>
            <wp:docPr id="4" name="Picture 4" descr="C:\Users\AMICK\AppData\Local\Microsoft\Windows\INetCache\Content.Outlook\ITN5OZ49\RNG tariffs attachment page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MICK\AppData\Local\Microsoft\Windows\INetCache\Content.Outlook\ITN5OZ49\RNG tariffs attachment page 3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sectPr w:rsidR="00BA7053" w:rsidRPr="00390F8C" w:rsidSect="0068481F">
      <w:headerReference w:type="default" r:id="rId49"/>
      <w:pgSz w:w="12240" w:h="15840" w:code="1"/>
      <w:pgMar w:top="1584" w:right="1440" w:bottom="1440" w:left="1440" w:header="720" w:footer="720" w:gutter="0"/>
      <w:cols w:space="720"/>
      <w:formProt w:val="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D33F865" w16cid:durableId="23820D21"/>
  <w16cid:commentId w16cid:paraId="0DCCFD28" w16cid:durableId="23820D22"/>
  <w16cid:commentId w16cid:paraId="0C189F6E" w16cid:durableId="23820D23"/>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2D4D" w:rsidRDefault="00712D4D">
      <w:r>
        <w:separator/>
      </w:r>
    </w:p>
  </w:endnote>
  <w:endnote w:type="continuationSeparator" w:id="0">
    <w:p w:rsidR="00712D4D" w:rsidRDefault="00712D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TimesNewRomanPSMT">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0401CC">
      <w:rPr>
        <w:rStyle w:val="PageNumber"/>
        <w:noProof/>
      </w:rPr>
      <w:t>22</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2D4D" w:rsidRDefault="00712D4D">
      <w:r>
        <w:separator/>
      </w:r>
    </w:p>
  </w:footnote>
  <w:footnote w:type="continuationSeparator" w:id="0">
    <w:p w:rsidR="00712D4D" w:rsidRDefault="00712D4D">
      <w:r>
        <w:continuationSeparator/>
      </w:r>
    </w:p>
  </w:footnote>
  <w:footnote w:id="1">
    <w:p w:rsidR="008620E2" w:rsidRDefault="008620E2">
      <w:pPr>
        <w:pStyle w:val="FootnoteText"/>
      </w:pPr>
      <w:r>
        <w:rPr>
          <w:rStyle w:val="FootnoteReference"/>
        </w:rPr>
        <w:footnoteRef/>
      </w:r>
      <w:r>
        <w:t xml:space="preserve"> Biogas is described as raw, freshly emitted, and untreated gas</w:t>
      </w:r>
      <w:r w:rsidR="007861F9">
        <w:t>, especially methane, produced by the breakdown of organic matter</w:t>
      </w:r>
      <w:r>
        <w:t>.</w:t>
      </w:r>
    </w:p>
  </w:footnote>
  <w:footnote w:id="2">
    <w:p w:rsidR="005149FD" w:rsidRDefault="005149FD">
      <w:pPr>
        <w:pStyle w:val="FootnoteText"/>
      </w:pPr>
      <w:r>
        <w:rPr>
          <w:rStyle w:val="FootnoteReference"/>
        </w:rPr>
        <w:footnoteRef/>
      </w:r>
      <w:r>
        <w:t xml:space="preserve"> Order No. PSC-2017-0497-TRF-EI, issued December 29, 2017, in Docket No. 20170206-GU, </w:t>
      </w:r>
      <w:r w:rsidR="007861F9">
        <w:rPr>
          <w:i/>
        </w:rPr>
        <w:t>I</w:t>
      </w:r>
      <w:r w:rsidRPr="005149FD">
        <w:rPr>
          <w:i/>
        </w:rPr>
        <w:t>n Re: Petition for approval of tariff modifications to accommodate receipt and transportation of renewable natural gas from customers, by Peoples Gas System.</w:t>
      </w:r>
    </w:p>
  </w:footnote>
  <w:footnote w:id="3">
    <w:p w:rsidR="00882A9F" w:rsidRDefault="00882A9F" w:rsidP="00882A9F">
      <w:pPr>
        <w:pStyle w:val="FootnoteText"/>
      </w:pPr>
      <w:r>
        <w:rPr>
          <w:rStyle w:val="FootnoteReference"/>
        </w:rPr>
        <w:footnoteRef/>
      </w:r>
      <w:r>
        <w:t xml:space="preserve"> FCG</w:t>
      </w:r>
      <w:r w:rsidR="00592BDA">
        <w:t>’s</w:t>
      </w:r>
      <w:r>
        <w:t xml:space="preserve"> petition</w:t>
      </w:r>
      <w:r w:rsidR="00592BDA">
        <w:t>,</w:t>
      </w:r>
      <w:r>
        <w:t xml:space="preserve"> Document No. 07393-2020.</w:t>
      </w:r>
    </w:p>
  </w:footnote>
  <w:footnote w:id="4">
    <w:p w:rsidR="0066332C" w:rsidRDefault="0066332C">
      <w:pPr>
        <w:pStyle w:val="FootnoteText"/>
      </w:pPr>
      <w:r>
        <w:rPr>
          <w:rStyle w:val="FootnoteReference"/>
        </w:rPr>
        <w:footnoteRef/>
      </w:r>
      <w:r>
        <w:t xml:space="preserve"> FCG</w:t>
      </w:r>
      <w:r w:rsidR="00592BDA">
        <w:t>’s</w:t>
      </w:r>
      <w:r>
        <w:t xml:space="preserve"> Response to </w:t>
      </w:r>
      <w:r w:rsidR="0081449F">
        <w:t xml:space="preserve">Staff’s Second Data Request </w:t>
      </w:r>
      <w:r>
        <w:t>No. 1</w:t>
      </w:r>
      <w:r w:rsidR="00473575">
        <w:t>,</w:t>
      </w:r>
      <w:r>
        <w:t xml:space="preserve"> Document No. 12882-2020</w:t>
      </w:r>
      <w:r w:rsidR="0081449F">
        <w:t>.</w:t>
      </w:r>
    </w:p>
  </w:footnote>
  <w:footnote w:id="5">
    <w:p w:rsidR="00DD76DB" w:rsidRDefault="00DD76DB">
      <w:pPr>
        <w:pStyle w:val="FootnoteText"/>
      </w:pPr>
      <w:r>
        <w:rPr>
          <w:rStyle w:val="FootnoteReference"/>
        </w:rPr>
        <w:footnoteRef/>
      </w:r>
      <w:r>
        <w:t xml:space="preserve"> FCG’s Response to Staff’s First Data Request No. 1, Document No. 11428-2020.</w:t>
      </w:r>
    </w:p>
  </w:footnote>
  <w:footnote w:id="6">
    <w:p w:rsidR="00294B5D" w:rsidRDefault="00294B5D">
      <w:pPr>
        <w:pStyle w:val="FootnoteText"/>
      </w:pPr>
      <w:r>
        <w:rPr>
          <w:rStyle w:val="FootnoteReference"/>
        </w:rPr>
        <w:footnoteRef/>
      </w:r>
      <w:r>
        <w:t xml:space="preserve"> </w:t>
      </w:r>
      <w:r w:rsidR="00592BDA">
        <w:t xml:space="preserve">FCG’s </w:t>
      </w:r>
      <w:r>
        <w:t>Respons</w:t>
      </w:r>
      <w:r w:rsidR="00592BDA">
        <w:t>e</w:t>
      </w:r>
      <w:r>
        <w:t xml:space="preserve"> to Staff’s First Data Request No.</w:t>
      </w:r>
      <w:r w:rsidR="00592BDA">
        <w:t xml:space="preserve"> </w:t>
      </w:r>
      <w:r>
        <w:t>11</w:t>
      </w:r>
      <w:r w:rsidR="0081449F">
        <w:t>,</w:t>
      </w:r>
      <w:r>
        <w:t xml:space="preserve"> Document No. 11428-2020</w:t>
      </w:r>
      <w:r w:rsidR="00592BDA">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9B5570"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20200216-GU</w:t>
    </w:r>
    <w:bookmarkEnd w:id="15"/>
  </w:p>
  <w:p w:rsidR="00BC402E" w:rsidRDefault="00BC402E">
    <w:pPr>
      <w:pStyle w:val="Header"/>
    </w:pPr>
    <w:r>
      <w:t xml:space="preserve">Date: </w:t>
    </w:r>
    <w:r w:rsidR="00AC1313">
      <w:fldChar w:fldCharType="begin"/>
    </w:r>
    <w:r w:rsidR="00AC1313">
      <w:instrText xml:space="preserve"> REF FilingDate </w:instrText>
    </w:r>
    <w:r w:rsidR="00AC1313">
      <w:fldChar w:fldCharType="separate"/>
    </w:r>
    <w:r w:rsidR="003B03E8">
      <w:t>December 22, 2020</w:t>
    </w:r>
    <w:r w:rsidR="00AC1313">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3B03E8">
      <w:t>Docket No.</w:t>
    </w:r>
    <w:r>
      <w:fldChar w:fldCharType="end"/>
    </w:r>
    <w:r>
      <w:t xml:space="preserve"> </w:t>
    </w:r>
    <w:r>
      <w:fldChar w:fldCharType="begin"/>
    </w:r>
    <w:r>
      <w:instrText xml:space="preserve"> REF DocketList</w:instrText>
    </w:r>
    <w:r>
      <w:fldChar w:fldCharType="separate"/>
    </w:r>
    <w:r w:rsidR="003B03E8">
      <w:t>20200216-GU</w:t>
    </w:r>
    <w:r>
      <w:fldChar w:fldCharType="end"/>
    </w:r>
    <w:r>
      <w:tab/>
      <w:t xml:space="preserve">Issue </w:t>
    </w:r>
    <w:fldSimple w:instr=" Seq Issue \c \* Arabic ">
      <w:r w:rsidR="000401CC">
        <w:rPr>
          <w:noProof/>
        </w:rPr>
        <w:t>2</w:t>
      </w:r>
    </w:fldSimple>
  </w:p>
  <w:p w:rsidR="00BC402E" w:rsidRDefault="00BC402E">
    <w:pPr>
      <w:pStyle w:val="Header"/>
    </w:pPr>
    <w:r>
      <w:t xml:space="preserve">Date: </w:t>
    </w:r>
    <w:r w:rsidR="00AC1313">
      <w:fldChar w:fldCharType="begin"/>
    </w:r>
    <w:r w:rsidR="00AC1313">
      <w:instrText xml:space="preserve"> REF FilingDate </w:instrText>
    </w:r>
    <w:r w:rsidR="00AC1313">
      <w:fldChar w:fldCharType="separate"/>
    </w:r>
    <w:r w:rsidR="003B03E8">
      <w:t>December 22, 2020</w:t>
    </w:r>
    <w:r w:rsidR="00AC1313">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77B" w:rsidRDefault="0057577B" w:rsidP="00220732">
    <w:pPr>
      <w:pStyle w:val="Header"/>
      <w:tabs>
        <w:tab w:val="clear" w:pos="4320"/>
        <w:tab w:val="clear" w:pos="8640"/>
        <w:tab w:val="right" w:pos="9360"/>
      </w:tabs>
    </w:pPr>
    <w:r>
      <w:fldChar w:fldCharType="begin"/>
    </w:r>
    <w:r>
      <w:instrText xml:space="preserve"> REF DocketLabel</w:instrText>
    </w:r>
    <w:r>
      <w:fldChar w:fldCharType="separate"/>
    </w:r>
    <w:r w:rsidR="003B03E8">
      <w:t>Docket No.</w:t>
    </w:r>
    <w:r>
      <w:fldChar w:fldCharType="end"/>
    </w:r>
    <w:r>
      <w:t xml:space="preserve"> </w:t>
    </w:r>
    <w:r>
      <w:fldChar w:fldCharType="begin"/>
    </w:r>
    <w:r>
      <w:instrText xml:space="preserve"> REF DocketList</w:instrText>
    </w:r>
    <w:r>
      <w:fldChar w:fldCharType="separate"/>
    </w:r>
    <w:r w:rsidR="003B03E8">
      <w:t>20200216-GU</w:t>
    </w:r>
    <w:r>
      <w:fldChar w:fldCharType="end"/>
    </w:r>
    <w:r>
      <w:tab/>
      <w:t>Attachment A</w:t>
    </w:r>
  </w:p>
  <w:p w:rsidR="0057577B" w:rsidRDefault="0057577B" w:rsidP="0057577B">
    <w:pPr>
      <w:pStyle w:val="Header"/>
      <w:tabs>
        <w:tab w:val="clear" w:pos="4320"/>
        <w:tab w:val="clear" w:pos="8640"/>
        <w:tab w:val="right" w:pos="9360"/>
      </w:tabs>
    </w:pPr>
    <w:r>
      <w:t xml:space="preserve">Date: </w:t>
    </w:r>
    <w:r w:rsidR="00AC1313">
      <w:fldChar w:fldCharType="begin"/>
    </w:r>
    <w:r w:rsidR="00AC1313">
      <w:instrText xml:space="preserve"> REF FilingDate </w:instrText>
    </w:r>
    <w:r w:rsidR="00AC1313">
      <w:fldChar w:fldCharType="separate"/>
    </w:r>
    <w:r w:rsidR="003B03E8">
      <w:t>December 22, 2020</w:t>
    </w:r>
    <w:r w:rsidR="00AC1313">
      <w:fldChar w:fldCharType="end"/>
    </w:r>
    <w:r>
      <w:tab/>
      <w:t xml:space="preserve">Page </w:t>
    </w:r>
    <w:r>
      <w:fldChar w:fldCharType="begin"/>
    </w:r>
    <w:r>
      <w:instrText xml:space="preserve">= </w:instrText>
    </w:r>
    <w:r>
      <w:fldChar w:fldCharType="begin"/>
    </w:r>
    <w:r>
      <w:instrText>Page</w:instrText>
    </w:r>
    <w:r>
      <w:fldChar w:fldCharType="separate"/>
    </w:r>
    <w:r w:rsidR="000401CC">
      <w:rPr>
        <w:noProof/>
      </w:rPr>
      <w:instrText>22</w:instrText>
    </w:r>
    <w:r>
      <w:fldChar w:fldCharType="end"/>
    </w:r>
    <w:r>
      <w:instrText xml:space="preserve">- </w:instrText>
    </w:r>
    <w:r w:rsidR="00A34D52">
      <w:instrText>6</w:instrText>
    </w:r>
    <w:r>
      <w:fldChar w:fldCharType="separate"/>
    </w:r>
    <w:r w:rsidR="000401CC">
      <w:rPr>
        <w:noProof/>
      </w:rPr>
      <w:t>16</w:t>
    </w:r>
    <w:r>
      <w:fldChar w:fldCharType="end"/>
    </w:r>
    <w:r>
      <w:t xml:space="preserve"> of 3</w:t>
    </w:r>
    <w:r w:rsidR="00BA7053">
      <w:t>5</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1"/>
  <w:activeWritingStyle w:appName="MSWord" w:lang="es-MX" w:vendorID="64" w:dllVersion="6" w:nlCheck="1" w:checkStyle="1"/>
  <w:activeWritingStyle w:appName="MSWord" w:lang="en-US"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8193"/>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9B5570"/>
    <w:rsid w:val="00002F71"/>
    <w:rsid w:val="000043D5"/>
    <w:rsid w:val="00006170"/>
    <w:rsid w:val="00010E37"/>
    <w:rsid w:val="000172DA"/>
    <w:rsid w:val="0001744D"/>
    <w:rsid w:val="000247C5"/>
    <w:rsid w:val="000277C2"/>
    <w:rsid w:val="00035B48"/>
    <w:rsid w:val="00036CE2"/>
    <w:rsid w:val="000401CC"/>
    <w:rsid w:val="000437FE"/>
    <w:rsid w:val="000513BE"/>
    <w:rsid w:val="00065A06"/>
    <w:rsid w:val="000666F3"/>
    <w:rsid w:val="00070DCB"/>
    <w:rsid w:val="00072CCA"/>
    <w:rsid w:val="00073120"/>
    <w:rsid w:val="000764D0"/>
    <w:rsid w:val="000828D3"/>
    <w:rsid w:val="000920BF"/>
    <w:rsid w:val="000A2B57"/>
    <w:rsid w:val="000A418B"/>
    <w:rsid w:val="000A579D"/>
    <w:rsid w:val="000B520C"/>
    <w:rsid w:val="000C4431"/>
    <w:rsid w:val="000C7DF0"/>
    <w:rsid w:val="000D1C06"/>
    <w:rsid w:val="000D4319"/>
    <w:rsid w:val="000F374A"/>
    <w:rsid w:val="001076AF"/>
    <w:rsid w:val="00110A86"/>
    <w:rsid w:val="00117C8C"/>
    <w:rsid w:val="00124C38"/>
    <w:rsid w:val="00124E2E"/>
    <w:rsid w:val="00125ED4"/>
    <w:rsid w:val="0012663D"/>
    <w:rsid w:val="001305E9"/>
    <w:rsid w:val="001307AF"/>
    <w:rsid w:val="00132C6B"/>
    <w:rsid w:val="00135687"/>
    <w:rsid w:val="0015506E"/>
    <w:rsid w:val="00163031"/>
    <w:rsid w:val="00171A90"/>
    <w:rsid w:val="00175234"/>
    <w:rsid w:val="00180254"/>
    <w:rsid w:val="00191E1F"/>
    <w:rsid w:val="00192943"/>
    <w:rsid w:val="001A7406"/>
    <w:rsid w:val="001B4FEE"/>
    <w:rsid w:val="001B51C5"/>
    <w:rsid w:val="001B6F3F"/>
    <w:rsid w:val="001C52B5"/>
    <w:rsid w:val="001D0D3E"/>
    <w:rsid w:val="001E5A0B"/>
    <w:rsid w:val="001F2245"/>
    <w:rsid w:val="001F2C63"/>
    <w:rsid w:val="001F48C7"/>
    <w:rsid w:val="001F6DA1"/>
    <w:rsid w:val="002044E6"/>
    <w:rsid w:val="00205C82"/>
    <w:rsid w:val="00205DC2"/>
    <w:rsid w:val="00212B17"/>
    <w:rsid w:val="002163B6"/>
    <w:rsid w:val="00220732"/>
    <w:rsid w:val="00221D32"/>
    <w:rsid w:val="00225C3F"/>
    <w:rsid w:val="00263D44"/>
    <w:rsid w:val="002702AD"/>
    <w:rsid w:val="00292D82"/>
    <w:rsid w:val="00294B5D"/>
    <w:rsid w:val="002963CB"/>
    <w:rsid w:val="002966A0"/>
    <w:rsid w:val="002A7DD2"/>
    <w:rsid w:val="002B4A01"/>
    <w:rsid w:val="002C6EE5"/>
    <w:rsid w:val="002D226D"/>
    <w:rsid w:val="002F6030"/>
    <w:rsid w:val="003037E1"/>
    <w:rsid w:val="00307E51"/>
    <w:rsid w:val="003103EC"/>
    <w:rsid w:val="003144EF"/>
    <w:rsid w:val="00322F74"/>
    <w:rsid w:val="00332A74"/>
    <w:rsid w:val="003355CC"/>
    <w:rsid w:val="00340073"/>
    <w:rsid w:val="003406C1"/>
    <w:rsid w:val="003632FD"/>
    <w:rsid w:val="00371F25"/>
    <w:rsid w:val="00372805"/>
    <w:rsid w:val="00373180"/>
    <w:rsid w:val="00375AB9"/>
    <w:rsid w:val="003821A0"/>
    <w:rsid w:val="00385B04"/>
    <w:rsid w:val="003864CF"/>
    <w:rsid w:val="00390F8C"/>
    <w:rsid w:val="003948AE"/>
    <w:rsid w:val="003A22A6"/>
    <w:rsid w:val="003A5494"/>
    <w:rsid w:val="003B03E8"/>
    <w:rsid w:val="003B2510"/>
    <w:rsid w:val="003B7739"/>
    <w:rsid w:val="003C2CC4"/>
    <w:rsid w:val="003C3710"/>
    <w:rsid w:val="003E0EFC"/>
    <w:rsid w:val="003E4A2B"/>
    <w:rsid w:val="003E76C2"/>
    <w:rsid w:val="003F1679"/>
    <w:rsid w:val="003F21EB"/>
    <w:rsid w:val="003F4A35"/>
    <w:rsid w:val="003F7FDD"/>
    <w:rsid w:val="00402481"/>
    <w:rsid w:val="00402C5C"/>
    <w:rsid w:val="00403032"/>
    <w:rsid w:val="004042B4"/>
    <w:rsid w:val="00410DC4"/>
    <w:rsid w:val="00412DAE"/>
    <w:rsid w:val="004242E6"/>
    <w:rsid w:val="00431598"/>
    <w:rsid w:val="004319AD"/>
    <w:rsid w:val="004426B8"/>
    <w:rsid w:val="00444432"/>
    <w:rsid w:val="00470989"/>
    <w:rsid w:val="00471860"/>
    <w:rsid w:val="00473575"/>
    <w:rsid w:val="00477026"/>
    <w:rsid w:val="00482C33"/>
    <w:rsid w:val="004A744D"/>
    <w:rsid w:val="004B00FB"/>
    <w:rsid w:val="004B1DF4"/>
    <w:rsid w:val="004B60BD"/>
    <w:rsid w:val="004C3150"/>
    <w:rsid w:val="004C3641"/>
    <w:rsid w:val="004C4305"/>
    <w:rsid w:val="004C4390"/>
    <w:rsid w:val="004C4AF7"/>
    <w:rsid w:val="004D2881"/>
    <w:rsid w:val="004D385F"/>
    <w:rsid w:val="004D5B39"/>
    <w:rsid w:val="004E330D"/>
    <w:rsid w:val="004E5147"/>
    <w:rsid w:val="004E69B5"/>
    <w:rsid w:val="004F5C43"/>
    <w:rsid w:val="0050652D"/>
    <w:rsid w:val="00506C03"/>
    <w:rsid w:val="00511A11"/>
    <w:rsid w:val="005149FD"/>
    <w:rsid w:val="00516496"/>
    <w:rsid w:val="00523B11"/>
    <w:rsid w:val="0052572A"/>
    <w:rsid w:val="005312F8"/>
    <w:rsid w:val="00532DFB"/>
    <w:rsid w:val="00534B93"/>
    <w:rsid w:val="00543CB3"/>
    <w:rsid w:val="005442E4"/>
    <w:rsid w:val="00552DB2"/>
    <w:rsid w:val="00553A4A"/>
    <w:rsid w:val="0055529B"/>
    <w:rsid w:val="00560FF0"/>
    <w:rsid w:val="005614BD"/>
    <w:rsid w:val="0057154F"/>
    <w:rsid w:val="0057577B"/>
    <w:rsid w:val="00580F69"/>
    <w:rsid w:val="00581CA3"/>
    <w:rsid w:val="00587A44"/>
    <w:rsid w:val="00592BDA"/>
    <w:rsid w:val="005959BE"/>
    <w:rsid w:val="00597730"/>
    <w:rsid w:val="005977EC"/>
    <w:rsid w:val="00597DE7"/>
    <w:rsid w:val="005A4AA2"/>
    <w:rsid w:val="005B34B6"/>
    <w:rsid w:val="005B6C8F"/>
    <w:rsid w:val="005B6EC3"/>
    <w:rsid w:val="005C672F"/>
    <w:rsid w:val="005C72FC"/>
    <w:rsid w:val="005D0F74"/>
    <w:rsid w:val="005D2E7D"/>
    <w:rsid w:val="005D4A8F"/>
    <w:rsid w:val="005D561B"/>
    <w:rsid w:val="005D5ECF"/>
    <w:rsid w:val="005E38CA"/>
    <w:rsid w:val="005F468D"/>
    <w:rsid w:val="005F69A3"/>
    <w:rsid w:val="00604CC7"/>
    <w:rsid w:val="00615423"/>
    <w:rsid w:val="006165B2"/>
    <w:rsid w:val="00617276"/>
    <w:rsid w:val="0062527B"/>
    <w:rsid w:val="00625D97"/>
    <w:rsid w:val="00625F1C"/>
    <w:rsid w:val="006279E1"/>
    <w:rsid w:val="00630608"/>
    <w:rsid w:val="00630CEB"/>
    <w:rsid w:val="00632264"/>
    <w:rsid w:val="00633610"/>
    <w:rsid w:val="006470BC"/>
    <w:rsid w:val="006554D3"/>
    <w:rsid w:val="0066332C"/>
    <w:rsid w:val="00667036"/>
    <w:rsid w:val="00673BDB"/>
    <w:rsid w:val="00674341"/>
    <w:rsid w:val="006771B8"/>
    <w:rsid w:val="006843B6"/>
    <w:rsid w:val="0068481F"/>
    <w:rsid w:val="00696F5D"/>
    <w:rsid w:val="00697249"/>
    <w:rsid w:val="006B3947"/>
    <w:rsid w:val="006B4293"/>
    <w:rsid w:val="006B5CA0"/>
    <w:rsid w:val="006B624F"/>
    <w:rsid w:val="006C0C95"/>
    <w:rsid w:val="006C31E3"/>
    <w:rsid w:val="006D18D3"/>
    <w:rsid w:val="006D4F08"/>
    <w:rsid w:val="006E08CB"/>
    <w:rsid w:val="006E598D"/>
    <w:rsid w:val="0070437D"/>
    <w:rsid w:val="00704CF1"/>
    <w:rsid w:val="00705B04"/>
    <w:rsid w:val="00710CCA"/>
    <w:rsid w:val="00712D4D"/>
    <w:rsid w:val="00724992"/>
    <w:rsid w:val="00730819"/>
    <w:rsid w:val="00734820"/>
    <w:rsid w:val="007349DC"/>
    <w:rsid w:val="0074365E"/>
    <w:rsid w:val="00744B55"/>
    <w:rsid w:val="00745511"/>
    <w:rsid w:val="007515FD"/>
    <w:rsid w:val="00760D80"/>
    <w:rsid w:val="00766184"/>
    <w:rsid w:val="00780C09"/>
    <w:rsid w:val="00780DDF"/>
    <w:rsid w:val="007834E9"/>
    <w:rsid w:val="007861F9"/>
    <w:rsid w:val="00787DBC"/>
    <w:rsid w:val="0079019A"/>
    <w:rsid w:val="00792935"/>
    <w:rsid w:val="007A04A1"/>
    <w:rsid w:val="007A1840"/>
    <w:rsid w:val="007C0528"/>
    <w:rsid w:val="007C3D38"/>
    <w:rsid w:val="007D0F35"/>
    <w:rsid w:val="007D4FEB"/>
    <w:rsid w:val="007D6146"/>
    <w:rsid w:val="007E0CE7"/>
    <w:rsid w:val="007F1193"/>
    <w:rsid w:val="007F417F"/>
    <w:rsid w:val="007F7644"/>
    <w:rsid w:val="008042BD"/>
    <w:rsid w:val="0081449F"/>
    <w:rsid w:val="00816624"/>
    <w:rsid w:val="00822427"/>
    <w:rsid w:val="00822562"/>
    <w:rsid w:val="00823663"/>
    <w:rsid w:val="00832DDC"/>
    <w:rsid w:val="00850BAC"/>
    <w:rsid w:val="00854A3E"/>
    <w:rsid w:val="00855D08"/>
    <w:rsid w:val="008620E2"/>
    <w:rsid w:val="00874344"/>
    <w:rsid w:val="00882155"/>
    <w:rsid w:val="0088233B"/>
    <w:rsid w:val="00882A9F"/>
    <w:rsid w:val="0088599E"/>
    <w:rsid w:val="00886C37"/>
    <w:rsid w:val="00892D99"/>
    <w:rsid w:val="00893315"/>
    <w:rsid w:val="008A47B8"/>
    <w:rsid w:val="008B62AE"/>
    <w:rsid w:val="008C04B5"/>
    <w:rsid w:val="008C14FA"/>
    <w:rsid w:val="008C7B0B"/>
    <w:rsid w:val="008D4057"/>
    <w:rsid w:val="008E1F19"/>
    <w:rsid w:val="008E4DF8"/>
    <w:rsid w:val="008F2262"/>
    <w:rsid w:val="008F46D8"/>
    <w:rsid w:val="008F4D2B"/>
    <w:rsid w:val="008F7736"/>
    <w:rsid w:val="008F7C31"/>
    <w:rsid w:val="0090019E"/>
    <w:rsid w:val="00901086"/>
    <w:rsid w:val="00901C8A"/>
    <w:rsid w:val="00905886"/>
    <w:rsid w:val="009070D6"/>
    <w:rsid w:val="009076C6"/>
    <w:rsid w:val="0091019E"/>
    <w:rsid w:val="009106F1"/>
    <w:rsid w:val="00912404"/>
    <w:rsid w:val="009145D6"/>
    <w:rsid w:val="00920E64"/>
    <w:rsid w:val="00922002"/>
    <w:rsid w:val="0092235F"/>
    <w:rsid w:val="00924020"/>
    <w:rsid w:val="009271A7"/>
    <w:rsid w:val="0093658B"/>
    <w:rsid w:val="009429FF"/>
    <w:rsid w:val="00945BD6"/>
    <w:rsid w:val="009479FB"/>
    <w:rsid w:val="00951C45"/>
    <w:rsid w:val="00955458"/>
    <w:rsid w:val="009656F2"/>
    <w:rsid w:val="00966A08"/>
    <w:rsid w:val="00971207"/>
    <w:rsid w:val="00975CB4"/>
    <w:rsid w:val="009863B0"/>
    <w:rsid w:val="00987DE1"/>
    <w:rsid w:val="00990571"/>
    <w:rsid w:val="0099673A"/>
    <w:rsid w:val="009A3330"/>
    <w:rsid w:val="009A7C96"/>
    <w:rsid w:val="009B5570"/>
    <w:rsid w:val="009C3DB9"/>
    <w:rsid w:val="009D11D9"/>
    <w:rsid w:val="009D2AAA"/>
    <w:rsid w:val="009D46E5"/>
    <w:rsid w:val="009D568A"/>
    <w:rsid w:val="009E1233"/>
    <w:rsid w:val="009F04EC"/>
    <w:rsid w:val="009F2A7C"/>
    <w:rsid w:val="009F3B36"/>
    <w:rsid w:val="00A019B9"/>
    <w:rsid w:val="00A12508"/>
    <w:rsid w:val="00A1282B"/>
    <w:rsid w:val="00A13A27"/>
    <w:rsid w:val="00A175B6"/>
    <w:rsid w:val="00A21835"/>
    <w:rsid w:val="00A2374B"/>
    <w:rsid w:val="00A27D6E"/>
    <w:rsid w:val="00A328EC"/>
    <w:rsid w:val="00A3337B"/>
    <w:rsid w:val="00A33A51"/>
    <w:rsid w:val="00A34D52"/>
    <w:rsid w:val="00A41CA6"/>
    <w:rsid w:val="00A47927"/>
    <w:rsid w:val="00A47FFC"/>
    <w:rsid w:val="00A5442F"/>
    <w:rsid w:val="00A54FF9"/>
    <w:rsid w:val="00A56765"/>
    <w:rsid w:val="00A675AC"/>
    <w:rsid w:val="00A75155"/>
    <w:rsid w:val="00A7581F"/>
    <w:rsid w:val="00A92FB1"/>
    <w:rsid w:val="00A93EB6"/>
    <w:rsid w:val="00A95A0C"/>
    <w:rsid w:val="00AA2765"/>
    <w:rsid w:val="00AA77B5"/>
    <w:rsid w:val="00AB28D3"/>
    <w:rsid w:val="00AB6C5D"/>
    <w:rsid w:val="00AC02CC"/>
    <w:rsid w:val="00AC3401"/>
    <w:rsid w:val="00AC51A7"/>
    <w:rsid w:val="00AD3FFD"/>
    <w:rsid w:val="00AD444B"/>
    <w:rsid w:val="00AD5614"/>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516ED"/>
    <w:rsid w:val="00B57A6A"/>
    <w:rsid w:val="00B760F1"/>
    <w:rsid w:val="00B7669E"/>
    <w:rsid w:val="00B77DA1"/>
    <w:rsid w:val="00B822A0"/>
    <w:rsid w:val="00B83EC4"/>
    <w:rsid w:val="00B858AE"/>
    <w:rsid w:val="00B85964"/>
    <w:rsid w:val="00B95B51"/>
    <w:rsid w:val="00B96250"/>
    <w:rsid w:val="00BA0D55"/>
    <w:rsid w:val="00BA37B3"/>
    <w:rsid w:val="00BA4CC6"/>
    <w:rsid w:val="00BA58D3"/>
    <w:rsid w:val="00BA7053"/>
    <w:rsid w:val="00BB3493"/>
    <w:rsid w:val="00BB7468"/>
    <w:rsid w:val="00BC188A"/>
    <w:rsid w:val="00BC402E"/>
    <w:rsid w:val="00BD0F48"/>
    <w:rsid w:val="00BE63FB"/>
    <w:rsid w:val="00BE6DDB"/>
    <w:rsid w:val="00BF5010"/>
    <w:rsid w:val="00C03D5F"/>
    <w:rsid w:val="00C03E23"/>
    <w:rsid w:val="00C04DE7"/>
    <w:rsid w:val="00C10C9E"/>
    <w:rsid w:val="00C11849"/>
    <w:rsid w:val="00C13791"/>
    <w:rsid w:val="00C225F1"/>
    <w:rsid w:val="00C31BB3"/>
    <w:rsid w:val="00C36977"/>
    <w:rsid w:val="00C467DA"/>
    <w:rsid w:val="00C477D9"/>
    <w:rsid w:val="00C60BA3"/>
    <w:rsid w:val="00C623F7"/>
    <w:rsid w:val="00C62A81"/>
    <w:rsid w:val="00C75BC5"/>
    <w:rsid w:val="00C77103"/>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E2BF8"/>
    <w:rsid w:val="00CE484E"/>
    <w:rsid w:val="00CE656F"/>
    <w:rsid w:val="00CF0DA8"/>
    <w:rsid w:val="00CF2E25"/>
    <w:rsid w:val="00CF4453"/>
    <w:rsid w:val="00CF5D94"/>
    <w:rsid w:val="00CF7E0F"/>
    <w:rsid w:val="00D034D7"/>
    <w:rsid w:val="00D04BE4"/>
    <w:rsid w:val="00D06FC7"/>
    <w:rsid w:val="00D12565"/>
    <w:rsid w:val="00D1361D"/>
    <w:rsid w:val="00D14127"/>
    <w:rsid w:val="00D4370D"/>
    <w:rsid w:val="00D60B16"/>
    <w:rsid w:val="00D60F02"/>
    <w:rsid w:val="00D66E49"/>
    <w:rsid w:val="00D70D71"/>
    <w:rsid w:val="00D72446"/>
    <w:rsid w:val="00D72F74"/>
    <w:rsid w:val="00D81563"/>
    <w:rsid w:val="00D85907"/>
    <w:rsid w:val="00D9073E"/>
    <w:rsid w:val="00D9221D"/>
    <w:rsid w:val="00D958DF"/>
    <w:rsid w:val="00D96DA1"/>
    <w:rsid w:val="00DA51E7"/>
    <w:rsid w:val="00DA75F9"/>
    <w:rsid w:val="00DB0260"/>
    <w:rsid w:val="00DB1C78"/>
    <w:rsid w:val="00DB4EB8"/>
    <w:rsid w:val="00DB7D96"/>
    <w:rsid w:val="00DC23FE"/>
    <w:rsid w:val="00DC59E6"/>
    <w:rsid w:val="00DD150B"/>
    <w:rsid w:val="00DD5025"/>
    <w:rsid w:val="00DD76DB"/>
    <w:rsid w:val="00DE1E6D"/>
    <w:rsid w:val="00DE5F9D"/>
    <w:rsid w:val="00DE7116"/>
    <w:rsid w:val="00DF1510"/>
    <w:rsid w:val="00E02F1F"/>
    <w:rsid w:val="00E06484"/>
    <w:rsid w:val="00E14A9A"/>
    <w:rsid w:val="00E20A7D"/>
    <w:rsid w:val="00E275D8"/>
    <w:rsid w:val="00E30F6A"/>
    <w:rsid w:val="00E3117C"/>
    <w:rsid w:val="00E375CA"/>
    <w:rsid w:val="00E5364F"/>
    <w:rsid w:val="00E567E8"/>
    <w:rsid w:val="00E64679"/>
    <w:rsid w:val="00E65EBC"/>
    <w:rsid w:val="00E662BF"/>
    <w:rsid w:val="00E677FE"/>
    <w:rsid w:val="00E73432"/>
    <w:rsid w:val="00E77B0C"/>
    <w:rsid w:val="00E77FB8"/>
    <w:rsid w:val="00E809F8"/>
    <w:rsid w:val="00E838B0"/>
    <w:rsid w:val="00E86A7C"/>
    <w:rsid w:val="00E878E1"/>
    <w:rsid w:val="00E87F2C"/>
    <w:rsid w:val="00E95278"/>
    <w:rsid w:val="00EA2273"/>
    <w:rsid w:val="00EA7C3C"/>
    <w:rsid w:val="00EB2DB3"/>
    <w:rsid w:val="00EC3FBB"/>
    <w:rsid w:val="00EC6B7A"/>
    <w:rsid w:val="00ED3A87"/>
    <w:rsid w:val="00ED5B67"/>
    <w:rsid w:val="00EF09E8"/>
    <w:rsid w:val="00EF264C"/>
    <w:rsid w:val="00EF3FEE"/>
    <w:rsid w:val="00F04B59"/>
    <w:rsid w:val="00F11741"/>
    <w:rsid w:val="00F12B1C"/>
    <w:rsid w:val="00F13CF8"/>
    <w:rsid w:val="00F15855"/>
    <w:rsid w:val="00F200B2"/>
    <w:rsid w:val="00F227DC"/>
    <w:rsid w:val="00F32978"/>
    <w:rsid w:val="00F45CB2"/>
    <w:rsid w:val="00F544C0"/>
    <w:rsid w:val="00F55332"/>
    <w:rsid w:val="00F6504A"/>
    <w:rsid w:val="00F65519"/>
    <w:rsid w:val="00F713C0"/>
    <w:rsid w:val="00F75DDC"/>
    <w:rsid w:val="00F7792F"/>
    <w:rsid w:val="00F842AA"/>
    <w:rsid w:val="00F8476F"/>
    <w:rsid w:val="00F853E1"/>
    <w:rsid w:val="00F85604"/>
    <w:rsid w:val="00F94B7A"/>
    <w:rsid w:val="00FA17AC"/>
    <w:rsid w:val="00FA32DE"/>
    <w:rsid w:val="00FA3382"/>
    <w:rsid w:val="00FA59CD"/>
    <w:rsid w:val="00FB1740"/>
    <w:rsid w:val="00FB5565"/>
    <w:rsid w:val="00FC5469"/>
    <w:rsid w:val="00FC6D7D"/>
    <w:rsid w:val="00FD16B0"/>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5:docId w15:val="{B6D0FFC6-C34C-4298-B6BC-6638A0CA35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customStyle="1" w:styleId="text">
    <w:name w:val="text"/>
    <w:basedOn w:val="DefaultParagraphFont"/>
    <w:rsid w:val="00470989"/>
  </w:style>
  <w:style w:type="character" w:styleId="FootnoteReference">
    <w:name w:val="footnote reference"/>
    <w:basedOn w:val="DefaultParagraphFont"/>
    <w:semiHidden/>
    <w:unhideWhenUsed/>
    <w:rsid w:val="00955458"/>
    <w:rPr>
      <w:vertAlign w:val="superscript"/>
    </w:rPr>
  </w:style>
  <w:style w:type="character" w:styleId="EndnoteReference">
    <w:name w:val="endnote reference"/>
    <w:basedOn w:val="DefaultParagraphFont"/>
    <w:semiHidden/>
    <w:unhideWhenUsed/>
    <w:rsid w:val="0066332C"/>
    <w:rPr>
      <w:vertAlign w:val="superscript"/>
    </w:rPr>
  </w:style>
  <w:style w:type="character" w:styleId="CommentReference">
    <w:name w:val="annotation reference"/>
    <w:basedOn w:val="DefaultParagraphFont"/>
    <w:semiHidden/>
    <w:unhideWhenUsed/>
    <w:rsid w:val="007861F9"/>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eader" Target="header4.xml"/><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image" Target="media/image1.png"/><Relationship Id="rId5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215D03-B34A-4A72-B6CF-99DC09F6A7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41</Pages>
  <Words>1846</Words>
  <Characters>10297</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12119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Holly Forrest</dc:creator>
  <cp:lastModifiedBy>Andrea Mick</cp:lastModifiedBy>
  <cp:revision>2</cp:revision>
  <cp:lastPrinted>2020-12-09T20:34:00Z</cp:lastPrinted>
  <dcterms:created xsi:type="dcterms:W3CDTF">2020-12-22T13:30:00Z</dcterms:created>
  <dcterms:modified xsi:type="dcterms:W3CDTF">2020-12-22T13:30:00Z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20200216-GU</vt:lpwstr>
  </property>
  <property fmtid="{D5CDD505-2E9C-101B-9397-08002B2CF9AE}" pid="3" name="MasterDocument">
    <vt:bool>false</vt:bool>
  </property>
</Properties>
</file>