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53135C02"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7C28B8D0" w14:textId="77777777" w:rsidR="007C0528" w:rsidRDefault="007C0528" w:rsidP="00532DFB">
            <w:pPr>
              <w:pStyle w:val="MastHeadState"/>
            </w:pPr>
            <w:bookmarkStart w:id="0" w:name="_GoBack"/>
            <w:bookmarkEnd w:id="0"/>
            <w:r>
              <w:t>State of Florida</w:t>
            </w:r>
          </w:p>
          <w:p w14:paraId="4146FD52" w14:textId="77777777" w:rsidR="007C0528" w:rsidRDefault="00072CCA">
            <w:pPr>
              <w:jc w:val="center"/>
            </w:pPr>
            <w:r>
              <w:rPr>
                <w:noProof/>
              </w:rPr>
              <w:drawing>
                <wp:inline distT="0" distB="0" distL="0" distR="0" wp14:anchorId="348095A0" wp14:editId="43F8E7ED">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5B711312"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1BF5830A" w14:textId="77777777" w:rsidR="007C0528" w:rsidRDefault="007C0528">
            <w:pPr>
              <w:pStyle w:val="MastHeadPSC"/>
            </w:pPr>
            <w:r>
              <w:t>Public Service Commission</w:t>
            </w:r>
          </w:p>
          <w:p w14:paraId="34B0E6E2" w14:textId="77777777" w:rsidR="007C0528" w:rsidRDefault="007C0528">
            <w:pPr>
              <w:pStyle w:val="MastHeadAddress"/>
            </w:pPr>
            <w:r>
              <w:t>Capital Circle Office Center ● 2540 Shumard Oak Boulevard</w:t>
            </w:r>
            <w:r>
              <w:br/>
              <w:t>Tallahassee, Florida 32399-0850</w:t>
            </w:r>
          </w:p>
          <w:p w14:paraId="01963430" w14:textId="77777777" w:rsidR="007C0528" w:rsidRDefault="007C0528">
            <w:pPr>
              <w:pStyle w:val="MastHeadMemorandum"/>
            </w:pPr>
            <w:r>
              <w:t>-M-E-M-O-R-A-N-D-U-M-</w:t>
            </w:r>
          </w:p>
          <w:p w14:paraId="7A5CBEDF" w14:textId="77777777" w:rsidR="007C0528" w:rsidRDefault="007C0528">
            <w:pPr>
              <w:pStyle w:val="MemoHeading"/>
            </w:pPr>
          </w:p>
        </w:tc>
      </w:tr>
      <w:tr w:rsidR="007C0528" w14:paraId="3B557374"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28BDACCB"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0F9AA916" w14:textId="2B850887" w:rsidR="007C0528" w:rsidRDefault="002714C4">
            <w:pPr>
              <w:pStyle w:val="MemoHeading"/>
            </w:pPr>
            <w:bookmarkStart w:id="1" w:name="FilingDate"/>
            <w:r>
              <w:t>February 22</w:t>
            </w:r>
            <w:r w:rsidR="004D60FC">
              <w:t>, 2024</w:t>
            </w:r>
            <w:bookmarkEnd w:id="1"/>
          </w:p>
        </w:tc>
      </w:tr>
      <w:tr w:rsidR="007C0528" w14:paraId="37DC9A7F" w14:textId="77777777">
        <w:tc>
          <w:tcPr>
            <w:tcW w:w="1254" w:type="dxa"/>
            <w:tcBorders>
              <w:top w:val="nil"/>
              <w:left w:val="nil"/>
              <w:bottom w:val="nil"/>
              <w:right w:val="nil"/>
            </w:tcBorders>
            <w:shd w:val="clear" w:color="auto" w:fill="auto"/>
            <w:tcMar>
              <w:top w:w="288" w:type="dxa"/>
              <w:bottom w:w="0" w:type="dxa"/>
              <w:right w:w="0" w:type="dxa"/>
            </w:tcMar>
          </w:tcPr>
          <w:p w14:paraId="583B0766"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6B97C139" w14:textId="77777777" w:rsidR="007C0528" w:rsidRDefault="007C0528" w:rsidP="0093658B">
            <w:pPr>
              <w:pStyle w:val="MemoHeading"/>
            </w:pPr>
            <w:r>
              <w:t>Office of Commission Clerk (</w:t>
            </w:r>
            <w:r w:rsidR="004E69B5">
              <w:t>Teitzman</w:t>
            </w:r>
            <w:r>
              <w:t>)</w:t>
            </w:r>
          </w:p>
        </w:tc>
      </w:tr>
      <w:tr w:rsidR="007C0528" w14:paraId="49CFBB75" w14:textId="77777777">
        <w:tc>
          <w:tcPr>
            <w:tcW w:w="1254" w:type="dxa"/>
            <w:tcBorders>
              <w:top w:val="nil"/>
              <w:left w:val="nil"/>
              <w:bottom w:val="nil"/>
              <w:right w:val="nil"/>
            </w:tcBorders>
            <w:shd w:val="clear" w:color="auto" w:fill="auto"/>
            <w:tcMar>
              <w:top w:w="288" w:type="dxa"/>
              <w:right w:w="0" w:type="dxa"/>
            </w:tcMar>
          </w:tcPr>
          <w:p w14:paraId="251FDE78"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52A65D63" w14:textId="12860DEF" w:rsidR="004D60FC" w:rsidRPr="00024C1E" w:rsidRDefault="004D60FC">
            <w:pPr>
              <w:pStyle w:val="MemoHeading"/>
              <w:rPr>
                <w:rFonts w:ascii="Freestyle Script" w:hAnsi="Freestyle Script"/>
                <w:color w:val="00B0F0"/>
                <w:sz w:val="28"/>
                <w:szCs w:val="28"/>
              </w:rPr>
            </w:pPr>
            <w:bookmarkStart w:id="2" w:name="From"/>
            <w:r>
              <w:t>Office of the General Counsel (Sapoznikoff)</w:t>
            </w:r>
            <w:r w:rsidR="00024C1E">
              <w:t xml:space="preserve"> </w:t>
            </w:r>
            <w:r w:rsidR="00024C1E">
              <w:rPr>
                <w:rFonts w:ascii="Freestyle Script" w:hAnsi="Freestyle Script"/>
                <w:sz w:val="28"/>
                <w:szCs w:val="28"/>
              </w:rPr>
              <w:t xml:space="preserve"> </w:t>
            </w:r>
            <w:r w:rsidR="00024C1E">
              <w:rPr>
                <w:rFonts w:ascii="Freestyle Script" w:hAnsi="Freestyle Script"/>
                <w:color w:val="00B0F0"/>
                <w:sz w:val="28"/>
                <w:szCs w:val="28"/>
              </w:rPr>
              <w:t>SMC</w:t>
            </w:r>
          </w:p>
          <w:p w14:paraId="535976DB" w14:textId="2A4AB6AE" w:rsidR="004D60FC" w:rsidRPr="00024C1E" w:rsidRDefault="004D60FC">
            <w:pPr>
              <w:pStyle w:val="MemoHeading"/>
              <w:rPr>
                <w:rFonts w:ascii="Freestyle Script" w:hAnsi="Freestyle Script"/>
                <w:color w:val="00B0F0"/>
                <w:sz w:val="28"/>
                <w:szCs w:val="28"/>
              </w:rPr>
            </w:pPr>
            <w:r>
              <w:t>Division of Accounting and Finance (Cicchetti)</w:t>
            </w:r>
            <w:r w:rsidR="00024C1E">
              <w:rPr>
                <w:rFonts w:ascii="Freestyle Script" w:hAnsi="Freestyle Script"/>
                <w:sz w:val="28"/>
                <w:szCs w:val="28"/>
              </w:rPr>
              <w:t xml:space="preserve"> </w:t>
            </w:r>
            <w:r w:rsidR="00024C1E">
              <w:rPr>
                <w:rFonts w:ascii="Freestyle Script" w:hAnsi="Freestyle Script"/>
                <w:color w:val="00B0F0"/>
                <w:sz w:val="28"/>
                <w:szCs w:val="28"/>
              </w:rPr>
              <w:t>ALM</w:t>
            </w:r>
          </w:p>
          <w:p w14:paraId="2A318BDF" w14:textId="73705275" w:rsidR="007C0528" w:rsidRPr="00024C1E" w:rsidRDefault="003D43B2">
            <w:pPr>
              <w:pStyle w:val="MemoHeading"/>
              <w:rPr>
                <w:rFonts w:ascii="Freestyle Script" w:hAnsi="Freestyle Script"/>
                <w:color w:val="00B0F0"/>
                <w:sz w:val="28"/>
                <w:szCs w:val="28"/>
              </w:rPr>
            </w:pPr>
            <w:r>
              <w:t>Division of Economics (</w:t>
            </w:r>
            <w:r w:rsidR="004D60FC">
              <w:t>Guffey)</w:t>
            </w:r>
            <w:bookmarkEnd w:id="2"/>
            <w:r w:rsidR="00024C1E">
              <w:t xml:space="preserve"> </w:t>
            </w:r>
            <w:r w:rsidR="00024C1E">
              <w:rPr>
                <w:rFonts w:ascii="Freestyle Script" w:hAnsi="Freestyle Script"/>
                <w:color w:val="00B0F0"/>
                <w:sz w:val="28"/>
                <w:szCs w:val="28"/>
              </w:rPr>
              <w:t>EJD</w:t>
            </w:r>
          </w:p>
        </w:tc>
      </w:tr>
      <w:tr w:rsidR="007C0528" w14:paraId="4B894826" w14:textId="77777777">
        <w:tc>
          <w:tcPr>
            <w:tcW w:w="1254" w:type="dxa"/>
            <w:tcBorders>
              <w:top w:val="nil"/>
              <w:left w:val="nil"/>
              <w:bottom w:val="nil"/>
              <w:right w:val="nil"/>
            </w:tcBorders>
            <w:shd w:val="clear" w:color="auto" w:fill="auto"/>
            <w:tcMar>
              <w:top w:w="288" w:type="dxa"/>
              <w:right w:w="0" w:type="dxa"/>
            </w:tcMar>
          </w:tcPr>
          <w:p w14:paraId="4157625A"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5064F148" w14:textId="7838DC4E" w:rsidR="007C0528" w:rsidRDefault="004D60FC" w:rsidP="002714C4">
            <w:pPr>
              <w:pStyle w:val="MemoHeadingRe"/>
            </w:pPr>
            <w:bookmarkStart w:id="3" w:name="Re"/>
            <w:r>
              <w:t xml:space="preserve">Docket No. 20240019-PU – </w:t>
            </w:r>
            <w:r w:rsidR="00BF38D0">
              <w:t xml:space="preserve">Proposed </w:t>
            </w:r>
            <w:r>
              <w:t xml:space="preserve">amendment of Rule 25-14.004, F.A.C., </w:t>
            </w:r>
            <w:bookmarkEnd w:id="3"/>
            <w:r w:rsidR="002714C4">
              <w:t>Effect of Parent Debt on Federal Corporate Income Tax</w:t>
            </w:r>
            <w:r w:rsidR="00DC54F3">
              <w:t>.</w:t>
            </w:r>
          </w:p>
        </w:tc>
      </w:tr>
      <w:tr w:rsidR="007C0528" w14:paraId="4F6C3762" w14:textId="77777777">
        <w:tc>
          <w:tcPr>
            <w:tcW w:w="1254" w:type="dxa"/>
            <w:tcBorders>
              <w:top w:val="nil"/>
              <w:left w:val="nil"/>
              <w:bottom w:val="nil"/>
              <w:right w:val="nil"/>
            </w:tcBorders>
            <w:shd w:val="clear" w:color="auto" w:fill="auto"/>
            <w:tcMar>
              <w:top w:w="288" w:type="dxa"/>
              <w:bottom w:w="0" w:type="dxa"/>
              <w:right w:w="0" w:type="dxa"/>
            </w:tcMar>
          </w:tcPr>
          <w:p w14:paraId="6CA1B058"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11F7184F" w14:textId="5AA4E00E" w:rsidR="007C0528" w:rsidRDefault="007B32BD">
            <w:pPr>
              <w:pStyle w:val="MemoHeading"/>
            </w:pPr>
            <w:r>
              <w:t>03/05</w:t>
            </w:r>
            <w:r w:rsidR="00D90088">
              <w:t>/</w:t>
            </w:r>
            <w:r w:rsidR="004D60FC">
              <w:t>24</w:t>
            </w:r>
            <w:r w:rsidR="007C0528">
              <w:t xml:space="preserve"> – </w:t>
            </w:r>
            <w:bookmarkStart w:id="4" w:name="PermittedStatus"/>
            <w:r w:rsidR="004D60FC">
              <w:t>Regular Agenda – Rule Proposal – Interested Persons May Participate</w:t>
            </w:r>
            <w:bookmarkEnd w:id="4"/>
          </w:p>
        </w:tc>
      </w:tr>
      <w:tr w:rsidR="007C0528" w14:paraId="43279148" w14:textId="77777777">
        <w:tc>
          <w:tcPr>
            <w:tcW w:w="3690" w:type="dxa"/>
            <w:gridSpan w:val="3"/>
            <w:tcBorders>
              <w:top w:val="nil"/>
              <w:left w:val="nil"/>
              <w:bottom w:val="nil"/>
              <w:right w:val="nil"/>
            </w:tcBorders>
            <w:shd w:val="clear" w:color="auto" w:fill="auto"/>
            <w:tcMar>
              <w:top w:w="288" w:type="dxa"/>
              <w:bottom w:w="0" w:type="dxa"/>
              <w:right w:w="0" w:type="dxa"/>
            </w:tcMar>
          </w:tcPr>
          <w:p w14:paraId="05959CA5"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57A72AF3" w14:textId="77777777" w:rsidR="007C0528" w:rsidRDefault="004D60FC">
            <w:pPr>
              <w:pStyle w:val="MemoHeading"/>
            </w:pPr>
            <w:bookmarkStart w:id="5" w:name="CommissionersAssigned"/>
            <w:r>
              <w:t>All Commissioners</w:t>
            </w:r>
            <w:bookmarkEnd w:id="5"/>
          </w:p>
        </w:tc>
      </w:tr>
      <w:tr w:rsidR="007C0528" w14:paraId="64DEF865" w14:textId="77777777">
        <w:tc>
          <w:tcPr>
            <w:tcW w:w="3690" w:type="dxa"/>
            <w:gridSpan w:val="3"/>
            <w:tcBorders>
              <w:top w:val="nil"/>
              <w:left w:val="nil"/>
              <w:bottom w:val="nil"/>
              <w:right w:val="nil"/>
            </w:tcBorders>
            <w:shd w:val="clear" w:color="auto" w:fill="auto"/>
            <w:tcMar>
              <w:top w:w="288" w:type="dxa"/>
              <w:bottom w:w="0" w:type="dxa"/>
              <w:right w:w="0" w:type="dxa"/>
            </w:tcMar>
          </w:tcPr>
          <w:p w14:paraId="5FFD4B4D"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133EA224" w14:textId="77777777" w:rsidR="007C0528" w:rsidRDefault="004D60FC">
            <w:pPr>
              <w:pStyle w:val="MemoHeading"/>
            </w:pPr>
            <w:bookmarkStart w:id="6" w:name="PrehearingOfficer"/>
            <w:r>
              <w:t>Graham</w:t>
            </w:r>
            <w:bookmarkEnd w:id="6"/>
          </w:p>
        </w:tc>
      </w:tr>
      <w:tr w:rsidR="007C0528" w14:paraId="10515831"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58EC392B" w14:textId="77777777" w:rsidR="007C0528" w:rsidRDefault="004D60FC" w:rsidP="00506C03">
            <w:pPr>
              <w:pStyle w:val="MemoHeadingLabel"/>
            </w:pPr>
            <w:bookmarkStart w:id="7" w:name="CriticalDatesLabel"/>
            <w:r>
              <w:t>RULE STATUS:</w:t>
            </w:r>
            <w:bookmarkEnd w:id="7"/>
          </w:p>
        </w:tc>
        <w:tc>
          <w:tcPr>
            <w:tcW w:w="5785" w:type="dxa"/>
            <w:tcBorders>
              <w:top w:val="nil"/>
              <w:left w:val="nil"/>
              <w:bottom w:val="nil"/>
              <w:right w:val="nil"/>
            </w:tcBorders>
            <w:shd w:val="clear" w:color="auto" w:fill="auto"/>
          </w:tcPr>
          <w:p w14:paraId="795A17D6" w14:textId="77777777" w:rsidR="007C0528" w:rsidRDefault="004D60FC">
            <w:pPr>
              <w:pStyle w:val="MemoHeading"/>
            </w:pPr>
            <w:bookmarkStart w:id="8" w:name="CriticalDates"/>
            <w:bookmarkEnd w:id="8"/>
            <w:r>
              <w:t>May Be Deferred</w:t>
            </w:r>
          </w:p>
        </w:tc>
      </w:tr>
      <w:tr w:rsidR="007C0528" w14:paraId="335177F1"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1BB11590"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7394ECE8" w14:textId="77777777" w:rsidR="007C0528" w:rsidRDefault="004D60FC">
            <w:pPr>
              <w:pStyle w:val="MemoHeading"/>
            </w:pPr>
            <w:bookmarkStart w:id="9" w:name="SpecialInstructions"/>
            <w:r>
              <w:t>None</w:t>
            </w:r>
            <w:bookmarkEnd w:id="9"/>
          </w:p>
        </w:tc>
      </w:tr>
    </w:tbl>
    <w:p w14:paraId="57733589" w14:textId="77777777" w:rsidR="007C0528" w:rsidRDefault="007C0528">
      <w:pPr>
        <w:pStyle w:val="BodyText"/>
      </w:pPr>
    </w:p>
    <w:p w14:paraId="79D9B291" w14:textId="77777777"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14:paraId="6AE4B5AC" w14:textId="46B9FE51" w:rsidR="007B32BD" w:rsidRDefault="004D60FC" w:rsidP="00584456">
      <w:pPr>
        <w:jc w:val="both"/>
        <w:rPr>
          <w:rFonts w:eastAsiaTheme="minorHAnsi" w:cstheme="minorBidi"/>
          <w:szCs w:val="22"/>
        </w:rPr>
      </w:pPr>
      <w:r>
        <w:t xml:space="preserve">Rule </w:t>
      </w:r>
      <w:r w:rsidRPr="000E122D">
        <w:rPr>
          <w:rFonts w:eastAsiaTheme="minorHAnsi" w:cstheme="minorBidi"/>
          <w:szCs w:val="22"/>
        </w:rPr>
        <w:t>25-14.004, Florida Administrative Code (F.A.C.), Effect of Parent Debt o</w:t>
      </w:r>
      <w:r>
        <w:rPr>
          <w:rFonts w:eastAsiaTheme="minorHAnsi" w:cstheme="minorBidi"/>
          <w:szCs w:val="22"/>
        </w:rPr>
        <w:t>n Federal Corporate Income Tax</w:t>
      </w:r>
      <w:r w:rsidRPr="000E122D">
        <w:rPr>
          <w:rFonts w:eastAsiaTheme="minorHAnsi" w:cstheme="minorBidi"/>
          <w:szCs w:val="22"/>
        </w:rPr>
        <w:t>, addresses how to assess the income tax expense of a regulated entity that is a subsidiary company and which files a consolidated tax return with</w:t>
      </w:r>
      <w:r>
        <w:rPr>
          <w:rFonts w:eastAsiaTheme="minorHAnsi" w:cstheme="minorBidi"/>
          <w:szCs w:val="22"/>
        </w:rPr>
        <w:t xml:space="preserve"> </w:t>
      </w:r>
      <w:r w:rsidR="00584456">
        <w:rPr>
          <w:rFonts w:eastAsiaTheme="minorHAnsi" w:cstheme="minorBidi"/>
          <w:szCs w:val="22"/>
        </w:rPr>
        <w:t>a</w:t>
      </w:r>
      <w:r>
        <w:rPr>
          <w:rFonts w:eastAsiaTheme="minorHAnsi" w:cstheme="minorBidi"/>
          <w:szCs w:val="22"/>
        </w:rPr>
        <w:t xml:space="preserve"> parent company. Under the </w:t>
      </w:r>
      <w:r w:rsidR="0040388D">
        <w:rPr>
          <w:rFonts w:eastAsiaTheme="minorHAnsi" w:cstheme="minorBidi"/>
          <w:szCs w:val="22"/>
        </w:rPr>
        <w:t xml:space="preserve">current </w:t>
      </w:r>
      <w:r w:rsidR="007B32BD">
        <w:rPr>
          <w:rFonts w:eastAsiaTheme="minorHAnsi" w:cstheme="minorBidi"/>
          <w:szCs w:val="22"/>
        </w:rPr>
        <w:t>r</w:t>
      </w:r>
      <w:r w:rsidRPr="000E122D">
        <w:rPr>
          <w:rFonts w:eastAsiaTheme="minorHAnsi" w:cstheme="minorBidi"/>
          <w:szCs w:val="22"/>
        </w:rPr>
        <w:t xml:space="preserve">ule, </w:t>
      </w:r>
      <w:r w:rsidR="007B32BD">
        <w:rPr>
          <w:rFonts w:eastAsiaTheme="minorHAnsi" w:cstheme="minorBidi"/>
          <w:szCs w:val="22"/>
        </w:rPr>
        <w:t xml:space="preserve">which applies to all regulated industries, </w:t>
      </w:r>
      <w:r w:rsidRPr="000E122D">
        <w:rPr>
          <w:rFonts w:eastAsiaTheme="minorHAnsi" w:cstheme="minorBidi"/>
          <w:szCs w:val="22"/>
        </w:rPr>
        <w:t>if the regulated</w:t>
      </w:r>
      <w:r w:rsidR="00213221">
        <w:rPr>
          <w:rFonts w:eastAsiaTheme="minorHAnsi" w:cstheme="minorBidi"/>
          <w:szCs w:val="22"/>
        </w:rPr>
        <w:t xml:space="preserve"> utility is a subsidiary of </w:t>
      </w:r>
      <w:r w:rsidR="00B160E6">
        <w:rPr>
          <w:rFonts w:eastAsiaTheme="minorHAnsi" w:cstheme="minorBidi"/>
          <w:szCs w:val="22"/>
        </w:rPr>
        <w:t xml:space="preserve">one or more </w:t>
      </w:r>
      <w:r w:rsidRPr="000E122D">
        <w:rPr>
          <w:rFonts w:eastAsiaTheme="minorHAnsi" w:cstheme="minorBidi"/>
          <w:szCs w:val="22"/>
        </w:rPr>
        <w:t>parent</w:t>
      </w:r>
      <w:r w:rsidR="00B160E6">
        <w:rPr>
          <w:rFonts w:eastAsiaTheme="minorHAnsi" w:cstheme="minorBidi"/>
          <w:szCs w:val="22"/>
        </w:rPr>
        <w:t xml:space="preserve"> companies</w:t>
      </w:r>
      <w:r w:rsidRPr="000E122D">
        <w:rPr>
          <w:rFonts w:eastAsiaTheme="minorHAnsi" w:cstheme="minorBidi"/>
          <w:szCs w:val="22"/>
        </w:rPr>
        <w:t xml:space="preserve">, the </w:t>
      </w:r>
      <w:r w:rsidR="00B160E6">
        <w:rPr>
          <w:rFonts w:eastAsiaTheme="minorHAnsi" w:cstheme="minorBidi"/>
          <w:szCs w:val="22"/>
        </w:rPr>
        <w:t>income tax effect of any parent</w:t>
      </w:r>
      <w:r w:rsidRPr="000E122D">
        <w:rPr>
          <w:rFonts w:eastAsiaTheme="minorHAnsi" w:cstheme="minorBidi"/>
          <w:szCs w:val="22"/>
        </w:rPr>
        <w:t xml:space="preserve"> debt invested in the equity of the subsidiary utility reduces the income tax expense of the regulated utility. There is a rebuttable presumption that a parent company’s investment in any subsidiary or in its own operations shall </w:t>
      </w:r>
      <w:r w:rsidR="00C5452B">
        <w:rPr>
          <w:rFonts w:eastAsiaTheme="minorHAnsi" w:cstheme="minorBidi"/>
          <w:szCs w:val="22"/>
        </w:rPr>
        <w:t xml:space="preserve">be considered to </w:t>
      </w:r>
      <w:r w:rsidRPr="000E122D">
        <w:rPr>
          <w:rFonts w:eastAsiaTheme="minorHAnsi" w:cstheme="minorBidi"/>
          <w:szCs w:val="22"/>
        </w:rPr>
        <w:t>have been made in the same ratios as exist in the paren</w:t>
      </w:r>
      <w:r w:rsidR="0040388D">
        <w:rPr>
          <w:rFonts w:eastAsiaTheme="minorHAnsi" w:cstheme="minorBidi"/>
          <w:szCs w:val="22"/>
        </w:rPr>
        <w:t>t’s overall capital structure.</w:t>
      </w:r>
    </w:p>
    <w:p w14:paraId="7EE9C315" w14:textId="16CC2388" w:rsidR="00DD5D54" w:rsidRDefault="00DD5D54" w:rsidP="00584456">
      <w:pPr>
        <w:jc w:val="both"/>
        <w:rPr>
          <w:rFonts w:eastAsiaTheme="minorHAnsi" w:cstheme="minorBidi"/>
          <w:szCs w:val="22"/>
        </w:rPr>
      </w:pPr>
    </w:p>
    <w:p w14:paraId="307BCDE8" w14:textId="640777DD" w:rsidR="00DD5D54" w:rsidRDefault="00DD5D54" w:rsidP="00584456">
      <w:pPr>
        <w:jc w:val="both"/>
        <w:rPr>
          <w:rFonts w:eastAsiaTheme="minorHAnsi" w:cstheme="minorBidi"/>
          <w:szCs w:val="22"/>
        </w:rPr>
      </w:pPr>
    </w:p>
    <w:p w14:paraId="0D8E32AE" w14:textId="77777777" w:rsidR="00DD5D54" w:rsidRDefault="00DD5D54" w:rsidP="00584456">
      <w:pPr>
        <w:jc w:val="both"/>
        <w:rPr>
          <w:rFonts w:eastAsiaTheme="minorHAnsi" w:cstheme="minorBidi"/>
          <w:szCs w:val="22"/>
        </w:rPr>
      </w:pPr>
    </w:p>
    <w:p w14:paraId="00662801" w14:textId="257322F5" w:rsidR="007B32BD" w:rsidRDefault="007B32BD" w:rsidP="007B32BD">
      <w:pPr>
        <w:pStyle w:val="First-LevelSubheading"/>
        <w:rPr>
          <w:rFonts w:eastAsiaTheme="minorHAnsi"/>
        </w:rPr>
      </w:pPr>
      <w:r>
        <w:rPr>
          <w:rFonts w:eastAsiaTheme="minorHAnsi"/>
        </w:rPr>
        <w:lastRenderedPageBreak/>
        <w:t>History of the Rule</w:t>
      </w:r>
    </w:p>
    <w:p w14:paraId="1B7D50AA" w14:textId="399059B8" w:rsidR="00723CFE" w:rsidRPr="000E122D" w:rsidRDefault="007B32BD" w:rsidP="00723CFE">
      <w:pPr>
        <w:spacing w:after="200"/>
        <w:jc w:val="both"/>
        <w:rPr>
          <w:rFonts w:eastAsiaTheme="minorHAnsi" w:cstheme="minorBidi"/>
          <w:szCs w:val="22"/>
        </w:rPr>
      </w:pPr>
      <w:r>
        <w:rPr>
          <w:rFonts w:eastAsiaTheme="minorHAnsi"/>
        </w:rPr>
        <w:t xml:space="preserve">Before </w:t>
      </w:r>
      <w:r w:rsidR="00BF38D0">
        <w:rPr>
          <w:rFonts w:eastAsiaTheme="minorHAnsi"/>
        </w:rPr>
        <w:t>Rule 25-14.004, F.A.C.,</w:t>
      </w:r>
      <w:r>
        <w:rPr>
          <w:rFonts w:eastAsiaTheme="minorHAnsi"/>
        </w:rPr>
        <w:t xml:space="preserve"> w</w:t>
      </w:r>
      <w:r w:rsidR="00723CFE">
        <w:rPr>
          <w:rFonts w:eastAsiaTheme="minorHAnsi"/>
        </w:rPr>
        <w:t xml:space="preserve">as </w:t>
      </w:r>
      <w:r w:rsidR="00584456">
        <w:rPr>
          <w:rFonts w:eastAsiaTheme="minorHAnsi"/>
        </w:rPr>
        <w:t xml:space="preserve">adopted, to </w:t>
      </w:r>
      <w:r w:rsidR="007D5AA2">
        <w:rPr>
          <w:rFonts w:eastAsiaTheme="minorHAnsi"/>
        </w:rPr>
        <w:t>determin</w:t>
      </w:r>
      <w:r w:rsidR="00584456">
        <w:rPr>
          <w:rFonts w:eastAsiaTheme="minorHAnsi"/>
        </w:rPr>
        <w:t>e</w:t>
      </w:r>
      <w:r w:rsidR="007D5AA2">
        <w:rPr>
          <w:rFonts w:eastAsiaTheme="minorHAnsi"/>
        </w:rPr>
        <w:t xml:space="preserve"> </w:t>
      </w:r>
      <w:r>
        <w:rPr>
          <w:rFonts w:eastAsiaTheme="minorHAnsi"/>
        </w:rPr>
        <w:t xml:space="preserve">the tax amount to be used in ratemaking for a regulated subsidiary that filed a consolidated income tax return with one or more parent companies, </w:t>
      </w:r>
      <w:r w:rsidR="00723CFE">
        <w:rPr>
          <w:rFonts w:eastAsiaTheme="minorHAnsi"/>
        </w:rPr>
        <w:t>the Commission typically used</w:t>
      </w:r>
      <w:r w:rsidR="00CF77A9">
        <w:rPr>
          <w:rFonts w:eastAsiaTheme="minorHAnsi"/>
        </w:rPr>
        <w:t xml:space="preserve"> only the subsidiary’s income (</w:t>
      </w:r>
      <w:r w:rsidR="00723CFE">
        <w:rPr>
          <w:rFonts w:eastAsiaTheme="minorHAnsi"/>
        </w:rPr>
        <w:t>subsidiary approach)</w:t>
      </w:r>
      <w:r w:rsidR="003C0C23">
        <w:rPr>
          <w:rFonts w:eastAsiaTheme="minorHAnsi"/>
        </w:rPr>
        <w:t>,</w:t>
      </w:r>
      <w:r w:rsidR="007D5AA2">
        <w:rPr>
          <w:rFonts w:eastAsiaTheme="minorHAnsi"/>
        </w:rPr>
        <w:t xml:space="preserve"> rather than the combined income reflect</w:t>
      </w:r>
      <w:r w:rsidR="00CF77A9">
        <w:rPr>
          <w:rFonts w:eastAsiaTheme="minorHAnsi"/>
        </w:rPr>
        <w:t>ed on the consolidated return (consolidated approach</w:t>
      </w:r>
      <w:r w:rsidR="007D5AA2">
        <w:rPr>
          <w:rFonts w:eastAsiaTheme="minorHAnsi"/>
        </w:rPr>
        <w:t>)</w:t>
      </w:r>
      <w:r w:rsidR="00723CFE">
        <w:rPr>
          <w:rFonts w:eastAsiaTheme="minorHAnsi"/>
        </w:rPr>
        <w:t xml:space="preserve">. That </w:t>
      </w:r>
      <w:r w:rsidR="00BC4046">
        <w:rPr>
          <w:rFonts w:eastAsiaTheme="minorHAnsi"/>
        </w:rPr>
        <w:t>policy</w:t>
      </w:r>
      <w:r w:rsidR="00723CFE">
        <w:rPr>
          <w:rFonts w:eastAsiaTheme="minorHAnsi"/>
        </w:rPr>
        <w:t xml:space="preserve"> was challenged </w:t>
      </w:r>
      <w:r w:rsidR="0040388D">
        <w:rPr>
          <w:rFonts w:eastAsiaTheme="minorHAnsi"/>
        </w:rPr>
        <w:t xml:space="preserve">by OPC </w:t>
      </w:r>
      <w:r w:rsidR="00723CFE">
        <w:rPr>
          <w:rFonts w:eastAsiaTheme="minorHAnsi"/>
        </w:rPr>
        <w:t xml:space="preserve">in </w:t>
      </w:r>
      <w:r w:rsidR="00723CFE" w:rsidRPr="000E122D">
        <w:rPr>
          <w:rFonts w:eastAsiaTheme="minorHAnsi" w:cstheme="minorBidi"/>
          <w:i/>
          <w:szCs w:val="22"/>
        </w:rPr>
        <w:t>Citizens of Fla. v. Hawkin</w:t>
      </w:r>
      <w:r w:rsidR="00723CFE" w:rsidRPr="000E122D">
        <w:rPr>
          <w:rFonts w:eastAsiaTheme="minorHAnsi" w:cstheme="minorBidi"/>
          <w:szCs w:val="22"/>
        </w:rPr>
        <w:t>s, 356 So. 2d 254 (Fla. 1978)</w:t>
      </w:r>
      <w:r w:rsidR="0040388D">
        <w:rPr>
          <w:rFonts w:eastAsiaTheme="minorHAnsi" w:cstheme="minorBidi"/>
          <w:szCs w:val="22"/>
        </w:rPr>
        <w:t xml:space="preserve">. </w:t>
      </w:r>
      <w:r w:rsidR="007D5AA2">
        <w:rPr>
          <w:rFonts w:eastAsiaTheme="minorHAnsi" w:cstheme="minorBidi"/>
          <w:szCs w:val="22"/>
        </w:rPr>
        <w:t>OPC argued that use of the subsidiary approach</w:t>
      </w:r>
      <w:r w:rsidR="00723CFE" w:rsidRPr="000E122D">
        <w:rPr>
          <w:rFonts w:eastAsiaTheme="minorHAnsi" w:cstheme="minorBidi"/>
          <w:szCs w:val="22"/>
        </w:rPr>
        <w:t xml:space="preserve"> resulted in double-leverage</w:t>
      </w:r>
      <w:r w:rsidR="007D5AA2">
        <w:rPr>
          <w:rStyle w:val="FootnoteReference"/>
          <w:rFonts w:eastAsiaTheme="minorHAnsi" w:cstheme="minorBidi"/>
          <w:szCs w:val="22"/>
        </w:rPr>
        <w:footnoteReference w:id="1"/>
      </w:r>
      <w:r w:rsidR="00723CFE" w:rsidRPr="000E122D">
        <w:rPr>
          <w:rFonts w:eastAsiaTheme="minorHAnsi" w:cstheme="minorBidi"/>
          <w:szCs w:val="22"/>
        </w:rPr>
        <w:t xml:space="preserve"> as the regulated entity was able “to receive an allowance for income tax expense greater than the actual income tax liability for which it would be properly responsible under [the] consolidated return.” </w:t>
      </w:r>
      <w:r w:rsidR="00723CFE" w:rsidRPr="000E122D">
        <w:rPr>
          <w:rFonts w:eastAsiaTheme="minorHAnsi" w:cstheme="minorBidi"/>
          <w:i/>
          <w:szCs w:val="22"/>
        </w:rPr>
        <w:t>Id</w:t>
      </w:r>
      <w:r w:rsidR="00D952C3">
        <w:rPr>
          <w:rFonts w:eastAsiaTheme="minorHAnsi" w:cstheme="minorBidi"/>
          <w:i/>
          <w:szCs w:val="22"/>
        </w:rPr>
        <w:t>.</w:t>
      </w:r>
      <w:r w:rsidR="0048660E">
        <w:rPr>
          <w:rFonts w:eastAsiaTheme="minorHAnsi" w:cstheme="minorBidi"/>
          <w:szCs w:val="22"/>
        </w:rPr>
        <w:t xml:space="preserve"> at 259.</w:t>
      </w:r>
    </w:p>
    <w:p w14:paraId="318C3EF5" w14:textId="57FA5FBB" w:rsidR="00723CFE" w:rsidRPr="000E122D" w:rsidRDefault="00723CFE" w:rsidP="00723CFE">
      <w:pPr>
        <w:spacing w:after="200"/>
        <w:jc w:val="both"/>
        <w:rPr>
          <w:rFonts w:eastAsiaTheme="minorHAnsi" w:cstheme="minorBidi"/>
          <w:szCs w:val="22"/>
        </w:rPr>
      </w:pPr>
      <w:r>
        <w:rPr>
          <w:rFonts w:eastAsiaTheme="minorHAnsi" w:cstheme="minorBidi"/>
          <w:szCs w:val="22"/>
        </w:rPr>
        <w:t xml:space="preserve">In </w:t>
      </w:r>
      <w:r w:rsidRPr="00F21BAF">
        <w:rPr>
          <w:rFonts w:eastAsiaTheme="minorHAnsi" w:cstheme="minorBidi"/>
          <w:i/>
          <w:szCs w:val="22"/>
        </w:rPr>
        <w:t>Hawkins,</w:t>
      </w:r>
      <w:r>
        <w:rPr>
          <w:rFonts w:eastAsiaTheme="minorHAnsi" w:cstheme="minorBidi"/>
          <w:szCs w:val="22"/>
        </w:rPr>
        <w:t xml:space="preserve"> the Court found </w:t>
      </w:r>
      <w:r w:rsidR="00656640">
        <w:rPr>
          <w:rFonts w:eastAsiaTheme="minorHAnsi" w:cstheme="minorBidi"/>
          <w:szCs w:val="22"/>
        </w:rPr>
        <w:t>that there was insuff</w:t>
      </w:r>
      <w:r w:rsidR="00BC4046">
        <w:rPr>
          <w:rFonts w:eastAsiaTheme="minorHAnsi" w:cstheme="minorBidi"/>
          <w:szCs w:val="22"/>
        </w:rPr>
        <w:t>ic</w:t>
      </w:r>
      <w:r w:rsidR="00656640">
        <w:rPr>
          <w:rFonts w:eastAsiaTheme="minorHAnsi" w:cstheme="minorBidi"/>
          <w:szCs w:val="22"/>
        </w:rPr>
        <w:t xml:space="preserve">ient record evidence </w:t>
      </w:r>
      <w:r w:rsidR="00BC4046">
        <w:rPr>
          <w:rFonts w:eastAsiaTheme="minorHAnsi" w:cstheme="minorBidi"/>
          <w:szCs w:val="22"/>
        </w:rPr>
        <w:t>to support the subsidiary approach and that the evidence in the record supported t</w:t>
      </w:r>
      <w:r w:rsidRPr="000E122D">
        <w:rPr>
          <w:rFonts w:eastAsiaTheme="minorHAnsi" w:cstheme="minorBidi"/>
          <w:szCs w:val="22"/>
        </w:rPr>
        <w:t xml:space="preserve">he consolidated approach as being more accurate. </w:t>
      </w:r>
      <w:r w:rsidRPr="000E122D">
        <w:rPr>
          <w:rFonts w:eastAsiaTheme="minorHAnsi" w:cstheme="minorBidi"/>
          <w:i/>
          <w:szCs w:val="22"/>
        </w:rPr>
        <w:t>Id.</w:t>
      </w:r>
      <w:r w:rsidRPr="000E122D">
        <w:rPr>
          <w:rFonts w:eastAsiaTheme="minorHAnsi" w:cstheme="minorBidi"/>
          <w:szCs w:val="22"/>
        </w:rPr>
        <w:t xml:space="preserve"> a</w:t>
      </w:r>
      <w:r w:rsidR="002E6247">
        <w:rPr>
          <w:rFonts w:eastAsiaTheme="minorHAnsi" w:cstheme="minorBidi"/>
          <w:szCs w:val="22"/>
        </w:rPr>
        <w:t>t 259-260 (citations omitted).</w:t>
      </w:r>
    </w:p>
    <w:p w14:paraId="6C58157E" w14:textId="5B742517" w:rsidR="00723CFE" w:rsidRDefault="00723CFE" w:rsidP="00723CFE">
      <w:pPr>
        <w:spacing w:after="200"/>
        <w:jc w:val="both"/>
        <w:rPr>
          <w:rFonts w:eastAsiaTheme="minorHAnsi" w:cstheme="minorBidi"/>
          <w:szCs w:val="22"/>
        </w:rPr>
      </w:pPr>
      <w:r w:rsidRPr="000E122D">
        <w:rPr>
          <w:rFonts w:eastAsiaTheme="minorHAnsi" w:cstheme="minorBidi"/>
          <w:szCs w:val="22"/>
        </w:rPr>
        <w:t>Thereafter,</w:t>
      </w:r>
      <w:r w:rsidR="007D5AA2">
        <w:rPr>
          <w:rFonts w:eastAsiaTheme="minorHAnsi" w:cstheme="minorBidi"/>
          <w:szCs w:val="22"/>
        </w:rPr>
        <w:t xml:space="preserve"> in 1983,</w:t>
      </w:r>
      <w:r w:rsidRPr="000E122D">
        <w:rPr>
          <w:rFonts w:eastAsiaTheme="minorHAnsi" w:cstheme="minorBidi"/>
          <w:szCs w:val="22"/>
        </w:rPr>
        <w:t xml:space="preserve"> the </w:t>
      </w:r>
      <w:r>
        <w:rPr>
          <w:rFonts w:eastAsiaTheme="minorHAnsi" w:cstheme="minorBidi"/>
          <w:szCs w:val="22"/>
        </w:rPr>
        <w:t xml:space="preserve">Commission adopted the </w:t>
      </w:r>
      <w:r w:rsidRPr="000E122D">
        <w:rPr>
          <w:rFonts w:eastAsiaTheme="minorHAnsi" w:cstheme="minorBidi"/>
          <w:szCs w:val="22"/>
        </w:rPr>
        <w:t xml:space="preserve">current </w:t>
      </w:r>
      <w:r>
        <w:rPr>
          <w:rFonts w:eastAsiaTheme="minorHAnsi" w:cstheme="minorBidi"/>
          <w:szCs w:val="22"/>
        </w:rPr>
        <w:t>r</w:t>
      </w:r>
      <w:r w:rsidR="007D5AA2">
        <w:rPr>
          <w:rFonts w:eastAsiaTheme="minorHAnsi" w:cstheme="minorBidi"/>
          <w:szCs w:val="22"/>
        </w:rPr>
        <w:t>ule reflecting the consolidated approach</w:t>
      </w:r>
      <w:r w:rsidRPr="000E122D">
        <w:rPr>
          <w:rFonts w:eastAsiaTheme="minorHAnsi" w:cstheme="minorBidi"/>
          <w:szCs w:val="22"/>
        </w:rPr>
        <w:t xml:space="preserve">. </w:t>
      </w:r>
      <w:r>
        <w:rPr>
          <w:rFonts w:eastAsiaTheme="minorHAnsi" w:cstheme="minorBidi"/>
          <w:szCs w:val="22"/>
        </w:rPr>
        <w:t xml:space="preserve">The rule was challenged and upheld as a valid exercise of legal authority in </w:t>
      </w:r>
      <w:r w:rsidRPr="000E122D">
        <w:rPr>
          <w:rFonts w:eastAsiaTheme="minorHAnsi" w:cstheme="minorBidi"/>
          <w:i/>
          <w:szCs w:val="22"/>
        </w:rPr>
        <w:t>General Tele. Co. of Fla. v. Fla. Pub. Serv. Comm’n</w:t>
      </w:r>
      <w:r w:rsidRPr="000E122D">
        <w:rPr>
          <w:rFonts w:eastAsiaTheme="minorHAnsi" w:cstheme="minorBidi"/>
          <w:szCs w:val="22"/>
        </w:rPr>
        <w:t>, 446 So. 2d 1063 (Fla. 1984)</w:t>
      </w:r>
      <w:r w:rsidR="007D5AA2">
        <w:rPr>
          <w:rFonts w:eastAsiaTheme="minorHAnsi" w:cstheme="minorBidi"/>
          <w:szCs w:val="22"/>
        </w:rPr>
        <w:t xml:space="preserve">. However, as discussed further below, </w:t>
      </w:r>
      <w:r w:rsidR="007D5AA2" w:rsidRPr="007D5AA2">
        <w:rPr>
          <w:rFonts w:eastAsiaTheme="minorHAnsi" w:cstheme="minorBidi"/>
          <w:i/>
          <w:szCs w:val="22"/>
        </w:rPr>
        <w:t>General Telephone</w:t>
      </w:r>
      <w:r w:rsidR="007D5AA2">
        <w:rPr>
          <w:rFonts w:eastAsiaTheme="minorHAnsi" w:cstheme="minorBidi"/>
          <w:szCs w:val="22"/>
        </w:rPr>
        <w:t xml:space="preserve"> was</w:t>
      </w:r>
      <w:r w:rsidRPr="000E122D">
        <w:rPr>
          <w:rFonts w:eastAsiaTheme="minorHAnsi" w:cstheme="minorBidi"/>
          <w:szCs w:val="22"/>
        </w:rPr>
        <w:t xml:space="preserve"> not a substantive endorsement</w:t>
      </w:r>
      <w:r w:rsidR="007D5AA2">
        <w:rPr>
          <w:rFonts w:eastAsiaTheme="minorHAnsi" w:cstheme="minorBidi"/>
          <w:szCs w:val="22"/>
        </w:rPr>
        <w:t xml:space="preserve"> of the consolidated approach over the subsidiary approach</w:t>
      </w:r>
      <w:r w:rsidRPr="000E122D">
        <w:rPr>
          <w:rFonts w:eastAsiaTheme="minorHAnsi" w:cstheme="minorBidi"/>
          <w:szCs w:val="22"/>
        </w:rPr>
        <w:t>. Rather, the Court only evaluated whether the rule was “reasonably related to the purposes of the enabling legislation, and.</w:t>
      </w:r>
      <w:r w:rsidR="00D952C3">
        <w:rPr>
          <w:rFonts w:eastAsiaTheme="minorHAnsi" w:cstheme="minorBidi"/>
          <w:szCs w:val="22"/>
        </w:rPr>
        <w:t xml:space="preserve"> </w:t>
      </w:r>
      <w:r w:rsidR="007D5AA2">
        <w:rPr>
          <w:rFonts w:eastAsiaTheme="minorHAnsi" w:cstheme="minorBidi"/>
          <w:szCs w:val="22"/>
        </w:rPr>
        <w:t>.</w:t>
      </w:r>
      <w:r w:rsidR="00D952C3">
        <w:rPr>
          <w:rFonts w:eastAsiaTheme="minorHAnsi" w:cstheme="minorBidi"/>
          <w:szCs w:val="22"/>
        </w:rPr>
        <w:t xml:space="preserve"> </w:t>
      </w:r>
      <w:r w:rsidR="003C0C23">
        <w:rPr>
          <w:rFonts w:eastAsiaTheme="minorHAnsi" w:cstheme="minorBidi"/>
          <w:szCs w:val="22"/>
        </w:rPr>
        <w:t>.</w:t>
      </w:r>
      <w:r w:rsidR="00D952C3">
        <w:rPr>
          <w:rFonts w:eastAsiaTheme="minorHAnsi" w:cstheme="minorBidi"/>
          <w:szCs w:val="22"/>
        </w:rPr>
        <w:t xml:space="preserve"> </w:t>
      </w:r>
      <w:r w:rsidRPr="000E122D">
        <w:rPr>
          <w:rFonts w:eastAsiaTheme="minorHAnsi" w:cstheme="minorBidi"/>
          <w:szCs w:val="22"/>
        </w:rPr>
        <w:t xml:space="preserve">not arbitrary or capricious.” </w:t>
      </w:r>
      <w:r w:rsidRPr="000E122D">
        <w:rPr>
          <w:rFonts w:eastAsiaTheme="minorHAnsi" w:cstheme="minorBidi"/>
          <w:i/>
          <w:szCs w:val="22"/>
        </w:rPr>
        <w:t>General Tele.</w:t>
      </w:r>
      <w:r w:rsidRPr="000E122D">
        <w:rPr>
          <w:rFonts w:eastAsiaTheme="minorHAnsi" w:cstheme="minorBidi"/>
          <w:szCs w:val="22"/>
        </w:rPr>
        <w:t xml:space="preserve">, 446 So. </w:t>
      </w:r>
      <w:r w:rsidR="006177E4">
        <w:rPr>
          <w:rFonts w:eastAsiaTheme="minorHAnsi" w:cstheme="minorBidi"/>
          <w:szCs w:val="22"/>
        </w:rPr>
        <w:t>2d at 1067</w:t>
      </w:r>
      <w:r w:rsidRPr="000E122D">
        <w:rPr>
          <w:rFonts w:eastAsiaTheme="minorHAnsi" w:cstheme="minorBidi"/>
          <w:szCs w:val="22"/>
        </w:rPr>
        <w:t xml:space="preserve"> </w:t>
      </w:r>
      <w:r w:rsidR="006177E4">
        <w:rPr>
          <w:rFonts w:eastAsiaTheme="minorHAnsi" w:cstheme="minorBidi"/>
          <w:szCs w:val="22"/>
        </w:rPr>
        <w:t>(</w:t>
      </w:r>
      <w:r w:rsidRPr="000E122D">
        <w:rPr>
          <w:rFonts w:eastAsiaTheme="minorHAnsi" w:cstheme="minorBidi"/>
          <w:szCs w:val="22"/>
        </w:rPr>
        <w:t xml:space="preserve">quoting </w:t>
      </w:r>
      <w:r w:rsidRPr="000E122D">
        <w:rPr>
          <w:rFonts w:eastAsiaTheme="minorHAnsi" w:cstheme="minorBidi"/>
          <w:i/>
          <w:szCs w:val="22"/>
        </w:rPr>
        <w:t>Agrico Chem. Co. v. State, Dep’t of Env. Reg.</w:t>
      </w:r>
      <w:r w:rsidRPr="000E122D">
        <w:rPr>
          <w:rFonts w:eastAsiaTheme="minorHAnsi" w:cstheme="minorBidi"/>
          <w:szCs w:val="22"/>
        </w:rPr>
        <w:t>, 365 So. 2d 759 (Fla. 1</w:t>
      </w:r>
      <w:r>
        <w:rPr>
          <w:rFonts w:eastAsiaTheme="minorHAnsi" w:cstheme="minorBidi"/>
          <w:szCs w:val="22"/>
        </w:rPr>
        <w:t>st</w:t>
      </w:r>
      <w:r w:rsidRPr="000E122D">
        <w:rPr>
          <w:rFonts w:eastAsiaTheme="minorHAnsi" w:cstheme="minorBidi"/>
          <w:szCs w:val="22"/>
        </w:rPr>
        <w:t xml:space="preserve"> DCA 1978), </w:t>
      </w:r>
      <w:r w:rsidRPr="000E122D">
        <w:rPr>
          <w:rFonts w:eastAsiaTheme="minorHAnsi" w:cstheme="minorBidi"/>
          <w:i/>
          <w:szCs w:val="22"/>
        </w:rPr>
        <w:t>cert. den’d</w:t>
      </w:r>
      <w:r w:rsidR="006177E4">
        <w:rPr>
          <w:rFonts w:eastAsiaTheme="minorHAnsi" w:cstheme="minorBidi"/>
          <w:i/>
          <w:szCs w:val="22"/>
        </w:rPr>
        <w:t>,</w:t>
      </w:r>
      <w:r>
        <w:rPr>
          <w:rFonts w:eastAsiaTheme="minorHAnsi" w:cstheme="minorBidi"/>
          <w:szCs w:val="22"/>
        </w:rPr>
        <w:t xml:space="preserve"> 376 So. 2d 74 (Fla. 1979)</w:t>
      </w:r>
      <w:r w:rsidR="006177E4">
        <w:rPr>
          <w:rFonts w:eastAsiaTheme="minorHAnsi" w:cstheme="minorBidi"/>
          <w:szCs w:val="22"/>
        </w:rPr>
        <w:t>)</w:t>
      </w:r>
      <w:r>
        <w:rPr>
          <w:rFonts w:eastAsiaTheme="minorHAnsi" w:cstheme="minorBidi"/>
          <w:szCs w:val="22"/>
        </w:rPr>
        <w:t>.</w:t>
      </w:r>
    </w:p>
    <w:p w14:paraId="08B07005" w14:textId="6AE0EB84" w:rsidR="002C08B1" w:rsidRDefault="002C08B1" w:rsidP="002C08B1">
      <w:pPr>
        <w:spacing w:after="200"/>
        <w:jc w:val="both"/>
        <w:rPr>
          <w:rFonts w:eastAsiaTheme="minorHAnsi" w:cstheme="minorBidi"/>
          <w:szCs w:val="22"/>
        </w:rPr>
      </w:pPr>
      <w:r>
        <w:rPr>
          <w:rFonts w:eastAsiaTheme="minorHAnsi" w:cstheme="minorBidi"/>
          <w:szCs w:val="22"/>
        </w:rPr>
        <w:t xml:space="preserve">In </w:t>
      </w:r>
      <w:r w:rsidRPr="000E122D">
        <w:rPr>
          <w:rFonts w:eastAsiaTheme="minorHAnsi" w:cstheme="minorBidi"/>
          <w:szCs w:val="22"/>
        </w:rPr>
        <w:t>1988</w:t>
      </w:r>
      <w:r w:rsidR="001C52DA">
        <w:rPr>
          <w:rFonts w:eastAsiaTheme="minorHAnsi" w:cstheme="minorBidi"/>
          <w:szCs w:val="22"/>
        </w:rPr>
        <w:t>,</w:t>
      </w:r>
      <w:r>
        <w:rPr>
          <w:rFonts w:eastAsiaTheme="minorHAnsi" w:cstheme="minorBidi"/>
          <w:szCs w:val="22"/>
        </w:rPr>
        <w:t xml:space="preserve"> </w:t>
      </w:r>
      <w:r w:rsidR="00BF38D0">
        <w:rPr>
          <w:rFonts w:eastAsiaTheme="minorHAnsi" w:cstheme="minorBidi"/>
          <w:szCs w:val="22"/>
        </w:rPr>
        <w:t>the Commission considered whether</w:t>
      </w:r>
      <w:r w:rsidR="0040388D">
        <w:rPr>
          <w:rFonts w:eastAsiaTheme="minorHAnsi" w:cstheme="minorBidi"/>
          <w:szCs w:val="22"/>
        </w:rPr>
        <w:t xml:space="preserve"> the rule was </w:t>
      </w:r>
      <w:r w:rsidR="001C52DA">
        <w:rPr>
          <w:rFonts w:eastAsiaTheme="minorHAnsi" w:cstheme="minorBidi"/>
          <w:szCs w:val="22"/>
        </w:rPr>
        <w:t>necessary</w:t>
      </w:r>
      <w:r w:rsidR="0040388D">
        <w:rPr>
          <w:rFonts w:eastAsiaTheme="minorHAnsi" w:cstheme="minorBidi"/>
          <w:szCs w:val="22"/>
        </w:rPr>
        <w:t xml:space="preserve"> or</w:t>
      </w:r>
      <w:r w:rsidR="001C52DA">
        <w:rPr>
          <w:rFonts w:eastAsiaTheme="minorHAnsi" w:cstheme="minorBidi"/>
          <w:szCs w:val="22"/>
        </w:rPr>
        <w:t xml:space="preserve"> whether the litigation process would resolve the tax matter</w:t>
      </w:r>
      <w:r w:rsidR="0040388D">
        <w:rPr>
          <w:rFonts w:eastAsiaTheme="minorHAnsi" w:cstheme="minorBidi"/>
          <w:szCs w:val="22"/>
        </w:rPr>
        <w:t>,</w:t>
      </w:r>
      <w:r w:rsidR="001C52DA">
        <w:rPr>
          <w:rFonts w:eastAsiaTheme="minorHAnsi" w:cstheme="minorBidi"/>
          <w:szCs w:val="22"/>
        </w:rPr>
        <w:t xml:space="preserve"> and whether the rule should </w:t>
      </w:r>
      <w:r w:rsidR="006177E4">
        <w:rPr>
          <w:rFonts w:eastAsiaTheme="minorHAnsi" w:cstheme="minorBidi"/>
          <w:szCs w:val="22"/>
        </w:rPr>
        <w:t>be repealed. The s</w:t>
      </w:r>
      <w:r>
        <w:rPr>
          <w:rFonts w:eastAsiaTheme="minorHAnsi" w:cstheme="minorBidi"/>
          <w:szCs w:val="22"/>
        </w:rPr>
        <w:t xml:space="preserve">taff </w:t>
      </w:r>
      <w:r w:rsidRPr="000E122D">
        <w:rPr>
          <w:rFonts w:eastAsiaTheme="minorHAnsi" w:cstheme="minorBidi"/>
          <w:szCs w:val="22"/>
        </w:rPr>
        <w:t xml:space="preserve">recommendation provided argument </w:t>
      </w:r>
      <w:r>
        <w:rPr>
          <w:rFonts w:eastAsiaTheme="minorHAnsi" w:cstheme="minorBidi"/>
          <w:szCs w:val="22"/>
        </w:rPr>
        <w:t xml:space="preserve">both in support of the </w:t>
      </w:r>
      <w:r w:rsidR="001C52DA">
        <w:rPr>
          <w:rFonts w:eastAsiaTheme="minorHAnsi" w:cstheme="minorBidi"/>
          <w:szCs w:val="22"/>
        </w:rPr>
        <w:t xml:space="preserve">current </w:t>
      </w:r>
      <w:r>
        <w:rPr>
          <w:rFonts w:eastAsiaTheme="minorHAnsi" w:cstheme="minorBidi"/>
          <w:szCs w:val="22"/>
        </w:rPr>
        <w:t>r</w:t>
      </w:r>
      <w:r w:rsidRPr="000E122D">
        <w:rPr>
          <w:rFonts w:eastAsiaTheme="minorHAnsi" w:cstheme="minorBidi"/>
          <w:szCs w:val="22"/>
        </w:rPr>
        <w:t>ule and also in support</w:t>
      </w:r>
      <w:r>
        <w:rPr>
          <w:rFonts w:eastAsiaTheme="minorHAnsi" w:cstheme="minorBidi"/>
          <w:szCs w:val="22"/>
        </w:rPr>
        <w:t xml:space="preserve"> of its repeal.</w:t>
      </w:r>
      <w:r>
        <w:rPr>
          <w:rStyle w:val="FootnoteReference"/>
          <w:rFonts w:eastAsiaTheme="minorHAnsi" w:cstheme="minorBidi"/>
          <w:szCs w:val="22"/>
        </w:rPr>
        <w:footnoteReference w:id="2"/>
      </w:r>
      <w:r w:rsidR="001C52DA">
        <w:rPr>
          <w:rFonts w:eastAsiaTheme="minorHAnsi" w:cstheme="minorBidi"/>
          <w:szCs w:val="22"/>
        </w:rPr>
        <w:t xml:space="preserve"> Th</w:t>
      </w:r>
      <w:r w:rsidRPr="000E122D">
        <w:rPr>
          <w:rFonts w:eastAsiaTheme="minorHAnsi" w:cstheme="minorBidi"/>
          <w:szCs w:val="22"/>
        </w:rPr>
        <w:t>e Commission did not affirmative</w:t>
      </w:r>
      <w:r w:rsidR="00584456">
        <w:rPr>
          <w:rFonts w:eastAsiaTheme="minorHAnsi" w:cstheme="minorBidi"/>
          <w:szCs w:val="22"/>
        </w:rPr>
        <w:t>ly reject repeal of</w:t>
      </w:r>
      <w:r>
        <w:rPr>
          <w:rFonts w:eastAsiaTheme="minorHAnsi" w:cstheme="minorBidi"/>
          <w:szCs w:val="22"/>
        </w:rPr>
        <w:t xml:space="preserve"> the </w:t>
      </w:r>
      <w:r w:rsidR="00584456">
        <w:rPr>
          <w:rFonts w:eastAsiaTheme="minorHAnsi" w:cstheme="minorBidi"/>
          <w:szCs w:val="22"/>
        </w:rPr>
        <w:t>r</w:t>
      </w:r>
      <w:r>
        <w:rPr>
          <w:rFonts w:eastAsiaTheme="minorHAnsi" w:cstheme="minorBidi"/>
          <w:szCs w:val="22"/>
        </w:rPr>
        <w:t>ule. Rather, the Commission order</w:t>
      </w:r>
      <w:r w:rsidRPr="000E122D">
        <w:rPr>
          <w:rFonts w:eastAsiaTheme="minorHAnsi" w:cstheme="minorBidi"/>
          <w:szCs w:val="22"/>
        </w:rPr>
        <w:t xml:space="preserve"> simply stated, “</w:t>
      </w:r>
      <w:r>
        <w:rPr>
          <w:rFonts w:eastAsiaTheme="minorHAnsi" w:cstheme="minorBidi"/>
          <w:szCs w:val="22"/>
        </w:rPr>
        <w:t>[w]</w:t>
      </w:r>
      <w:r w:rsidRPr="000E122D">
        <w:rPr>
          <w:rFonts w:eastAsiaTheme="minorHAnsi" w:cstheme="minorBidi"/>
          <w:szCs w:val="22"/>
        </w:rPr>
        <w:t xml:space="preserve">e do not wish to revisit the </w:t>
      </w:r>
      <w:r>
        <w:rPr>
          <w:rFonts w:eastAsiaTheme="minorHAnsi" w:cstheme="minorBidi"/>
          <w:szCs w:val="22"/>
        </w:rPr>
        <w:t>r</w:t>
      </w:r>
      <w:r w:rsidRPr="000E122D">
        <w:rPr>
          <w:rFonts w:eastAsiaTheme="minorHAnsi" w:cstheme="minorBidi"/>
          <w:szCs w:val="22"/>
        </w:rPr>
        <w:t>ule at this time.”</w:t>
      </w:r>
      <w:r w:rsidRPr="000E122D">
        <w:rPr>
          <w:rFonts w:eastAsiaTheme="minorHAnsi" w:cstheme="minorBidi"/>
          <w:szCs w:val="22"/>
          <w:vertAlign w:val="superscript"/>
        </w:rPr>
        <w:footnoteReference w:id="3"/>
      </w:r>
    </w:p>
    <w:p w14:paraId="61AC0AB3" w14:textId="53778A99" w:rsidR="00EA2273" w:rsidRDefault="002C08B1" w:rsidP="00584456">
      <w:pPr>
        <w:spacing w:after="200"/>
        <w:jc w:val="both"/>
        <w:rPr>
          <w:rFonts w:eastAsiaTheme="minorHAnsi" w:cstheme="minorBidi"/>
          <w:szCs w:val="22"/>
        </w:rPr>
      </w:pPr>
      <w:r>
        <w:rPr>
          <w:rFonts w:eastAsiaTheme="minorHAnsi" w:cstheme="minorBidi"/>
          <w:szCs w:val="22"/>
        </w:rPr>
        <w:t>No further efforts to repeal or amend th</w:t>
      </w:r>
      <w:r w:rsidR="006177E4">
        <w:rPr>
          <w:rFonts w:eastAsiaTheme="minorHAnsi" w:cstheme="minorBidi"/>
          <w:szCs w:val="22"/>
        </w:rPr>
        <w:t>e rule have been made since that time</w:t>
      </w:r>
      <w:r>
        <w:rPr>
          <w:rFonts w:eastAsiaTheme="minorHAnsi" w:cstheme="minorBidi"/>
          <w:szCs w:val="22"/>
        </w:rPr>
        <w:t>.</w:t>
      </w:r>
      <w:bookmarkEnd w:id="11"/>
    </w:p>
    <w:p w14:paraId="6AA0C0B8" w14:textId="46414500" w:rsidR="00BF38D0" w:rsidRDefault="00BF38D0" w:rsidP="00BF38D0">
      <w:pPr>
        <w:pStyle w:val="First-LevelSubheading"/>
        <w:rPr>
          <w:rFonts w:eastAsiaTheme="minorHAnsi"/>
        </w:rPr>
      </w:pPr>
      <w:r>
        <w:rPr>
          <w:rFonts w:eastAsiaTheme="minorHAnsi"/>
        </w:rPr>
        <w:t>Procedural Matters</w:t>
      </w:r>
    </w:p>
    <w:p w14:paraId="340E415D" w14:textId="030E8269" w:rsidR="00BF38D0" w:rsidRDefault="00BF38D0" w:rsidP="00BF38D0">
      <w:pPr>
        <w:spacing w:after="200"/>
        <w:jc w:val="both"/>
        <w:rPr>
          <w:rFonts w:eastAsiaTheme="minorHAnsi" w:cstheme="minorBidi"/>
          <w:szCs w:val="22"/>
        </w:rPr>
      </w:pPr>
      <w:r>
        <w:rPr>
          <w:rFonts w:eastAsiaTheme="minorHAnsi" w:cstheme="minorBidi"/>
          <w:szCs w:val="22"/>
        </w:rPr>
        <w:t>S</w:t>
      </w:r>
      <w:r w:rsidRPr="000E122D">
        <w:rPr>
          <w:rFonts w:eastAsiaTheme="minorHAnsi" w:cstheme="minorBidi"/>
          <w:szCs w:val="22"/>
        </w:rPr>
        <w:t xml:space="preserve">taff </w:t>
      </w:r>
      <w:r>
        <w:rPr>
          <w:rFonts w:eastAsiaTheme="minorHAnsi" w:cstheme="minorBidi"/>
          <w:szCs w:val="22"/>
        </w:rPr>
        <w:t xml:space="preserve">initiated this rulemaking to </w:t>
      </w:r>
      <w:r w:rsidRPr="000E122D">
        <w:rPr>
          <w:rFonts w:eastAsiaTheme="minorHAnsi" w:cstheme="minorBidi"/>
          <w:szCs w:val="22"/>
        </w:rPr>
        <w:t>amend Rule 25-14.004, F.A.C.</w:t>
      </w:r>
      <w:r>
        <w:rPr>
          <w:rFonts w:eastAsiaTheme="minorHAnsi" w:cstheme="minorBidi"/>
          <w:szCs w:val="22"/>
        </w:rPr>
        <w:t>, to update the rule to change</w:t>
      </w:r>
      <w:r w:rsidRPr="000E122D">
        <w:rPr>
          <w:rFonts w:eastAsiaTheme="minorHAnsi" w:cstheme="minorBidi"/>
          <w:szCs w:val="22"/>
        </w:rPr>
        <w:t xml:space="preserve"> the method by which the tax expense of a regulated subsidiary utility is det</w:t>
      </w:r>
      <w:r>
        <w:rPr>
          <w:rFonts w:eastAsiaTheme="minorHAnsi" w:cstheme="minorBidi"/>
          <w:szCs w:val="22"/>
        </w:rPr>
        <w:t xml:space="preserve">ermined to a stand-alone basis </w:t>
      </w:r>
      <w:r w:rsidR="0040388D">
        <w:rPr>
          <w:rFonts w:eastAsiaTheme="minorHAnsi" w:cstheme="minorBidi"/>
          <w:szCs w:val="22"/>
        </w:rPr>
        <w:t>(</w:t>
      </w:r>
      <w:r>
        <w:rPr>
          <w:rFonts w:eastAsiaTheme="minorHAnsi" w:cstheme="minorBidi"/>
          <w:szCs w:val="22"/>
        </w:rPr>
        <w:t>which reflects current, nationally recognized best practices</w:t>
      </w:r>
      <w:r w:rsidR="0040388D">
        <w:rPr>
          <w:rFonts w:eastAsiaTheme="minorHAnsi" w:cstheme="minorBidi"/>
          <w:szCs w:val="22"/>
        </w:rPr>
        <w:t>),</w:t>
      </w:r>
      <w:r>
        <w:rPr>
          <w:rFonts w:eastAsiaTheme="minorHAnsi" w:cstheme="minorBidi"/>
          <w:szCs w:val="22"/>
        </w:rPr>
        <w:t xml:space="preserve"> and to clarify and simplify the rule </w:t>
      </w:r>
      <w:r w:rsidRPr="000E122D">
        <w:rPr>
          <w:rFonts w:eastAsiaTheme="minorHAnsi" w:cstheme="minorBidi"/>
          <w:szCs w:val="22"/>
        </w:rPr>
        <w:t xml:space="preserve">by deleting reference to </w:t>
      </w:r>
      <w:r>
        <w:rPr>
          <w:rFonts w:eastAsiaTheme="minorHAnsi" w:cstheme="minorBidi"/>
          <w:szCs w:val="22"/>
        </w:rPr>
        <w:t>a repealed rule.</w:t>
      </w:r>
    </w:p>
    <w:p w14:paraId="21EE638E" w14:textId="18F0BEE6" w:rsidR="00BF38D0" w:rsidRDefault="00BF38D0" w:rsidP="00BF38D0">
      <w:pPr>
        <w:spacing w:after="200"/>
        <w:jc w:val="both"/>
        <w:rPr>
          <w:rFonts w:eastAsiaTheme="minorHAnsi" w:cstheme="minorBidi"/>
          <w:szCs w:val="22"/>
        </w:rPr>
      </w:pPr>
      <w:r w:rsidRPr="000E122D">
        <w:rPr>
          <w:rFonts w:eastAsiaTheme="minorHAnsi" w:cstheme="minorBidi"/>
          <w:szCs w:val="22"/>
        </w:rPr>
        <w:t>The Notice of Development of Rulemaking appeared in the June 23, 2023, edition of the Florida Administrative R</w:t>
      </w:r>
      <w:r>
        <w:rPr>
          <w:rFonts w:eastAsiaTheme="minorHAnsi" w:cstheme="minorBidi"/>
          <w:szCs w:val="22"/>
        </w:rPr>
        <w:t xml:space="preserve">egister, Volume 49, Number 122. </w:t>
      </w:r>
      <w:r w:rsidRPr="000E122D">
        <w:rPr>
          <w:rFonts w:eastAsiaTheme="minorHAnsi" w:cstheme="minorBidi"/>
          <w:szCs w:val="22"/>
        </w:rPr>
        <w:t>Following publication of the Notice of Development of Rulemaking, the Office of Public Counsel</w:t>
      </w:r>
      <w:r w:rsidR="006177E4">
        <w:rPr>
          <w:rFonts w:eastAsiaTheme="minorHAnsi" w:cstheme="minorBidi"/>
          <w:szCs w:val="22"/>
        </w:rPr>
        <w:t xml:space="preserve"> (OPC</w:t>
      </w:r>
      <w:r w:rsidRPr="000E122D">
        <w:rPr>
          <w:rFonts w:eastAsiaTheme="minorHAnsi" w:cstheme="minorBidi"/>
          <w:szCs w:val="22"/>
        </w:rPr>
        <w:t xml:space="preserve">) requested a workshop. The rule development workshop occurred on August 15, 2023. Representatives of OPC, Duke Energy </w:t>
      </w:r>
      <w:r w:rsidR="006177E4">
        <w:rPr>
          <w:rFonts w:eastAsiaTheme="minorHAnsi" w:cstheme="minorBidi"/>
          <w:szCs w:val="22"/>
        </w:rPr>
        <w:t>Florida (DEF</w:t>
      </w:r>
      <w:r w:rsidRPr="000E122D">
        <w:rPr>
          <w:rFonts w:eastAsiaTheme="minorHAnsi" w:cstheme="minorBidi"/>
          <w:szCs w:val="22"/>
        </w:rPr>
        <w:t xml:space="preserve">), </w:t>
      </w:r>
      <w:r w:rsidR="006177E4">
        <w:rPr>
          <w:rFonts w:eastAsiaTheme="minorHAnsi" w:cstheme="minorBidi"/>
          <w:szCs w:val="22"/>
        </w:rPr>
        <w:t>Florida Power &amp; Light Company (FPL), Florida City Gas (FCG</w:t>
      </w:r>
      <w:r w:rsidRPr="000E122D">
        <w:rPr>
          <w:rFonts w:eastAsiaTheme="minorHAnsi" w:cstheme="minorBidi"/>
          <w:szCs w:val="22"/>
        </w:rPr>
        <w:t>), Flo</w:t>
      </w:r>
      <w:r w:rsidR="006177E4">
        <w:rPr>
          <w:rFonts w:eastAsiaTheme="minorHAnsi" w:cstheme="minorBidi"/>
          <w:szCs w:val="22"/>
        </w:rPr>
        <w:t>rida Public Utilities Company (FPUC</w:t>
      </w:r>
      <w:r w:rsidR="00C5452B">
        <w:rPr>
          <w:rFonts w:eastAsiaTheme="minorHAnsi" w:cstheme="minorBidi"/>
          <w:szCs w:val="22"/>
        </w:rPr>
        <w:t>), People’s Gas System, Inc. (PGS</w:t>
      </w:r>
      <w:r w:rsidR="006177E4">
        <w:rPr>
          <w:rFonts w:eastAsiaTheme="minorHAnsi" w:cstheme="minorBidi"/>
          <w:szCs w:val="22"/>
        </w:rPr>
        <w:t>), and Tampa Electric Company (TECO</w:t>
      </w:r>
      <w:r w:rsidRPr="000E122D">
        <w:rPr>
          <w:rFonts w:eastAsiaTheme="minorHAnsi" w:cstheme="minorBidi"/>
          <w:szCs w:val="22"/>
        </w:rPr>
        <w:t xml:space="preserve">) attended the workshop. All </w:t>
      </w:r>
      <w:r>
        <w:rPr>
          <w:rFonts w:eastAsiaTheme="minorHAnsi" w:cstheme="minorBidi"/>
          <w:szCs w:val="22"/>
        </w:rPr>
        <w:t>stakeholders submitted comment</w:t>
      </w:r>
      <w:r w:rsidR="006177E4">
        <w:rPr>
          <w:rFonts w:eastAsiaTheme="minorHAnsi" w:cstheme="minorBidi"/>
          <w:szCs w:val="22"/>
        </w:rPr>
        <w:t>s</w:t>
      </w:r>
      <w:r w:rsidRPr="000E122D">
        <w:rPr>
          <w:rFonts w:eastAsiaTheme="minorHAnsi" w:cstheme="minorBidi"/>
          <w:szCs w:val="22"/>
        </w:rPr>
        <w:t>.</w:t>
      </w:r>
    </w:p>
    <w:p w14:paraId="516DFF19" w14:textId="77777777" w:rsidR="00BF38D0" w:rsidRDefault="00BF38D0" w:rsidP="00BF38D0">
      <w:pPr>
        <w:spacing w:after="200"/>
        <w:jc w:val="both"/>
        <w:rPr>
          <w:rFonts w:eastAsiaTheme="minorHAnsi" w:cstheme="minorBidi"/>
          <w:szCs w:val="22"/>
        </w:rPr>
      </w:pPr>
      <w:r>
        <w:rPr>
          <w:rFonts w:eastAsiaTheme="minorHAnsi" w:cstheme="minorBidi"/>
          <w:szCs w:val="22"/>
        </w:rPr>
        <w:t>This r</w:t>
      </w:r>
      <w:r w:rsidRPr="000E122D">
        <w:rPr>
          <w:rFonts w:eastAsiaTheme="minorHAnsi" w:cstheme="minorBidi"/>
          <w:szCs w:val="22"/>
        </w:rPr>
        <w:t>ecommendation addresses whether the Commission should propose the amendment of Rule 25-14.004, F.A.C. The Commission has jurisdiction pursuant to Sections 120.54 and 350.127(2), Florida Statutes (F.S.).</w:t>
      </w:r>
    </w:p>
    <w:p w14:paraId="7BF4102F" w14:textId="59A3A296" w:rsidR="00BF38D0" w:rsidRDefault="00BF38D0" w:rsidP="00584456">
      <w:pPr>
        <w:spacing w:after="200"/>
        <w:jc w:val="both"/>
        <w:rPr>
          <w:rFonts w:eastAsiaTheme="minorHAnsi" w:cstheme="minorBidi"/>
          <w:szCs w:val="22"/>
        </w:rPr>
      </w:pPr>
    </w:p>
    <w:p w14:paraId="75A14D0D" w14:textId="77777777" w:rsidR="00BF38D0" w:rsidRDefault="00BF38D0" w:rsidP="00584456">
      <w:pPr>
        <w:spacing w:after="200"/>
        <w:jc w:val="both"/>
        <w:sectPr w:rsidR="00BF38D0">
          <w:headerReference w:type="default" r:id="rId8"/>
          <w:footerReference w:type="default" r:id="rId9"/>
          <w:type w:val="continuous"/>
          <w:pgSz w:w="12240" w:h="15840" w:code="1"/>
          <w:pgMar w:top="1584" w:right="1440" w:bottom="1440" w:left="1440" w:header="720" w:footer="720" w:gutter="0"/>
          <w:cols w:space="720"/>
          <w:formProt w:val="0"/>
          <w:titlePg/>
          <w:docGrid w:linePitch="360"/>
        </w:sectPr>
      </w:pPr>
    </w:p>
    <w:p w14:paraId="202361C0" w14:textId="77777777" w:rsidR="007C0528" w:rsidRDefault="007C0528">
      <w:pPr>
        <w:pStyle w:val="RecommendationMajorSectionHeading"/>
      </w:pPr>
      <w:bookmarkStart w:id="15" w:name="DiscussionOfIssues"/>
      <w:r>
        <w:t>Discussion of Issues</w:t>
      </w:r>
    </w:p>
    <w:bookmarkEnd w:id="15"/>
    <w:p w14:paraId="0869CBBC" w14:textId="433FF722" w:rsidR="004D60FC" w:rsidRDefault="004D60FC">
      <w:pPr>
        <w:pStyle w:val="IssueHeading"/>
        <w:rPr>
          <w:vanish/>
          <w:specVanish/>
        </w:rPr>
      </w:pPr>
      <w:r w:rsidRPr="004C3641">
        <w:t xml:space="preserve">Issue </w:t>
      </w:r>
      <w:fldSimple w:instr=" SEQ Issue \* MERGEFORMAT ">
        <w:r w:rsidR="00024C1E">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024C1E">
        <w:rPr>
          <w:noProof/>
        </w:rPr>
        <w:instrText>1</w:instrText>
      </w:r>
      <w:r>
        <w:fldChar w:fldCharType="end"/>
      </w:r>
      <w:r>
        <w:tab/>
        <w:instrText xml:space="preserve">" \l 1 </w:instrText>
      </w:r>
      <w:r>
        <w:fldChar w:fldCharType="end"/>
      </w:r>
      <w:r>
        <w:t> </w:t>
      </w:r>
    </w:p>
    <w:p w14:paraId="5DB99BA0" w14:textId="3E5B8EFD" w:rsidR="004D60FC" w:rsidRDefault="004D60FC">
      <w:pPr>
        <w:pStyle w:val="BodyText"/>
      </w:pPr>
      <w:r>
        <w:t> Sho</w:t>
      </w:r>
      <w:r w:rsidR="002C08B1">
        <w:t>uld the Commission propose the a</w:t>
      </w:r>
      <w:r>
        <w:t>mendment of Rule 25-14-004, F.A.C., Effect of Parent Debt on Federal Corporate Income Tax?</w:t>
      </w:r>
    </w:p>
    <w:p w14:paraId="34942909" w14:textId="77777777" w:rsidR="004D60FC" w:rsidRPr="004C3641" w:rsidRDefault="004D60FC">
      <w:pPr>
        <w:pStyle w:val="IssueSubsectionHeading"/>
        <w:rPr>
          <w:vanish/>
          <w:specVanish/>
        </w:rPr>
      </w:pPr>
      <w:r w:rsidRPr="004C3641">
        <w:t>Recommendation: </w:t>
      </w:r>
    </w:p>
    <w:p w14:paraId="32F704EE" w14:textId="0821C764" w:rsidR="004D60FC" w:rsidRDefault="00131A9A">
      <w:pPr>
        <w:pStyle w:val="BodyText"/>
      </w:pPr>
      <w:r>
        <w:t xml:space="preserve"> Yes. </w:t>
      </w:r>
      <w:r w:rsidR="004D60FC">
        <w:t>The Commission should propose the amendment of Rule 25-14.004</w:t>
      </w:r>
      <w:r w:rsidR="002C08B1">
        <w:t>, F.A.C., as set forth in Attachment A</w:t>
      </w:r>
      <w:r w:rsidR="004D60FC">
        <w:t xml:space="preserve">. </w:t>
      </w:r>
      <w:r w:rsidR="001C52DA">
        <w:t>Th</w:t>
      </w:r>
      <w:r w:rsidR="00934336">
        <w:t xml:space="preserve">e Commission </w:t>
      </w:r>
      <w:r w:rsidR="001C52DA">
        <w:t xml:space="preserve">should </w:t>
      </w:r>
      <w:r w:rsidR="00934336">
        <w:t xml:space="preserve">certify the rule as a minor violation rule. </w:t>
      </w:r>
      <w:r w:rsidR="004D60FC">
        <w:t xml:space="preserve">(Sapoznikoff, </w:t>
      </w:r>
      <w:r w:rsidR="004D60FC" w:rsidRPr="00DE6FF4">
        <w:t>Cicchetti</w:t>
      </w:r>
      <w:r w:rsidR="004D60FC">
        <w:t>, Guffey</w:t>
      </w:r>
      <w:r w:rsidR="00530900">
        <w:t>)</w:t>
      </w:r>
    </w:p>
    <w:p w14:paraId="4984DCF3" w14:textId="77777777" w:rsidR="004D60FC" w:rsidRPr="004C3641" w:rsidRDefault="004D60FC">
      <w:pPr>
        <w:pStyle w:val="IssueSubsectionHeading"/>
        <w:rPr>
          <w:vanish/>
          <w:specVanish/>
        </w:rPr>
      </w:pPr>
      <w:r w:rsidRPr="004C3641">
        <w:t>Staff Analysis: </w:t>
      </w:r>
    </w:p>
    <w:p w14:paraId="03D861C5" w14:textId="77D37451" w:rsidR="001C52DA" w:rsidRDefault="004D60FC" w:rsidP="001C52DA">
      <w:pPr>
        <w:spacing w:after="240"/>
        <w:jc w:val="both"/>
        <w:rPr>
          <w:rFonts w:eastAsiaTheme="minorHAnsi" w:cstheme="minorBidi"/>
          <w:szCs w:val="22"/>
        </w:rPr>
      </w:pPr>
      <w:r>
        <w:t> </w:t>
      </w:r>
      <w:r w:rsidR="00934336">
        <w:rPr>
          <w:rFonts w:eastAsiaTheme="minorHAnsi" w:cstheme="minorBidi"/>
          <w:szCs w:val="22"/>
        </w:rPr>
        <w:t>Currently the r</w:t>
      </w:r>
      <w:r w:rsidR="00E9221C">
        <w:rPr>
          <w:rFonts w:eastAsiaTheme="minorHAnsi" w:cstheme="minorBidi"/>
          <w:szCs w:val="22"/>
        </w:rPr>
        <w:t xml:space="preserve">ule considers the debt of a parent company invested in a regulated, subsidiary utility. </w:t>
      </w:r>
      <w:r w:rsidR="00223738" w:rsidRPr="000E122D">
        <w:rPr>
          <w:rFonts w:eastAsiaTheme="minorHAnsi" w:cstheme="minorBidi"/>
          <w:szCs w:val="22"/>
        </w:rPr>
        <w:t xml:space="preserve">Following adoption of the </w:t>
      </w:r>
      <w:r w:rsidR="00934336">
        <w:rPr>
          <w:rFonts w:eastAsiaTheme="minorHAnsi" w:cstheme="minorBidi"/>
          <w:szCs w:val="22"/>
        </w:rPr>
        <w:t>r</w:t>
      </w:r>
      <w:r w:rsidR="00223738" w:rsidRPr="000E122D">
        <w:rPr>
          <w:rFonts w:eastAsiaTheme="minorHAnsi" w:cstheme="minorBidi"/>
          <w:szCs w:val="22"/>
        </w:rPr>
        <w:t xml:space="preserve">ule in 1983, regulatory theory and practice, accounting principles, finance theory, economic theory, corporate structure, and legal rulings have evolved. Consequently, use of consolidated parent company data to set utility rates is no longer generally accepted and the </w:t>
      </w:r>
      <w:r w:rsidR="00C5452B">
        <w:rPr>
          <w:rFonts w:eastAsiaTheme="minorHAnsi" w:cstheme="minorBidi"/>
          <w:szCs w:val="22"/>
        </w:rPr>
        <w:t>method in the recommended amendments</w:t>
      </w:r>
      <w:r w:rsidR="00223738" w:rsidRPr="000E122D">
        <w:rPr>
          <w:rFonts w:eastAsiaTheme="minorHAnsi" w:cstheme="minorBidi"/>
          <w:szCs w:val="22"/>
        </w:rPr>
        <w:t xml:space="preserve"> has become th</w:t>
      </w:r>
      <w:r w:rsidR="00C5452B">
        <w:rPr>
          <w:rFonts w:eastAsiaTheme="minorHAnsi" w:cstheme="minorBidi"/>
          <w:szCs w:val="22"/>
        </w:rPr>
        <w:t>e prevailing national standard</w:t>
      </w:r>
      <w:r w:rsidR="00387A59">
        <w:rPr>
          <w:rFonts w:eastAsiaTheme="minorHAnsi" w:cstheme="minorBidi"/>
          <w:szCs w:val="22"/>
        </w:rPr>
        <w:t xml:space="preserve"> over time</w:t>
      </w:r>
      <w:r w:rsidR="00C5452B">
        <w:rPr>
          <w:rFonts w:eastAsiaTheme="minorHAnsi" w:cstheme="minorBidi"/>
          <w:szCs w:val="22"/>
        </w:rPr>
        <w:t>.</w:t>
      </w:r>
      <w:r w:rsidR="00DC54F3">
        <w:rPr>
          <w:rFonts w:eastAsiaTheme="minorHAnsi" w:cstheme="minorBidi"/>
          <w:szCs w:val="22"/>
        </w:rPr>
        <w:t xml:space="preserve"> </w:t>
      </w:r>
      <w:r w:rsidR="003D5F35">
        <w:rPr>
          <w:rFonts w:eastAsiaTheme="minorHAnsi" w:cstheme="minorBidi"/>
          <w:szCs w:val="22"/>
        </w:rPr>
        <w:t>By imputing a parent’s debt the current rule results in a</w:t>
      </w:r>
      <w:r w:rsidR="00387A59">
        <w:rPr>
          <w:rFonts w:eastAsiaTheme="minorHAnsi" w:cstheme="minorBidi"/>
          <w:szCs w:val="22"/>
        </w:rPr>
        <w:t>n inaccurate revenue requirement which ultimately results in artificially low rates that can adversely affect or increase the frequency of the need for rate increases</w:t>
      </w:r>
      <w:r w:rsidR="003D5F35">
        <w:rPr>
          <w:rFonts w:eastAsiaTheme="minorHAnsi" w:cstheme="minorBidi"/>
          <w:szCs w:val="22"/>
        </w:rPr>
        <w:t xml:space="preserve">. </w:t>
      </w:r>
      <w:r w:rsidR="00EC469E">
        <w:rPr>
          <w:rFonts w:eastAsiaTheme="minorHAnsi" w:cstheme="minorBidi"/>
          <w:szCs w:val="22"/>
        </w:rPr>
        <w:t xml:space="preserve">Accordingly, </w:t>
      </w:r>
      <w:r w:rsidR="003D5F35">
        <w:rPr>
          <w:rFonts w:eastAsiaTheme="minorHAnsi" w:cstheme="minorBidi"/>
          <w:szCs w:val="22"/>
        </w:rPr>
        <w:t>the time has come to make a change. S</w:t>
      </w:r>
      <w:r w:rsidR="00DC54F3">
        <w:rPr>
          <w:rFonts w:eastAsiaTheme="minorHAnsi" w:cstheme="minorBidi"/>
          <w:szCs w:val="22"/>
        </w:rPr>
        <w:t>taff recommends that the rule be amended as set forth in Attachment A. Below is a detailed discussion of staff’</w:t>
      </w:r>
      <w:r w:rsidR="00292CE1">
        <w:rPr>
          <w:rFonts w:eastAsiaTheme="minorHAnsi" w:cstheme="minorBidi"/>
          <w:szCs w:val="22"/>
        </w:rPr>
        <w:t>s recommended amendments to</w:t>
      </w:r>
      <w:r w:rsidR="00DC54F3">
        <w:rPr>
          <w:rFonts w:eastAsiaTheme="minorHAnsi" w:cstheme="minorBidi"/>
          <w:szCs w:val="22"/>
        </w:rPr>
        <w:t xml:space="preserve"> the rule.</w:t>
      </w:r>
    </w:p>
    <w:p w14:paraId="42338B34" w14:textId="0461A228" w:rsidR="006177E4" w:rsidRDefault="006177E4" w:rsidP="006177E4">
      <w:pPr>
        <w:pStyle w:val="First-LevelSubheading"/>
        <w:rPr>
          <w:rFonts w:eastAsiaTheme="minorHAnsi"/>
        </w:rPr>
      </w:pPr>
      <w:r>
        <w:rPr>
          <w:rFonts w:eastAsiaTheme="minorHAnsi"/>
        </w:rPr>
        <w:t>Rule 25-14.004, F</w:t>
      </w:r>
      <w:r w:rsidR="00C5452B">
        <w:rPr>
          <w:rFonts w:eastAsiaTheme="minorHAnsi"/>
        </w:rPr>
        <w:t>.</w:t>
      </w:r>
      <w:r>
        <w:rPr>
          <w:rFonts w:eastAsiaTheme="minorHAnsi"/>
        </w:rPr>
        <w:t>A.C., Determination of Total Corporate Income Tax</w:t>
      </w:r>
      <w:r>
        <w:rPr>
          <w:rStyle w:val="FootnoteReference"/>
          <w:rFonts w:eastAsiaTheme="minorHAnsi"/>
        </w:rPr>
        <w:footnoteReference w:id="4"/>
      </w:r>
    </w:p>
    <w:p w14:paraId="4E702048" w14:textId="107A5891" w:rsidR="006177E4" w:rsidRDefault="006177E4" w:rsidP="006177E4">
      <w:pPr>
        <w:spacing w:after="200"/>
        <w:jc w:val="both"/>
        <w:rPr>
          <w:rFonts w:eastAsiaTheme="minorHAnsi" w:cstheme="minorBidi"/>
          <w:szCs w:val="22"/>
        </w:rPr>
      </w:pPr>
      <w:r>
        <w:rPr>
          <w:rFonts w:eastAsiaTheme="minorHAnsi" w:cstheme="minorBidi"/>
          <w:szCs w:val="22"/>
        </w:rPr>
        <w:t xml:space="preserve">The initial paragraph of the current rule is unnumbered and requires that when a regulated utility is a subsidiary of one or more parent companies and files a consolidated tax return with a parent company, the subsidiary’s income tax must be </w:t>
      </w:r>
      <w:r w:rsidRPr="00CB690F">
        <w:rPr>
          <w:rFonts w:eastAsiaTheme="minorHAnsi" w:cstheme="minorBidi"/>
          <w:szCs w:val="22"/>
        </w:rPr>
        <w:t>adjusted to reflect the income tax expense of the parent debt that may be invested in the equity of the subsidiary</w:t>
      </w:r>
      <w:r>
        <w:rPr>
          <w:rFonts w:eastAsiaTheme="minorHAnsi" w:cstheme="minorBidi"/>
          <w:szCs w:val="22"/>
        </w:rPr>
        <w:t>.</w:t>
      </w:r>
    </w:p>
    <w:p w14:paraId="3E93548E" w14:textId="182E4326" w:rsidR="006177E4" w:rsidRDefault="006177E4" w:rsidP="006177E4">
      <w:pPr>
        <w:spacing w:after="200"/>
        <w:jc w:val="both"/>
        <w:rPr>
          <w:rFonts w:eastAsiaTheme="minorHAnsi" w:cstheme="minorBidi"/>
          <w:szCs w:val="22"/>
        </w:rPr>
      </w:pPr>
      <w:r>
        <w:rPr>
          <w:rFonts w:eastAsiaTheme="minorHAnsi" w:cstheme="minorBidi"/>
          <w:szCs w:val="22"/>
        </w:rPr>
        <w:t xml:space="preserve">The recommended </w:t>
      </w:r>
      <w:r w:rsidR="00292CE1">
        <w:rPr>
          <w:rFonts w:eastAsiaTheme="minorHAnsi" w:cstheme="minorBidi"/>
          <w:szCs w:val="22"/>
        </w:rPr>
        <w:t>amendments to</w:t>
      </w:r>
      <w:r>
        <w:rPr>
          <w:rFonts w:eastAsiaTheme="minorHAnsi" w:cstheme="minorBidi"/>
          <w:szCs w:val="22"/>
        </w:rPr>
        <w:t xml:space="preserve"> the unnumbered introductory paragraph require that the income tax expense of a regulated utility be determined using only its income, regardless of any parent-subsidiary relationship that may exist. This policy is referred to as the s</w:t>
      </w:r>
      <w:r w:rsidR="003240B8">
        <w:rPr>
          <w:rFonts w:eastAsiaTheme="minorHAnsi" w:cstheme="minorBidi"/>
          <w:szCs w:val="22"/>
        </w:rPr>
        <w:t>tand-alone approach.</w:t>
      </w:r>
      <w:r w:rsidR="00C5452B" w:rsidRPr="00C5452B">
        <w:rPr>
          <w:rFonts w:eastAsiaTheme="minorHAnsi" w:cstheme="minorBidi"/>
          <w:szCs w:val="22"/>
        </w:rPr>
        <w:t xml:space="preserve"> </w:t>
      </w:r>
      <w:r w:rsidR="00C5452B" w:rsidRPr="000E122D">
        <w:rPr>
          <w:rFonts w:eastAsiaTheme="minorHAnsi" w:cstheme="minorBidi"/>
          <w:szCs w:val="22"/>
        </w:rPr>
        <w:t>The stand-alone basis ensures that the revenue requirement is based upon tax benefits associated with the debt that is both an expense of the regulated utility and bor</w:t>
      </w:r>
      <w:r w:rsidR="00C5452B">
        <w:rPr>
          <w:rFonts w:eastAsiaTheme="minorHAnsi" w:cstheme="minorBidi"/>
          <w:szCs w:val="22"/>
        </w:rPr>
        <w:t>ne by that utility’s customers.</w:t>
      </w:r>
    </w:p>
    <w:p w14:paraId="364BF06C" w14:textId="709369CB" w:rsidR="00187CEC" w:rsidRDefault="006177E4" w:rsidP="00187CEC">
      <w:pPr>
        <w:spacing w:after="200"/>
        <w:jc w:val="both"/>
        <w:rPr>
          <w:rFonts w:eastAsiaTheme="minorHAnsi" w:cstheme="minorBidi"/>
          <w:szCs w:val="22"/>
        </w:rPr>
      </w:pPr>
      <w:r>
        <w:rPr>
          <w:rFonts w:eastAsiaTheme="minorHAnsi" w:cstheme="minorBidi"/>
          <w:szCs w:val="22"/>
        </w:rPr>
        <w:t>Overall, s</w:t>
      </w:r>
      <w:r w:rsidR="00187CEC">
        <w:rPr>
          <w:rFonts w:eastAsiaTheme="minorHAnsi" w:cstheme="minorBidi"/>
          <w:szCs w:val="22"/>
        </w:rPr>
        <w:t>taff recommends changing Commission policy on how to determine the income tax expense of a regulated utility that is a subsidiary of one or more parent companies to align the r</w:t>
      </w:r>
      <w:r w:rsidR="00187CEC" w:rsidRPr="000E122D">
        <w:rPr>
          <w:rFonts w:eastAsiaTheme="minorHAnsi" w:cstheme="minorBidi"/>
          <w:szCs w:val="22"/>
        </w:rPr>
        <w:t>ule with the current national standard.</w:t>
      </w:r>
      <w:r w:rsidR="00187CEC" w:rsidRPr="000E122D">
        <w:rPr>
          <w:rFonts w:eastAsiaTheme="minorHAnsi" w:cstheme="minorBidi"/>
          <w:szCs w:val="22"/>
          <w:vertAlign w:val="superscript"/>
        </w:rPr>
        <w:footnoteReference w:id="5"/>
      </w:r>
      <w:r w:rsidR="00187CEC">
        <w:rPr>
          <w:rFonts w:eastAsiaTheme="minorHAnsi" w:cstheme="minorBidi"/>
          <w:szCs w:val="22"/>
        </w:rPr>
        <w:t xml:space="preserve"> Under the current r</w:t>
      </w:r>
      <w:r w:rsidR="00187CEC" w:rsidRPr="000E122D">
        <w:rPr>
          <w:rFonts w:eastAsiaTheme="minorHAnsi" w:cstheme="minorBidi"/>
          <w:szCs w:val="22"/>
        </w:rPr>
        <w:t xml:space="preserve">ule, the tax benefits associated with the parent company’s interest expense are attributed to the subsidiary utility. This inappropriately lowers utility rates, distorts price signals, and contributes to the inefficient allocation of resources. Under the </w:t>
      </w:r>
      <w:r w:rsidR="00187CEC">
        <w:rPr>
          <w:rFonts w:eastAsiaTheme="minorHAnsi" w:cstheme="minorBidi"/>
          <w:szCs w:val="22"/>
        </w:rPr>
        <w:t>recommended</w:t>
      </w:r>
      <w:r w:rsidR="00187CEC" w:rsidRPr="000E122D">
        <w:rPr>
          <w:rFonts w:eastAsiaTheme="minorHAnsi" w:cstheme="minorBidi"/>
          <w:szCs w:val="22"/>
        </w:rPr>
        <w:t xml:space="preserve"> amendment</w:t>
      </w:r>
      <w:r w:rsidR="00B96CA8">
        <w:rPr>
          <w:rFonts w:eastAsiaTheme="minorHAnsi" w:cstheme="minorBidi"/>
          <w:szCs w:val="22"/>
        </w:rPr>
        <w:t>s</w:t>
      </w:r>
      <w:r w:rsidR="00187CEC" w:rsidRPr="000E122D">
        <w:rPr>
          <w:rFonts w:eastAsiaTheme="minorHAnsi" w:cstheme="minorBidi"/>
          <w:szCs w:val="22"/>
        </w:rPr>
        <w:t xml:space="preserve"> </w:t>
      </w:r>
      <w:r w:rsidR="00B96CA8">
        <w:rPr>
          <w:rFonts w:eastAsiaTheme="minorHAnsi" w:cstheme="minorBidi"/>
          <w:szCs w:val="22"/>
        </w:rPr>
        <w:t xml:space="preserve">to </w:t>
      </w:r>
      <w:r w:rsidR="00187CEC" w:rsidRPr="000E122D">
        <w:rPr>
          <w:rFonts w:eastAsiaTheme="minorHAnsi" w:cstheme="minorBidi"/>
          <w:szCs w:val="22"/>
        </w:rPr>
        <w:t>Rule 25-14.004, F.A.C., the Commission would use</w:t>
      </w:r>
      <w:r w:rsidR="00187CEC" w:rsidRPr="002D2A8A">
        <w:t xml:space="preserve"> </w:t>
      </w:r>
      <w:r w:rsidR="00187CEC" w:rsidRPr="002D2A8A">
        <w:rPr>
          <w:rFonts w:eastAsiaTheme="minorHAnsi" w:cstheme="minorBidi"/>
          <w:szCs w:val="22"/>
        </w:rPr>
        <w:t>only the interest expense inherent</w:t>
      </w:r>
      <w:r w:rsidR="00187CEC" w:rsidRPr="000E122D">
        <w:rPr>
          <w:rFonts w:eastAsiaTheme="minorHAnsi" w:cstheme="minorBidi"/>
          <w:szCs w:val="22"/>
        </w:rPr>
        <w:t xml:space="preserve"> </w:t>
      </w:r>
      <w:r w:rsidR="00187CEC">
        <w:rPr>
          <w:rFonts w:eastAsiaTheme="minorHAnsi" w:cstheme="minorBidi"/>
          <w:szCs w:val="22"/>
        </w:rPr>
        <w:t xml:space="preserve">in </w:t>
      </w:r>
      <w:r w:rsidR="00187CEC" w:rsidRPr="000E122D">
        <w:rPr>
          <w:rFonts w:eastAsiaTheme="minorHAnsi" w:cstheme="minorBidi"/>
          <w:szCs w:val="22"/>
        </w:rPr>
        <w:t xml:space="preserve">the capital structure of the regulated utility to compute income tax expense, rather than </w:t>
      </w:r>
      <w:r w:rsidR="00187CEC">
        <w:rPr>
          <w:rFonts w:eastAsiaTheme="minorHAnsi" w:cstheme="minorBidi"/>
          <w:szCs w:val="22"/>
        </w:rPr>
        <w:t xml:space="preserve">reducing the </w:t>
      </w:r>
      <w:r w:rsidR="00187CEC" w:rsidRPr="000E122D">
        <w:rPr>
          <w:rFonts w:eastAsiaTheme="minorHAnsi" w:cstheme="minorBidi"/>
          <w:szCs w:val="22"/>
        </w:rPr>
        <w:t>tax expense in accordance with the parent’s capital structure.</w:t>
      </w:r>
    </w:p>
    <w:p w14:paraId="167F9FC0" w14:textId="6A25617E" w:rsidR="00D5083D" w:rsidRDefault="00843CD6" w:rsidP="00843CD6">
      <w:pPr>
        <w:spacing w:after="200"/>
        <w:jc w:val="both"/>
        <w:rPr>
          <w:rFonts w:eastAsiaTheme="minorHAnsi" w:cstheme="minorBidi"/>
          <w:szCs w:val="22"/>
        </w:rPr>
      </w:pPr>
      <w:r>
        <w:rPr>
          <w:rFonts w:eastAsiaTheme="minorHAnsi" w:cstheme="minorBidi"/>
          <w:szCs w:val="22"/>
        </w:rPr>
        <w:t xml:space="preserve">If the Commission votes to approve the recommended policy change, </w:t>
      </w:r>
      <w:r w:rsidR="00292CE1">
        <w:rPr>
          <w:rFonts w:eastAsiaTheme="minorHAnsi" w:cstheme="minorBidi"/>
          <w:szCs w:val="22"/>
        </w:rPr>
        <w:t xml:space="preserve">the </w:t>
      </w:r>
      <w:r>
        <w:rPr>
          <w:rFonts w:eastAsiaTheme="minorHAnsi" w:cstheme="minorBidi"/>
          <w:szCs w:val="22"/>
        </w:rPr>
        <w:t>recommend</w:t>
      </w:r>
      <w:r w:rsidR="00292CE1">
        <w:rPr>
          <w:rFonts w:eastAsiaTheme="minorHAnsi" w:cstheme="minorBidi"/>
          <w:szCs w:val="22"/>
        </w:rPr>
        <w:t>ed amendments to</w:t>
      </w:r>
      <w:r>
        <w:rPr>
          <w:rFonts w:eastAsiaTheme="minorHAnsi" w:cstheme="minorBidi"/>
          <w:szCs w:val="22"/>
        </w:rPr>
        <w:t xml:space="preserve"> subsections (1) through (4) and the addition of subsection (5) </w:t>
      </w:r>
      <w:r w:rsidR="00292CE1">
        <w:rPr>
          <w:rFonts w:eastAsiaTheme="minorHAnsi" w:cstheme="minorBidi"/>
          <w:szCs w:val="22"/>
        </w:rPr>
        <w:t xml:space="preserve">are necessary </w:t>
      </w:r>
      <w:r>
        <w:rPr>
          <w:rFonts w:eastAsiaTheme="minorHAnsi" w:cstheme="minorBidi"/>
          <w:szCs w:val="22"/>
        </w:rPr>
        <w:t xml:space="preserve">to reflect the </w:t>
      </w:r>
      <w:r w:rsidR="00E55D35">
        <w:rPr>
          <w:rFonts w:eastAsiaTheme="minorHAnsi" w:cstheme="minorBidi"/>
          <w:szCs w:val="22"/>
        </w:rPr>
        <w:t xml:space="preserve">change in the </w:t>
      </w:r>
      <w:r>
        <w:rPr>
          <w:rFonts w:eastAsiaTheme="minorHAnsi" w:cstheme="minorBidi"/>
          <w:szCs w:val="22"/>
        </w:rPr>
        <w:t xml:space="preserve">process </w:t>
      </w:r>
      <w:r w:rsidR="00E55D35">
        <w:rPr>
          <w:rFonts w:eastAsiaTheme="minorHAnsi" w:cstheme="minorBidi"/>
          <w:szCs w:val="22"/>
        </w:rPr>
        <w:t xml:space="preserve">of </w:t>
      </w:r>
      <w:r>
        <w:rPr>
          <w:rFonts w:eastAsiaTheme="minorHAnsi" w:cstheme="minorBidi"/>
          <w:szCs w:val="22"/>
        </w:rPr>
        <w:t xml:space="preserve">making tax determinations </w:t>
      </w:r>
      <w:r w:rsidR="00E55D35">
        <w:rPr>
          <w:rFonts w:eastAsiaTheme="minorHAnsi" w:cstheme="minorBidi"/>
          <w:szCs w:val="22"/>
        </w:rPr>
        <w:t>from</w:t>
      </w:r>
      <w:r>
        <w:rPr>
          <w:rFonts w:eastAsiaTheme="minorHAnsi" w:cstheme="minorBidi"/>
          <w:szCs w:val="22"/>
        </w:rPr>
        <w:t xml:space="preserve"> incorporating parent debt to only using the tax expense of the regulated utility.</w:t>
      </w:r>
      <w:r w:rsidR="00DC54F3">
        <w:rPr>
          <w:rFonts w:eastAsiaTheme="minorHAnsi" w:cstheme="minorBidi"/>
          <w:szCs w:val="22"/>
        </w:rPr>
        <w:t xml:space="preserve"> S</w:t>
      </w:r>
      <w:r w:rsidR="00D5083D">
        <w:rPr>
          <w:rFonts w:eastAsiaTheme="minorHAnsi" w:cstheme="minorBidi"/>
          <w:szCs w:val="22"/>
        </w:rPr>
        <w:t xml:space="preserve">taff’s recommendations </w:t>
      </w:r>
      <w:r w:rsidR="00E55D35">
        <w:rPr>
          <w:rFonts w:eastAsiaTheme="minorHAnsi" w:cstheme="minorBidi"/>
          <w:szCs w:val="22"/>
        </w:rPr>
        <w:t xml:space="preserve">for the amendment of </w:t>
      </w:r>
      <w:r w:rsidR="00D5083D">
        <w:rPr>
          <w:rFonts w:eastAsiaTheme="minorHAnsi" w:cstheme="minorBidi"/>
          <w:szCs w:val="22"/>
        </w:rPr>
        <w:t>each s</w:t>
      </w:r>
      <w:r w:rsidR="00292CE1">
        <w:rPr>
          <w:rFonts w:eastAsiaTheme="minorHAnsi" w:cstheme="minorBidi"/>
          <w:szCs w:val="22"/>
        </w:rPr>
        <w:t>ubsection of the rule is below.</w:t>
      </w:r>
    </w:p>
    <w:p w14:paraId="0E89C51E" w14:textId="42B7E5AA" w:rsidR="009318E6" w:rsidRDefault="00B453E2" w:rsidP="009318E6">
      <w:pPr>
        <w:pStyle w:val="Second-LevelSubheading"/>
        <w:rPr>
          <w:rFonts w:eastAsiaTheme="minorHAnsi"/>
        </w:rPr>
      </w:pPr>
      <w:r>
        <w:rPr>
          <w:rFonts w:eastAsiaTheme="minorHAnsi"/>
        </w:rPr>
        <w:t xml:space="preserve">Subsection </w:t>
      </w:r>
      <w:r w:rsidR="009318E6">
        <w:rPr>
          <w:rFonts w:eastAsiaTheme="minorHAnsi"/>
        </w:rPr>
        <w:t>(1)</w:t>
      </w:r>
    </w:p>
    <w:p w14:paraId="11E8E914" w14:textId="77777777" w:rsidR="00276327" w:rsidRDefault="00584456" w:rsidP="00530900">
      <w:pPr>
        <w:spacing w:after="200"/>
        <w:jc w:val="both"/>
        <w:rPr>
          <w:rFonts w:eastAsiaTheme="minorHAnsi" w:cstheme="minorBidi"/>
          <w:szCs w:val="22"/>
        </w:rPr>
      </w:pPr>
      <w:r>
        <w:rPr>
          <w:rFonts w:eastAsiaTheme="minorHAnsi" w:cstheme="minorBidi"/>
          <w:szCs w:val="22"/>
        </w:rPr>
        <w:t>S</w:t>
      </w:r>
      <w:r w:rsidR="00CB690F">
        <w:rPr>
          <w:rFonts w:eastAsiaTheme="minorHAnsi" w:cstheme="minorBidi"/>
          <w:szCs w:val="22"/>
        </w:rPr>
        <w:t xml:space="preserve">ubsection (1) of the </w:t>
      </w:r>
      <w:r>
        <w:rPr>
          <w:rFonts w:eastAsiaTheme="minorHAnsi" w:cstheme="minorBidi"/>
          <w:szCs w:val="22"/>
        </w:rPr>
        <w:t xml:space="preserve">current </w:t>
      </w:r>
      <w:r w:rsidR="00CB690F">
        <w:rPr>
          <w:rFonts w:eastAsiaTheme="minorHAnsi" w:cstheme="minorBidi"/>
          <w:szCs w:val="22"/>
        </w:rPr>
        <w:t>rule addresses how to calculate the income tax effect of the parent’s debt when th</w:t>
      </w:r>
      <w:r w:rsidR="00276327">
        <w:rPr>
          <w:rFonts w:eastAsiaTheme="minorHAnsi" w:cstheme="minorBidi"/>
          <w:szCs w:val="22"/>
        </w:rPr>
        <w:t>ere is only one parent company.</w:t>
      </w:r>
    </w:p>
    <w:p w14:paraId="46ACAA84" w14:textId="634A861A" w:rsidR="00CB690F" w:rsidRDefault="00276327" w:rsidP="00530900">
      <w:pPr>
        <w:spacing w:after="200"/>
        <w:jc w:val="both"/>
        <w:rPr>
          <w:rFonts w:eastAsiaTheme="minorHAnsi" w:cstheme="minorBidi"/>
          <w:szCs w:val="22"/>
        </w:rPr>
      </w:pPr>
      <w:r>
        <w:rPr>
          <w:rFonts w:eastAsiaTheme="minorHAnsi" w:cstheme="minorBidi"/>
          <w:szCs w:val="22"/>
        </w:rPr>
        <w:t>As parent debt is not a consideration in the recommended amendments, t</w:t>
      </w:r>
      <w:r w:rsidR="00530900">
        <w:rPr>
          <w:rFonts w:eastAsiaTheme="minorHAnsi" w:cstheme="minorBidi"/>
          <w:szCs w:val="22"/>
        </w:rPr>
        <w:t xml:space="preserve">he </w:t>
      </w:r>
      <w:r w:rsidR="00934336">
        <w:rPr>
          <w:rFonts w:eastAsiaTheme="minorHAnsi" w:cstheme="minorBidi"/>
          <w:szCs w:val="22"/>
        </w:rPr>
        <w:t>recommended</w:t>
      </w:r>
      <w:r w:rsidR="00530900">
        <w:rPr>
          <w:rFonts w:eastAsiaTheme="minorHAnsi" w:cstheme="minorBidi"/>
          <w:szCs w:val="22"/>
        </w:rPr>
        <w:t xml:space="preserve"> amendment </w:t>
      </w:r>
      <w:r w:rsidR="00B96CA8">
        <w:rPr>
          <w:rFonts w:eastAsiaTheme="minorHAnsi" w:cstheme="minorBidi"/>
          <w:szCs w:val="22"/>
        </w:rPr>
        <w:t>of</w:t>
      </w:r>
      <w:r w:rsidR="00A90D3C">
        <w:rPr>
          <w:rFonts w:eastAsiaTheme="minorHAnsi" w:cstheme="minorBidi"/>
          <w:szCs w:val="22"/>
        </w:rPr>
        <w:t xml:space="preserve"> subsection (1) deletes the prior language in its entirety. In its place the recommended rule language of subsection (1) </w:t>
      </w:r>
      <w:r w:rsidR="00CB690F">
        <w:rPr>
          <w:rFonts w:eastAsiaTheme="minorHAnsi" w:cstheme="minorBidi"/>
          <w:szCs w:val="22"/>
        </w:rPr>
        <w:t xml:space="preserve">sets forth the method of determining state corporate current income tax </w:t>
      </w:r>
      <w:r w:rsidR="00584456">
        <w:rPr>
          <w:rFonts w:eastAsiaTheme="minorHAnsi" w:cstheme="minorBidi"/>
          <w:szCs w:val="22"/>
        </w:rPr>
        <w:t>of</w:t>
      </w:r>
      <w:r w:rsidR="00C1442E">
        <w:rPr>
          <w:rFonts w:eastAsiaTheme="minorHAnsi" w:cstheme="minorBidi"/>
          <w:szCs w:val="22"/>
        </w:rPr>
        <w:t xml:space="preserve"> </w:t>
      </w:r>
      <w:r w:rsidR="00CB690F">
        <w:rPr>
          <w:rFonts w:eastAsiaTheme="minorHAnsi" w:cstheme="minorBidi"/>
          <w:szCs w:val="22"/>
        </w:rPr>
        <w:t>the regu</w:t>
      </w:r>
      <w:r w:rsidR="004D7AAB">
        <w:rPr>
          <w:rFonts w:eastAsiaTheme="minorHAnsi" w:cstheme="minorBidi"/>
          <w:szCs w:val="22"/>
        </w:rPr>
        <w:t>lated, subsidiary utility.</w:t>
      </w:r>
      <w:r w:rsidR="00A90D3C" w:rsidRPr="00A90D3C">
        <w:t xml:space="preserve"> </w:t>
      </w:r>
      <w:r w:rsidR="00A90D3C">
        <w:rPr>
          <w:rFonts w:eastAsiaTheme="minorHAnsi" w:cstheme="minorBidi"/>
          <w:szCs w:val="22"/>
        </w:rPr>
        <w:t>This amount is calculated</w:t>
      </w:r>
      <w:r w:rsidR="00A90D3C" w:rsidRPr="00A90D3C">
        <w:rPr>
          <w:rFonts w:eastAsiaTheme="minorHAnsi" w:cstheme="minorBidi"/>
          <w:szCs w:val="22"/>
        </w:rPr>
        <w:t xml:space="preserve"> by multiplying the regulated utility’s state taxable income before state and federal income taxes by Florida’s corporate income tax rate, plus or minus any applicable tax adjustments or credits in accordance with applicable state income tax laws and regulations.</w:t>
      </w:r>
    </w:p>
    <w:p w14:paraId="09DA4F4B" w14:textId="1B3E4B8E" w:rsidR="0054341F" w:rsidRDefault="00B453E2" w:rsidP="0054341F">
      <w:pPr>
        <w:pStyle w:val="Second-LevelSubheading"/>
        <w:rPr>
          <w:rFonts w:eastAsiaTheme="minorHAnsi"/>
        </w:rPr>
      </w:pPr>
      <w:r>
        <w:rPr>
          <w:rFonts w:eastAsiaTheme="minorHAnsi"/>
        </w:rPr>
        <w:t xml:space="preserve">Subsection </w:t>
      </w:r>
      <w:r w:rsidR="0054341F">
        <w:rPr>
          <w:rFonts w:eastAsiaTheme="minorHAnsi"/>
        </w:rPr>
        <w:t>(2)</w:t>
      </w:r>
    </w:p>
    <w:p w14:paraId="1A1980FE" w14:textId="05DE72D1" w:rsidR="00276327" w:rsidRDefault="00584456" w:rsidP="004D7AAB">
      <w:pPr>
        <w:spacing w:after="200"/>
        <w:jc w:val="both"/>
        <w:rPr>
          <w:rFonts w:eastAsiaTheme="minorHAnsi" w:cstheme="minorBidi"/>
          <w:szCs w:val="22"/>
        </w:rPr>
      </w:pPr>
      <w:r>
        <w:rPr>
          <w:rFonts w:eastAsiaTheme="minorHAnsi" w:cstheme="minorBidi"/>
          <w:szCs w:val="22"/>
        </w:rPr>
        <w:t>S</w:t>
      </w:r>
      <w:r w:rsidR="004D7AAB">
        <w:rPr>
          <w:rFonts w:eastAsiaTheme="minorHAnsi" w:cstheme="minorBidi"/>
          <w:szCs w:val="22"/>
        </w:rPr>
        <w:t xml:space="preserve">ubsection (2) of the </w:t>
      </w:r>
      <w:r>
        <w:rPr>
          <w:rFonts w:eastAsiaTheme="minorHAnsi" w:cstheme="minorBidi"/>
          <w:szCs w:val="22"/>
        </w:rPr>
        <w:t xml:space="preserve">current </w:t>
      </w:r>
      <w:r w:rsidR="004D7AAB">
        <w:rPr>
          <w:rFonts w:eastAsiaTheme="minorHAnsi" w:cstheme="minorBidi"/>
          <w:szCs w:val="22"/>
        </w:rPr>
        <w:t>rule addresses how to calculate the income tax effect of the parent’s debt when there i</w:t>
      </w:r>
      <w:r w:rsidR="00276327">
        <w:rPr>
          <w:rFonts w:eastAsiaTheme="minorHAnsi" w:cstheme="minorBidi"/>
          <w:szCs w:val="22"/>
        </w:rPr>
        <w:t>s more than one parent company.</w:t>
      </w:r>
    </w:p>
    <w:p w14:paraId="5E696703" w14:textId="46FA54CC" w:rsidR="004D7AAB" w:rsidRDefault="00A90D3C" w:rsidP="004D7AAB">
      <w:pPr>
        <w:spacing w:after="200"/>
        <w:jc w:val="both"/>
        <w:rPr>
          <w:rFonts w:eastAsiaTheme="minorHAnsi" w:cstheme="minorBidi"/>
          <w:szCs w:val="22"/>
        </w:rPr>
      </w:pPr>
      <w:r>
        <w:rPr>
          <w:rFonts w:eastAsiaTheme="minorHAnsi" w:cstheme="minorBidi"/>
          <w:szCs w:val="22"/>
        </w:rPr>
        <w:t>As parent debt is not a consideration in the recommended amendments, t</w:t>
      </w:r>
      <w:r w:rsidR="004D7AAB">
        <w:rPr>
          <w:rFonts w:eastAsiaTheme="minorHAnsi" w:cstheme="minorBidi"/>
          <w:szCs w:val="22"/>
        </w:rPr>
        <w:t>he recommended amen</w:t>
      </w:r>
      <w:r w:rsidR="00B96CA8">
        <w:rPr>
          <w:rFonts w:eastAsiaTheme="minorHAnsi" w:cstheme="minorBidi"/>
          <w:szCs w:val="22"/>
        </w:rPr>
        <w:t>dment of</w:t>
      </w:r>
      <w:r w:rsidR="004D7AAB">
        <w:rPr>
          <w:rFonts w:eastAsiaTheme="minorHAnsi" w:cstheme="minorBidi"/>
          <w:szCs w:val="22"/>
        </w:rPr>
        <w:t xml:space="preserve"> subsection (2) </w:t>
      </w:r>
      <w:r>
        <w:rPr>
          <w:rFonts w:eastAsiaTheme="minorHAnsi" w:cstheme="minorBidi"/>
          <w:szCs w:val="22"/>
        </w:rPr>
        <w:t xml:space="preserve">deletes the prior language in its entirety. In its place, the recommended rule language of subsection (2) </w:t>
      </w:r>
      <w:r w:rsidR="004D7AAB">
        <w:rPr>
          <w:rFonts w:eastAsiaTheme="minorHAnsi" w:cstheme="minorBidi"/>
          <w:szCs w:val="22"/>
        </w:rPr>
        <w:t xml:space="preserve">sets forth the method of determining the federal taxable income </w:t>
      </w:r>
      <w:r w:rsidR="00584456">
        <w:rPr>
          <w:rFonts w:eastAsiaTheme="minorHAnsi" w:cstheme="minorBidi"/>
          <w:szCs w:val="22"/>
        </w:rPr>
        <w:t>of</w:t>
      </w:r>
      <w:r w:rsidR="004D7AAB">
        <w:rPr>
          <w:rFonts w:eastAsiaTheme="minorHAnsi" w:cstheme="minorBidi"/>
          <w:szCs w:val="22"/>
        </w:rPr>
        <w:t xml:space="preserve"> the regulated, subsidiary utility after state corporate income tax</w:t>
      </w:r>
      <w:r w:rsidR="000E3DEE">
        <w:rPr>
          <w:rFonts w:eastAsiaTheme="minorHAnsi" w:cstheme="minorBidi"/>
          <w:szCs w:val="22"/>
        </w:rPr>
        <w:t xml:space="preserve">. </w:t>
      </w:r>
      <w:r>
        <w:rPr>
          <w:rFonts w:eastAsiaTheme="minorHAnsi" w:cstheme="minorBidi"/>
          <w:szCs w:val="22"/>
        </w:rPr>
        <w:t>This amount is calculated</w:t>
      </w:r>
      <w:r w:rsidR="004D7AAB">
        <w:rPr>
          <w:rFonts w:eastAsiaTheme="minorHAnsi" w:cstheme="minorBidi"/>
          <w:szCs w:val="22"/>
        </w:rPr>
        <w:t xml:space="preserve"> </w:t>
      </w:r>
      <w:r w:rsidR="002D2A8A">
        <w:rPr>
          <w:rFonts w:eastAsiaTheme="minorHAnsi" w:cstheme="minorBidi"/>
          <w:szCs w:val="22"/>
        </w:rPr>
        <w:t xml:space="preserve">by deducting </w:t>
      </w:r>
      <w:r w:rsidR="004D7AAB">
        <w:rPr>
          <w:rFonts w:eastAsiaTheme="minorHAnsi" w:cstheme="minorBidi"/>
          <w:szCs w:val="22"/>
        </w:rPr>
        <w:t>the state corporate</w:t>
      </w:r>
      <w:r w:rsidR="00067C08">
        <w:rPr>
          <w:rFonts w:eastAsiaTheme="minorHAnsi" w:cstheme="minorBidi"/>
          <w:szCs w:val="22"/>
        </w:rPr>
        <w:t xml:space="preserve"> income tax amount calculated pursuant to</w:t>
      </w:r>
      <w:r w:rsidR="004D7AAB">
        <w:rPr>
          <w:rFonts w:eastAsiaTheme="minorHAnsi" w:cstheme="minorBidi"/>
          <w:szCs w:val="22"/>
        </w:rPr>
        <w:t xml:space="preserve"> </w:t>
      </w:r>
      <w:r w:rsidR="00B96CA8">
        <w:rPr>
          <w:rFonts w:eastAsiaTheme="minorHAnsi" w:cstheme="minorBidi"/>
          <w:szCs w:val="22"/>
        </w:rPr>
        <w:t>the recommended amendment of</w:t>
      </w:r>
      <w:r w:rsidR="00584456">
        <w:rPr>
          <w:rFonts w:eastAsiaTheme="minorHAnsi" w:cstheme="minorBidi"/>
          <w:szCs w:val="22"/>
        </w:rPr>
        <w:t xml:space="preserve"> </w:t>
      </w:r>
      <w:r w:rsidR="004D7AAB">
        <w:rPr>
          <w:rFonts w:eastAsiaTheme="minorHAnsi" w:cstheme="minorBidi"/>
          <w:szCs w:val="22"/>
        </w:rPr>
        <w:t>subsection (1)</w:t>
      </w:r>
      <w:r w:rsidR="002D2A8A">
        <w:rPr>
          <w:rFonts w:eastAsiaTheme="minorHAnsi" w:cstheme="minorBidi"/>
          <w:szCs w:val="22"/>
        </w:rPr>
        <w:t xml:space="preserve"> from the regulated utility’s federal income before taxes</w:t>
      </w:r>
      <w:r w:rsidR="004D7AAB">
        <w:rPr>
          <w:rFonts w:eastAsiaTheme="minorHAnsi" w:cstheme="minorBidi"/>
          <w:szCs w:val="22"/>
        </w:rPr>
        <w:t>.</w:t>
      </w:r>
    </w:p>
    <w:p w14:paraId="6EEB4BAC" w14:textId="35AA3CB8" w:rsidR="0054341F" w:rsidRDefault="00B453E2" w:rsidP="0054341F">
      <w:pPr>
        <w:pStyle w:val="Second-LevelSubheading"/>
        <w:rPr>
          <w:rFonts w:eastAsiaTheme="minorHAnsi"/>
        </w:rPr>
      </w:pPr>
      <w:r>
        <w:rPr>
          <w:rFonts w:eastAsiaTheme="minorHAnsi"/>
        </w:rPr>
        <w:t>Subsection (</w:t>
      </w:r>
      <w:r w:rsidR="009525C3">
        <w:rPr>
          <w:rFonts w:eastAsiaTheme="minorHAnsi"/>
        </w:rPr>
        <w:t>3)</w:t>
      </w:r>
    </w:p>
    <w:p w14:paraId="3F7B2798" w14:textId="77777777" w:rsidR="00276327" w:rsidRDefault="00584456" w:rsidP="004D7AAB">
      <w:pPr>
        <w:spacing w:after="200"/>
        <w:jc w:val="both"/>
        <w:rPr>
          <w:rFonts w:eastAsiaTheme="minorHAnsi" w:cstheme="minorBidi"/>
          <w:szCs w:val="22"/>
        </w:rPr>
      </w:pPr>
      <w:r>
        <w:rPr>
          <w:rFonts w:eastAsiaTheme="minorHAnsi" w:cstheme="minorBidi"/>
          <w:szCs w:val="22"/>
        </w:rPr>
        <w:t>S</w:t>
      </w:r>
      <w:r w:rsidR="004D7AAB">
        <w:rPr>
          <w:rFonts w:eastAsiaTheme="minorHAnsi" w:cstheme="minorBidi"/>
          <w:szCs w:val="22"/>
        </w:rPr>
        <w:t xml:space="preserve">ubsection (3) of the </w:t>
      </w:r>
      <w:r>
        <w:rPr>
          <w:rFonts w:eastAsiaTheme="minorHAnsi" w:cstheme="minorBidi"/>
          <w:szCs w:val="22"/>
        </w:rPr>
        <w:t xml:space="preserve">current </w:t>
      </w:r>
      <w:r w:rsidR="004D7AAB">
        <w:rPr>
          <w:rFonts w:eastAsiaTheme="minorHAnsi" w:cstheme="minorBidi"/>
          <w:szCs w:val="22"/>
        </w:rPr>
        <w:t>rule addresses what is included in the capital structure of the parent and notes that it is a rebuttable presumption that “</w:t>
      </w:r>
      <w:r w:rsidR="004D7AAB" w:rsidRPr="004D7AAB">
        <w:rPr>
          <w:rFonts w:eastAsiaTheme="minorHAnsi" w:cstheme="minorBidi"/>
          <w:szCs w:val="22"/>
        </w:rPr>
        <w:t>a parent’s investment in any subsidiary or in its own operations shall be considered to have been made in the same ratios as exist in the parent’s overall capital structure.</w:t>
      </w:r>
      <w:r w:rsidR="00276327">
        <w:rPr>
          <w:rFonts w:eastAsiaTheme="minorHAnsi" w:cstheme="minorBidi"/>
          <w:szCs w:val="22"/>
        </w:rPr>
        <w:t>”</w:t>
      </w:r>
    </w:p>
    <w:p w14:paraId="1261379B" w14:textId="02A5A672" w:rsidR="004D7AAB" w:rsidRDefault="00A90D3C" w:rsidP="004D7AAB">
      <w:pPr>
        <w:spacing w:after="200"/>
        <w:jc w:val="both"/>
        <w:rPr>
          <w:rFonts w:eastAsiaTheme="minorHAnsi" w:cstheme="minorBidi"/>
          <w:szCs w:val="22"/>
        </w:rPr>
      </w:pPr>
      <w:r>
        <w:rPr>
          <w:rFonts w:eastAsiaTheme="minorHAnsi" w:cstheme="minorBidi"/>
          <w:szCs w:val="22"/>
        </w:rPr>
        <w:t>As parent debt is not a consideration in the recommended amendments, the recomm</w:t>
      </w:r>
      <w:r w:rsidR="00067C08">
        <w:rPr>
          <w:rFonts w:eastAsiaTheme="minorHAnsi" w:cstheme="minorBidi"/>
          <w:szCs w:val="22"/>
        </w:rPr>
        <w:t>ended amendment of subsection (3</w:t>
      </w:r>
      <w:r>
        <w:rPr>
          <w:rFonts w:eastAsiaTheme="minorHAnsi" w:cstheme="minorBidi"/>
          <w:szCs w:val="22"/>
        </w:rPr>
        <w:t>) deletes the prior language in its entirety. In its place, t</w:t>
      </w:r>
      <w:r w:rsidR="004D7AAB">
        <w:rPr>
          <w:rFonts w:eastAsiaTheme="minorHAnsi" w:cstheme="minorBidi"/>
          <w:szCs w:val="22"/>
        </w:rPr>
        <w:t xml:space="preserve">he recommended </w:t>
      </w:r>
      <w:r>
        <w:rPr>
          <w:rFonts w:eastAsiaTheme="minorHAnsi" w:cstheme="minorBidi"/>
          <w:szCs w:val="22"/>
        </w:rPr>
        <w:t xml:space="preserve">rule language </w:t>
      </w:r>
      <w:r w:rsidR="004D7AAB">
        <w:rPr>
          <w:rFonts w:eastAsiaTheme="minorHAnsi" w:cstheme="minorBidi"/>
          <w:szCs w:val="22"/>
        </w:rPr>
        <w:t xml:space="preserve">of subsection (3) sets forth the method of determining the federal current corporate income tax </w:t>
      </w:r>
      <w:r w:rsidR="00584456">
        <w:rPr>
          <w:rFonts w:eastAsiaTheme="minorHAnsi" w:cstheme="minorBidi"/>
          <w:szCs w:val="22"/>
        </w:rPr>
        <w:t>of</w:t>
      </w:r>
      <w:r w:rsidR="004D7AAB">
        <w:rPr>
          <w:rFonts w:eastAsiaTheme="minorHAnsi" w:cstheme="minorBidi"/>
          <w:szCs w:val="22"/>
        </w:rPr>
        <w:t xml:space="preserve"> the regulated, subsidiary utility</w:t>
      </w:r>
      <w:r>
        <w:rPr>
          <w:rFonts w:eastAsiaTheme="minorHAnsi" w:cstheme="minorBidi"/>
          <w:szCs w:val="22"/>
        </w:rPr>
        <w:t>. This amount is calculated</w:t>
      </w:r>
      <w:r w:rsidR="004D7AAB">
        <w:rPr>
          <w:rFonts w:eastAsiaTheme="minorHAnsi" w:cstheme="minorBidi"/>
          <w:szCs w:val="22"/>
        </w:rPr>
        <w:t xml:space="preserve"> </w:t>
      </w:r>
      <w:r>
        <w:rPr>
          <w:rFonts w:eastAsiaTheme="minorHAnsi" w:cstheme="minorBidi"/>
          <w:szCs w:val="22"/>
        </w:rPr>
        <w:t xml:space="preserve">by multiplying </w:t>
      </w:r>
      <w:r w:rsidR="004D7AAB">
        <w:rPr>
          <w:rFonts w:eastAsiaTheme="minorHAnsi" w:cstheme="minorBidi"/>
          <w:szCs w:val="22"/>
        </w:rPr>
        <w:t>the federal taxable income after state taxes</w:t>
      </w:r>
      <w:r w:rsidR="00067C08">
        <w:rPr>
          <w:rFonts w:eastAsiaTheme="minorHAnsi" w:cstheme="minorBidi"/>
          <w:szCs w:val="22"/>
        </w:rPr>
        <w:t xml:space="preserve"> (</w:t>
      </w:r>
      <w:r w:rsidR="00067C08">
        <w:t xml:space="preserve">which amount was </w:t>
      </w:r>
      <w:r w:rsidR="00067C08">
        <w:rPr>
          <w:rFonts w:eastAsiaTheme="minorHAnsi" w:cstheme="minorBidi"/>
          <w:szCs w:val="22"/>
        </w:rPr>
        <w:t xml:space="preserve">calculated pursuant to the recommended amendment of subsection (2)), by the federal corporate income tax rate, </w:t>
      </w:r>
      <w:r w:rsidR="00067C08" w:rsidRPr="002D2A8A">
        <w:t>plus or minus any applicable tax adjustments or credits in accordance with applicable federal income tax laws and regulations</w:t>
      </w:r>
      <w:r w:rsidR="00067C08">
        <w:t>.</w:t>
      </w:r>
    </w:p>
    <w:p w14:paraId="73F4D1A6" w14:textId="68813F0D" w:rsidR="009525C3" w:rsidRDefault="00B453E2" w:rsidP="009525C3">
      <w:pPr>
        <w:pStyle w:val="Second-LevelSubheading"/>
        <w:rPr>
          <w:rFonts w:eastAsiaTheme="minorHAnsi"/>
        </w:rPr>
      </w:pPr>
      <w:r>
        <w:rPr>
          <w:rFonts w:eastAsiaTheme="minorHAnsi"/>
        </w:rPr>
        <w:t xml:space="preserve">Subsection </w:t>
      </w:r>
      <w:r w:rsidR="009525C3">
        <w:rPr>
          <w:rFonts w:eastAsiaTheme="minorHAnsi"/>
        </w:rPr>
        <w:t>(4)</w:t>
      </w:r>
    </w:p>
    <w:p w14:paraId="62EC2C14" w14:textId="01AE6747" w:rsidR="00276327" w:rsidRDefault="00584456" w:rsidP="004D7AAB">
      <w:pPr>
        <w:spacing w:after="200"/>
        <w:jc w:val="both"/>
        <w:rPr>
          <w:rFonts w:eastAsiaTheme="minorHAnsi" w:cstheme="minorBidi"/>
          <w:szCs w:val="22"/>
        </w:rPr>
      </w:pPr>
      <w:r>
        <w:rPr>
          <w:rFonts w:eastAsiaTheme="minorHAnsi" w:cstheme="minorBidi"/>
          <w:szCs w:val="22"/>
        </w:rPr>
        <w:t>S</w:t>
      </w:r>
      <w:r w:rsidR="004D7AAB">
        <w:rPr>
          <w:rFonts w:eastAsiaTheme="minorHAnsi" w:cstheme="minorBidi"/>
          <w:szCs w:val="22"/>
        </w:rPr>
        <w:t xml:space="preserve">ubsection (4) of the </w:t>
      </w:r>
      <w:r>
        <w:rPr>
          <w:rFonts w:eastAsiaTheme="minorHAnsi" w:cstheme="minorBidi"/>
          <w:szCs w:val="22"/>
        </w:rPr>
        <w:t xml:space="preserve">current </w:t>
      </w:r>
      <w:r w:rsidR="004D7AAB">
        <w:rPr>
          <w:rFonts w:eastAsiaTheme="minorHAnsi" w:cstheme="minorBidi"/>
          <w:szCs w:val="22"/>
        </w:rPr>
        <w:t>rule addresses how to calculate the parent debt adjustment using debt ra</w:t>
      </w:r>
      <w:r w:rsidR="00030007">
        <w:rPr>
          <w:rFonts w:eastAsiaTheme="minorHAnsi" w:cstheme="minorBidi"/>
          <w:szCs w:val="22"/>
        </w:rPr>
        <w:t xml:space="preserve">tio </w:t>
      </w:r>
      <w:r>
        <w:rPr>
          <w:rFonts w:eastAsiaTheme="minorHAnsi" w:cstheme="minorBidi"/>
          <w:szCs w:val="22"/>
        </w:rPr>
        <w:t>and debt cost of the parent, the</w:t>
      </w:r>
      <w:r w:rsidR="00030007">
        <w:rPr>
          <w:rFonts w:eastAsiaTheme="minorHAnsi" w:cstheme="minorBidi"/>
          <w:szCs w:val="22"/>
        </w:rPr>
        <w:t xml:space="preserve"> statutory tax rate applicable to </w:t>
      </w:r>
      <w:r>
        <w:rPr>
          <w:rFonts w:eastAsiaTheme="minorHAnsi" w:cstheme="minorBidi"/>
          <w:szCs w:val="22"/>
        </w:rPr>
        <w:t xml:space="preserve">the </w:t>
      </w:r>
      <w:r w:rsidR="00030007">
        <w:rPr>
          <w:rFonts w:eastAsiaTheme="minorHAnsi" w:cstheme="minorBidi"/>
          <w:szCs w:val="22"/>
        </w:rPr>
        <w:t>consolidated entity, and the equity dollars of the regulated subsidiary, excluding its r</w:t>
      </w:r>
      <w:r w:rsidR="00276327">
        <w:rPr>
          <w:rFonts w:eastAsiaTheme="minorHAnsi" w:cstheme="minorBidi"/>
          <w:szCs w:val="22"/>
        </w:rPr>
        <w:t>etained earnings</w:t>
      </w:r>
      <w:r w:rsidR="00DD5D54">
        <w:rPr>
          <w:rFonts w:eastAsiaTheme="minorHAnsi" w:cstheme="minorBidi"/>
          <w:szCs w:val="22"/>
        </w:rPr>
        <w:t>.</w:t>
      </w:r>
    </w:p>
    <w:p w14:paraId="2FBB5267" w14:textId="1E8F3C27" w:rsidR="004D7AAB" w:rsidRDefault="00067C08" w:rsidP="004D7AAB">
      <w:pPr>
        <w:spacing w:after="200"/>
        <w:jc w:val="both"/>
        <w:rPr>
          <w:rFonts w:eastAsiaTheme="minorHAnsi" w:cstheme="minorBidi"/>
          <w:szCs w:val="22"/>
        </w:rPr>
      </w:pPr>
      <w:r>
        <w:rPr>
          <w:rFonts w:eastAsiaTheme="minorHAnsi" w:cstheme="minorBidi"/>
          <w:szCs w:val="22"/>
        </w:rPr>
        <w:t xml:space="preserve">As parent debt is not a consideration in the recommended amendments, the recommended amendment of subsection (4) deletes the prior language in its entirety. In its place, the recommended rule language of subsection (4) </w:t>
      </w:r>
      <w:r w:rsidR="00030007">
        <w:rPr>
          <w:rFonts w:eastAsiaTheme="minorHAnsi" w:cstheme="minorBidi"/>
          <w:szCs w:val="22"/>
        </w:rPr>
        <w:t>clarifies that applicable</w:t>
      </w:r>
      <w:r w:rsidR="00030007" w:rsidRPr="00030007">
        <w:rPr>
          <w:rFonts w:eastAsiaTheme="minorHAnsi" w:cstheme="minorBidi"/>
          <w:szCs w:val="22"/>
        </w:rPr>
        <w:t xml:space="preserve"> temporary adjustments to taxable income multiplied by the respective federal and state corporate income tax rates, plus or minus any applicable tax adjustments or credits in accordance with applicable federal and state income tax laws and regulation</w:t>
      </w:r>
      <w:r w:rsidR="00030007">
        <w:rPr>
          <w:rFonts w:eastAsiaTheme="minorHAnsi" w:cstheme="minorBidi"/>
          <w:szCs w:val="22"/>
        </w:rPr>
        <w:t>, shall be used in determining federal and state income tax expenses for the regulated utility</w:t>
      </w:r>
      <w:r w:rsidR="004D7AAB">
        <w:rPr>
          <w:rFonts w:eastAsiaTheme="minorHAnsi" w:cstheme="minorBidi"/>
          <w:szCs w:val="22"/>
        </w:rPr>
        <w:t>.</w:t>
      </w:r>
      <w:r w:rsidR="0035364E">
        <w:rPr>
          <w:rStyle w:val="FootnoteReference"/>
          <w:rFonts w:eastAsiaTheme="minorHAnsi" w:cstheme="minorBidi"/>
          <w:szCs w:val="22"/>
        </w:rPr>
        <w:footnoteReference w:id="6"/>
      </w:r>
    </w:p>
    <w:p w14:paraId="67515370" w14:textId="5DC85A0F" w:rsidR="009525C3" w:rsidRDefault="00B453E2" w:rsidP="009525C3">
      <w:pPr>
        <w:pStyle w:val="Second-LevelSubheading"/>
        <w:rPr>
          <w:rFonts w:eastAsiaTheme="minorHAnsi"/>
        </w:rPr>
      </w:pPr>
      <w:r>
        <w:rPr>
          <w:rFonts w:eastAsiaTheme="minorHAnsi"/>
        </w:rPr>
        <w:t>Subsection (5)</w:t>
      </w:r>
    </w:p>
    <w:p w14:paraId="22A32114" w14:textId="681B359F" w:rsidR="0035364E" w:rsidRDefault="0035364E" w:rsidP="004D7AAB">
      <w:pPr>
        <w:spacing w:after="200"/>
        <w:jc w:val="both"/>
        <w:rPr>
          <w:rFonts w:eastAsiaTheme="minorHAnsi" w:cstheme="minorBidi"/>
          <w:szCs w:val="22"/>
        </w:rPr>
      </w:pPr>
      <w:r>
        <w:rPr>
          <w:rFonts w:eastAsiaTheme="minorHAnsi" w:cstheme="minorBidi"/>
          <w:szCs w:val="22"/>
        </w:rPr>
        <w:t>The current version of the rule does not contain a subsection (5). The recommended amendment of the rule adds subsection (5)</w:t>
      </w:r>
      <w:r w:rsidR="00B96CA8">
        <w:rPr>
          <w:rFonts w:eastAsiaTheme="minorHAnsi" w:cstheme="minorBidi"/>
          <w:szCs w:val="22"/>
        </w:rPr>
        <w:t>,</w:t>
      </w:r>
      <w:r>
        <w:rPr>
          <w:rFonts w:eastAsiaTheme="minorHAnsi" w:cstheme="minorBidi"/>
          <w:szCs w:val="22"/>
        </w:rPr>
        <w:t xml:space="preserve"> which </w:t>
      </w:r>
      <w:r w:rsidR="00584456">
        <w:rPr>
          <w:rFonts w:eastAsiaTheme="minorHAnsi" w:cstheme="minorBidi"/>
          <w:szCs w:val="22"/>
        </w:rPr>
        <w:t>states that t</w:t>
      </w:r>
      <w:r w:rsidRPr="0035364E">
        <w:rPr>
          <w:rFonts w:eastAsiaTheme="minorHAnsi" w:cstheme="minorBidi"/>
          <w:szCs w:val="22"/>
        </w:rPr>
        <w:t xml:space="preserve">otal income tax expense for the regulated utility will be determined by adding the amounts calculated </w:t>
      </w:r>
      <w:r w:rsidR="00067C08">
        <w:rPr>
          <w:rFonts w:eastAsiaTheme="minorHAnsi" w:cstheme="minorBidi"/>
          <w:szCs w:val="22"/>
        </w:rPr>
        <w:t xml:space="preserve">pursuant to </w:t>
      </w:r>
      <w:r w:rsidR="00584456">
        <w:rPr>
          <w:rFonts w:eastAsiaTheme="minorHAnsi" w:cstheme="minorBidi"/>
          <w:szCs w:val="22"/>
        </w:rPr>
        <w:t>the recommended amendment</w:t>
      </w:r>
      <w:r w:rsidR="00276327">
        <w:rPr>
          <w:rFonts w:eastAsiaTheme="minorHAnsi" w:cstheme="minorBidi"/>
          <w:szCs w:val="22"/>
        </w:rPr>
        <w:t>s</w:t>
      </w:r>
      <w:r w:rsidR="00584456" w:rsidRPr="0035364E">
        <w:rPr>
          <w:rFonts w:eastAsiaTheme="minorHAnsi" w:cstheme="minorBidi"/>
          <w:szCs w:val="22"/>
        </w:rPr>
        <w:t xml:space="preserve"> </w:t>
      </w:r>
      <w:r w:rsidR="00584456">
        <w:rPr>
          <w:rFonts w:eastAsiaTheme="minorHAnsi" w:cstheme="minorBidi"/>
          <w:szCs w:val="22"/>
        </w:rPr>
        <w:t xml:space="preserve">of </w:t>
      </w:r>
      <w:r w:rsidRPr="0035364E">
        <w:rPr>
          <w:rFonts w:eastAsiaTheme="minorHAnsi" w:cstheme="minorBidi"/>
          <w:szCs w:val="22"/>
        </w:rPr>
        <w:t xml:space="preserve">subsections (1), (3), and (4) </w:t>
      </w:r>
      <w:r w:rsidR="00276327">
        <w:rPr>
          <w:rFonts w:eastAsiaTheme="minorHAnsi" w:cstheme="minorBidi"/>
          <w:szCs w:val="22"/>
        </w:rPr>
        <w:t xml:space="preserve">of the </w:t>
      </w:r>
      <w:r w:rsidRPr="0035364E">
        <w:rPr>
          <w:rFonts w:eastAsiaTheme="minorHAnsi" w:cstheme="minorBidi"/>
          <w:szCs w:val="22"/>
        </w:rPr>
        <w:t>rule</w:t>
      </w:r>
      <w:r w:rsidR="00584456">
        <w:rPr>
          <w:rFonts w:eastAsiaTheme="minorHAnsi" w:cstheme="minorBidi"/>
          <w:szCs w:val="22"/>
        </w:rPr>
        <w:t>.</w:t>
      </w:r>
    </w:p>
    <w:p w14:paraId="3D314437" w14:textId="4FADE26D" w:rsidR="00187CEC" w:rsidRDefault="00187CEC" w:rsidP="00187CEC">
      <w:pPr>
        <w:pStyle w:val="First-LevelSubheading"/>
        <w:rPr>
          <w:rFonts w:eastAsiaTheme="minorHAnsi"/>
        </w:rPr>
      </w:pPr>
      <w:r>
        <w:rPr>
          <w:rFonts w:eastAsiaTheme="minorHAnsi"/>
        </w:rPr>
        <w:t>Stakeholder Comments</w:t>
      </w:r>
    </w:p>
    <w:p w14:paraId="51909687" w14:textId="751F6F39" w:rsidR="00675EEC" w:rsidRDefault="00584456" w:rsidP="00223E82">
      <w:pPr>
        <w:spacing w:after="200"/>
        <w:jc w:val="both"/>
        <w:rPr>
          <w:rFonts w:eastAsiaTheme="minorHAnsi" w:cstheme="minorBidi"/>
          <w:szCs w:val="22"/>
        </w:rPr>
      </w:pPr>
      <w:r>
        <w:rPr>
          <w:rFonts w:eastAsiaTheme="minorHAnsi" w:cstheme="minorBidi"/>
          <w:szCs w:val="22"/>
        </w:rPr>
        <w:t>All stakeholders who commented</w:t>
      </w:r>
      <w:r w:rsidR="00D5083D">
        <w:rPr>
          <w:rFonts w:eastAsiaTheme="minorHAnsi" w:cstheme="minorBidi"/>
          <w:szCs w:val="22"/>
        </w:rPr>
        <w:t>,</w:t>
      </w:r>
      <w:r>
        <w:rPr>
          <w:rFonts w:eastAsiaTheme="minorHAnsi" w:cstheme="minorBidi"/>
          <w:szCs w:val="22"/>
        </w:rPr>
        <w:t xml:space="preserve"> except for OPC</w:t>
      </w:r>
      <w:r w:rsidR="002E77E8">
        <w:rPr>
          <w:rFonts w:eastAsiaTheme="minorHAnsi" w:cstheme="minorBidi"/>
          <w:szCs w:val="22"/>
        </w:rPr>
        <w:t>, support the recommend</w:t>
      </w:r>
      <w:r w:rsidR="00B96CA8">
        <w:rPr>
          <w:rFonts w:eastAsiaTheme="minorHAnsi" w:cstheme="minorBidi"/>
          <w:szCs w:val="22"/>
        </w:rPr>
        <w:t>ed</w:t>
      </w:r>
      <w:r w:rsidR="002E77E8">
        <w:rPr>
          <w:rFonts w:eastAsiaTheme="minorHAnsi" w:cstheme="minorBidi"/>
          <w:szCs w:val="22"/>
        </w:rPr>
        <w:t xml:space="preserve"> amendments</w:t>
      </w:r>
      <w:r w:rsidR="00B96CA8">
        <w:rPr>
          <w:rFonts w:eastAsiaTheme="minorHAnsi" w:cstheme="minorBidi"/>
          <w:szCs w:val="22"/>
        </w:rPr>
        <w:t xml:space="preserve"> to Rule 25-14.004, F.A.C</w:t>
      </w:r>
      <w:r w:rsidR="002E77E8">
        <w:rPr>
          <w:rFonts w:eastAsiaTheme="minorHAnsi" w:cstheme="minorBidi"/>
          <w:szCs w:val="22"/>
        </w:rPr>
        <w:t xml:space="preserve">. </w:t>
      </w:r>
      <w:r w:rsidR="00675EEC" w:rsidRPr="00675EEC">
        <w:rPr>
          <w:rFonts w:eastAsiaTheme="minorHAnsi" w:cstheme="minorBidi"/>
          <w:szCs w:val="22"/>
        </w:rPr>
        <w:t xml:space="preserve">OPC’s objections to the recommended </w:t>
      </w:r>
      <w:r w:rsidR="00CE618C">
        <w:rPr>
          <w:rFonts w:eastAsiaTheme="minorHAnsi" w:cstheme="minorBidi"/>
          <w:szCs w:val="22"/>
        </w:rPr>
        <w:t>amendment of</w:t>
      </w:r>
      <w:r w:rsidR="00675EEC" w:rsidRPr="00675EEC">
        <w:rPr>
          <w:rFonts w:eastAsiaTheme="minorHAnsi" w:cstheme="minorBidi"/>
          <w:szCs w:val="22"/>
        </w:rPr>
        <w:t xml:space="preserve"> the rule fall into two main categories. First, OPC opposes the recommended </w:t>
      </w:r>
      <w:r w:rsidR="00CE618C">
        <w:rPr>
          <w:rFonts w:eastAsiaTheme="minorHAnsi" w:cstheme="minorBidi"/>
          <w:szCs w:val="22"/>
        </w:rPr>
        <w:t>amendment of</w:t>
      </w:r>
      <w:r w:rsidR="00675EEC" w:rsidRPr="00675EEC">
        <w:rPr>
          <w:rFonts w:eastAsiaTheme="minorHAnsi" w:cstheme="minorBidi"/>
          <w:szCs w:val="22"/>
        </w:rPr>
        <w:t xml:space="preserve"> </w:t>
      </w:r>
      <w:r w:rsidR="002E6247">
        <w:rPr>
          <w:rFonts w:eastAsiaTheme="minorHAnsi" w:cstheme="minorBidi"/>
          <w:szCs w:val="22"/>
        </w:rPr>
        <w:t>the r</w:t>
      </w:r>
      <w:r w:rsidR="00675EEC" w:rsidRPr="00675EEC">
        <w:rPr>
          <w:rFonts w:eastAsiaTheme="minorHAnsi" w:cstheme="minorBidi"/>
          <w:szCs w:val="22"/>
        </w:rPr>
        <w:t xml:space="preserve">ule </w:t>
      </w:r>
      <w:r w:rsidR="00D5083D">
        <w:rPr>
          <w:rFonts w:eastAsiaTheme="minorHAnsi" w:cstheme="minorBidi"/>
          <w:szCs w:val="22"/>
        </w:rPr>
        <w:t>because</w:t>
      </w:r>
      <w:r w:rsidR="00675EEC" w:rsidRPr="00675EEC">
        <w:rPr>
          <w:rFonts w:eastAsiaTheme="minorHAnsi" w:cstheme="minorBidi"/>
          <w:szCs w:val="22"/>
        </w:rPr>
        <w:t xml:space="preserve"> it alleges the stand-alone method will inappropriately increase ra</w:t>
      </w:r>
      <w:r w:rsidR="000E3DEE">
        <w:rPr>
          <w:rFonts w:eastAsiaTheme="minorHAnsi" w:cstheme="minorBidi"/>
          <w:szCs w:val="22"/>
        </w:rPr>
        <w:t>tes and result</w:t>
      </w:r>
      <w:r w:rsidR="00675EEC" w:rsidRPr="00675EEC">
        <w:rPr>
          <w:rFonts w:eastAsiaTheme="minorHAnsi" w:cstheme="minorBidi"/>
          <w:szCs w:val="22"/>
        </w:rPr>
        <w:t xml:space="preserve"> in double-leverage. Next, OPC alleges that precedent disallows the stand-alone method contained in the</w:t>
      </w:r>
      <w:r w:rsidR="002E6247">
        <w:rPr>
          <w:rFonts w:eastAsiaTheme="minorHAnsi" w:cstheme="minorBidi"/>
          <w:szCs w:val="22"/>
        </w:rPr>
        <w:t xml:space="preserve"> recommended </w:t>
      </w:r>
      <w:r w:rsidR="00292CE1">
        <w:rPr>
          <w:rFonts w:eastAsiaTheme="minorHAnsi" w:cstheme="minorBidi"/>
          <w:szCs w:val="22"/>
        </w:rPr>
        <w:t>amendments to</w:t>
      </w:r>
      <w:r w:rsidR="002E6247">
        <w:rPr>
          <w:rFonts w:eastAsiaTheme="minorHAnsi" w:cstheme="minorBidi"/>
          <w:szCs w:val="22"/>
        </w:rPr>
        <w:t xml:space="preserve"> the r</w:t>
      </w:r>
      <w:r w:rsidR="00675EEC" w:rsidRPr="00675EEC">
        <w:rPr>
          <w:rFonts w:eastAsiaTheme="minorHAnsi" w:cstheme="minorBidi"/>
          <w:szCs w:val="22"/>
        </w:rPr>
        <w:t xml:space="preserve">ule. As discussed below, staff </w:t>
      </w:r>
      <w:r w:rsidR="00D5083D">
        <w:rPr>
          <w:rFonts w:eastAsiaTheme="minorHAnsi" w:cstheme="minorBidi"/>
          <w:szCs w:val="22"/>
        </w:rPr>
        <w:t xml:space="preserve">disagrees with </w:t>
      </w:r>
      <w:r w:rsidR="00675EEC" w:rsidRPr="00675EEC">
        <w:rPr>
          <w:rFonts w:eastAsiaTheme="minorHAnsi" w:cstheme="minorBidi"/>
          <w:szCs w:val="22"/>
        </w:rPr>
        <w:t xml:space="preserve">OPC’s </w:t>
      </w:r>
      <w:r w:rsidR="00D5083D">
        <w:rPr>
          <w:rFonts w:eastAsiaTheme="minorHAnsi" w:cstheme="minorBidi"/>
          <w:szCs w:val="22"/>
        </w:rPr>
        <w:t>comment</w:t>
      </w:r>
      <w:r w:rsidR="00675EEC" w:rsidRPr="00675EEC">
        <w:rPr>
          <w:rFonts w:eastAsiaTheme="minorHAnsi" w:cstheme="minorBidi"/>
          <w:szCs w:val="22"/>
        </w:rPr>
        <w:t>s.</w:t>
      </w:r>
    </w:p>
    <w:p w14:paraId="6493F6E1" w14:textId="18ED2A81" w:rsidR="00D5083D" w:rsidRDefault="00D5083D" w:rsidP="00D5083D">
      <w:pPr>
        <w:pStyle w:val="Second-LevelSubheading"/>
        <w:rPr>
          <w:rFonts w:eastAsiaTheme="minorHAnsi"/>
        </w:rPr>
      </w:pPr>
      <w:r w:rsidRPr="00D5083D">
        <w:rPr>
          <w:rFonts w:eastAsiaTheme="minorHAnsi"/>
        </w:rPr>
        <w:t>The recommended amendments align the rule with current national standards</w:t>
      </w:r>
      <w:r w:rsidR="001E3AA0">
        <w:rPr>
          <w:rFonts w:eastAsiaTheme="minorHAnsi"/>
        </w:rPr>
        <w:t xml:space="preserve"> and will not inappropriately increase</w:t>
      </w:r>
      <w:r w:rsidRPr="00D5083D">
        <w:rPr>
          <w:rFonts w:eastAsiaTheme="minorHAnsi"/>
        </w:rPr>
        <w:t xml:space="preserve"> rates</w:t>
      </w:r>
      <w:r w:rsidR="001E3AA0">
        <w:rPr>
          <w:rFonts w:eastAsiaTheme="minorHAnsi"/>
        </w:rPr>
        <w:t xml:space="preserve"> or </w:t>
      </w:r>
      <w:r w:rsidRPr="00D5083D">
        <w:rPr>
          <w:rFonts w:eastAsiaTheme="minorHAnsi"/>
        </w:rPr>
        <w:t>result in double leverage.</w:t>
      </w:r>
    </w:p>
    <w:p w14:paraId="2CAB22BE" w14:textId="1FB5AF0E" w:rsidR="0065111C" w:rsidRDefault="0065111C" w:rsidP="0065111C">
      <w:pPr>
        <w:spacing w:after="200"/>
        <w:jc w:val="both"/>
        <w:rPr>
          <w:rFonts w:eastAsiaTheme="minorHAnsi"/>
        </w:rPr>
      </w:pPr>
      <w:r w:rsidRPr="000E122D">
        <w:rPr>
          <w:rFonts w:eastAsiaTheme="minorHAnsi"/>
        </w:rPr>
        <w:t xml:space="preserve">In essence, </w:t>
      </w:r>
      <w:r>
        <w:rPr>
          <w:rFonts w:eastAsiaTheme="minorHAnsi"/>
        </w:rPr>
        <w:t>the</w:t>
      </w:r>
      <w:r w:rsidRPr="000E122D">
        <w:rPr>
          <w:rFonts w:eastAsiaTheme="minorHAnsi"/>
        </w:rPr>
        <w:t xml:space="preserve"> parent-debt adjustment</w:t>
      </w:r>
      <w:r>
        <w:rPr>
          <w:rFonts w:eastAsiaTheme="minorHAnsi"/>
        </w:rPr>
        <w:t xml:space="preserve"> (recognizing double leverage)</w:t>
      </w:r>
      <w:r w:rsidRPr="000E122D">
        <w:rPr>
          <w:rFonts w:eastAsiaTheme="minorHAnsi"/>
        </w:rPr>
        <w:t xml:space="preserve"> perverts the ca</w:t>
      </w:r>
      <w:r w:rsidR="000E3DEE">
        <w:rPr>
          <w:rFonts w:eastAsiaTheme="minorHAnsi"/>
        </w:rPr>
        <w:t>lculation of return on equity (ROE</w:t>
      </w:r>
      <w:r w:rsidRPr="000E122D">
        <w:rPr>
          <w:rFonts w:eastAsiaTheme="minorHAnsi"/>
        </w:rPr>
        <w:t>). In a rate proceeding, the Commission determines the appropriate ROE and capital structure (i.e., the appropriate debt and equity ratios)</w:t>
      </w:r>
      <w:r w:rsidR="00D5083D">
        <w:rPr>
          <w:rFonts w:eastAsiaTheme="minorHAnsi"/>
        </w:rPr>
        <w:t xml:space="preserve">, </w:t>
      </w:r>
      <w:r>
        <w:rPr>
          <w:rFonts w:eastAsiaTheme="minorHAnsi"/>
        </w:rPr>
        <w:t>which reflect the utility’s cost of obtaining funds</w:t>
      </w:r>
      <w:r w:rsidRPr="000E122D">
        <w:rPr>
          <w:rFonts w:eastAsiaTheme="minorHAnsi"/>
        </w:rPr>
        <w:t xml:space="preserve">. </w:t>
      </w:r>
      <w:r w:rsidR="001C0C9E">
        <w:rPr>
          <w:rFonts w:eastAsiaTheme="minorHAnsi"/>
        </w:rPr>
        <w:t>The parent-debt adjustment imputes the tax deduction associated with parent company debt to the regulated utility. However, b</w:t>
      </w:r>
      <w:r>
        <w:rPr>
          <w:rFonts w:eastAsiaTheme="minorHAnsi"/>
        </w:rPr>
        <w:t>ecause</w:t>
      </w:r>
      <w:r w:rsidRPr="000E122D">
        <w:rPr>
          <w:rFonts w:eastAsiaTheme="minorHAnsi"/>
        </w:rPr>
        <w:t xml:space="preserve"> the regulated utility did not incur t</w:t>
      </w:r>
      <w:r w:rsidR="00C90BAC">
        <w:rPr>
          <w:rFonts w:eastAsiaTheme="minorHAnsi"/>
        </w:rPr>
        <w:t>he parent’s interest expense, the regulated utility</w:t>
      </w:r>
      <w:r w:rsidRPr="000E122D">
        <w:rPr>
          <w:rFonts w:eastAsiaTheme="minorHAnsi"/>
        </w:rPr>
        <w:t xml:space="preserve"> </w:t>
      </w:r>
      <w:r w:rsidR="001C0C9E">
        <w:rPr>
          <w:rFonts w:eastAsiaTheme="minorHAnsi"/>
        </w:rPr>
        <w:t xml:space="preserve">cannot </w:t>
      </w:r>
      <w:r w:rsidRPr="000E122D">
        <w:rPr>
          <w:rFonts w:eastAsiaTheme="minorHAnsi"/>
        </w:rPr>
        <w:t>claim that expense on its taxes and reduce its costs.</w:t>
      </w:r>
    </w:p>
    <w:p w14:paraId="3C60A85E" w14:textId="31CDEC62" w:rsidR="0065111C" w:rsidRPr="000E122D" w:rsidRDefault="0065111C" w:rsidP="0065111C">
      <w:pPr>
        <w:spacing w:after="200"/>
        <w:jc w:val="both"/>
        <w:rPr>
          <w:rFonts w:eastAsiaTheme="minorHAnsi" w:cstheme="minorBidi"/>
          <w:szCs w:val="22"/>
        </w:rPr>
      </w:pPr>
      <w:r>
        <w:rPr>
          <w:rFonts w:eastAsiaTheme="minorHAnsi" w:cstheme="minorBidi"/>
          <w:szCs w:val="22"/>
        </w:rPr>
        <w:t>When the current r</w:t>
      </w:r>
      <w:r w:rsidRPr="000E122D">
        <w:rPr>
          <w:rFonts w:eastAsiaTheme="minorHAnsi" w:cstheme="minorBidi"/>
          <w:szCs w:val="22"/>
        </w:rPr>
        <w:t xml:space="preserve">ule is applied, the utility does not collect the actual cost of providing utility service. </w:t>
      </w:r>
      <w:r>
        <w:rPr>
          <w:rFonts w:eastAsiaTheme="minorHAnsi" w:cstheme="minorBidi"/>
          <w:szCs w:val="22"/>
        </w:rPr>
        <w:t>Consequent</w:t>
      </w:r>
      <w:r w:rsidRPr="000E122D">
        <w:rPr>
          <w:rFonts w:eastAsiaTheme="minorHAnsi" w:cstheme="minorBidi"/>
          <w:szCs w:val="22"/>
        </w:rPr>
        <w:t xml:space="preserve">ly, the utility </w:t>
      </w:r>
      <w:r>
        <w:rPr>
          <w:rFonts w:eastAsiaTheme="minorHAnsi" w:cstheme="minorBidi"/>
          <w:szCs w:val="22"/>
        </w:rPr>
        <w:t>may s</w:t>
      </w:r>
      <w:r w:rsidRPr="000E122D">
        <w:rPr>
          <w:rFonts w:eastAsiaTheme="minorHAnsi" w:cstheme="minorBidi"/>
          <w:szCs w:val="22"/>
        </w:rPr>
        <w:t>eek rate increases more frequently</w:t>
      </w:r>
      <w:r>
        <w:rPr>
          <w:rFonts w:eastAsiaTheme="minorHAnsi" w:cstheme="minorBidi"/>
          <w:szCs w:val="22"/>
        </w:rPr>
        <w:t xml:space="preserve"> incurring additional rate case expense. M</w:t>
      </w:r>
      <w:r w:rsidRPr="000E122D">
        <w:rPr>
          <w:rFonts w:eastAsiaTheme="minorHAnsi" w:cstheme="minorBidi"/>
          <w:szCs w:val="22"/>
        </w:rPr>
        <w:t>oving away from the parent debt adjustment and adopting the stand-alone approach is also beneficia</w:t>
      </w:r>
      <w:r w:rsidR="002E77E8">
        <w:rPr>
          <w:rFonts w:eastAsiaTheme="minorHAnsi" w:cstheme="minorBidi"/>
          <w:szCs w:val="22"/>
        </w:rPr>
        <w:t>l to rate payers. S</w:t>
      </w:r>
      <w:r w:rsidRPr="000E122D">
        <w:rPr>
          <w:rFonts w:eastAsiaTheme="minorHAnsi" w:cstheme="minorBidi"/>
          <w:szCs w:val="22"/>
        </w:rPr>
        <w:t>etting rates on a stand-alone basis ensures only the costs associated with the provision of utility se</w:t>
      </w:r>
      <w:r>
        <w:rPr>
          <w:rFonts w:eastAsiaTheme="minorHAnsi" w:cstheme="minorBidi"/>
          <w:szCs w:val="22"/>
        </w:rPr>
        <w:t>rvice are charged to customers.</w:t>
      </w:r>
    </w:p>
    <w:p w14:paraId="6327F3B7" w14:textId="77777777" w:rsidR="0065111C" w:rsidRPr="000E122D" w:rsidRDefault="0065111C" w:rsidP="0065111C">
      <w:pPr>
        <w:spacing w:after="200"/>
        <w:ind w:left="720" w:right="720"/>
        <w:jc w:val="both"/>
        <w:rPr>
          <w:rFonts w:eastAsiaTheme="minorHAnsi" w:cstheme="minorBidi"/>
          <w:szCs w:val="22"/>
        </w:rPr>
      </w:pPr>
      <w:r w:rsidRPr="000E122D">
        <w:rPr>
          <w:rFonts w:eastAsiaTheme="minorHAnsi" w:cstheme="minorBidi"/>
          <w:szCs w:val="22"/>
        </w:rPr>
        <w:t>Under [the] stand-alone methodology, a regulated entity's income tax allowance is based on the income and deductions specifically attributable to the regulated entity's jurisdictional cost of service and the income tax allowance does not incorporate potentially offsetting losses and deductions of the parent owner not reflected in the regulated entity's jurisdictional cost of service.</w:t>
      </w:r>
    </w:p>
    <w:p w14:paraId="0EBD9DF5" w14:textId="4A3E7B67" w:rsidR="0065111C" w:rsidRPr="000E122D" w:rsidRDefault="0065111C" w:rsidP="0065111C">
      <w:pPr>
        <w:spacing w:after="200"/>
        <w:jc w:val="both"/>
        <w:rPr>
          <w:rFonts w:eastAsiaTheme="minorHAnsi" w:cstheme="minorBidi"/>
          <w:szCs w:val="22"/>
        </w:rPr>
      </w:pPr>
      <w:r w:rsidRPr="000E122D">
        <w:rPr>
          <w:rFonts w:eastAsiaTheme="minorHAnsi" w:cstheme="minorBidi"/>
          <w:i/>
          <w:szCs w:val="22"/>
        </w:rPr>
        <w:t>Trailblazer Pipeline Co., LLC</w:t>
      </w:r>
      <w:r w:rsidRPr="000E122D">
        <w:rPr>
          <w:rFonts w:eastAsiaTheme="minorHAnsi" w:cstheme="minorBidi"/>
          <w:szCs w:val="22"/>
        </w:rPr>
        <w:t xml:space="preserve">, 166 F.E.R.C. P61141, 61674, 2019 WL 830962, at *10 (FERC Feb. 21, 2019) (citing </w:t>
      </w:r>
      <w:r w:rsidRPr="000E122D">
        <w:rPr>
          <w:rFonts w:eastAsiaTheme="minorHAnsi" w:cstheme="minorBidi"/>
          <w:i/>
          <w:szCs w:val="22"/>
        </w:rPr>
        <w:t>City of Charlottesville</w:t>
      </w:r>
      <w:r w:rsidR="00DD5D54">
        <w:rPr>
          <w:rFonts w:eastAsiaTheme="minorHAnsi" w:cstheme="minorBidi"/>
          <w:i/>
          <w:szCs w:val="22"/>
        </w:rPr>
        <w:t xml:space="preserve"> v. Fed. Energy Reg. Comm’n</w:t>
      </w:r>
      <w:r w:rsidR="00D5083D">
        <w:rPr>
          <w:rFonts w:eastAsiaTheme="minorHAnsi" w:cstheme="minorBidi"/>
          <w:i/>
          <w:szCs w:val="22"/>
        </w:rPr>
        <w:t>,</w:t>
      </w:r>
      <w:r w:rsidR="00685510">
        <w:rPr>
          <w:rFonts w:eastAsiaTheme="minorHAnsi" w:cstheme="minorBidi"/>
          <w:szCs w:val="22"/>
        </w:rPr>
        <w:t xml:space="preserve"> 774 </w:t>
      </w:r>
      <w:r w:rsidR="00D5083D" w:rsidRPr="00D5083D">
        <w:rPr>
          <w:rFonts w:eastAsiaTheme="minorHAnsi" w:cstheme="minorBidi"/>
          <w:szCs w:val="22"/>
        </w:rPr>
        <w:t>F.2d</w:t>
      </w:r>
      <w:r w:rsidR="00D5083D">
        <w:rPr>
          <w:rFonts w:eastAsiaTheme="minorHAnsi" w:cstheme="minorBidi"/>
          <w:szCs w:val="22"/>
        </w:rPr>
        <w:t xml:space="preserve"> 1205, 1215 (1985)</w:t>
      </w:r>
      <w:r w:rsidR="00B1659E">
        <w:rPr>
          <w:rFonts w:eastAsiaTheme="minorHAnsi" w:cstheme="minorBidi"/>
          <w:szCs w:val="22"/>
        </w:rPr>
        <w:t>,</w:t>
      </w:r>
      <w:r w:rsidR="00B1659E" w:rsidRPr="00B1659E">
        <w:t xml:space="preserve"> cert. den’d, 475 U.S. 1108 (1986)</w:t>
      </w:r>
      <w:r w:rsidRPr="00D5083D">
        <w:rPr>
          <w:rFonts w:eastAsiaTheme="minorHAnsi" w:cstheme="minorBidi"/>
          <w:szCs w:val="22"/>
        </w:rPr>
        <w:t>)</w:t>
      </w:r>
      <w:r w:rsidRPr="000E122D">
        <w:rPr>
          <w:rFonts w:eastAsiaTheme="minorHAnsi" w:cstheme="minorBidi"/>
          <w:szCs w:val="22"/>
        </w:rPr>
        <w:t>.</w:t>
      </w:r>
      <w:r w:rsidR="00B1659E">
        <w:rPr>
          <w:rStyle w:val="FootnoteReference"/>
          <w:rFonts w:eastAsiaTheme="minorHAnsi" w:cstheme="minorBidi"/>
          <w:szCs w:val="22"/>
        </w:rPr>
        <w:footnoteReference w:id="7"/>
      </w:r>
    </w:p>
    <w:p w14:paraId="1B6177C1" w14:textId="0223E212" w:rsidR="0065111C" w:rsidRPr="000E122D" w:rsidRDefault="0065111C" w:rsidP="0065111C">
      <w:pPr>
        <w:spacing w:after="200"/>
        <w:jc w:val="both"/>
        <w:rPr>
          <w:rFonts w:eastAsiaTheme="minorHAnsi" w:cstheme="minorBidi"/>
          <w:szCs w:val="22"/>
        </w:rPr>
      </w:pPr>
      <w:r w:rsidRPr="000E122D">
        <w:rPr>
          <w:rFonts w:eastAsiaTheme="minorHAnsi" w:cstheme="minorBidi"/>
          <w:szCs w:val="22"/>
        </w:rPr>
        <w:t xml:space="preserve">While some cases have described the stand-alone approach as relying on a “hypothetical” calculation, using the parent debt adjustment artificially decreases the regulated utility’s tax expense and lowers the regulated subsidiary’s revenue requirement. While the </w:t>
      </w:r>
      <w:r w:rsidR="00213221">
        <w:rPr>
          <w:rFonts w:eastAsiaTheme="minorHAnsi" w:cstheme="minorBidi"/>
          <w:szCs w:val="22"/>
        </w:rPr>
        <w:t>parent debt adjustment</w:t>
      </w:r>
      <w:r w:rsidRPr="000E122D">
        <w:rPr>
          <w:rFonts w:eastAsiaTheme="minorHAnsi" w:cstheme="minorBidi"/>
          <w:szCs w:val="22"/>
        </w:rPr>
        <w:t xml:space="preserve"> approach lowers rates</w:t>
      </w:r>
      <w:r w:rsidR="00685510">
        <w:rPr>
          <w:rFonts w:eastAsiaTheme="minorHAnsi" w:cstheme="minorBidi"/>
          <w:szCs w:val="22"/>
        </w:rPr>
        <w:t xml:space="preserve">, </w:t>
      </w:r>
      <w:r w:rsidRPr="000E122D">
        <w:rPr>
          <w:rFonts w:eastAsiaTheme="minorHAnsi" w:cstheme="minorBidi"/>
          <w:szCs w:val="22"/>
        </w:rPr>
        <w:t>it results in a revenue requirement based upon tax benefits associated with debt that is neither an expense of the utility nor borne by the utility’s customers. If taxes are allocated in a manner other than on a stand-alone basis, utility customers may pay rates that reflect costs or benefits of other nonregulated mem</w:t>
      </w:r>
      <w:r w:rsidR="002E6247">
        <w:rPr>
          <w:rFonts w:eastAsiaTheme="minorHAnsi" w:cstheme="minorBidi"/>
          <w:szCs w:val="22"/>
        </w:rPr>
        <w:t>bers of the consolidated group.</w:t>
      </w:r>
    </w:p>
    <w:p w14:paraId="5C5C22B7" w14:textId="031A0910" w:rsidR="00223E82" w:rsidRDefault="00223E82" w:rsidP="00223E82">
      <w:pPr>
        <w:spacing w:after="200"/>
        <w:jc w:val="both"/>
        <w:rPr>
          <w:rFonts w:eastAsiaTheme="minorHAnsi" w:cstheme="minorBidi"/>
          <w:szCs w:val="22"/>
        </w:rPr>
      </w:pPr>
      <w:r>
        <w:rPr>
          <w:rFonts w:eastAsiaTheme="minorHAnsi" w:cstheme="minorBidi"/>
          <w:szCs w:val="22"/>
        </w:rPr>
        <w:t xml:space="preserve">In its written comments, </w:t>
      </w:r>
      <w:r w:rsidRPr="000E122D">
        <w:rPr>
          <w:rFonts w:eastAsiaTheme="minorHAnsi" w:cstheme="minorBidi"/>
          <w:szCs w:val="22"/>
        </w:rPr>
        <w:t>OPC allege</w:t>
      </w:r>
      <w:r w:rsidR="002E77E8">
        <w:rPr>
          <w:rFonts w:eastAsiaTheme="minorHAnsi" w:cstheme="minorBidi"/>
          <w:szCs w:val="22"/>
        </w:rPr>
        <w:t>s</w:t>
      </w:r>
      <w:r w:rsidRPr="000E122D">
        <w:rPr>
          <w:rFonts w:eastAsiaTheme="minorHAnsi" w:cstheme="minorBidi"/>
          <w:szCs w:val="22"/>
        </w:rPr>
        <w:t xml:space="preserve"> that staff’s concern that appli</w:t>
      </w:r>
      <w:r w:rsidR="0065111C">
        <w:rPr>
          <w:rFonts w:eastAsiaTheme="minorHAnsi" w:cstheme="minorBidi"/>
          <w:szCs w:val="22"/>
        </w:rPr>
        <w:t>cation of the r</w:t>
      </w:r>
      <w:r w:rsidRPr="000E122D">
        <w:rPr>
          <w:rFonts w:eastAsiaTheme="minorHAnsi" w:cstheme="minorBidi"/>
          <w:szCs w:val="22"/>
        </w:rPr>
        <w:t xml:space="preserve">ule results in “double leverage” is unfounded. </w:t>
      </w:r>
      <w:r>
        <w:rPr>
          <w:rFonts w:eastAsiaTheme="minorHAnsi" w:cstheme="minorBidi"/>
          <w:szCs w:val="22"/>
        </w:rPr>
        <w:t xml:space="preserve">However, contrary to OPC’s allegations, the cases that advance a parent-debt adjustment do so for double-leverage. </w:t>
      </w:r>
      <w:r w:rsidRPr="00294EA4">
        <w:rPr>
          <w:rFonts w:eastAsiaTheme="minorHAnsi" w:cstheme="minorBidi"/>
          <w:i/>
          <w:szCs w:val="22"/>
        </w:rPr>
        <w:t>See, e.g.</w:t>
      </w:r>
      <w:r w:rsidR="00D952C3">
        <w:rPr>
          <w:rFonts w:eastAsiaTheme="minorHAnsi" w:cstheme="minorBidi"/>
          <w:i/>
          <w:szCs w:val="22"/>
        </w:rPr>
        <w:t>,</w:t>
      </w:r>
      <w:r w:rsidRPr="00294EA4">
        <w:rPr>
          <w:rFonts w:eastAsiaTheme="minorHAnsi" w:cstheme="minorBidi"/>
          <w:i/>
          <w:szCs w:val="22"/>
        </w:rPr>
        <w:t xml:space="preserve"> New England Tele. &amp; Teleg. Co. v. Pub. Utils. Comm’n</w:t>
      </w:r>
      <w:r>
        <w:rPr>
          <w:rFonts w:eastAsiaTheme="minorHAnsi" w:cstheme="minorBidi"/>
          <w:szCs w:val="22"/>
        </w:rPr>
        <w:t xml:space="preserve">, 390 A.2d 8, 28-47 (Me. 1978). Double leverage occurs when a subsidiary enjoys its own leverage (use of debt instead of all equity capital) plus the leverage factor of its parent company (which also uses some debt instead of all equity capital). </w:t>
      </w:r>
      <w:r w:rsidRPr="00294EA4">
        <w:rPr>
          <w:rFonts w:eastAsiaTheme="minorHAnsi" w:cstheme="minorBidi"/>
          <w:i/>
          <w:szCs w:val="22"/>
        </w:rPr>
        <w:t>See id</w:t>
      </w:r>
      <w:r>
        <w:rPr>
          <w:rFonts w:eastAsiaTheme="minorHAnsi" w:cstheme="minorBidi"/>
          <w:i/>
          <w:szCs w:val="22"/>
        </w:rPr>
        <w:t>.</w:t>
      </w:r>
      <w:r>
        <w:rPr>
          <w:rFonts w:eastAsiaTheme="minorHAnsi" w:cstheme="minorBidi"/>
          <w:szCs w:val="22"/>
        </w:rPr>
        <w:t xml:space="preserve"> at 41.</w:t>
      </w:r>
    </w:p>
    <w:p w14:paraId="609EC1CA" w14:textId="46D0B9F9" w:rsidR="00DB2F8D" w:rsidRPr="000E122D" w:rsidRDefault="00C86CC6" w:rsidP="00DB2F8D">
      <w:pPr>
        <w:spacing w:after="200"/>
        <w:jc w:val="both"/>
        <w:rPr>
          <w:rFonts w:eastAsiaTheme="minorHAnsi" w:cstheme="minorBidi"/>
          <w:szCs w:val="22"/>
        </w:rPr>
      </w:pPr>
      <w:r>
        <w:rPr>
          <w:rFonts w:eastAsiaTheme="minorHAnsi" w:cstheme="minorBidi"/>
          <w:szCs w:val="22"/>
        </w:rPr>
        <w:t>Of the utilities providing comments</w:t>
      </w:r>
      <w:r w:rsidR="0063546E">
        <w:rPr>
          <w:rFonts w:eastAsiaTheme="minorHAnsi" w:cstheme="minorBidi"/>
          <w:szCs w:val="22"/>
        </w:rPr>
        <w:t xml:space="preserve">, DEF, </w:t>
      </w:r>
      <w:r w:rsidR="00DB2F8D" w:rsidRPr="000E122D">
        <w:rPr>
          <w:rFonts w:eastAsiaTheme="minorHAnsi" w:cstheme="minorBidi"/>
          <w:szCs w:val="22"/>
        </w:rPr>
        <w:t>FPL</w:t>
      </w:r>
      <w:r w:rsidR="00952C45">
        <w:rPr>
          <w:rFonts w:eastAsiaTheme="minorHAnsi" w:cstheme="minorBidi"/>
          <w:szCs w:val="22"/>
        </w:rPr>
        <w:t>,</w:t>
      </w:r>
      <w:r w:rsidR="00E841EE">
        <w:rPr>
          <w:rStyle w:val="FootnoteReference"/>
          <w:rFonts w:eastAsiaTheme="minorHAnsi" w:cstheme="minorBidi"/>
          <w:szCs w:val="22"/>
        </w:rPr>
        <w:footnoteReference w:id="8"/>
      </w:r>
      <w:r w:rsidR="002E77E8">
        <w:rPr>
          <w:rFonts w:eastAsiaTheme="minorHAnsi" w:cstheme="minorBidi"/>
          <w:szCs w:val="22"/>
        </w:rPr>
        <w:t xml:space="preserve"> FCG, </w:t>
      </w:r>
      <w:r w:rsidR="00DB2F8D" w:rsidRPr="000E122D">
        <w:rPr>
          <w:rFonts w:eastAsiaTheme="minorHAnsi" w:cstheme="minorBidi"/>
          <w:szCs w:val="22"/>
        </w:rPr>
        <w:t>FPUC</w:t>
      </w:r>
      <w:r w:rsidR="002E77E8">
        <w:rPr>
          <w:rFonts w:eastAsiaTheme="minorHAnsi" w:cstheme="minorBidi"/>
          <w:szCs w:val="22"/>
        </w:rPr>
        <w:t>, PGS, and TECO</w:t>
      </w:r>
      <w:r w:rsidR="002E77E8">
        <w:rPr>
          <w:rStyle w:val="FootnoteReference"/>
          <w:rFonts w:eastAsiaTheme="minorHAnsi" w:cstheme="minorBidi"/>
          <w:szCs w:val="22"/>
        </w:rPr>
        <w:footnoteReference w:id="9"/>
      </w:r>
      <w:r w:rsidR="00346AD2">
        <w:rPr>
          <w:rFonts w:eastAsiaTheme="minorHAnsi" w:cstheme="minorBidi"/>
          <w:szCs w:val="22"/>
        </w:rPr>
        <w:t xml:space="preserve"> </w:t>
      </w:r>
      <w:r w:rsidR="00E841EE">
        <w:rPr>
          <w:rFonts w:eastAsiaTheme="minorHAnsi" w:cstheme="minorBidi"/>
          <w:szCs w:val="22"/>
        </w:rPr>
        <w:t>agree</w:t>
      </w:r>
      <w:r w:rsidR="00346AD2">
        <w:rPr>
          <w:rFonts w:eastAsiaTheme="minorHAnsi" w:cstheme="minorBidi"/>
          <w:szCs w:val="22"/>
        </w:rPr>
        <w:t xml:space="preserve"> with staff’s rationale for the recommended amendment of the rule.</w:t>
      </w:r>
      <w:r w:rsidR="00E841EE">
        <w:rPr>
          <w:rFonts w:eastAsiaTheme="minorHAnsi" w:cstheme="minorBidi"/>
          <w:szCs w:val="22"/>
        </w:rPr>
        <w:t xml:space="preserve"> FPL and its affiliates note</w:t>
      </w:r>
      <w:r w:rsidR="00346AD2">
        <w:rPr>
          <w:rFonts w:eastAsiaTheme="minorHAnsi" w:cstheme="minorBidi"/>
          <w:szCs w:val="22"/>
        </w:rPr>
        <w:t xml:space="preserve"> the r</w:t>
      </w:r>
      <w:r w:rsidR="00DB2F8D" w:rsidRPr="000E122D">
        <w:rPr>
          <w:rFonts w:eastAsiaTheme="minorHAnsi" w:cstheme="minorBidi"/>
          <w:szCs w:val="22"/>
        </w:rPr>
        <w:t>ule’s effect is that the “parent company’s debt is imputed to the benefit of customers even though customers are not obligated to pay rates reflecting the interest expense</w:t>
      </w:r>
      <w:r w:rsidR="00E841EE">
        <w:rPr>
          <w:rFonts w:eastAsiaTheme="minorHAnsi" w:cstheme="minorBidi"/>
          <w:szCs w:val="22"/>
        </w:rPr>
        <w:t xml:space="preserve"> on the parent’s debt in rates” which </w:t>
      </w:r>
      <w:r w:rsidR="00DB2F8D" w:rsidRPr="000E122D">
        <w:rPr>
          <w:rFonts w:eastAsiaTheme="minorHAnsi" w:cstheme="minorBidi"/>
          <w:szCs w:val="22"/>
        </w:rPr>
        <w:t xml:space="preserve">may result in </w:t>
      </w:r>
      <w:r w:rsidR="00E841EE">
        <w:rPr>
          <w:rFonts w:eastAsiaTheme="minorHAnsi" w:cstheme="minorBidi"/>
          <w:szCs w:val="22"/>
        </w:rPr>
        <w:t>the need</w:t>
      </w:r>
      <w:r w:rsidR="00DB2F8D" w:rsidRPr="000E122D">
        <w:rPr>
          <w:rFonts w:eastAsiaTheme="minorHAnsi" w:cstheme="minorBidi"/>
          <w:szCs w:val="22"/>
        </w:rPr>
        <w:t xml:space="preserve"> to file </w:t>
      </w:r>
      <w:r w:rsidR="00E841EE">
        <w:rPr>
          <w:rFonts w:eastAsiaTheme="minorHAnsi" w:cstheme="minorBidi"/>
          <w:szCs w:val="22"/>
        </w:rPr>
        <w:t>requests for “</w:t>
      </w:r>
      <w:r w:rsidR="00DB2F8D" w:rsidRPr="000E122D">
        <w:rPr>
          <w:rFonts w:eastAsiaTheme="minorHAnsi" w:cstheme="minorBidi"/>
          <w:szCs w:val="22"/>
        </w:rPr>
        <w:t xml:space="preserve">more frequent and costly base rate increases, which will further increase rates paid by customers.” </w:t>
      </w:r>
      <w:r w:rsidR="0063546E">
        <w:rPr>
          <w:rFonts w:eastAsiaTheme="minorHAnsi" w:cstheme="minorBidi"/>
          <w:szCs w:val="22"/>
        </w:rPr>
        <w:t>The</w:t>
      </w:r>
      <w:r w:rsidR="00E841EE">
        <w:rPr>
          <w:rFonts w:eastAsiaTheme="minorHAnsi" w:cstheme="minorBidi"/>
          <w:szCs w:val="22"/>
        </w:rPr>
        <w:t>y</w:t>
      </w:r>
      <w:r w:rsidR="0063546E">
        <w:rPr>
          <w:rFonts w:eastAsiaTheme="minorHAnsi" w:cstheme="minorBidi"/>
          <w:szCs w:val="22"/>
        </w:rPr>
        <w:t xml:space="preserve"> </w:t>
      </w:r>
      <w:r w:rsidR="00E841EE">
        <w:rPr>
          <w:rFonts w:eastAsiaTheme="minorHAnsi" w:cstheme="minorBidi"/>
          <w:szCs w:val="22"/>
        </w:rPr>
        <w:t>assert</w:t>
      </w:r>
      <w:r w:rsidR="00DB2F8D" w:rsidRPr="000E122D">
        <w:rPr>
          <w:rFonts w:eastAsiaTheme="minorHAnsi" w:cstheme="minorBidi"/>
          <w:szCs w:val="22"/>
        </w:rPr>
        <w:t xml:space="preserve"> that “to mitigate this costly and time-consuming potential that rates should reflect the taxes associated with only the items that are included in the cost of service and net operating income directly attributable to them.”</w:t>
      </w:r>
      <w:r w:rsidR="00E841EE">
        <w:rPr>
          <w:rFonts w:eastAsiaTheme="minorHAnsi" w:cstheme="minorBidi"/>
          <w:szCs w:val="22"/>
        </w:rPr>
        <w:t xml:space="preserve"> TECO’s comments generally adopt those submitted by FPL and its affiliates.</w:t>
      </w:r>
    </w:p>
    <w:p w14:paraId="4DEDEE77" w14:textId="5C4BF193" w:rsidR="00E841EE" w:rsidRPr="000E122D" w:rsidRDefault="00DB2F8D" w:rsidP="00DB2F8D">
      <w:pPr>
        <w:spacing w:after="200"/>
        <w:jc w:val="both"/>
        <w:rPr>
          <w:rFonts w:eastAsiaTheme="minorHAnsi" w:cstheme="minorBidi"/>
          <w:szCs w:val="22"/>
        </w:rPr>
      </w:pPr>
      <w:r w:rsidRPr="000E122D">
        <w:rPr>
          <w:rFonts w:eastAsiaTheme="minorHAnsi" w:cstheme="minorBidi"/>
          <w:szCs w:val="22"/>
        </w:rPr>
        <w:t>DEF agree</w:t>
      </w:r>
      <w:r w:rsidR="002E77E8">
        <w:rPr>
          <w:rFonts w:eastAsiaTheme="minorHAnsi" w:cstheme="minorBidi"/>
          <w:szCs w:val="22"/>
        </w:rPr>
        <w:t>s</w:t>
      </w:r>
      <w:r w:rsidRPr="000E122D">
        <w:rPr>
          <w:rFonts w:eastAsiaTheme="minorHAnsi" w:cstheme="minorBidi"/>
          <w:szCs w:val="22"/>
        </w:rPr>
        <w:t xml:space="preserve"> that “the better approach is to compute the regulated utility’s tax expense on a stand-alone basis without making the adjustment currently called for in the Rule.” DEF assert</w:t>
      </w:r>
      <w:r w:rsidR="00C86CC6">
        <w:rPr>
          <w:rFonts w:eastAsiaTheme="minorHAnsi" w:cstheme="minorBidi"/>
          <w:szCs w:val="22"/>
        </w:rPr>
        <w:t>s</w:t>
      </w:r>
      <w:r w:rsidRPr="000E122D">
        <w:rPr>
          <w:rFonts w:eastAsiaTheme="minorHAnsi" w:cstheme="minorBidi"/>
          <w:szCs w:val="22"/>
        </w:rPr>
        <w:t xml:space="preserve"> that </w:t>
      </w:r>
      <w:r w:rsidR="00E263A4">
        <w:rPr>
          <w:rFonts w:eastAsiaTheme="minorHAnsi" w:cstheme="minorBidi"/>
          <w:szCs w:val="22"/>
        </w:rPr>
        <w:t>the stand-alone approach</w:t>
      </w:r>
      <w:r w:rsidRPr="000E122D">
        <w:rPr>
          <w:rFonts w:eastAsiaTheme="minorHAnsi" w:cstheme="minorBidi"/>
          <w:szCs w:val="22"/>
        </w:rPr>
        <w:t xml:space="preserve"> </w:t>
      </w:r>
      <w:r w:rsidR="00E263A4">
        <w:rPr>
          <w:rFonts w:eastAsiaTheme="minorHAnsi" w:cstheme="minorBidi"/>
          <w:szCs w:val="22"/>
        </w:rPr>
        <w:t>“</w:t>
      </w:r>
      <w:r w:rsidRPr="000E122D">
        <w:rPr>
          <w:rFonts w:eastAsiaTheme="minorHAnsi" w:cstheme="minorBidi"/>
          <w:szCs w:val="22"/>
        </w:rPr>
        <w:t xml:space="preserve">provides a match between capital structure interest and the tax effect considered in the regulated utility’s cost of service.” Because capital structure is always determined in a base rate proceeding, DEF </w:t>
      </w:r>
      <w:r w:rsidR="00C86CC6">
        <w:rPr>
          <w:rFonts w:eastAsiaTheme="minorHAnsi" w:cstheme="minorBidi"/>
          <w:szCs w:val="22"/>
        </w:rPr>
        <w:t>contends</w:t>
      </w:r>
      <w:r w:rsidR="00C86CC6" w:rsidRPr="000E122D">
        <w:rPr>
          <w:rFonts w:eastAsiaTheme="minorHAnsi" w:cstheme="minorBidi"/>
          <w:szCs w:val="22"/>
        </w:rPr>
        <w:t xml:space="preserve"> </w:t>
      </w:r>
      <w:r w:rsidRPr="000E122D">
        <w:rPr>
          <w:rFonts w:eastAsiaTheme="minorHAnsi" w:cstheme="minorBidi"/>
          <w:szCs w:val="22"/>
        </w:rPr>
        <w:t>that the “Commission is assured that the capital st</w:t>
      </w:r>
      <w:r w:rsidR="002E6247">
        <w:rPr>
          <w:rFonts w:eastAsiaTheme="minorHAnsi" w:cstheme="minorBidi"/>
          <w:szCs w:val="22"/>
        </w:rPr>
        <w:t>ructure has been properly set.”</w:t>
      </w:r>
    </w:p>
    <w:p w14:paraId="48E28897" w14:textId="21F7BE5E" w:rsidR="00DD5D54" w:rsidRDefault="00DD5D54" w:rsidP="00DD5D54">
      <w:pPr>
        <w:pStyle w:val="Second-LevelSubheading"/>
        <w:rPr>
          <w:rFonts w:eastAsiaTheme="minorHAnsi"/>
        </w:rPr>
      </w:pPr>
      <w:r w:rsidRPr="00DD5D54">
        <w:rPr>
          <w:rFonts w:eastAsiaTheme="minorHAnsi"/>
        </w:rPr>
        <w:t>There is no precedent disallowing the stand-alone method.</w:t>
      </w:r>
    </w:p>
    <w:p w14:paraId="002C9384" w14:textId="5A4CA1A8" w:rsidR="00F0042C" w:rsidRDefault="00836DF8" w:rsidP="002E77E8">
      <w:pPr>
        <w:spacing w:after="200"/>
        <w:jc w:val="both"/>
        <w:rPr>
          <w:rFonts w:eastAsiaTheme="minorHAnsi" w:cstheme="minorBidi"/>
          <w:szCs w:val="22"/>
        </w:rPr>
      </w:pPr>
      <w:r>
        <w:rPr>
          <w:rFonts w:eastAsiaTheme="minorHAnsi" w:cstheme="minorBidi"/>
          <w:szCs w:val="22"/>
        </w:rPr>
        <w:t xml:space="preserve">In its </w:t>
      </w:r>
      <w:r w:rsidR="00527E43">
        <w:rPr>
          <w:rFonts w:eastAsiaTheme="minorHAnsi" w:cstheme="minorBidi"/>
          <w:szCs w:val="22"/>
        </w:rPr>
        <w:t xml:space="preserve">oral and </w:t>
      </w:r>
      <w:r>
        <w:rPr>
          <w:rFonts w:eastAsiaTheme="minorHAnsi" w:cstheme="minorBidi"/>
          <w:szCs w:val="22"/>
        </w:rPr>
        <w:t>written comments</w:t>
      </w:r>
      <w:r w:rsidR="00F0042C">
        <w:rPr>
          <w:rFonts w:eastAsiaTheme="minorHAnsi" w:cstheme="minorBidi"/>
          <w:szCs w:val="22"/>
        </w:rPr>
        <w:t>,</w:t>
      </w:r>
      <w:r>
        <w:rPr>
          <w:rFonts w:eastAsiaTheme="minorHAnsi" w:cstheme="minorBidi"/>
          <w:szCs w:val="22"/>
        </w:rPr>
        <w:t xml:space="preserve"> </w:t>
      </w:r>
      <w:r w:rsidR="00527E43" w:rsidRPr="000E122D">
        <w:rPr>
          <w:rFonts w:eastAsiaTheme="minorHAnsi" w:cstheme="minorBidi"/>
          <w:szCs w:val="22"/>
        </w:rPr>
        <w:t xml:space="preserve">OPC </w:t>
      </w:r>
      <w:r w:rsidR="00527E43">
        <w:rPr>
          <w:rFonts w:eastAsiaTheme="minorHAnsi" w:cstheme="minorBidi"/>
          <w:szCs w:val="22"/>
        </w:rPr>
        <w:t>argues</w:t>
      </w:r>
      <w:r w:rsidR="00527E43" w:rsidRPr="000E122D">
        <w:rPr>
          <w:rFonts w:eastAsiaTheme="minorHAnsi" w:cstheme="minorBidi"/>
          <w:szCs w:val="22"/>
        </w:rPr>
        <w:t xml:space="preserve"> “there is no basis to change a 40-year old consumer protection rule that has survived challenges in the Florida Supreme Court, the United States Treasury Department an</w:t>
      </w:r>
      <w:r w:rsidR="00527E43">
        <w:rPr>
          <w:rFonts w:eastAsiaTheme="minorHAnsi" w:cstheme="minorBidi"/>
          <w:szCs w:val="22"/>
        </w:rPr>
        <w:t xml:space="preserve">d the United States Congress.” </w:t>
      </w:r>
      <w:r w:rsidRPr="000E122D">
        <w:rPr>
          <w:rFonts w:eastAsiaTheme="minorHAnsi" w:cstheme="minorBidi"/>
          <w:szCs w:val="22"/>
        </w:rPr>
        <w:t xml:space="preserve">OPC </w:t>
      </w:r>
      <w:r w:rsidR="00527E43">
        <w:rPr>
          <w:rFonts w:eastAsiaTheme="minorHAnsi" w:cstheme="minorBidi"/>
          <w:szCs w:val="22"/>
        </w:rPr>
        <w:t xml:space="preserve">further </w:t>
      </w:r>
      <w:r w:rsidR="00C86CC6">
        <w:rPr>
          <w:rFonts w:eastAsiaTheme="minorHAnsi" w:cstheme="minorBidi"/>
          <w:szCs w:val="22"/>
        </w:rPr>
        <w:t xml:space="preserve">argues </w:t>
      </w:r>
      <w:r w:rsidR="00527E43">
        <w:rPr>
          <w:rFonts w:eastAsiaTheme="minorHAnsi" w:cstheme="minorBidi"/>
          <w:szCs w:val="22"/>
        </w:rPr>
        <w:t>that the Commission</w:t>
      </w:r>
      <w:r w:rsidRPr="000E122D">
        <w:rPr>
          <w:rFonts w:eastAsiaTheme="minorHAnsi" w:cstheme="minorBidi"/>
          <w:szCs w:val="22"/>
        </w:rPr>
        <w:t xml:space="preserve"> </w:t>
      </w:r>
      <w:r w:rsidR="00527E43">
        <w:rPr>
          <w:rFonts w:eastAsiaTheme="minorHAnsi" w:cstheme="minorBidi"/>
          <w:szCs w:val="22"/>
        </w:rPr>
        <w:t>has twice considered and denied repeal of the rule</w:t>
      </w:r>
      <w:r w:rsidRPr="000E122D">
        <w:rPr>
          <w:rFonts w:eastAsiaTheme="minorHAnsi" w:cstheme="minorBidi"/>
          <w:szCs w:val="22"/>
        </w:rPr>
        <w:t xml:space="preserve">. </w:t>
      </w:r>
      <w:r w:rsidR="002E77E8">
        <w:rPr>
          <w:rFonts w:eastAsiaTheme="minorHAnsi" w:cstheme="minorBidi"/>
          <w:szCs w:val="22"/>
        </w:rPr>
        <w:t>OPC states the r</w:t>
      </w:r>
      <w:r w:rsidR="002E77E8" w:rsidRPr="008E04B6">
        <w:rPr>
          <w:rFonts w:eastAsiaTheme="minorHAnsi" w:cstheme="minorBidi"/>
          <w:szCs w:val="22"/>
        </w:rPr>
        <w:t>ule is “a fundamental bedrock principle of Florida utility regulation that has been applied to keep Florida customer utility rates low for 45 years.”</w:t>
      </w:r>
    </w:p>
    <w:p w14:paraId="3111CC73" w14:textId="4AECE1F2" w:rsidR="007C6599" w:rsidRDefault="00F0042C" w:rsidP="002E77E8">
      <w:pPr>
        <w:spacing w:after="200"/>
        <w:jc w:val="both"/>
        <w:rPr>
          <w:rFonts w:eastAsiaTheme="minorHAnsi" w:cstheme="minorBidi"/>
          <w:szCs w:val="22"/>
        </w:rPr>
      </w:pPr>
      <w:r>
        <w:rPr>
          <w:rFonts w:eastAsiaTheme="minorHAnsi" w:cstheme="minorBidi"/>
          <w:szCs w:val="22"/>
        </w:rPr>
        <w:t>Staff believes t</w:t>
      </w:r>
      <w:r w:rsidR="002E77E8">
        <w:rPr>
          <w:rFonts w:eastAsiaTheme="minorHAnsi" w:cstheme="minorBidi"/>
          <w:szCs w:val="22"/>
        </w:rPr>
        <w:t xml:space="preserve">here is no </w:t>
      </w:r>
      <w:r w:rsidR="00BA57CB">
        <w:rPr>
          <w:rFonts w:eastAsiaTheme="minorHAnsi" w:cstheme="minorBidi"/>
          <w:szCs w:val="22"/>
        </w:rPr>
        <w:t>indication</w:t>
      </w:r>
      <w:r w:rsidR="002E77E8">
        <w:rPr>
          <w:rFonts w:eastAsiaTheme="minorHAnsi" w:cstheme="minorBidi"/>
          <w:szCs w:val="22"/>
        </w:rPr>
        <w:t xml:space="preserve"> that the r</w:t>
      </w:r>
      <w:r w:rsidR="002E77E8" w:rsidRPr="000E122D">
        <w:rPr>
          <w:rFonts w:eastAsiaTheme="minorHAnsi" w:cstheme="minorBidi"/>
          <w:szCs w:val="22"/>
        </w:rPr>
        <w:t xml:space="preserve">ule was designed with consumer protection in mind </w:t>
      </w:r>
      <w:r w:rsidR="00DD5D54">
        <w:rPr>
          <w:rFonts w:eastAsiaTheme="minorHAnsi" w:cstheme="minorBidi"/>
          <w:szCs w:val="22"/>
        </w:rPr>
        <w:t>n</w:t>
      </w:r>
      <w:r w:rsidR="002E77E8" w:rsidRPr="000E122D">
        <w:rPr>
          <w:rFonts w:eastAsiaTheme="minorHAnsi" w:cstheme="minorBidi"/>
          <w:szCs w:val="22"/>
        </w:rPr>
        <w:t>or that</w:t>
      </w:r>
      <w:r w:rsidR="00DD5D54">
        <w:rPr>
          <w:rFonts w:eastAsiaTheme="minorHAnsi" w:cstheme="minorBidi"/>
          <w:szCs w:val="22"/>
        </w:rPr>
        <w:t xml:space="preserve"> </w:t>
      </w:r>
      <w:r w:rsidR="002E77E8" w:rsidRPr="000E122D">
        <w:rPr>
          <w:rFonts w:eastAsiaTheme="minorHAnsi" w:cstheme="minorBidi"/>
          <w:szCs w:val="22"/>
        </w:rPr>
        <w:t xml:space="preserve">the </w:t>
      </w:r>
      <w:r w:rsidR="002E77E8">
        <w:rPr>
          <w:rFonts w:eastAsiaTheme="minorHAnsi" w:cstheme="minorBidi"/>
          <w:szCs w:val="22"/>
        </w:rPr>
        <w:t>recommended</w:t>
      </w:r>
      <w:r w:rsidR="002E77E8" w:rsidRPr="000E122D">
        <w:rPr>
          <w:rFonts w:eastAsiaTheme="minorHAnsi" w:cstheme="minorBidi"/>
          <w:szCs w:val="22"/>
        </w:rPr>
        <w:t xml:space="preserve"> </w:t>
      </w:r>
      <w:r w:rsidR="00CE618C">
        <w:rPr>
          <w:rFonts w:eastAsiaTheme="minorHAnsi" w:cstheme="minorBidi"/>
          <w:szCs w:val="22"/>
        </w:rPr>
        <w:t xml:space="preserve">amendments </w:t>
      </w:r>
      <w:r w:rsidR="00BA57CB">
        <w:rPr>
          <w:rFonts w:eastAsiaTheme="minorHAnsi" w:cstheme="minorBidi"/>
          <w:szCs w:val="22"/>
        </w:rPr>
        <w:t>to</w:t>
      </w:r>
      <w:r w:rsidR="002E77E8">
        <w:rPr>
          <w:rFonts w:eastAsiaTheme="minorHAnsi" w:cstheme="minorBidi"/>
          <w:szCs w:val="22"/>
        </w:rPr>
        <w:t xml:space="preserve"> the r</w:t>
      </w:r>
      <w:r w:rsidR="002E77E8" w:rsidRPr="000E122D">
        <w:rPr>
          <w:rFonts w:eastAsiaTheme="minorHAnsi" w:cstheme="minorBidi"/>
          <w:szCs w:val="22"/>
        </w:rPr>
        <w:t>ule would harm consumers.</w:t>
      </w:r>
      <w:r w:rsidR="002E77E8">
        <w:rPr>
          <w:rFonts w:eastAsiaTheme="minorHAnsi" w:cstheme="minorBidi"/>
          <w:szCs w:val="22"/>
        </w:rPr>
        <w:t xml:space="preserve"> </w:t>
      </w:r>
      <w:r w:rsidR="00527E43">
        <w:rPr>
          <w:rFonts w:eastAsiaTheme="minorHAnsi" w:cstheme="minorBidi"/>
          <w:szCs w:val="22"/>
        </w:rPr>
        <w:t>J</w:t>
      </w:r>
      <w:r w:rsidR="007C6599" w:rsidRPr="000E122D">
        <w:rPr>
          <w:rFonts w:eastAsiaTheme="minorHAnsi" w:cstheme="minorBidi"/>
          <w:szCs w:val="22"/>
        </w:rPr>
        <w:t xml:space="preserve">ust because the </w:t>
      </w:r>
      <w:r w:rsidR="002E6247">
        <w:rPr>
          <w:rFonts w:eastAsiaTheme="minorHAnsi" w:cstheme="minorBidi"/>
          <w:szCs w:val="22"/>
        </w:rPr>
        <w:t>r</w:t>
      </w:r>
      <w:r w:rsidR="007C6599" w:rsidRPr="000E122D">
        <w:rPr>
          <w:rFonts w:eastAsiaTheme="minorHAnsi" w:cstheme="minorBidi"/>
          <w:szCs w:val="22"/>
        </w:rPr>
        <w:t xml:space="preserve">ule has survived challenges does not mean it has been endorsed as the only or proper way to assess tax liability. </w:t>
      </w:r>
      <w:r w:rsidR="007C6599">
        <w:rPr>
          <w:rFonts w:eastAsiaTheme="minorHAnsi" w:cstheme="minorBidi"/>
          <w:szCs w:val="22"/>
        </w:rPr>
        <w:t xml:space="preserve">In fact, </w:t>
      </w:r>
      <w:r>
        <w:rPr>
          <w:rFonts w:eastAsiaTheme="minorHAnsi" w:cstheme="minorBidi"/>
          <w:szCs w:val="22"/>
        </w:rPr>
        <w:t xml:space="preserve">as discussed in more detail below, </w:t>
      </w:r>
      <w:r w:rsidR="007C6599">
        <w:rPr>
          <w:rFonts w:eastAsiaTheme="minorHAnsi" w:cstheme="minorBidi"/>
          <w:szCs w:val="22"/>
        </w:rPr>
        <w:t xml:space="preserve">the cases to which OPC cites support the </w:t>
      </w:r>
      <w:r w:rsidR="008C0B2F">
        <w:rPr>
          <w:rFonts w:eastAsiaTheme="minorHAnsi" w:cstheme="minorBidi"/>
          <w:szCs w:val="22"/>
        </w:rPr>
        <w:t xml:space="preserve">stand-alone method </w:t>
      </w:r>
      <w:r w:rsidR="00F60799">
        <w:rPr>
          <w:rFonts w:eastAsiaTheme="minorHAnsi" w:cstheme="minorBidi"/>
          <w:szCs w:val="22"/>
        </w:rPr>
        <w:t xml:space="preserve">contained </w:t>
      </w:r>
      <w:r w:rsidR="008C0B2F">
        <w:rPr>
          <w:rFonts w:eastAsiaTheme="minorHAnsi" w:cstheme="minorBidi"/>
          <w:szCs w:val="22"/>
        </w:rPr>
        <w:t xml:space="preserve">in the </w:t>
      </w:r>
      <w:r w:rsidR="00934336">
        <w:rPr>
          <w:rFonts w:eastAsiaTheme="minorHAnsi" w:cstheme="minorBidi"/>
          <w:szCs w:val="22"/>
        </w:rPr>
        <w:t>recommended</w:t>
      </w:r>
      <w:r w:rsidR="00292CE1">
        <w:rPr>
          <w:rFonts w:eastAsiaTheme="minorHAnsi" w:cstheme="minorBidi"/>
          <w:szCs w:val="22"/>
        </w:rPr>
        <w:t xml:space="preserve"> amendments to</w:t>
      </w:r>
      <w:r w:rsidR="002E6247">
        <w:rPr>
          <w:rFonts w:eastAsiaTheme="minorHAnsi" w:cstheme="minorBidi"/>
          <w:szCs w:val="22"/>
        </w:rPr>
        <w:t xml:space="preserve"> the r</w:t>
      </w:r>
      <w:r w:rsidR="007C6599">
        <w:rPr>
          <w:rFonts w:eastAsiaTheme="minorHAnsi" w:cstheme="minorBidi"/>
          <w:szCs w:val="22"/>
        </w:rPr>
        <w:t>ule.</w:t>
      </w:r>
    </w:p>
    <w:p w14:paraId="4B1BDD63" w14:textId="03AE94E7" w:rsidR="00661245" w:rsidRDefault="004C75D2" w:rsidP="00CF77A9">
      <w:pPr>
        <w:pStyle w:val="Second-LevelSubheading"/>
        <w:ind w:left="1080"/>
        <w:rPr>
          <w:rFonts w:eastAsiaTheme="minorHAnsi"/>
        </w:rPr>
      </w:pPr>
      <w:r>
        <w:rPr>
          <w:rFonts w:eastAsiaTheme="minorHAnsi"/>
        </w:rPr>
        <w:t>Florida Supreme Court prec</w:t>
      </w:r>
      <w:r w:rsidR="00EE6F1C">
        <w:rPr>
          <w:rFonts w:eastAsiaTheme="minorHAnsi"/>
        </w:rPr>
        <w:t>edent does not preclude the stand-alone method.</w:t>
      </w:r>
    </w:p>
    <w:p w14:paraId="47ABEFC4" w14:textId="35527D78" w:rsidR="004D60FC" w:rsidRDefault="004D60FC" w:rsidP="004D60FC">
      <w:pPr>
        <w:spacing w:after="200"/>
        <w:jc w:val="both"/>
        <w:rPr>
          <w:rFonts w:eastAsiaTheme="minorHAnsi" w:cstheme="minorBidi"/>
          <w:szCs w:val="22"/>
        </w:rPr>
      </w:pPr>
      <w:r w:rsidRPr="000E122D">
        <w:rPr>
          <w:rFonts w:eastAsiaTheme="minorHAnsi" w:cstheme="minorBidi"/>
          <w:szCs w:val="22"/>
        </w:rPr>
        <w:t xml:space="preserve">OPC </w:t>
      </w:r>
      <w:r w:rsidR="00836DF8">
        <w:rPr>
          <w:rFonts w:eastAsiaTheme="minorHAnsi" w:cstheme="minorBidi"/>
          <w:szCs w:val="22"/>
        </w:rPr>
        <w:t>asserts</w:t>
      </w:r>
      <w:r w:rsidRPr="000E122D">
        <w:rPr>
          <w:rFonts w:eastAsiaTheme="minorHAnsi" w:cstheme="minorBidi"/>
          <w:szCs w:val="22"/>
        </w:rPr>
        <w:t xml:space="preserve"> the current version of the </w:t>
      </w:r>
      <w:r w:rsidR="0031449C">
        <w:rPr>
          <w:rFonts w:eastAsiaTheme="minorHAnsi" w:cstheme="minorBidi"/>
          <w:szCs w:val="22"/>
        </w:rPr>
        <w:t>r</w:t>
      </w:r>
      <w:r w:rsidRPr="000E122D">
        <w:rPr>
          <w:rFonts w:eastAsiaTheme="minorHAnsi" w:cstheme="minorBidi"/>
          <w:szCs w:val="22"/>
        </w:rPr>
        <w:t>ule was unequivocally upheld by the Florida Supreme Court</w:t>
      </w:r>
      <w:r w:rsidR="00844719">
        <w:rPr>
          <w:rFonts w:eastAsiaTheme="minorHAnsi" w:cstheme="minorBidi"/>
          <w:szCs w:val="22"/>
        </w:rPr>
        <w:t xml:space="preserve"> in</w:t>
      </w:r>
      <w:r w:rsidRPr="000E122D">
        <w:rPr>
          <w:rFonts w:eastAsiaTheme="minorHAnsi" w:cstheme="minorBidi"/>
          <w:szCs w:val="22"/>
        </w:rPr>
        <w:t xml:space="preserve"> </w:t>
      </w:r>
      <w:r w:rsidRPr="000E122D">
        <w:rPr>
          <w:rFonts w:eastAsiaTheme="minorHAnsi" w:cstheme="minorBidi"/>
          <w:i/>
          <w:szCs w:val="22"/>
        </w:rPr>
        <w:t>General Tele. Co. of Fla. v. Fla. Pub. Serv. Comm’n</w:t>
      </w:r>
      <w:r w:rsidR="00131A9A">
        <w:rPr>
          <w:rFonts w:eastAsiaTheme="minorHAnsi" w:cstheme="minorBidi"/>
          <w:szCs w:val="22"/>
        </w:rPr>
        <w:t xml:space="preserve">, 446 So. 2d 1063 (Fla. 1984). </w:t>
      </w:r>
      <w:r w:rsidRPr="000E122D">
        <w:rPr>
          <w:rFonts w:eastAsiaTheme="minorHAnsi" w:cstheme="minorBidi"/>
          <w:szCs w:val="22"/>
        </w:rPr>
        <w:t>OPC further argue</w:t>
      </w:r>
      <w:r w:rsidR="0031449C">
        <w:rPr>
          <w:rFonts w:eastAsiaTheme="minorHAnsi" w:cstheme="minorBidi"/>
          <w:szCs w:val="22"/>
        </w:rPr>
        <w:t>s</w:t>
      </w:r>
      <w:r w:rsidRPr="000E122D">
        <w:rPr>
          <w:rFonts w:eastAsiaTheme="minorHAnsi" w:cstheme="minorBidi"/>
          <w:szCs w:val="22"/>
        </w:rPr>
        <w:t xml:space="preserve"> </w:t>
      </w:r>
      <w:r w:rsidR="0031449C" w:rsidRPr="0031449C">
        <w:rPr>
          <w:rFonts w:eastAsiaTheme="minorHAnsi" w:cstheme="minorBidi"/>
          <w:i/>
          <w:szCs w:val="22"/>
        </w:rPr>
        <w:t>General Telephone</w:t>
      </w:r>
      <w:r w:rsidRPr="000E122D">
        <w:rPr>
          <w:rFonts w:eastAsiaTheme="minorHAnsi" w:cstheme="minorBidi"/>
          <w:szCs w:val="22"/>
        </w:rPr>
        <w:t xml:space="preserve"> supported the Court’s prior decision in </w:t>
      </w:r>
      <w:r w:rsidRPr="000E122D">
        <w:rPr>
          <w:rFonts w:eastAsiaTheme="minorHAnsi" w:cstheme="minorBidi"/>
          <w:i/>
          <w:szCs w:val="22"/>
        </w:rPr>
        <w:t>Citizens of Fla. v. Hawkin</w:t>
      </w:r>
      <w:r w:rsidRPr="000E122D">
        <w:rPr>
          <w:rFonts w:eastAsiaTheme="minorHAnsi" w:cstheme="minorBidi"/>
          <w:szCs w:val="22"/>
        </w:rPr>
        <w:t>s, 356 So. 2d 254 (Fla. 1978)</w:t>
      </w:r>
      <w:r w:rsidR="00844719">
        <w:rPr>
          <w:rFonts w:eastAsiaTheme="minorHAnsi" w:cstheme="minorBidi"/>
          <w:szCs w:val="22"/>
        </w:rPr>
        <w:t>,</w:t>
      </w:r>
      <w:r w:rsidRPr="000E122D">
        <w:rPr>
          <w:rFonts w:eastAsiaTheme="minorHAnsi" w:cstheme="minorBidi"/>
          <w:szCs w:val="22"/>
        </w:rPr>
        <w:t xml:space="preserve"> which OPC allege</w:t>
      </w:r>
      <w:r w:rsidR="0031449C">
        <w:rPr>
          <w:rFonts w:eastAsiaTheme="minorHAnsi" w:cstheme="minorBidi"/>
          <w:szCs w:val="22"/>
        </w:rPr>
        <w:t>s</w:t>
      </w:r>
      <w:r w:rsidRPr="000E122D">
        <w:rPr>
          <w:rFonts w:eastAsiaTheme="minorHAnsi" w:cstheme="minorBidi"/>
          <w:szCs w:val="22"/>
        </w:rPr>
        <w:t xml:space="preserve"> stands for the proposition that “the regulated utility’s tax deduc</w:t>
      </w:r>
      <w:r w:rsidR="00F60799">
        <w:rPr>
          <w:rFonts w:eastAsiaTheme="minorHAnsi" w:cstheme="minorBidi"/>
          <w:szCs w:val="22"/>
        </w:rPr>
        <w:t xml:space="preserve">tible debt may cause customers </w:t>
      </w:r>
      <w:r w:rsidRPr="000E122D">
        <w:rPr>
          <w:rFonts w:eastAsiaTheme="minorHAnsi" w:cstheme="minorBidi"/>
          <w:szCs w:val="22"/>
        </w:rPr>
        <w:t>to overpay on the income tax component imbedded in their rates.”</w:t>
      </w:r>
      <w:r w:rsidR="00131A9A">
        <w:rPr>
          <w:rFonts w:eastAsiaTheme="minorHAnsi" w:cstheme="minorBidi"/>
          <w:szCs w:val="22"/>
        </w:rPr>
        <w:t xml:space="preserve"> As explained below, staff believes OPC has misconstrued the holdings of those cases.</w:t>
      </w:r>
    </w:p>
    <w:p w14:paraId="2A19FE1B" w14:textId="00F7C490" w:rsidR="00DB2F8D" w:rsidRPr="000E122D" w:rsidRDefault="00DB2F8D" w:rsidP="00DB2F8D">
      <w:pPr>
        <w:spacing w:after="200"/>
        <w:jc w:val="both"/>
        <w:rPr>
          <w:rFonts w:eastAsiaTheme="minorHAnsi" w:cstheme="minorBidi"/>
          <w:szCs w:val="22"/>
        </w:rPr>
      </w:pPr>
      <w:r w:rsidRPr="000E122D">
        <w:rPr>
          <w:rFonts w:eastAsiaTheme="minorHAnsi" w:cstheme="minorBidi"/>
          <w:i/>
          <w:szCs w:val="22"/>
        </w:rPr>
        <w:t>Citizens of Fla. v. Hawkin</w:t>
      </w:r>
      <w:r w:rsidRPr="000E122D">
        <w:rPr>
          <w:rFonts w:eastAsiaTheme="minorHAnsi" w:cstheme="minorBidi"/>
          <w:szCs w:val="22"/>
        </w:rPr>
        <w:t>s, 356 So. 2d 254 (Fla. 1978)</w:t>
      </w:r>
      <w:r w:rsidR="00F0042C">
        <w:rPr>
          <w:rFonts w:eastAsiaTheme="minorHAnsi" w:cstheme="minorBidi"/>
          <w:szCs w:val="22"/>
        </w:rPr>
        <w:t>,</w:t>
      </w:r>
      <w:r w:rsidRPr="000E122D">
        <w:rPr>
          <w:rFonts w:eastAsiaTheme="minorHAnsi" w:cstheme="minorBidi"/>
          <w:szCs w:val="22"/>
        </w:rPr>
        <w:t xml:space="preserve"> was the first Florida Supreme Court case to address the Commission’s computation of the income tax for a regulated entity that was a subsidiary and filed a consolidated return with a parent company. At that time</w:t>
      </w:r>
      <w:r w:rsidR="00F0042C">
        <w:rPr>
          <w:rFonts w:eastAsiaTheme="minorHAnsi" w:cstheme="minorBidi"/>
          <w:szCs w:val="22"/>
        </w:rPr>
        <w:t>,</w:t>
      </w:r>
      <w:r w:rsidRPr="000E122D">
        <w:rPr>
          <w:rFonts w:eastAsiaTheme="minorHAnsi" w:cstheme="minorBidi"/>
          <w:szCs w:val="22"/>
        </w:rPr>
        <w:t xml:space="preserve"> the Commission did not have a rule on that matter, but traditionally used what was referred to as a “subsidiary approach” rather than a “consolidated approach.” The “subsidiary approach” was described as using “an allowance for federal income tax expense equal to the hypothetical tax which would have been paid if [the subsidiary] had filed a separate federal income tax return.” </w:t>
      </w:r>
      <w:r w:rsidRPr="000E122D">
        <w:rPr>
          <w:rFonts w:eastAsiaTheme="minorHAnsi" w:cstheme="minorBidi"/>
          <w:i/>
          <w:szCs w:val="22"/>
        </w:rPr>
        <w:t>Hawkins</w:t>
      </w:r>
      <w:r w:rsidRPr="000E122D">
        <w:rPr>
          <w:rFonts w:eastAsiaTheme="minorHAnsi" w:cstheme="minorBidi"/>
          <w:szCs w:val="22"/>
        </w:rPr>
        <w:t xml:space="preserve">, 356 So. 2d at 259. In </w:t>
      </w:r>
      <w:r w:rsidRPr="000E122D">
        <w:rPr>
          <w:rFonts w:eastAsiaTheme="minorHAnsi" w:cstheme="minorBidi"/>
          <w:i/>
          <w:szCs w:val="22"/>
        </w:rPr>
        <w:t>Hawkins</w:t>
      </w:r>
      <w:r w:rsidRPr="000E122D">
        <w:rPr>
          <w:rFonts w:eastAsiaTheme="minorHAnsi" w:cstheme="minorBidi"/>
          <w:szCs w:val="22"/>
        </w:rPr>
        <w:t xml:space="preserve">, OPC argued that use of the “subsidiary approach” resulted in double-leverage as the regulated entity was able “to receive an allowance for income tax expense greater than the actual income tax liability for which it would be properly responsible under [the] consolidated return.” </w:t>
      </w:r>
      <w:r w:rsidRPr="000E122D">
        <w:rPr>
          <w:rFonts w:eastAsiaTheme="minorHAnsi" w:cstheme="minorBidi"/>
          <w:i/>
          <w:szCs w:val="22"/>
        </w:rPr>
        <w:t>Id</w:t>
      </w:r>
      <w:r w:rsidR="00131A9A">
        <w:rPr>
          <w:rFonts w:eastAsiaTheme="minorHAnsi" w:cstheme="minorBidi"/>
          <w:szCs w:val="22"/>
        </w:rPr>
        <w:t>.</w:t>
      </w:r>
    </w:p>
    <w:p w14:paraId="264FC29C" w14:textId="7866EB6B" w:rsidR="00F0042C" w:rsidRDefault="00F21BAF" w:rsidP="00DB2F8D">
      <w:pPr>
        <w:spacing w:after="200"/>
        <w:jc w:val="both"/>
        <w:rPr>
          <w:rFonts w:eastAsiaTheme="minorHAnsi" w:cstheme="minorBidi"/>
          <w:szCs w:val="22"/>
        </w:rPr>
      </w:pPr>
      <w:r>
        <w:rPr>
          <w:rFonts w:eastAsiaTheme="minorHAnsi" w:cstheme="minorBidi"/>
          <w:szCs w:val="22"/>
        </w:rPr>
        <w:t xml:space="preserve">In </w:t>
      </w:r>
      <w:r w:rsidRPr="00F21BAF">
        <w:rPr>
          <w:rFonts w:eastAsiaTheme="minorHAnsi" w:cstheme="minorBidi"/>
          <w:i/>
          <w:szCs w:val="22"/>
        </w:rPr>
        <w:t>Hawkins,</w:t>
      </w:r>
      <w:r>
        <w:rPr>
          <w:rFonts w:eastAsiaTheme="minorHAnsi" w:cstheme="minorBidi"/>
          <w:szCs w:val="22"/>
        </w:rPr>
        <w:t xml:space="preserve"> the Commission noted t</w:t>
      </w:r>
      <w:r w:rsidR="00DB2F8D" w:rsidRPr="000E122D">
        <w:rPr>
          <w:rFonts w:eastAsiaTheme="minorHAnsi" w:cstheme="minorBidi"/>
          <w:szCs w:val="22"/>
        </w:rPr>
        <w:t>hat OPC did not object to using the “subsidiary approach” t</w:t>
      </w:r>
      <w:r w:rsidR="009D500F">
        <w:rPr>
          <w:rFonts w:eastAsiaTheme="minorHAnsi" w:cstheme="minorBidi"/>
          <w:szCs w:val="22"/>
        </w:rPr>
        <w:t>o calculate the cost of capital and, a</w:t>
      </w:r>
      <w:r w:rsidR="00DB2F8D" w:rsidRPr="000E122D">
        <w:rPr>
          <w:rFonts w:eastAsiaTheme="minorHAnsi" w:cstheme="minorBidi"/>
          <w:szCs w:val="22"/>
        </w:rPr>
        <w:t xml:space="preserve">ccordingly, it would be consistent also to do so in determining tax effect. </w:t>
      </w:r>
      <w:r w:rsidR="00DB2F8D" w:rsidRPr="000E122D">
        <w:rPr>
          <w:rFonts w:eastAsiaTheme="minorHAnsi" w:cstheme="minorBidi"/>
          <w:i/>
          <w:szCs w:val="22"/>
        </w:rPr>
        <w:t>Id</w:t>
      </w:r>
      <w:r w:rsidR="00131A9A">
        <w:rPr>
          <w:rFonts w:eastAsiaTheme="minorHAnsi" w:cstheme="minorBidi"/>
          <w:szCs w:val="22"/>
        </w:rPr>
        <w:t xml:space="preserve">. </w:t>
      </w:r>
      <w:r w:rsidR="00DB2F8D" w:rsidRPr="000E122D">
        <w:rPr>
          <w:rFonts w:eastAsiaTheme="minorHAnsi" w:cstheme="minorBidi"/>
          <w:szCs w:val="22"/>
        </w:rPr>
        <w:t>However, unable “to discern a rationale for a rule of consistency” and finding that the Commission’s order “nowhere identified a record basis for pref</w:t>
      </w:r>
      <w:r w:rsidR="00CE618C">
        <w:rPr>
          <w:rFonts w:eastAsiaTheme="minorHAnsi" w:cstheme="minorBidi"/>
          <w:szCs w:val="22"/>
        </w:rPr>
        <w:t>erring</w:t>
      </w:r>
      <w:r w:rsidR="00B37ABF">
        <w:rPr>
          <w:rFonts w:eastAsiaTheme="minorHAnsi" w:cstheme="minorBidi"/>
          <w:szCs w:val="22"/>
        </w:rPr>
        <w:t>...</w:t>
      </w:r>
      <w:r w:rsidR="00CE618C">
        <w:rPr>
          <w:rFonts w:eastAsiaTheme="minorHAnsi" w:cstheme="minorBidi"/>
          <w:szCs w:val="22"/>
        </w:rPr>
        <w:t xml:space="preserve">the </w:t>
      </w:r>
      <w:r w:rsidR="00DB2F8D" w:rsidRPr="000E122D">
        <w:rPr>
          <w:rFonts w:eastAsiaTheme="minorHAnsi" w:cstheme="minorBidi"/>
          <w:szCs w:val="22"/>
        </w:rPr>
        <w:t xml:space="preserve">subsidiary approach over a calculation on the consolidated approach,” the Court held that “each [tax] determination must be based on specific independent findings supported by competent substantial evidence” and that “what evidence there is in the record supports the consolidated approach as being more accurate.” </w:t>
      </w:r>
      <w:r w:rsidR="00DB2F8D" w:rsidRPr="000E122D">
        <w:rPr>
          <w:rFonts w:eastAsiaTheme="minorHAnsi" w:cstheme="minorBidi"/>
          <w:i/>
          <w:szCs w:val="22"/>
        </w:rPr>
        <w:t>Id.</w:t>
      </w:r>
      <w:r w:rsidR="00DB2F8D" w:rsidRPr="000E122D">
        <w:rPr>
          <w:rFonts w:eastAsiaTheme="minorHAnsi" w:cstheme="minorBidi"/>
          <w:szCs w:val="22"/>
        </w:rPr>
        <w:t xml:space="preserve"> a</w:t>
      </w:r>
      <w:r w:rsidR="00DD5D54">
        <w:rPr>
          <w:rFonts w:eastAsiaTheme="minorHAnsi" w:cstheme="minorBidi"/>
          <w:szCs w:val="22"/>
        </w:rPr>
        <w:t>t 259-260 (citations omitted).</w:t>
      </w:r>
    </w:p>
    <w:p w14:paraId="42362BB9" w14:textId="34A0D71C" w:rsidR="00DB2F8D" w:rsidRPr="000E122D" w:rsidRDefault="000C4346" w:rsidP="00DB2F8D">
      <w:pPr>
        <w:spacing w:after="200"/>
        <w:jc w:val="both"/>
        <w:rPr>
          <w:rFonts w:eastAsiaTheme="minorHAnsi" w:cstheme="minorBidi"/>
          <w:szCs w:val="22"/>
        </w:rPr>
      </w:pPr>
      <w:r>
        <w:rPr>
          <w:rFonts w:eastAsiaTheme="minorHAnsi" w:cstheme="minorBidi"/>
          <w:szCs w:val="22"/>
        </w:rPr>
        <w:t>Thus, c</w:t>
      </w:r>
      <w:r w:rsidR="00DB2F8D" w:rsidRPr="000E122D">
        <w:rPr>
          <w:rFonts w:eastAsiaTheme="minorHAnsi" w:cstheme="minorBidi"/>
          <w:szCs w:val="22"/>
        </w:rPr>
        <w:t xml:space="preserve">ontrary to OPC’s suggestions, </w:t>
      </w:r>
      <w:r w:rsidR="00DB2F8D" w:rsidRPr="000E122D">
        <w:rPr>
          <w:rFonts w:eastAsiaTheme="minorHAnsi" w:cstheme="minorBidi"/>
          <w:i/>
          <w:szCs w:val="22"/>
        </w:rPr>
        <w:t>Hawkins</w:t>
      </w:r>
      <w:r w:rsidR="00DB2F8D" w:rsidRPr="000E122D">
        <w:rPr>
          <w:rFonts w:eastAsiaTheme="minorHAnsi" w:cstheme="minorBidi"/>
          <w:szCs w:val="22"/>
        </w:rPr>
        <w:t xml:space="preserve"> did not mandate application of the consolidated approach</w:t>
      </w:r>
      <w:r w:rsidR="00394D2F">
        <w:rPr>
          <w:rFonts w:eastAsiaTheme="minorHAnsi" w:cstheme="minorBidi"/>
          <w:szCs w:val="22"/>
        </w:rPr>
        <w:t>.</w:t>
      </w:r>
      <w:r w:rsidR="00C1442E">
        <w:rPr>
          <w:rFonts w:eastAsiaTheme="minorHAnsi" w:cstheme="minorBidi"/>
          <w:szCs w:val="22"/>
        </w:rPr>
        <w:t xml:space="preserve"> Rather, t</w:t>
      </w:r>
      <w:r w:rsidR="00394D2F">
        <w:rPr>
          <w:rFonts w:eastAsiaTheme="minorHAnsi" w:cstheme="minorBidi"/>
          <w:szCs w:val="22"/>
        </w:rPr>
        <w:t>he Court</w:t>
      </w:r>
      <w:r w:rsidR="00DB2F8D" w:rsidRPr="000E122D">
        <w:rPr>
          <w:rFonts w:eastAsiaTheme="minorHAnsi" w:cstheme="minorBidi"/>
          <w:szCs w:val="22"/>
        </w:rPr>
        <w:t xml:space="preserve"> merely held that under the facts of that case,</w:t>
      </w:r>
      <w:r w:rsidR="00CE618C">
        <w:rPr>
          <w:rFonts w:eastAsiaTheme="minorHAnsi" w:cstheme="minorBidi"/>
          <w:szCs w:val="22"/>
        </w:rPr>
        <w:t xml:space="preserve"> the consolidated approach was</w:t>
      </w:r>
      <w:r w:rsidR="00DB2F8D" w:rsidRPr="000E122D">
        <w:rPr>
          <w:rFonts w:eastAsiaTheme="minorHAnsi" w:cstheme="minorBidi"/>
          <w:szCs w:val="22"/>
        </w:rPr>
        <w:t xml:space="preserve"> supported by the record evidence. </w:t>
      </w:r>
      <w:r w:rsidR="00DB2F8D" w:rsidRPr="000E122D">
        <w:rPr>
          <w:rFonts w:eastAsiaTheme="minorHAnsi" w:cstheme="minorBidi"/>
          <w:i/>
          <w:szCs w:val="22"/>
        </w:rPr>
        <w:t>See id</w:t>
      </w:r>
      <w:r w:rsidR="00DB2F8D" w:rsidRPr="000E122D">
        <w:rPr>
          <w:rFonts w:eastAsiaTheme="minorHAnsi" w:cstheme="minorBidi"/>
          <w:szCs w:val="22"/>
        </w:rPr>
        <w:t>.</w:t>
      </w:r>
    </w:p>
    <w:p w14:paraId="333830D9" w14:textId="1DEE363E" w:rsidR="007C6599" w:rsidRDefault="00DD5D54" w:rsidP="00DB2F8D">
      <w:pPr>
        <w:spacing w:after="200"/>
        <w:jc w:val="both"/>
        <w:rPr>
          <w:rFonts w:eastAsiaTheme="minorHAnsi" w:cstheme="minorBidi"/>
          <w:szCs w:val="22"/>
        </w:rPr>
      </w:pPr>
      <w:r>
        <w:rPr>
          <w:rFonts w:eastAsiaTheme="minorHAnsi" w:cstheme="minorBidi"/>
          <w:szCs w:val="22"/>
        </w:rPr>
        <w:t>Thereafter, the current r</w:t>
      </w:r>
      <w:r w:rsidR="00CE618C">
        <w:rPr>
          <w:rFonts w:eastAsiaTheme="minorHAnsi" w:cstheme="minorBidi"/>
          <w:szCs w:val="22"/>
        </w:rPr>
        <w:t>ule (mandating the consolidated approach</w:t>
      </w:r>
      <w:r w:rsidR="00DB2F8D" w:rsidRPr="000E122D">
        <w:rPr>
          <w:rFonts w:eastAsiaTheme="minorHAnsi" w:cstheme="minorBidi"/>
          <w:szCs w:val="22"/>
        </w:rPr>
        <w:t>) was adopted in 1983. Although the Florida Supreme Co</w:t>
      </w:r>
      <w:r w:rsidR="002E6247">
        <w:rPr>
          <w:rFonts w:eastAsiaTheme="minorHAnsi" w:cstheme="minorBidi"/>
          <w:szCs w:val="22"/>
        </w:rPr>
        <w:t>urt upheld the validity of the r</w:t>
      </w:r>
      <w:r w:rsidR="00DB2F8D" w:rsidRPr="000E122D">
        <w:rPr>
          <w:rFonts w:eastAsiaTheme="minorHAnsi" w:cstheme="minorBidi"/>
          <w:szCs w:val="22"/>
        </w:rPr>
        <w:t xml:space="preserve">ule in </w:t>
      </w:r>
      <w:r w:rsidR="00DB2F8D" w:rsidRPr="000E122D">
        <w:rPr>
          <w:rFonts w:eastAsiaTheme="minorHAnsi" w:cstheme="minorBidi"/>
          <w:i/>
          <w:szCs w:val="22"/>
        </w:rPr>
        <w:t>General Tele. Co. of Fla. v. Fla. Pub. Serv. Comm’n</w:t>
      </w:r>
      <w:r w:rsidR="00DB2F8D" w:rsidRPr="000E122D">
        <w:rPr>
          <w:rFonts w:eastAsiaTheme="minorHAnsi" w:cstheme="minorBidi"/>
          <w:szCs w:val="22"/>
        </w:rPr>
        <w:t>, 446 So. 2d 1063 (Fla. 1984), it was not necessarily a substantive endorsement. Rather, the Court only evaluated whether the rule was “reasonably related to the purposes of the enabling legislation, and.</w:t>
      </w:r>
      <w:r w:rsidR="00394D2F">
        <w:rPr>
          <w:rFonts w:eastAsiaTheme="minorHAnsi" w:cstheme="minorBidi"/>
          <w:szCs w:val="22"/>
        </w:rPr>
        <w:t xml:space="preserve"> </w:t>
      </w:r>
      <w:r w:rsidR="00DB2F8D" w:rsidRPr="000E122D">
        <w:rPr>
          <w:rFonts w:eastAsiaTheme="minorHAnsi" w:cstheme="minorBidi"/>
          <w:szCs w:val="22"/>
        </w:rPr>
        <w:t>.</w:t>
      </w:r>
      <w:r w:rsidR="00394D2F">
        <w:rPr>
          <w:rFonts w:eastAsiaTheme="minorHAnsi" w:cstheme="minorBidi"/>
          <w:szCs w:val="22"/>
        </w:rPr>
        <w:t xml:space="preserve"> </w:t>
      </w:r>
      <w:r w:rsidR="00DB2F8D" w:rsidRPr="000E122D">
        <w:rPr>
          <w:rFonts w:eastAsiaTheme="minorHAnsi" w:cstheme="minorBidi"/>
          <w:szCs w:val="22"/>
        </w:rPr>
        <w:t>.</w:t>
      </w:r>
      <w:r w:rsidR="00394D2F">
        <w:rPr>
          <w:rFonts w:eastAsiaTheme="minorHAnsi" w:cstheme="minorBidi"/>
          <w:szCs w:val="22"/>
        </w:rPr>
        <w:t xml:space="preserve"> </w:t>
      </w:r>
      <w:r w:rsidR="00DB2F8D" w:rsidRPr="000E122D">
        <w:rPr>
          <w:rFonts w:eastAsiaTheme="minorHAnsi" w:cstheme="minorBidi"/>
          <w:szCs w:val="22"/>
        </w:rPr>
        <w:t xml:space="preserve">not arbitrary or capricious.” </w:t>
      </w:r>
      <w:r w:rsidR="00DB2F8D" w:rsidRPr="000E122D">
        <w:rPr>
          <w:rFonts w:eastAsiaTheme="minorHAnsi" w:cstheme="minorBidi"/>
          <w:i/>
          <w:szCs w:val="22"/>
        </w:rPr>
        <w:t>General Tele.</w:t>
      </w:r>
      <w:r w:rsidR="009D500F">
        <w:rPr>
          <w:rFonts w:eastAsiaTheme="minorHAnsi" w:cstheme="minorBidi"/>
          <w:szCs w:val="22"/>
        </w:rPr>
        <w:t>, 446 So. 2d at 1067 (</w:t>
      </w:r>
      <w:r w:rsidR="00DB2F8D" w:rsidRPr="000E122D">
        <w:rPr>
          <w:rFonts w:eastAsiaTheme="minorHAnsi" w:cstheme="minorBidi"/>
          <w:szCs w:val="22"/>
        </w:rPr>
        <w:t xml:space="preserve">quoting </w:t>
      </w:r>
      <w:r w:rsidR="00DB2F8D" w:rsidRPr="000E122D">
        <w:rPr>
          <w:rFonts w:eastAsiaTheme="minorHAnsi" w:cstheme="minorBidi"/>
          <w:i/>
          <w:szCs w:val="22"/>
        </w:rPr>
        <w:t>Agrico Chem. Co. v. State, Dep’t of Env. Reg.</w:t>
      </w:r>
      <w:r w:rsidR="00DB2F8D" w:rsidRPr="000E122D">
        <w:rPr>
          <w:rFonts w:eastAsiaTheme="minorHAnsi" w:cstheme="minorBidi"/>
          <w:szCs w:val="22"/>
        </w:rPr>
        <w:t>, 365 So. 2d 759 (Fla. 1</w:t>
      </w:r>
      <w:r w:rsidR="00394D2F">
        <w:rPr>
          <w:rFonts w:eastAsiaTheme="minorHAnsi" w:cstheme="minorBidi"/>
          <w:szCs w:val="22"/>
        </w:rPr>
        <w:t>st</w:t>
      </w:r>
      <w:r w:rsidR="00DB2F8D" w:rsidRPr="000E122D">
        <w:rPr>
          <w:rFonts w:eastAsiaTheme="minorHAnsi" w:cstheme="minorBidi"/>
          <w:szCs w:val="22"/>
        </w:rPr>
        <w:t xml:space="preserve"> DCA 1978), </w:t>
      </w:r>
      <w:r w:rsidR="00DB2F8D" w:rsidRPr="000E122D">
        <w:rPr>
          <w:rFonts w:eastAsiaTheme="minorHAnsi" w:cstheme="minorBidi"/>
          <w:i/>
          <w:szCs w:val="22"/>
        </w:rPr>
        <w:t>cert. den’d</w:t>
      </w:r>
      <w:r w:rsidR="009D500F">
        <w:rPr>
          <w:rFonts w:eastAsiaTheme="minorHAnsi" w:cstheme="minorBidi"/>
          <w:i/>
          <w:szCs w:val="22"/>
        </w:rPr>
        <w:t>,</w:t>
      </w:r>
      <w:r w:rsidR="00131A9A">
        <w:rPr>
          <w:rFonts w:eastAsiaTheme="minorHAnsi" w:cstheme="minorBidi"/>
          <w:szCs w:val="22"/>
        </w:rPr>
        <w:t xml:space="preserve"> 376 So. 2d 74 (Fla. 1979</w:t>
      </w:r>
      <w:r w:rsidR="009D500F">
        <w:rPr>
          <w:rFonts w:eastAsiaTheme="minorHAnsi" w:cstheme="minorBidi"/>
          <w:szCs w:val="22"/>
        </w:rPr>
        <w:t>)</w:t>
      </w:r>
      <w:r w:rsidR="00131A9A">
        <w:rPr>
          <w:rFonts w:eastAsiaTheme="minorHAnsi" w:cstheme="minorBidi"/>
          <w:szCs w:val="22"/>
        </w:rPr>
        <w:t>).</w:t>
      </w:r>
    </w:p>
    <w:p w14:paraId="0DB6CA1B" w14:textId="23AD19EC" w:rsidR="00DB2F8D" w:rsidRPr="000E122D" w:rsidRDefault="007C6599" w:rsidP="00DB2F8D">
      <w:pPr>
        <w:spacing w:after="200"/>
        <w:jc w:val="both"/>
        <w:rPr>
          <w:rFonts w:eastAsiaTheme="minorHAnsi" w:cstheme="minorBidi"/>
          <w:szCs w:val="22"/>
        </w:rPr>
      </w:pPr>
      <w:r>
        <w:rPr>
          <w:rFonts w:eastAsiaTheme="minorHAnsi" w:cstheme="minorBidi"/>
          <w:szCs w:val="22"/>
        </w:rPr>
        <w:t>W</w:t>
      </w:r>
      <w:r w:rsidR="00DB2F8D" w:rsidRPr="000E122D">
        <w:rPr>
          <w:rFonts w:eastAsiaTheme="minorHAnsi" w:cstheme="minorBidi"/>
          <w:szCs w:val="22"/>
        </w:rPr>
        <w:t>hile the Court acknowledged that it had previously “instructed the PSC to apply this type of adjustment in a ratemaking case,” it qualified that statemen</w:t>
      </w:r>
      <w:r w:rsidR="002E6247">
        <w:rPr>
          <w:rFonts w:eastAsiaTheme="minorHAnsi" w:cstheme="minorBidi"/>
          <w:szCs w:val="22"/>
        </w:rPr>
        <w:t>t by stating:</w:t>
      </w:r>
    </w:p>
    <w:p w14:paraId="3874160C" w14:textId="77777777" w:rsidR="00DB2F8D" w:rsidRPr="000E122D" w:rsidRDefault="00DB2F8D" w:rsidP="00DB2F8D">
      <w:pPr>
        <w:spacing w:after="200"/>
        <w:ind w:left="720" w:right="720"/>
        <w:jc w:val="both"/>
        <w:rPr>
          <w:rFonts w:eastAsiaTheme="minorHAnsi" w:cstheme="minorBidi"/>
          <w:szCs w:val="22"/>
        </w:rPr>
      </w:pPr>
      <w:r w:rsidRPr="000E122D">
        <w:rPr>
          <w:rFonts w:eastAsiaTheme="minorHAnsi" w:cstheme="minorBidi"/>
          <w:szCs w:val="22"/>
        </w:rPr>
        <w:t>There is no single correct method of dealing with the income tax expense of a subsidiary-utility joining in the filing of a consolidated return. By choosing this particular method, the PSC is merely acting within the scope of its discretion.</w:t>
      </w:r>
    </w:p>
    <w:p w14:paraId="587E9297" w14:textId="5D8B67C3" w:rsidR="00DB2F8D" w:rsidRPr="000E122D" w:rsidRDefault="00DB2F8D" w:rsidP="00DB2F8D">
      <w:pPr>
        <w:spacing w:after="200"/>
        <w:jc w:val="both"/>
        <w:rPr>
          <w:rFonts w:eastAsiaTheme="minorHAnsi" w:cstheme="minorBidi"/>
          <w:szCs w:val="22"/>
        </w:rPr>
      </w:pPr>
      <w:r w:rsidRPr="000E122D">
        <w:rPr>
          <w:rFonts w:eastAsiaTheme="minorHAnsi" w:cstheme="minorBidi"/>
          <w:i/>
          <w:szCs w:val="22"/>
        </w:rPr>
        <w:t>General Tele</w:t>
      </w:r>
      <w:r w:rsidR="00131A9A">
        <w:rPr>
          <w:rFonts w:eastAsiaTheme="minorHAnsi" w:cstheme="minorBidi"/>
          <w:szCs w:val="22"/>
        </w:rPr>
        <w:t xml:space="preserve">., 446 So. 2d at 1067. </w:t>
      </w:r>
      <w:r w:rsidRPr="000E122D">
        <w:rPr>
          <w:rFonts w:eastAsiaTheme="minorHAnsi" w:cstheme="minorBidi"/>
          <w:szCs w:val="22"/>
        </w:rPr>
        <w:t>The</w:t>
      </w:r>
      <w:r w:rsidR="009D500F">
        <w:rPr>
          <w:rFonts w:eastAsiaTheme="minorHAnsi" w:cstheme="minorBidi"/>
          <w:szCs w:val="22"/>
        </w:rPr>
        <w:t>refore, the</w:t>
      </w:r>
      <w:r w:rsidRPr="000E122D">
        <w:rPr>
          <w:rFonts w:eastAsiaTheme="minorHAnsi" w:cstheme="minorBidi"/>
          <w:szCs w:val="22"/>
        </w:rPr>
        <w:t xml:space="preserve"> </w:t>
      </w:r>
      <w:r w:rsidR="00934336">
        <w:rPr>
          <w:rFonts w:eastAsiaTheme="minorHAnsi" w:cstheme="minorBidi"/>
          <w:szCs w:val="22"/>
        </w:rPr>
        <w:t>recommended</w:t>
      </w:r>
      <w:r w:rsidR="002E6247">
        <w:rPr>
          <w:rFonts w:eastAsiaTheme="minorHAnsi" w:cstheme="minorBidi"/>
          <w:szCs w:val="22"/>
        </w:rPr>
        <w:t xml:space="preserve"> </w:t>
      </w:r>
      <w:r w:rsidR="00292CE1">
        <w:rPr>
          <w:rFonts w:eastAsiaTheme="minorHAnsi" w:cstheme="minorBidi"/>
          <w:szCs w:val="22"/>
        </w:rPr>
        <w:t>amendments to</w:t>
      </w:r>
      <w:r w:rsidR="002E6247">
        <w:rPr>
          <w:rFonts w:eastAsiaTheme="minorHAnsi" w:cstheme="minorBidi"/>
          <w:szCs w:val="22"/>
        </w:rPr>
        <w:t xml:space="preserve"> the r</w:t>
      </w:r>
      <w:r w:rsidRPr="000E122D">
        <w:rPr>
          <w:rFonts w:eastAsiaTheme="minorHAnsi" w:cstheme="minorBidi"/>
          <w:szCs w:val="22"/>
        </w:rPr>
        <w:t>ule are within the discretion of this Commission and reflect nation</w:t>
      </w:r>
      <w:r w:rsidR="00131A9A">
        <w:rPr>
          <w:rFonts w:eastAsiaTheme="minorHAnsi" w:cstheme="minorBidi"/>
          <w:szCs w:val="22"/>
        </w:rPr>
        <w:t>ally recognized best practices.</w:t>
      </w:r>
    </w:p>
    <w:p w14:paraId="63713E30" w14:textId="5789A8DF" w:rsidR="00C1442E" w:rsidRDefault="009D500F" w:rsidP="00337C89">
      <w:pPr>
        <w:spacing w:after="200"/>
        <w:jc w:val="both"/>
        <w:rPr>
          <w:rFonts w:eastAsiaTheme="minorHAnsi"/>
        </w:rPr>
      </w:pPr>
      <w:r>
        <w:rPr>
          <w:rFonts w:eastAsiaTheme="minorHAnsi" w:cstheme="minorBidi"/>
          <w:szCs w:val="22"/>
        </w:rPr>
        <w:t>Moreover, w</w:t>
      </w:r>
      <w:r w:rsidR="00DB2F8D" w:rsidRPr="000E122D">
        <w:rPr>
          <w:rFonts w:eastAsiaTheme="minorHAnsi" w:cstheme="minorBidi"/>
          <w:szCs w:val="22"/>
        </w:rPr>
        <w:t xml:space="preserve">hile </w:t>
      </w:r>
      <w:r w:rsidR="00DB2F8D" w:rsidRPr="000E122D">
        <w:rPr>
          <w:rFonts w:eastAsiaTheme="minorHAnsi" w:cstheme="minorBidi"/>
          <w:i/>
          <w:szCs w:val="22"/>
        </w:rPr>
        <w:t>General Telephone</w:t>
      </w:r>
      <w:r w:rsidR="00DB2F8D" w:rsidRPr="000E122D">
        <w:rPr>
          <w:rFonts w:eastAsiaTheme="minorHAnsi" w:cstheme="minorBidi"/>
          <w:szCs w:val="22"/>
        </w:rPr>
        <w:t xml:space="preserve"> noted that the Federal</w:t>
      </w:r>
      <w:r w:rsidR="00CE618C">
        <w:rPr>
          <w:rFonts w:eastAsiaTheme="minorHAnsi" w:cstheme="minorBidi"/>
          <w:szCs w:val="22"/>
        </w:rPr>
        <w:t xml:space="preserve"> Energy Regulation Commission (FERC</w:t>
      </w:r>
      <w:r w:rsidR="00DB2F8D" w:rsidRPr="000E122D">
        <w:rPr>
          <w:rFonts w:eastAsiaTheme="minorHAnsi" w:cstheme="minorBidi"/>
          <w:szCs w:val="22"/>
        </w:rPr>
        <w:t>) and “at least eighteen jurisdictions” had adopted the consolidated approach,</w:t>
      </w:r>
      <w:r w:rsidR="00DB2F8D" w:rsidRPr="000E122D">
        <w:rPr>
          <w:rFonts w:eastAsiaTheme="minorHAnsi" w:cstheme="minorBidi"/>
          <w:szCs w:val="22"/>
          <w:vertAlign w:val="superscript"/>
        </w:rPr>
        <w:footnoteReference w:id="10"/>
      </w:r>
      <w:r w:rsidR="00DB2F8D" w:rsidRPr="000E122D">
        <w:rPr>
          <w:rFonts w:eastAsiaTheme="minorHAnsi" w:cstheme="minorBidi"/>
          <w:szCs w:val="22"/>
        </w:rPr>
        <w:t xml:space="preserve"> that is no longer the case. FERC now uses the stand-alone approach reflected in the </w:t>
      </w:r>
      <w:r w:rsidR="00934336">
        <w:rPr>
          <w:rFonts w:eastAsiaTheme="minorHAnsi" w:cstheme="minorBidi"/>
          <w:szCs w:val="22"/>
        </w:rPr>
        <w:t>recommended</w:t>
      </w:r>
      <w:r w:rsidR="00292CE1">
        <w:rPr>
          <w:rFonts w:eastAsiaTheme="minorHAnsi" w:cstheme="minorBidi"/>
          <w:szCs w:val="22"/>
        </w:rPr>
        <w:t xml:space="preserve"> amendments to</w:t>
      </w:r>
      <w:r w:rsidR="00DB2F8D" w:rsidRPr="000E122D">
        <w:rPr>
          <w:rFonts w:eastAsiaTheme="minorHAnsi" w:cstheme="minorBidi"/>
          <w:szCs w:val="22"/>
        </w:rPr>
        <w:t xml:space="preserve"> the </w:t>
      </w:r>
      <w:r w:rsidR="002E6247">
        <w:rPr>
          <w:rFonts w:eastAsiaTheme="minorHAnsi" w:cstheme="minorBidi"/>
          <w:szCs w:val="22"/>
        </w:rPr>
        <w:t>r</w:t>
      </w:r>
      <w:r w:rsidR="00DB2F8D" w:rsidRPr="000E122D">
        <w:rPr>
          <w:rFonts w:eastAsiaTheme="minorHAnsi" w:cstheme="minorBidi"/>
          <w:szCs w:val="22"/>
        </w:rPr>
        <w:t>ule,</w:t>
      </w:r>
      <w:r w:rsidR="00DB2F8D" w:rsidRPr="000E122D">
        <w:rPr>
          <w:rFonts w:eastAsiaTheme="minorHAnsi" w:cstheme="minorBidi"/>
          <w:szCs w:val="22"/>
          <w:vertAlign w:val="superscript"/>
        </w:rPr>
        <w:footnoteReference w:id="11"/>
      </w:r>
      <w:r w:rsidR="00DB2F8D" w:rsidRPr="000E122D">
        <w:rPr>
          <w:rFonts w:eastAsiaTheme="minorHAnsi" w:cstheme="minorBidi"/>
          <w:szCs w:val="22"/>
        </w:rPr>
        <w:t xml:space="preserve"> and Florida is one of only a hand</w:t>
      </w:r>
      <w:r w:rsidR="00685510">
        <w:rPr>
          <w:rFonts w:eastAsiaTheme="minorHAnsi" w:cstheme="minorBidi"/>
          <w:szCs w:val="22"/>
        </w:rPr>
        <w:t>ful of states that still use a</w:t>
      </w:r>
      <w:r w:rsidR="00DB2F8D" w:rsidRPr="000E122D">
        <w:rPr>
          <w:rFonts w:eastAsiaTheme="minorHAnsi" w:cstheme="minorBidi"/>
          <w:szCs w:val="22"/>
        </w:rPr>
        <w:t xml:space="preserve"> consolidated approach. States that have adopted the stand-alone approach have done so “due to the increasing structural complexity of regulated utility entities and the expansion of non-utility activities by subsidiaries.” </w:t>
      </w:r>
      <w:r w:rsidR="00DB2F8D" w:rsidRPr="000E122D">
        <w:rPr>
          <w:rFonts w:eastAsiaTheme="minorHAnsi"/>
          <w:bCs/>
          <w:i/>
        </w:rPr>
        <w:t>SFPP, L.P. v. Public Utils. Comm’n</w:t>
      </w:r>
      <w:r w:rsidR="00DB2F8D" w:rsidRPr="000E122D">
        <w:rPr>
          <w:rFonts w:eastAsiaTheme="minorHAnsi"/>
          <w:bCs/>
        </w:rPr>
        <w:t xml:space="preserve">, 217 </w:t>
      </w:r>
      <w:r w:rsidR="00131A9A">
        <w:rPr>
          <w:rFonts w:eastAsiaTheme="minorHAnsi"/>
          <w:bCs/>
        </w:rPr>
        <w:t xml:space="preserve">Cal. App. 4th 784, 795 (2013). </w:t>
      </w:r>
      <w:r w:rsidR="00DB2F8D" w:rsidRPr="000E122D">
        <w:rPr>
          <w:rFonts w:eastAsiaTheme="minorHAnsi"/>
          <w:bCs/>
        </w:rPr>
        <w:t>In addition, “</w:t>
      </w:r>
      <w:r w:rsidR="00394D2F">
        <w:rPr>
          <w:rFonts w:eastAsiaTheme="minorHAnsi"/>
          <w:bCs/>
        </w:rPr>
        <w:t>w</w:t>
      </w:r>
      <w:r w:rsidR="00DB2F8D" w:rsidRPr="000E122D">
        <w:rPr>
          <w:rFonts w:eastAsiaTheme="minorHAnsi"/>
          <w:bCs/>
        </w:rPr>
        <w:t xml:space="preserve">ithout the stand-alone treatment of the regulated entity, the non-utility activities could result in a tax expense or savings unrelated to the costs of providing utility service.” </w:t>
      </w:r>
      <w:r w:rsidR="00DB2F8D" w:rsidRPr="000E122D">
        <w:rPr>
          <w:rFonts w:eastAsiaTheme="minorHAnsi"/>
          <w:i/>
          <w:iCs/>
        </w:rPr>
        <w:t xml:space="preserve">ARCO Prods. Co. v. Santa Fe Pacific Pipeline, L.P., </w:t>
      </w:r>
      <w:r w:rsidR="00DB2F8D" w:rsidRPr="000E122D">
        <w:rPr>
          <w:rFonts w:eastAsiaTheme="minorHAnsi"/>
        </w:rPr>
        <w:t>Dec. No. 11–05–045, 2011 WL 2246059 at 8 (Cal. P.U.C. 2011).</w:t>
      </w:r>
    </w:p>
    <w:p w14:paraId="572046C8" w14:textId="77777777" w:rsidR="001E3AA0" w:rsidRDefault="001E3AA0" w:rsidP="00337C89">
      <w:pPr>
        <w:spacing w:after="200"/>
        <w:jc w:val="both"/>
        <w:rPr>
          <w:rFonts w:eastAsiaTheme="minorHAnsi"/>
        </w:rPr>
      </w:pPr>
    </w:p>
    <w:p w14:paraId="71F16804" w14:textId="697C3C68" w:rsidR="00EE6F1C" w:rsidRDefault="00EE6F1C" w:rsidP="00CF77A9">
      <w:pPr>
        <w:pStyle w:val="Second-LevelSubheading"/>
        <w:ind w:left="1080"/>
        <w:rPr>
          <w:rFonts w:eastAsiaTheme="minorHAnsi"/>
        </w:rPr>
      </w:pPr>
      <w:r>
        <w:rPr>
          <w:rFonts w:eastAsiaTheme="minorHAnsi"/>
        </w:rPr>
        <w:t>United States Treasury and Congressional inaction do not preclude the stand-alone method.</w:t>
      </w:r>
    </w:p>
    <w:p w14:paraId="33E9A8F2" w14:textId="7673FBD0" w:rsidR="004D60FC" w:rsidRPr="000E122D" w:rsidRDefault="004D60FC" w:rsidP="004D60FC">
      <w:pPr>
        <w:spacing w:after="200"/>
        <w:jc w:val="both"/>
        <w:rPr>
          <w:rFonts w:eastAsiaTheme="minorHAnsi" w:cstheme="minorBidi"/>
          <w:szCs w:val="22"/>
        </w:rPr>
      </w:pPr>
      <w:r w:rsidRPr="000E122D">
        <w:rPr>
          <w:rFonts w:eastAsiaTheme="minorHAnsi" w:cstheme="minorBidi"/>
          <w:szCs w:val="22"/>
        </w:rPr>
        <w:t xml:space="preserve">OPC </w:t>
      </w:r>
      <w:r w:rsidR="0031449C">
        <w:rPr>
          <w:rFonts w:eastAsiaTheme="minorHAnsi" w:cstheme="minorBidi"/>
          <w:szCs w:val="22"/>
        </w:rPr>
        <w:t>also asserts</w:t>
      </w:r>
      <w:r w:rsidR="00133F0E">
        <w:rPr>
          <w:rFonts w:eastAsiaTheme="minorHAnsi" w:cstheme="minorBidi"/>
          <w:szCs w:val="22"/>
        </w:rPr>
        <w:t xml:space="preserve"> that inaction by the U.S. Treasury and Congress</w:t>
      </w:r>
      <w:r w:rsidRPr="000E122D">
        <w:rPr>
          <w:rFonts w:eastAsiaTheme="minorHAnsi" w:cstheme="minorBidi"/>
          <w:szCs w:val="22"/>
        </w:rPr>
        <w:t xml:space="preserve"> </w:t>
      </w:r>
      <w:r w:rsidR="00133F0E">
        <w:rPr>
          <w:rFonts w:eastAsiaTheme="minorHAnsi" w:cstheme="minorBidi"/>
          <w:szCs w:val="22"/>
        </w:rPr>
        <w:t>indicated that the stand-alone method is improper. OPC state</w:t>
      </w:r>
      <w:r w:rsidR="0031449C">
        <w:rPr>
          <w:rFonts w:eastAsiaTheme="minorHAnsi" w:cstheme="minorBidi"/>
          <w:szCs w:val="22"/>
        </w:rPr>
        <w:t>s</w:t>
      </w:r>
      <w:r w:rsidR="00133F0E">
        <w:rPr>
          <w:rFonts w:eastAsiaTheme="minorHAnsi" w:cstheme="minorBidi"/>
          <w:szCs w:val="22"/>
        </w:rPr>
        <w:t xml:space="preserve"> </w:t>
      </w:r>
      <w:r w:rsidRPr="000E122D">
        <w:rPr>
          <w:rFonts w:eastAsiaTheme="minorHAnsi" w:cstheme="minorBidi"/>
          <w:szCs w:val="22"/>
        </w:rPr>
        <w:t>that in 1990, the U</w:t>
      </w:r>
      <w:r w:rsidR="00133F0E">
        <w:rPr>
          <w:rFonts w:eastAsiaTheme="minorHAnsi" w:cstheme="minorBidi"/>
          <w:szCs w:val="22"/>
        </w:rPr>
        <w:t>.S.</w:t>
      </w:r>
      <w:r w:rsidRPr="000E122D">
        <w:rPr>
          <w:rFonts w:eastAsiaTheme="minorHAnsi" w:cstheme="minorBidi"/>
          <w:szCs w:val="22"/>
        </w:rPr>
        <w:t xml:space="preserve"> Treasury proposed a regulation that many interpreted “as an indication that the </w:t>
      </w:r>
      <w:r w:rsidR="00133F0E">
        <w:rPr>
          <w:rFonts w:eastAsiaTheme="minorHAnsi" w:cstheme="minorBidi"/>
          <w:szCs w:val="22"/>
        </w:rPr>
        <w:t>[parent debt adjustment]</w:t>
      </w:r>
      <w:r w:rsidRPr="000E122D">
        <w:rPr>
          <w:rFonts w:eastAsiaTheme="minorHAnsi" w:cstheme="minorBidi"/>
          <w:szCs w:val="22"/>
        </w:rPr>
        <w:t xml:space="preserve"> could be deemed a consolidated tax savings adjustment and a normalization violation.” According to OPC, it and the Commission joined in filing comments at a</w:t>
      </w:r>
      <w:r w:rsidR="00DD5D54">
        <w:rPr>
          <w:rFonts w:eastAsiaTheme="minorHAnsi" w:cstheme="minorBidi"/>
          <w:szCs w:val="22"/>
        </w:rPr>
        <w:t xml:space="preserve"> 1991 IRS hearing on the matter</w:t>
      </w:r>
      <w:r w:rsidRPr="000E122D">
        <w:rPr>
          <w:rFonts w:eastAsiaTheme="minorHAnsi" w:cstheme="minorBidi"/>
          <w:szCs w:val="22"/>
        </w:rPr>
        <w:t xml:space="preserve"> and were in agreement that the </w:t>
      </w:r>
      <w:r w:rsidR="00133F0E">
        <w:rPr>
          <w:rFonts w:eastAsiaTheme="minorHAnsi" w:cstheme="minorBidi"/>
          <w:szCs w:val="22"/>
        </w:rPr>
        <w:t>parent debt adjustment</w:t>
      </w:r>
      <w:r w:rsidRPr="000E122D">
        <w:rPr>
          <w:rFonts w:eastAsiaTheme="minorHAnsi" w:cstheme="minorBidi"/>
          <w:szCs w:val="22"/>
        </w:rPr>
        <w:t xml:space="preserve"> was not a consolidated tax savings adjustment </w:t>
      </w:r>
      <w:r w:rsidR="00133F0E">
        <w:rPr>
          <w:rFonts w:eastAsiaTheme="minorHAnsi" w:cstheme="minorBidi"/>
          <w:szCs w:val="22"/>
        </w:rPr>
        <w:t>or</w:t>
      </w:r>
      <w:r w:rsidRPr="000E122D">
        <w:rPr>
          <w:rFonts w:eastAsiaTheme="minorHAnsi" w:cstheme="minorBidi"/>
          <w:szCs w:val="22"/>
        </w:rPr>
        <w:t xml:space="preserve"> a normalization violation. According to OPC, of the hundreds of parties</w:t>
      </w:r>
      <w:r w:rsidR="00CE618C">
        <w:rPr>
          <w:rFonts w:eastAsiaTheme="minorHAnsi" w:cstheme="minorBidi"/>
          <w:szCs w:val="22"/>
        </w:rPr>
        <w:t xml:space="preserve"> (</w:t>
      </w:r>
      <w:r w:rsidRPr="000E122D">
        <w:rPr>
          <w:rFonts w:eastAsiaTheme="minorHAnsi" w:cstheme="minorBidi"/>
          <w:szCs w:val="22"/>
        </w:rPr>
        <w:t xml:space="preserve">which </w:t>
      </w:r>
      <w:r w:rsidR="00CE618C">
        <w:rPr>
          <w:rFonts w:eastAsiaTheme="minorHAnsi" w:cstheme="minorBidi"/>
          <w:szCs w:val="22"/>
        </w:rPr>
        <w:t xml:space="preserve">OPC asserts </w:t>
      </w:r>
      <w:r w:rsidRPr="000E122D">
        <w:rPr>
          <w:rFonts w:eastAsiaTheme="minorHAnsi" w:cstheme="minorBidi"/>
          <w:szCs w:val="22"/>
        </w:rPr>
        <w:t>included utilities, consumers, and regulatory agencies</w:t>
      </w:r>
      <w:r w:rsidR="00CE618C">
        <w:rPr>
          <w:rFonts w:eastAsiaTheme="minorHAnsi" w:cstheme="minorBidi"/>
          <w:szCs w:val="22"/>
        </w:rPr>
        <w:t>)</w:t>
      </w:r>
      <w:r w:rsidRPr="000E122D">
        <w:rPr>
          <w:rFonts w:eastAsiaTheme="minorHAnsi" w:cstheme="minorBidi"/>
          <w:szCs w:val="22"/>
        </w:rPr>
        <w:t>, no one supported the regulation. OPC further state</w:t>
      </w:r>
      <w:r w:rsidR="0031449C">
        <w:rPr>
          <w:rFonts w:eastAsiaTheme="minorHAnsi" w:cstheme="minorBidi"/>
          <w:szCs w:val="22"/>
        </w:rPr>
        <w:t>s</w:t>
      </w:r>
      <w:r w:rsidRPr="000E122D">
        <w:rPr>
          <w:rFonts w:eastAsiaTheme="minorHAnsi" w:cstheme="minorBidi"/>
          <w:szCs w:val="22"/>
        </w:rPr>
        <w:t xml:space="preserve"> that the IRS eventually withdrew the proposed regulation. OPC </w:t>
      </w:r>
      <w:r w:rsidR="0031449C">
        <w:rPr>
          <w:rFonts w:eastAsiaTheme="minorHAnsi" w:cstheme="minorBidi"/>
          <w:szCs w:val="22"/>
        </w:rPr>
        <w:t xml:space="preserve">advises </w:t>
      </w:r>
      <w:r w:rsidRPr="000E122D">
        <w:rPr>
          <w:rFonts w:eastAsiaTheme="minorHAnsi" w:cstheme="minorBidi"/>
          <w:szCs w:val="22"/>
        </w:rPr>
        <w:t>that Congress also was “concerned about whether normalization was costing the Uni</w:t>
      </w:r>
      <w:r w:rsidR="00D11A99">
        <w:rPr>
          <w:rFonts w:eastAsiaTheme="minorHAnsi" w:cstheme="minorBidi"/>
          <w:szCs w:val="22"/>
        </w:rPr>
        <w:t>ted States Treasury</w:t>
      </w:r>
      <w:r w:rsidRPr="000E122D">
        <w:rPr>
          <w:rFonts w:eastAsiaTheme="minorHAnsi" w:cstheme="minorBidi"/>
          <w:szCs w:val="22"/>
        </w:rPr>
        <w:t xml:space="preserve"> tax revenue” and held hearings. According to OPC, it and </w:t>
      </w:r>
      <w:r w:rsidR="009D500F">
        <w:rPr>
          <w:rFonts w:eastAsiaTheme="minorHAnsi" w:cstheme="minorBidi"/>
          <w:szCs w:val="22"/>
        </w:rPr>
        <w:t xml:space="preserve">the </w:t>
      </w:r>
      <w:r w:rsidRPr="000E122D">
        <w:rPr>
          <w:rFonts w:eastAsiaTheme="minorHAnsi" w:cstheme="minorBidi"/>
          <w:szCs w:val="22"/>
        </w:rPr>
        <w:t>Commission testified befo</w:t>
      </w:r>
      <w:r w:rsidR="002E6247">
        <w:rPr>
          <w:rFonts w:eastAsiaTheme="minorHAnsi" w:cstheme="minorBidi"/>
          <w:szCs w:val="22"/>
        </w:rPr>
        <w:t>re Congress “in support of the r</w:t>
      </w:r>
      <w:r w:rsidRPr="000E122D">
        <w:rPr>
          <w:rFonts w:eastAsiaTheme="minorHAnsi" w:cstheme="minorBidi"/>
          <w:szCs w:val="22"/>
        </w:rPr>
        <w:t>ule and the Commission’s practice to recognize the tax effect of parent company debt in ratemaking.” OPC state</w:t>
      </w:r>
      <w:r w:rsidR="0031449C">
        <w:rPr>
          <w:rFonts w:eastAsiaTheme="minorHAnsi" w:cstheme="minorBidi"/>
          <w:szCs w:val="22"/>
        </w:rPr>
        <w:t>s</w:t>
      </w:r>
      <w:r w:rsidRPr="000E122D">
        <w:rPr>
          <w:rFonts w:eastAsiaTheme="minorHAnsi" w:cstheme="minorBidi"/>
          <w:szCs w:val="22"/>
        </w:rPr>
        <w:t xml:space="preserve"> that Congress took no action. OPC </w:t>
      </w:r>
      <w:r w:rsidR="0031449C">
        <w:rPr>
          <w:rFonts w:eastAsiaTheme="minorHAnsi" w:cstheme="minorBidi"/>
          <w:szCs w:val="22"/>
        </w:rPr>
        <w:t>does acknowledge that by that time F</w:t>
      </w:r>
      <w:r w:rsidRPr="000E122D">
        <w:rPr>
          <w:rFonts w:eastAsiaTheme="minorHAnsi" w:cstheme="minorBidi"/>
          <w:szCs w:val="22"/>
        </w:rPr>
        <w:t>ERC ha</w:t>
      </w:r>
      <w:r w:rsidR="0031449C">
        <w:rPr>
          <w:rFonts w:eastAsiaTheme="minorHAnsi" w:cstheme="minorBidi"/>
          <w:szCs w:val="22"/>
        </w:rPr>
        <w:t>d</w:t>
      </w:r>
      <w:r w:rsidRPr="000E122D">
        <w:rPr>
          <w:rFonts w:eastAsiaTheme="minorHAnsi" w:cstheme="minorBidi"/>
          <w:szCs w:val="22"/>
        </w:rPr>
        <w:t xml:space="preserve"> </w:t>
      </w:r>
      <w:r w:rsidR="0031449C">
        <w:rPr>
          <w:rFonts w:eastAsiaTheme="minorHAnsi" w:cstheme="minorBidi"/>
          <w:szCs w:val="22"/>
        </w:rPr>
        <w:t>retreated from a parent debt adjustment</w:t>
      </w:r>
      <w:r w:rsidR="00131A9A">
        <w:rPr>
          <w:rFonts w:eastAsiaTheme="minorHAnsi" w:cstheme="minorBidi"/>
          <w:szCs w:val="22"/>
        </w:rPr>
        <w:t>.</w:t>
      </w:r>
    </w:p>
    <w:p w14:paraId="2AB75B38" w14:textId="25FE0249" w:rsidR="007C08D7" w:rsidRDefault="004D60FC" w:rsidP="004D60FC">
      <w:pPr>
        <w:spacing w:after="200"/>
        <w:jc w:val="both"/>
        <w:rPr>
          <w:rFonts w:eastAsiaTheme="minorHAnsi" w:cstheme="minorBidi"/>
          <w:szCs w:val="22"/>
        </w:rPr>
      </w:pPr>
      <w:r w:rsidRPr="000E122D">
        <w:rPr>
          <w:rFonts w:eastAsiaTheme="minorHAnsi" w:cstheme="minorBidi"/>
          <w:szCs w:val="22"/>
        </w:rPr>
        <w:t xml:space="preserve">OPC’s reliance on the failure of the IRS to change its consolidated return rule as validation of the parent debt rule is misplaced. </w:t>
      </w:r>
      <w:r w:rsidR="00EA2851">
        <w:rPr>
          <w:rFonts w:eastAsiaTheme="minorHAnsi" w:cstheme="minorBidi"/>
          <w:szCs w:val="22"/>
        </w:rPr>
        <w:t>T</w:t>
      </w:r>
      <w:r w:rsidRPr="000E122D">
        <w:rPr>
          <w:rFonts w:eastAsiaTheme="minorHAnsi" w:cstheme="minorBidi"/>
          <w:szCs w:val="22"/>
        </w:rPr>
        <w:t xml:space="preserve">he proposed </w:t>
      </w:r>
      <w:r w:rsidR="00F46B40">
        <w:rPr>
          <w:rFonts w:eastAsiaTheme="minorHAnsi" w:cstheme="minorBidi"/>
          <w:szCs w:val="22"/>
        </w:rPr>
        <w:t xml:space="preserve">Treasury </w:t>
      </w:r>
      <w:r w:rsidRPr="000E122D">
        <w:rPr>
          <w:rFonts w:eastAsiaTheme="minorHAnsi" w:cstheme="minorBidi"/>
          <w:szCs w:val="22"/>
        </w:rPr>
        <w:t>regulation may have resulted in the Commission’s parent debt adjustment rule violating a normalization method of accounting</w:t>
      </w:r>
      <w:r w:rsidR="002E6247">
        <w:rPr>
          <w:rFonts w:eastAsiaTheme="minorHAnsi" w:cstheme="minorBidi"/>
          <w:szCs w:val="22"/>
        </w:rPr>
        <w:t>.</w:t>
      </w:r>
      <w:r w:rsidR="007C08D7">
        <w:rPr>
          <w:rFonts w:eastAsiaTheme="minorHAnsi" w:cstheme="minorBidi"/>
          <w:szCs w:val="22"/>
        </w:rPr>
        <w:t xml:space="preserve"> However</w:t>
      </w:r>
      <w:r w:rsidRPr="000E122D">
        <w:rPr>
          <w:rFonts w:eastAsiaTheme="minorHAnsi" w:cstheme="minorBidi"/>
          <w:szCs w:val="22"/>
        </w:rPr>
        <w:t>, the failure of the IRS to change its policy (regarding the flow-through of tax savings arising from the filing of a consolidated return) does not mean the IRS endorsed the parent de</w:t>
      </w:r>
      <w:r w:rsidR="002E6247">
        <w:rPr>
          <w:rFonts w:eastAsiaTheme="minorHAnsi" w:cstheme="minorBidi"/>
          <w:szCs w:val="22"/>
        </w:rPr>
        <w:t>bt adjustment contained in the rule, or that the r</w:t>
      </w:r>
      <w:r w:rsidRPr="000E122D">
        <w:rPr>
          <w:rFonts w:eastAsiaTheme="minorHAnsi" w:cstheme="minorBidi"/>
          <w:szCs w:val="22"/>
        </w:rPr>
        <w:t>ule was the proper or only way for the Commission to determine a subsidiary’s taxes whe</w:t>
      </w:r>
      <w:r w:rsidR="002E6247">
        <w:rPr>
          <w:rFonts w:eastAsiaTheme="minorHAnsi" w:cstheme="minorBidi"/>
          <w:szCs w:val="22"/>
        </w:rPr>
        <w:t>n setting rates.</w:t>
      </w:r>
    </w:p>
    <w:p w14:paraId="26032D9F" w14:textId="0DF898BD" w:rsidR="004D60FC" w:rsidRDefault="003C0C23" w:rsidP="004D60FC">
      <w:pPr>
        <w:spacing w:after="200"/>
        <w:jc w:val="both"/>
        <w:rPr>
          <w:rFonts w:eastAsiaTheme="minorHAnsi" w:cstheme="minorBidi"/>
          <w:szCs w:val="22"/>
        </w:rPr>
      </w:pPr>
      <w:r>
        <w:rPr>
          <w:rFonts w:eastAsiaTheme="minorHAnsi" w:cstheme="minorBidi"/>
          <w:szCs w:val="22"/>
        </w:rPr>
        <w:t>Moreover, f</w:t>
      </w:r>
      <w:r w:rsidR="004D60FC" w:rsidRPr="000E122D">
        <w:rPr>
          <w:rFonts w:eastAsiaTheme="minorHAnsi" w:cstheme="minorBidi"/>
          <w:szCs w:val="22"/>
        </w:rPr>
        <w:t xml:space="preserve">ederal tax policy and rate setting by a utility commission are two distinct </w:t>
      </w:r>
      <w:r w:rsidR="00E60157">
        <w:rPr>
          <w:rFonts w:eastAsiaTheme="minorHAnsi" w:cstheme="minorBidi"/>
          <w:szCs w:val="22"/>
        </w:rPr>
        <w:t>regulatory mechanisms</w:t>
      </w:r>
      <w:r w:rsidR="004D60FC" w:rsidRPr="000E122D">
        <w:rPr>
          <w:rFonts w:eastAsiaTheme="minorHAnsi" w:cstheme="minorBidi"/>
          <w:szCs w:val="22"/>
        </w:rPr>
        <w:t xml:space="preserve">. </w:t>
      </w:r>
      <w:r w:rsidR="004D60FC" w:rsidRPr="000E122D">
        <w:rPr>
          <w:rFonts w:eastAsiaTheme="minorHAnsi" w:cstheme="minorBidi"/>
          <w:i/>
          <w:szCs w:val="22"/>
        </w:rPr>
        <w:t>See Federal Power Comm’n v. United Gas Pipe Line Co</w:t>
      </w:r>
      <w:r w:rsidR="004D60FC" w:rsidRPr="000E122D">
        <w:rPr>
          <w:rFonts w:eastAsiaTheme="minorHAnsi" w:cstheme="minorBidi"/>
          <w:szCs w:val="22"/>
        </w:rPr>
        <w:t xml:space="preserve">., 386 U.S. 237, 243 (1967). The Court noted that a commission has the power “to limit cost of service to real expense” </w:t>
      </w:r>
      <w:r>
        <w:rPr>
          <w:rFonts w:eastAsiaTheme="minorHAnsi" w:cstheme="minorBidi"/>
          <w:szCs w:val="22"/>
        </w:rPr>
        <w:t>and that doing so</w:t>
      </w:r>
      <w:r w:rsidRPr="003C0C23">
        <w:rPr>
          <w:rFonts w:eastAsiaTheme="minorHAnsi" w:cstheme="minorBidi"/>
          <w:szCs w:val="22"/>
        </w:rPr>
        <w:t xml:space="preserve"> </w:t>
      </w:r>
      <w:r w:rsidRPr="000E122D">
        <w:rPr>
          <w:rFonts w:eastAsiaTheme="minorHAnsi" w:cstheme="minorBidi"/>
          <w:szCs w:val="22"/>
        </w:rPr>
        <w:t>would not frustrate tax laws.</w:t>
      </w:r>
      <w:r w:rsidRPr="000E122D">
        <w:rPr>
          <w:rFonts w:eastAsiaTheme="minorHAnsi" w:cstheme="minorBidi"/>
          <w:i/>
          <w:szCs w:val="22"/>
        </w:rPr>
        <w:t xml:space="preserve"> </w:t>
      </w:r>
      <w:r w:rsidR="004D60FC" w:rsidRPr="000E122D">
        <w:rPr>
          <w:rFonts w:eastAsiaTheme="minorHAnsi" w:cstheme="minorBidi"/>
          <w:i/>
          <w:szCs w:val="22"/>
        </w:rPr>
        <w:t>Id</w:t>
      </w:r>
      <w:r w:rsidR="004D60FC" w:rsidRPr="006A1A3C">
        <w:rPr>
          <w:rFonts w:eastAsiaTheme="minorHAnsi" w:cstheme="minorBidi"/>
          <w:i/>
          <w:szCs w:val="22"/>
        </w:rPr>
        <w:t>.</w:t>
      </w:r>
      <w:r w:rsidR="004D60FC" w:rsidRPr="000E122D">
        <w:rPr>
          <w:rFonts w:eastAsiaTheme="minorHAnsi" w:cstheme="minorBidi"/>
          <w:szCs w:val="22"/>
        </w:rPr>
        <w:t xml:space="preserve"> at 245</w:t>
      </w:r>
      <w:r>
        <w:rPr>
          <w:rFonts w:eastAsiaTheme="minorHAnsi" w:cstheme="minorBidi"/>
          <w:szCs w:val="22"/>
        </w:rPr>
        <w:t>-47.</w:t>
      </w:r>
    </w:p>
    <w:p w14:paraId="0464DEF9" w14:textId="6199A2EE" w:rsidR="00EE6F1C" w:rsidRDefault="00EE6F1C" w:rsidP="00CF77A9">
      <w:pPr>
        <w:pStyle w:val="Second-LevelSubheading"/>
        <w:ind w:left="990"/>
        <w:rPr>
          <w:rFonts w:eastAsiaTheme="minorHAnsi"/>
        </w:rPr>
      </w:pPr>
      <w:r>
        <w:rPr>
          <w:rFonts w:eastAsiaTheme="minorHAnsi"/>
        </w:rPr>
        <w:t>Prior Commission orders do not preclude the stand-alone method.</w:t>
      </w:r>
    </w:p>
    <w:p w14:paraId="0E1BA5AA" w14:textId="78CC52C0" w:rsidR="00F21BAF" w:rsidRDefault="00F21BAF" w:rsidP="004D60FC">
      <w:pPr>
        <w:spacing w:after="200"/>
        <w:jc w:val="both"/>
        <w:rPr>
          <w:rFonts w:eastAsiaTheme="minorHAnsi" w:cstheme="minorBidi"/>
          <w:szCs w:val="22"/>
        </w:rPr>
      </w:pPr>
      <w:r>
        <w:rPr>
          <w:rFonts w:eastAsiaTheme="minorHAnsi" w:cstheme="minorBidi"/>
          <w:szCs w:val="22"/>
        </w:rPr>
        <w:t>In its oral comments, OPC assert</w:t>
      </w:r>
      <w:r w:rsidR="00F46B40">
        <w:rPr>
          <w:rFonts w:eastAsiaTheme="minorHAnsi" w:cstheme="minorBidi"/>
          <w:szCs w:val="22"/>
        </w:rPr>
        <w:t>s</w:t>
      </w:r>
      <w:r>
        <w:rPr>
          <w:rFonts w:eastAsiaTheme="minorHAnsi" w:cstheme="minorBidi"/>
          <w:szCs w:val="22"/>
        </w:rPr>
        <w:t xml:space="preserve"> that the Commission had twice previously been asked to repeal the parent-debt adjustment and had twice rejected that request. </w:t>
      </w:r>
      <w:r w:rsidR="001C52DA">
        <w:rPr>
          <w:rFonts w:eastAsiaTheme="minorHAnsi" w:cstheme="minorBidi"/>
          <w:szCs w:val="22"/>
        </w:rPr>
        <w:t>T</w:t>
      </w:r>
      <w:r>
        <w:rPr>
          <w:rFonts w:eastAsiaTheme="minorHAnsi" w:cstheme="minorBidi"/>
          <w:szCs w:val="22"/>
        </w:rPr>
        <w:t>hat is not correct. The Commission has never substantively rejected repeal of the parent-debt adjustment.</w:t>
      </w:r>
    </w:p>
    <w:p w14:paraId="0BBB0AA0" w14:textId="12F72BE2" w:rsidR="001C52DA" w:rsidRDefault="001C52DA" w:rsidP="001C52DA">
      <w:pPr>
        <w:spacing w:after="200"/>
        <w:jc w:val="both"/>
        <w:rPr>
          <w:rFonts w:eastAsiaTheme="minorHAnsi" w:cstheme="minorBidi"/>
          <w:szCs w:val="22"/>
        </w:rPr>
      </w:pPr>
      <w:r>
        <w:rPr>
          <w:rFonts w:eastAsiaTheme="minorHAnsi" w:cstheme="minorBidi"/>
          <w:szCs w:val="22"/>
        </w:rPr>
        <w:t>In 1987, staff submitted</w:t>
      </w:r>
      <w:r w:rsidR="0030098D">
        <w:rPr>
          <w:rFonts w:eastAsiaTheme="minorHAnsi" w:cstheme="minorBidi"/>
          <w:szCs w:val="22"/>
        </w:rPr>
        <w:t xml:space="preserve"> a</w:t>
      </w:r>
      <w:r>
        <w:rPr>
          <w:rFonts w:eastAsiaTheme="minorHAnsi" w:cstheme="minorBidi"/>
          <w:szCs w:val="22"/>
        </w:rPr>
        <w:t xml:space="preserve"> recommendation to repeal</w:t>
      </w:r>
      <w:r w:rsidRPr="002C08B1">
        <w:rPr>
          <w:rFonts w:eastAsiaTheme="minorHAnsi" w:cstheme="minorBidi"/>
          <w:szCs w:val="22"/>
        </w:rPr>
        <w:t xml:space="preserve"> </w:t>
      </w:r>
      <w:r>
        <w:rPr>
          <w:rFonts w:eastAsiaTheme="minorHAnsi" w:cstheme="minorBidi"/>
          <w:szCs w:val="22"/>
        </w:rPr>
        <w:t xml:space="preserve">the rule </w:t>
      </w:r>
      <w:r w:rsidRPr="000E122D">
        <w:rPr>
          <w:rFonts w:eastAsiaTheme="minorHAnsi" w:cstheme="minorBidi"/>
          <w:szCs w:val="22"/>
        </w:rPr>
        <w:t>asserting that the rule was unnecessary and that the litigation process would resolve the tax matter.</w:t>
      </w:r>
      <w:r>
        <w:rPr>
          <w:rStyle w:val="FootnoteReference"/>
          <w:rFonts w:eastAsiaTheme="minorHAnsi" w:cstheme="minorBidi"/>
          <w:szCs w:val="22"/>
        </w:rPr>
        <w:footnoteReference w:id="12"/>
      </w:r>
      <w:r w:rsidRPr="000E122D">
        <w:rPr>
          <w:rFonts w:eastAsiaTheme="minorHAnsi" w:cstheme="minorBidi"/>
          <w:szCs w:val="22"/>
        </w:rPr>
        <w:t xml:space="preserve"> </w:t>
      </w:r>
      <w:r>
        <w:rPr>
          <w:rFonts w:eastAsiaTheme="minorHAnsi" w:cstheme="minorBidi"/>
          <w:szCs w:val="22"/>
        </w:rPr>
        <w:t>The Commission deferred ruling and</w:t>
      </w:r>
      <w:r w:rsidRPr="000E122D">
        <w:rPr>
          <w:rFonts w:eastAsiaTheme="minorHAnsi" w:cstheme="minorBidi"/>
          <w:szCs w:val="22"/>
        </w:rPr>
        <w:t xml:space="preserve"> request</w:t>
      </w:r>
      <w:r>
        <w:rPr>
          <w:rFonts w:eastAsiaTheme="minorHAnsi" w:cstheme="minorBidi"/>
          <w:szCs w:val="22"/>
        </w:rPr>
        <w:t>ed</w:t>
      </w:r>
      <w:r w:rsidRPr="000E122D">
        <w:rPr>
          <w:rFonts w:eastAsiaTheme="minorHAnsi" w:cstheme="minorBidi"/>
          <w:szCs w:val="22"/>
        </w:rPr>
        <w:t xml:space="preserve"> that staff submit a new recommendation.</w:t>
      </w:r>
      <w:r>
        <w:rPr>
          <w:rStyle w:val="FootnoteReference"/>
          <w:rFonts w:eastAsiaTheme="minorHAnsi" w:cstheme="minorBidi"/>
          <w:szCs w:val="22"/>
        </w:rPr>
        <w:footnoteReference w:id="13"/>
      </w:r>
    </w:p>
    <w:p w14:paraId="21935D17" w14:textId="07162B8E" w:rsidR="001C52DA" w:rsidRDefault="001C52DA" w:rsidP="001C52DA">
      <w:pPr>
        <w:spacing w:after="200"/>
        <w:jc w:val="both"/>
        <w:rPr>
          <w:rFonts w:eastAsiaTheme="minorHAnsi" w:cstheme="minorBidi"/>
          <w:szCs w:val="22"/>
        </w:rPr>
      </w:pPr>
      <w:r>
        <w:rPr>
          <w:rFonts w:eastAsiaTheme="minorHAnsi" w:cstheme="minorBidi"/>
          <w:szCs w:val="22"/>
        </w:rPr>
        <w:t xml:space="preserve">In </w:t>
      </w:r>
      <w:r w:rsidRPr="000E122D">
        <w:rPr>
          <w:rFonts w:eastAsiaTheme="minorHAnsi" w:cstheme="minorBidi"/>
          <w:szCs w:val="22"/>
        </w:rPr>
        <w:t>1988</w:t>
      </w:r>
      <w:r>
        <w:rPr>
          <w:rFonts w:eastAsiaTheme="minorHAnsi" w:cstheme="minorBidi"/>
          <w:szCs w:val="22"/>
        </w:rPr>
        <w:t xml:space="preserve"> the Commission considered </w:t>
      </w:r>
      <w:r w:rsidR="0030098D">
        <w:rPr>
          <w:rFonts w:eastAsiaTheme="minorHAnsi" w:cstheme="minorBidi"/>
          <w:szCs w:val="22"/>
        </w:rPr>
        <w:t xml:space="preserve">the </w:t>
      </w:r>
      <w:r w:rsidR="00CF77A9">
        <w:rPr>
          <w:rFonts w:eastAsiaTheme="minorHAnsi" w:cstheme="minorBidi"/>
          <w:szCs w:val="22"/>
        </w:rPr>
        <w:t>new</w:t>
      </w:r>
      <w:r w:rsidR="00DD5D54">
        <w:rPr>
          <w:rFonts w:eastAsiaTheme="minorHAnsi" w:cstheme="minorBidi"/>
          <w:szCs w:val="22"/>
        </w:rPr>
        <w:t xml:space="preserve"> </w:t>
      </w:r>
      <w:r w:rsidRPr="000E122D">
        <w:rPr>
          <w:rFonts w:eastAsiaTheme="minorHAnsi" w:cstheme="minorBidi"/>
          <w:szCs w:val="22"/>
        </w:rPr>
        <w:t xml:space="preserve">recommendation </w:t>
      </w:r>
      <w:r w:rsidR="0030098D">
        <w:rPr>
          <w:rFonts w:eastAsiaTheme="minorHAnsi" w:cstheme="minorBidi"/>
          <w:szCs w:val="22"/>
        </w:rPr>
        <w:t xml:space="preserve">which </w:t>
      </w:r>
      <w:r w:rsidRPr="000E122D">
        <w:rPr>
          <w:rFonts w:eastAsiaTheme="minorHAnsi" w:cstheme="minorBidi"/>
          <w:szCs w:val="22"/>
        </w:rPr>
        <w:t xml:space="preserve">provided argument </w:t>
      </w:r>
      <w:r>
        <w:rPr>
          <w:rFonts w:eastAsiaTheme="minorHAnsi" w:cstheme="minorBidi"/>
          <w:szCs w:val="22"/>
        </w:rPr>
        <w:t>both in support of the r</w:t>
      </w:r>
      <w:r w:rsidRPr="000E122D">
        <w:rPr>
          <w:rFonts w:eastAsiaTheme="minorHAnsi" w:cstheme="minorBidi"/>
          <w:szCs w:val="22"/>
        </w:rPr>
        <w:t>ule and also in support</w:t>
      </w:r>
      <w:r>
        <w:rPr>
          <w:rFonts w:eastAsiaTheme="minorHAnsi" w:cstheme="minorBidi"/>
          <w:szCs w:val="22"/>
        </w:rPr>
        <w:t xml:space="preserve"> of its repeal.</w:t>
      </w:r>
      <w:r>
        <w:rPr>
          <w:rStyle w:val="FootnoteReference"/>
          <w:rFonts w:eastAsiaTheme="minorHAnsi" w:cstheme="minorBidi"/>
          <w:szCs w:val="22"/>
        </w:rPr>
        <w:footnoteReference w:id="14"/>
      </w:r>
      <w:r>
        <w:rPr>
          <w:rFonts w:eastAsiaTheme="minorHAnsi" w:cstheme="minorBidi"/>
          <w:szCs w:val="22"/>
        </w:rPr>
        <w:t xml:space="preserve"> Again, t</w:t>
      </w:r>
      <w:r w:rsidRPr="000E122D">
        <w:rPr>
          <w:rFonts w:eastAsiaTheme="minorHAnsi" w:cstheme="minorBidi"/>
          <w:szCs w:val="22"/>
        </w:rPr>
        <w:t>he Commission did not affirmative</w:t>
      </w:r>
      <w:r>
        <w:rPr>
          <w:rFonts w:eastAsiaTheme="minorHAnsi" w:cstheme="minorBidi"/>
          <w:szCs w:val="22"/>
        </w:rPr>
        <w:t>ly reject repeal of the rule. Rather, the Commission order</w:t>
      </w:r>
      <w:r w:rsidRPr="000E122D">
        <w:rPr>
          <w:rFonts w:eastAsiaTheme="minorHAnsi" w:cstheme="minorBidi"/>
          <w:szCs w:val="22"/>
        </w:rPr>
        <w:t xml:space="preserve"> simply stated, “</w:t>
      </w:r>
      <w:r>
        <w:rPr>
          <w:rFonts w:eastAsiaTheme="minorHAnsi" w:cstheme="minorBidi"/>
          <w:szCs w:val="22"/>
        </w:rPr>
        <w:t>[w]</w:t>
      </w:r>
      <w:r w:rsidRPr="000E122D">
        <w:rPr>
          <w:rFonts w:eastAsiaTheme="minorHAnsi" w:cstheme="minorBidi"/>
          <w:szCs w:val="22"/>
        </w:rPr>
        <w:t xml:space="preserve">e do not wish to revisit the </w:t>
      </w:r>
      <w:r>
        <w:rPr>
          <w:rFonts w:eastAsiaTheme="minorHAnsi" w:cstheme="minorBidi"/>
          <w:szCs w:val="22"/>
        </w:rPr>
        <w:t>r</w:t>
      </w:r>
      <w:r w:rsidRPr="000E122D">
        <w:rPr>
          <w:rFonts w:eastAsiaTheme="minorHAnsi" w:cstheme="minorBidi"/>
          <w:szCs w:val="22"/>
        </w:rPr>
        <w:t>ule at this time.”</w:t>
      </w:r>
      <w:r w:rsidRPr="000E122D">
        <w:rPr>
          <w:rFonts w:eastAsiaTheme="minorHAnsi" w:cstheme="minorBidi"/>
          <w:szCs w:val="22"/>
          <w:vertAlign w:val="superscript"/>
        </w:rPr>
        <w:footnoteReference w:id="15"/>
      </w:r>
    </w:p>
    <w:p w14:paraId="0B6DD089" w14:textId="4204FCB0" w:rsidR="00C47829" w:rsidRDefault="00F46B40" w:rsidP="00337C89">
      <w:pPr>
        <w:spacing w:after="200"/>
        <w:jc w:val="both"/>
        <w:rPr>
          <w:rFonts w:eastAsiaTheme="minorHAnsi" w:cstheme="minorBidi"/>
          <w:szCs w:val="22"/>
        </w:rPr>
      </w:pPr>
      <w:r>
        <w:rPr>
          <w:rFonts w:eastAsiaTheme="minorHAnsi" w:cstheme="minorBidi"/>
          <w:szCs w:val="22"/>
        </w:rPr>
        <w:t>Moreover, i</w:t>
      </w:r>
      <w:r w:rsidR="004D60FC" w:rsidRPr="000E122D">
        <w:rPr>
          <w:rFonts w:eastAsiaTheme="minorHAnsi" w:cstheme="minorBidi"/>
          <w:szCs w:val="22"/>
        </w:rPr>
        <w:t xml:space="preserve">n contrast to the options </w:t>
      </w:r>
      <w:r w:rsidR="005E6B4F">
        <w:rPr>
          <w:rFonts w:eastAsiaTheme="minorHAnsi" w:cstheme="minorBidi"/>
          <w:szCs w:val="22"/>
        </w:rPr>
        <w:t xml:space="preserve">previously submitted </w:t>
      </w:r>
      <w:r w:rsidR="004D60FC" w:rsidRPr="000E122D">
        <w:rPr>
          <w:rFonts w:eastAsiaTheme="minorHAnsi" w:cstheme="minorBidi"/>
          <w:szCs w:val="22"/>
        </w:rPr>
        <w:t xml:space="preserve">of either repealing or keeping the parent debt adjustment, the current </w:t>
      </w:r>
      <w:r w:rsidR="00934336">
        <w:rPr>
          <w:rFonts w:eastAsiaTheme="minorHAnsi" w:cstheme="minorBidi"/>
          <w:szCs w:val="22"/>
        </w:rPr>
        <w:t>recommended</w:t>
      </w:r>
      <w:r w:rsidR="004D60FC" w:rsidRPr="000E122D">
        <w:rPr>
          <w:rFonts w:eastAsiaTheme="minorHAnsi" w:cstheme="minorBidi"/>
          <w:szCs w:val="22"/>
        </w:rPr>
        <w:t xml:space="preserve"> amendment of Rule 25-14.004, F.A.C.</w:t>
      </w:r>
      <w:r w:rsidR="00DD5D54">
        <w:rPr>
          <w:rFonts w:eastAsiaTheme="minorHAnsi" w:cstheme="minorBidi"/>
          <w:szCs w:val="22"/>
        </w:rPr>
        <w:t>,</w:t>
      </w:r>
      <w:r w:rsidR="004D60FC" w:rsidRPr="000E122D">
        <w:rPr>
          <w:rFonts w:eastAsiaTheme="minorHAnsi" w:cstheme="minorBidi"/>
          <w:szCs w:val="22"/>
        </w:rPr>
        <w:t xml:space="preserve"> sets</w:t>
      </w:r>
      <w:r w:rsidR="00131A9A">
        <w:rPr>
          <w:rFonts w:eastAsiaTheme="minorHAnsi" w:cstheme="minorBidi"/>
          <w:szCs w:val="22"/>
        </w:rPr>
        <w:t xml:space="preserve"> forth</w:t>
      </w:r>
      <w:r>
        <w:rPr>
          <w:rFonts w:eastAsiaTheme="minorHAnsi" w:cstheme="minorBidi"/>
          <w:szCs w:val="22"/>
        </w:rPr>
        <w:t xml:space="preserve"> an alternative approach which update</w:t>
      </w:r>
      <w:r w:rsidR="00CF77A9">
        <w:rPr>
          <w:rFonts w:eastAsiaTheme="minorHAnsi" w:cstheme="minorBidi"/>
          <w:szCs w:val="22"/>
        </w:rPr>
        <w:t>s</w:t>
      </w:r>
      <w:r>
        <w:rPr>
          <w:rFonts w:eastAsiaTheme="minorHAnsi" w:cstheme="minorBidi"/>
          <w:szCs w:val="22"/>
        </w:rPr>
        <w:t xml:space="preserve"> th</w:t>
      </w:r>
      <w:r w:rsidR="002E6247">
        <w:rPr>
          <w:rFonts w:eastAsiaTheme="minorHAnsi" w:cstheme="minorBidi"/>
          <w:szCs w:val="22"/>
        </w:rPr>
        <w:t>e r</w:t>
      </w:r>
      <w:r w:rsidR="00133F0E">
        <w:rPr>
          <w:rFonts w:eastAsiaTheme="minorHAnsi" w:cstheme="minorBidi"/>
          <w:szCs w:val="22"/>
        </w:rPr>
        <w:t>ule</w:t>
      </w:r>
      <w:r w:rsidR="00803801">
        <w:rPr>
          <w:rFonts w:eastAsiaTheme="minorHAnsi" w:cstheme="minorBidi"/>
          <w:szCs w:val="22"/>
        </w:rPr>
        <w:t xml:space="preserve"> to conform </w:t>
      </w:r>
      <w:r w:rsidR="002E6247">
        <w:rPr>
          <w:rFonts w:eastAsiaTheme="minorHAnsi" w:cstheme="minorBidi"/>
          <w:szCs w:val="22"/>
        </w:rPr>
        <w:t>to</w:t>
      </w:r>
      <w:r w:rsidR="00803801">
        <w:rPr>
          <w:rFonts w:eastAsiaTheme="minorHAnsi" w:cstheme="minorBidi"/>
          <w:szCs w:val="22"/>
        </w:rPr>
        <w:t xml:space="preserve"> best practices.</w:t>
      </w:r>
    </w:p>
    <w:p w14:paraId="03C6C22B" w14:textId="6315F6C1" w:rsidR="004D60FC" w:rsidRDefault="004D60FC" w:rsidP="004D60FC">
      <w:pPr>
        <w:pStyle w:val="First-LevelSubheading"/>
        <w:rPr>
          <w:rFonts w:eastAsiaTheme="minorHAnsi"/>
        </w:rPr>
      </w:pPr>
      <w:r>
        <w:rPr>
          <w:rFonts w:eastAsiaTheme="minorHAnsi"/>
        </w:rPr>
        <w:t>Minor Violation Rule Certification</w:t>
      </w:r>
    </w:p>
    <w:p w14:paraId="7B139B92" w14:textId="35B49C68" w:rsidR="004D60FC" w:rsidRPr="000E122D" w:rsidRDefault="004D60FC" w:rsidP="004D60FC">
      <w:pPr>
        <w:spacing w:after="200"/>
        <w:jc w:val="both"/>
        <w:rPr>
          <w:rFonts w:eastAsiaTheme="minorHAnsi" w:cstheme="minorBidi"/>
          <w:szCs w:val="22"/>
        </w:rPr>
      </w:pPr>
      <w:r w:rsidRPr="000E122D">
        <w:rPr>
          <w:rFonts w:eastAsiaTheme="minorHAnsi" w:cstheme="minorBidi"/>
          <w:szCs w:val="22"/>
        </w:rPr>
        <w:t xml:space="preserve">Pursuant to Section 120.695, F.S., for each rule filed for adoption, the agency head shall certify whether any part of the rule is designated as a rule the violation of which would be a minor violation. Rule 25-14.004, F.A.C., is currently listed as a minor violation rule by the Commission. This rule is a minor violation rule because the violation of this rule would not result in economic or physical harm to a person, cause an adverse effect on the public health, safety, or welfare, or create a significant threat of such harm. Violations of Rule 25-14.004, F.A.C., with the </w:t>
      </w:r>
      <w:r w:rsidR="00934336">
        <w:rPr>
          <w:rFonts w:eastAsiaTheme="minorHAnsi" w:cstheme="minorBidi"/>
          <w:szCs w:val="22"/>
        </w:rPr>
        <w:t>recommended</w:t>
      </w:r>
      <w:r w:rsidRPr="000E122D">
        <w:rPr>
          <w:rFonts w:eastAsiaTheme="minorHAnsi" w:cstheme="minorBidi"/>
          <w:szCs w:val="22"/>
        </w:rPr>
        <w:t xml:space="preserve"> amendments would continue to be minor violations. Therefore, for the purposes of filing the proposed amended rules for adoption with the Department of State, staff recommends that the Commission certify Rule 25-14.004, F.A.C., as a minor violation rule.</w:t>
      </w:r>
    </w:p>
    <w:p w14:paraId="3A4439D5" w14:textId="77777777" w:rsidR="004D60FC" w:rsidRDefault="00C66A65" w:rsidP="00C66A65">
      <w:pPr>
        <w:pStyle w:val="First-LevelSubheading"/>
        <w:rPr>
          <w:rFonts w:eastAsiaTheme="minorHAnsi"/>
        </w:rPr>
      </w:pPr>
      <w:r>
        <w:rPr>
          <w:rFonts w:eastAsiaTheme="minorHAnsi"/>
        </w:rPr>
        <w:t>Statement of Estimated Regulatory Costs</w:t>
      </w:r>
    </w:p>
    <w:p w14:paraId="666B7BB7" w14:textId="77777777" w:rsidR="00C66A65" w:rsidRPr="000E122D" w:rsidRDefault="00C66A65" w:rsidP="00C66A65">
      <w:pPr>
        <w:spacing w:after="200"/>
        <w:jc w:val="both"/>
        <w:rPr>
          <w:rFonts w:eastAsiaTheme="minorHAnsi" w:cstheme="minorBidi"/>
          <w:szCs w:val="22"/>
        </w:rPr>
      </w:pPr>
      <w:r w:rsidRPr="000E122D">
        <w:rPr>
          <w:rFonts w:eastAsiaTheme="minorHAnsi" w:cstheme="minorBidi"/>
          <w:szCs w:val="22"/>
        </w:rPr>
        <w:t>Section 120.54(3)(b)1., F.S., encourages agencies to prepare a Statement of Estimated Regulatory Costs (SERC) before the adoption, amendment, or repeal of any rule. A SERC was prepared for this rulemaking and is appended as Attachment B. As required by Section 120.541(2)(a)1., F.S., the SERC analysis includes whether the rule amendments are likely to have an adverse impact on economic growth, private sector job creation or employment, or private sector investment in excess of $1 million in the aggregate within five years after implementation. None of the impact/cost criteria will be exceeded as a result of the recommended amendments.</w:t>
      </w:r>
    </w:p>
    <w:p w14:paraId="4476056E" w14:textId="3C5BFE5F" w:rsidR="003A4A1F" w:rsidRPr="000E122D" w:rsidRDefault="003A4A1F" w:rsidP="003A4A1F">
      <w:pPr>
        <w:spacing w:after="200"/>
        <w:jc w:val="both"/>
        <w:rPr>
          <w:rFonts w:eastAsiaTheme="minorHAnsi" w:cstheme="minorBidi"/>
          <w:szCs w:val="22"/>
        </w:rPr>
      </w:pPr>
      <w:r w:rsidRPr="000E122D">
        <w:rPr>
          <w:rFonts w:eastAsiaTheme="minorHAnsi" w:cstheme="minorBidi"/>
          <w:szCs w:val="22"/>
        </w:rPr>
        <w:t xml:space="preserve">The SERC concludes that the </w:t>
      </w:r>
      <w:r w:rsidR="00CE618C">
        <w:rPr>
          <w:rFonts w:eastAsiaTheme="minorHAnsi" w:cstheme="minorBidi"/>
          <w:szCs w:val="22"/>
        </w:rPr>
        <w:t>amendment</w:t>
      </w:r>
      <w:r w:rsidR="00292CE1">
        <w:rPr>
          <w:rFonts w:eastAsiaTheme="minorHAnsi" w:cstheme="minorBidi"/>
          <w:szCs w:val="22"/>
        </w:rPr>
        <w:t>s to</w:t>
      </w:r>
      <w:r w:rsidRPr="000E122D">
        <w:rPr>
          <w:rFonts w:eastAsiaTheme="minorHAnsi" w:cstheme="minorBidi"/>
          <w:szCs w:val="22"/>
        </w:rPr>
        <w:t xml:space="preserve"> the rule will likely not directly or indirectly increase regulatory costs in excess of $200,000 in the aggregate in Florida within one year after implementation. Further, the SERC concludes that the</w:t>
      </w:r>
      <w:r w:rsidR="00934336">
        <w:rPr>
          <w:rFonts w:eastAsiaTheme="minorHAnsi" w:cstheme="minorBidi"/>
          <w:szCs w:val="22"/>
        </w:rPr>
        <w:t xml:space="preserve"> recommende</w:t>
      </w:r>
      <w:r w:rsidRPr="000E122D">
        <w:rPr>
          <w:rFonts w:eastAsiaTheme="minorHAnsi" w:cstheme="minorBidi"/>
          <w:szCs w:val="22"/>
        </w:rPr>
        <w:t xml:space="preserve">d rule amendments will not likely increase regulatory costs, including any transactional costs, or have an adverse impact on business competitiveness, productivity, or innovation, in excess of $1 million in the aggregate within five years of implementation. Thus, pursuant to Section 120.541(3), F.S., the </w:t>
      </w:r>
      <w:r w:rsidR="00934336">
        <w:rPr>
          <w:rFonts w:eastAsiaTheme="minorHAnsi" w:cstheme="minorBidi"/>
          <w:szCs w:val="22"/>
        </w:rPr>
        <w:t>recommended</w:t>
      </w:r>
      <w:r w:rsidRPr="000E122D">
        <w:rPr>
          <w:rFonts w:eastAsiaTheme="minorHAnsi" w:cstheme="minorBidi"/>
          <w:szCs w:val="22"/>
        </w:rPr>
        <w:t xml:space="preserve"> </w:t>
      </w:r>
      <w:r w:rsidR="00292CE1">
        <w:rPr>
          <w:rFonts w:eastAsiaTheme="minorHAnsi" w:cstheme="minorBidi"/>
          <w:szCs w:val="22"/>
        </w:rPr>
        <w:t xml:space="preserve">amendment </w:t>
      </w:r>
      <w:r w:rsidR="00CE618C">
        <w:rPr>
          <w:rFonts w:eastAsiaTheme="minorHAnsi" w:cstheme="minorBidi"/>
          <w:szCs w:val="22"/>
        </w:rPr>
        <w:t>of</w:t>
      </w:r>
      <w:r w:rsidRPr="000E122D">
        <w:rPr>
          <w:rFonts w:eastAsiaTheme="minorHAnsi" w:cstheme="minorBidi"/>
          <w:szCs w:val="22"/>
        </w:rPr>
        <w:t xml:space="preserve"> the rule do</w:t>
      </w:r>
      <w:r w:rsidR="00292CE1">
        <w:rPr>
          <w:rFonts w:eastAsiaTheme="minorHAnsi" w:cstheme="minorBidi"/>
          <w:szCs w:val="22"/>
        </w:rPr>
        <w:t>es</w:t>
      </w:r>
      <w:r w:rsidRPr="000E122D">
        <w:rPr>
          <w:rFonts w:eastAsiaTheme="minorHAnsi" w:cstheme="minorBidi"/>
          <w:szCs w:val="22"/>
        </w:rPr>
        <w:t xml:space="preserve"> not require legislative ratification.</w:t>
      </w:r>
    </w:p>
    <w:p w14:paraId="7EBB20A7" w14:textId="78A0D89F" w:rsidR="003A4A1F" w:rsidRDefault="003A4A1F" w:rsidP="003A4A1F">
      <w:pPr>
        <w:spacing w:after="200"/>
        <w:jc w:val="both"/>
        <w:rPr>
          <w:rFonts w:eastAsiaTheme="minorHAnsi" w:cstheme="minorBidi"/>
          <w:szCs w:val="22"/>
        </w:rPr>
      </w:pPr>
      <w:r w:rsidRPr="000E122D">
        <w:rPr>
          <w:rFonts w:eastAsiaTheme="minorHAnsi" w:cstheme="minorBidi"/>
          <w:szCs w:val="22"/>
        </w:rPr>
        <w:t xml:space="preserve">In addition, the SERC states that the </w:t>
      </w:r>
      <w:r w:rsidR="00934336">
        <w:rPr>
          <w:rFonts w:eastAsiaTheme="minorHAnsi" w:cstheme="minorBidi"/>
          <w:szCs w:val="22"/>
        </w:rPr>
        <w:t>recommended</w:t>
      </w:r>
      <w:r w:rsidRPr="000E122D">
        <w:rPr>
          <w:rFonts w:eastAsiaTheme="minorHAnsi" w:cstheme="minorBidi"/>
          <w:szCs w:val="22"/>
        </w:rPr>
        <w:t xml:space="preserve"> </w:t>
      </w:r>
      <w:r w:rsidR="00292CE1">
        <w:rPr>
          <w:rFonts w:eastAsiaTheme="minorHAnsi" w:cstheme="minorBidi"/>
          <w:szCs w:val="22"/>
        </w:rPr>
        <w:t>amendments to</w:t>
      </w:r>
      <w:r w:rsidRPr="000E122D">
        <w:rPr>
          <w:rFonts w:eastAsiaTheme="minorHAnsi" w:cstheme="minorBidi"/>
          <w:szCs w:val="22"/>
        </w:rPr>
        <w:t xml:space="preserve"> the rule would have no impact on small businesses, would have no implementation or enforcement costs on the Commission or any other state or local government entity, and would have no impact on small cities or small counties. The SERC states that there will be no transactional costs likely to be incurred by individuals and entities required to comply with the requirements.</w:t>
      </w:r>
    </w:p>
    <w:p w14:paraId="4DA33808" w14:textId="37C1EEB6" w:rsidR="00A51599" w:rsidRDefault="00A51599" w:rsidP="003A4A1F">
      <w:pPr>
        <w:spacing w:after="200"/>
        <w:jc w:val="both"/>
        <w:rPr>
          <w:rFonts w:eastAsiaTheme="minorHAnsi" w:cstheme="minorBidi"/>
          <w:szCs w:val="22"/>
        </w:rPr>
      </w:pPr>
    </w:p>
    <w:p w14:paraId="25EF8A58" w14:textId="77777777" w:rsidR="00A51599" w:rsidRDefault="00A51599" w:rsidP="003A4A1F">
      <w:pPr>
        <w:spacing w:after="200"/>
        <w:jc w:val="both"/>
        <w:rPr>
          <w:rFonts w:eastAsiaTheme="minorHAnsi" w:cstheme="minorBidi"/>
          <w:szCs w:val="22"/>
        </w:rPr>
      </w:pPr>
    </w:p>
    <w:p w14:paraId="6BE0A2BF" w14:textId="77777777" w:rsidR="004D60FC" w:rsidRDefault="003A4A1F" w:rsidP="003A4A1F">
      <w:pPr>
        <w:pStyle w:val="First-LevelSubheading"/>
      </w:pPr>
      <w:r>
        <w:t>Conclusion</w:t>
      </w:r>
    </w:p>
    <w:p w14:paraId="23D071CC" w14:textId="67E38CD1" w:rsidR="003A4A1F" w:rsidRDefault="003A4A1F" w:rsidP="003A4A1F">
      <w:pPr>
        <w:pStyle w:val="BodyText"/>
        <w:rPr>
          <w:rFonts w:eastAsiaTheme="minorHAnsi" w:cstheme="minorBidi"/>
          <w:szCs w:val="22"/>
        </w:rPr>
      </w:pPr>
      <w:r w:rsidRPr="000E122D">
        <w:rPr>
          <w:rFonts w:eastAsiaTheme="minorHAnsi" w:cstheme="minorBidi"/>
          <w:szCs w:val="22"/>
        </w:rPr>
        <w:t xml:space="preserve">The Commission should propose the amendment of Rule 25-14.004, F.A.C., as set forth in Attachment A. Staff also recommends that the Commission certify </w:t>
      </w:r>
      <w:r w:rsidR="00BA57CB">
        <w:rPr>
          <w:rFonts w:eastAsiaTheme="minorHAnsi" w:cstheme="minorBidi"/>
          <w:szCs w:val="22"/>
        </w:rPr>
        <w:t xml:space="preserve">the rule </w:t>
      </w:r>
      <w:r w:rsidRPr="000E122D">
        <w:rPr>
          <w:rFonts w:eastAsiaTheme="minorHAnsi" w:cstheme="minorBidi"/>
          <w:szCs w:val="22"/>
        </w:rPr>
        <w:t>as a minor violation rule</w:t>
      </w:r>
      <w:r>
        <w:rPr>
          <w:rFonts w:eastAsiaTheme="minorHAnsi" w:cstheme="minorBidi"/>
          <w:szCs w:val="22"/>
        </w:rPr>
        <w:t>.</w:t>
      </w:r>
    </w:p>
    <w:p w14:paraId="0EAA750E" w14:textId="77777777" w:rsidR="003A4A1F" w:rsidRDefault="003A4A1F" w:rsidP="003A4A1F">
      <w:pPr>
        <w:pStyle w:val="BodyText"/>
      </w:pPr>
    </w:p>
    <w:p w14:paraId="36C825CE" w14:textId="0088C7C8" w:rsidR="003A4A1F" w:rsidRDefault="00EC7CF1">
      <w:pPr>
        <w:pStyle w:val="IssueHeading"/>
        <w:rPr>
          <w:vanish/>
          <w:specVanish/>
        </w:rPr>
      </w:pPr>
      <w:r>
        <w:br w:type="page"/>
      </w:r>
      <w:r w:rsidR="003A4A1F" w:rsidRPr="004C3641">
        <w:t xml:space="preserve">Issue </w:t>
      </w:r>
      <w:fldSimple w:instr=" SEQ Issue \* MERGEFORMAT ">
        <w:r w:rsidR="00024C1E">
          <w:rPr>
            <w:noProof/>
          </w:rPr>
          <w:t>2</w:t>
        </w:r>
      </w:fldSimple>
      <w:r w:rsidR="003A4A1F" w:rsidRPr="004C3641">
        <w:t>:</w:t>
      </w:r>
      <w:r w:rsidR="003A4A1F">
        <w:fldChar w:fldCharType="begin"/>
      </w:r>
      <w:r w:rsidR="003A4A1F">
        <w:instrText xml:space="preserve"> TC "</w:instrText>
      </w:r>
      <w:r w:rsidR="003A4A1F">
        <w:fldChar w:fldCharType="begin"/>
      </w:r>
      <w:r w:rsidR="003A4A1F">
        <w:instrText xml:space="preserve"> SEQ issue \c </w:instrText>
      </w:r>
      <w:r w:rsidR="003A4A1F">
        <w:fldChar w:fldCharType="separate"/>
      </w:r>
      <w:r w:rsidR="00024C1E">
        <w:rPr>
          <w:noProof/>
        </w:rPr>
        <w:instrText>2</w:instrText>
      </w:r>
      <w:r w:rsidR="003A4A1F">
        <w:fldChar w:fldCharType="end"/>
      </w:r>
      <w:r w:rsidR="003A4A1F">
        <w:tab/>
        <w:instrText xml:space="preserve">" \l 1 </w:instrText>
      </w:r>
      <w:r w:rsidR="003A4A1F">
        <w:fldChar w:fldCharType="end"/>
      </w:r>
      <w:r w:rsidR="003A4A1F">
        <w:t> </w:t>
      </w:r>
    </w:p>
    <w:p w14:paraId="375F12E6" w14:textId="77777777" w:rsidR="003A4A1F" w:rsidRDefault="003A4A1F">
      <w:pPr>
        <w:pStyle w:val="BodyText"/>
      </w:pPr>
      <w:r>
        <w:t> Should this docket be closed?</w:t>
      </w:r>
    </w:p>
    <w:p w14:paraId="5564CAD5" w14:textId="77777777" w:rsidR="003A4A1F" w:rsidRPr="004C3641" w:rsidRDefault="003A4A1F">
      <w:pPr>
        <w:pStyle w:val="IssueSubsectionHeading"/>
        <w:rPr>
          <w:vanish/>
          <w:specVanish/>
        </w:rPr>
      </w:pPr>
      <w:r w:rsidRPr="004C3641">
        <w:t>Recommendation: </w:t>
      </w:r>
    </w:p>
    <w:p w14:paraId="16C63FF2" w14:textId="77777777" w:rsidR="003A4A1F" w:rsidRDefault="003A4A1F">
      <w:pPr>
        <w:pStyle w:val="BodyText"/>
      </w:pPr>
      <w:r>
        <w:t> Yes. If no requests for hearing or comments are filed, the rule should be filed for adoption with the Department of State, and the docket should be closed. (Sapoznikoff)</w:t>
      </w:r>
    </w:p>
    <w:p w14:paraId="4E8FF656" w14:textId="77777777" w:rsidR="003A4A1F" w:rsidRPr="004C3641" w:rsidRDefault="003A4A1F">
      <w:pPr>
        <w:pStyle w:val="IssueSubsectionHeading"/>
        <w:rPr>
          <w:vanish/>
          <w:specVanish/>
        </w:rPr>
      </w:pPr>
      <w:r w:rsidRPr="004C3641">
        <w:t>Staff Analysis: </w:t>
      </w:r>
    </w:p>
    <w:p w14:paraId="03EA2FC4" w14:textId="77777777" w:rsidR="003A4A1F" w:rsidRDefault="003A4A1F">
      <w:pPr>
        <w:pStyle w:val="BodyText"/>
      </w:pPr>
      <w:r>
        <w:t> If no requests</w:t>
      </w:r>
      <w:r w:rsidRPr="00DC5155">
        <w:t xml:space="preserve"> </w:t>
      </w:r>
      <w:r>
        <w:t>for hearing or comments are filed, the rule should be filed for adoption with the Department of State, and the docket should be closed.</w:t>
      </w:r>
    </w:p>
    <w:p w14:paraId="4A37229B" w14:textId="2F463E77" w:rsidR="00B07BCE" w:rsidRDefault="00B07BCE" w:rsidP="00E275D8">
      <w:pPr>
        <w:pStyle w:val="BodyText"/>
      </w:pPr>
    </w:p>
    <w:p w14:paraId="34D72230" w14:textId="594373BD" w:rsidR="00A57047" w:rsidRDefault="00A57047" w:rsidP="00E275D8">
      <w:pPr>
        <w:pStyle w:val="BodyText"/>
      </w:pPr>
    </w:p>
    <w:p w14:paraId="0BBBF992" w14:textId="77777777" w:rsidR="00A57047" w:rsidRDefault="00A57047" w:rsidP="00E275D8">
      <w:pPr>
        <w:pStyle w:val="BodyText"/>
        <w:sectPr w:rsidR="00A57047" w:rsidSect="0068481F">
          <w:headerReference w:type="default" r:id="rId10"/>
          <w:pgSz w:w="12240" w:h="15840" w:code="1"/>
          <w:pgMar w:top="1584" w:right="1440" w:bottom="1440" w:left="1440" w:header="720" w:footer="720" w:gutter="0"/>
          <w:cols w:space="720"/>
          <w:formProt w:val="0"/>
          <w:docGrid w:linePitch="360"/>
        </w:sectPr>
      </w:pPr>
    </w:p>
    <w:p w14:paraId="6A6A3DD0" w14:textId="77777777" w:rsidR="00B51421" w:rsidRPr="0026688A" w:rsidRDefault="00B51421" w:rsidP="0031449C">
      <w:pPr>
        <w:pStyle w:val="Rule"/>
        <w:ind w:firstLine="360"/>
        <w:rPr>
          <w:b/>
        </w:rPr>
      </w:pPr>
      <w:r w:rsidRPr="0026688A">
        <w:rPr>
          <w:b/>
        </w:rPr>
        <w:t xml:space="preserve">25-14.004 </w:t>
      </w:r>
      <w:r w:rsidRPr="0026688A">
        <w:rPr>
          <w:b/>
          <w:u w:val="single"/>
        </w:rPr>
        <w:t>Determination</w:t>
      </w:r>
      <w:r w:rsidRPr="00A51599">
        <w:rPr>
          <w:b/>
          <w:strike/>
        </w:rPr>
        <w:t xml:space="preserve"> </w:t>
      </w:r>
      <w:r w:rsidRPr="0026688A">
        <w:rPr>
          <w:b/>
          <w:strike/>
        </w:rPr>
        <w:t>Effect</w:t>
      </w:r>
      <w:r w:rsidRPr="0026688A">
        <w:rPr>
          <w:b/>
        </w:rPr>
        <w:t xml:space="preserve"> of </w:t>
      </w:r>
      <w:r w:rsidRPr="0026688A">
        <w:rPr>
          <w:b/>
          <w:strike/>
        </w:rPr>
        <w:t>Parent Deb</w:t>
      </w:r>
      <w:r w:rsidRPr="0026688A">
        <w:rPr>
          <w:b/>
        </w:rPr>
        <w:t>t</w:t>
      </w:r>
      <w:r w:rsidRPr="0026688A">
        <w:rPr>
          <w:b/>
          <w:strike/>
        </w:rPr>
        <w:t xml:space="preserve"> on</w:t>
      </w:r>
      <w:r w:rsidRPr="00D00A00">
        <w:rPr>
          <w:b/>
          <w:strike/>
        </w:rPr>
        <w:t xml:space="preserve"> Federal</w:t>
      </w:r>
      <w:r w:rsidRPr="00A51599">
        <w:rPr>
          <w:b/>
          <w:strike/>
        </w:rPr>
        <w:t xml:space="preserve"> </w:t>
      </w:r>
      <w:r>
        <w:rPr>
          <w:b/>
          <w:u w:val="single"/>
        </w:rPr>
        <w:t>Total</w:t>
      </w:r>
      <w:r>
        <w:rPr>
          <w:b/>
        </w:rPr>
        <w:t xml:space="preserve"> </w:t>
      </w:r>
      <w:r w:rsidRPr="0026688A">
        <w:rPr>
          <w:b/>
        </w:rPr>
        <w:t>Corporate Income Tax.</w:t>
      </w:r>
    </w:p>
    <w:p w14:paraId="08D23500" w14:textId="19BADE57" w:rsidR="00B51421" w:rsidRPr="0026688A" w:rsidRDefault="00B51421" w:rsidP="0031449C">
      <w:pPr>
        <w:pStyle w:val="Rule"/>
        <w:ind w:firstLine="360"/>
        <w:rPr>
          <w:u w:val="single"/>
        </w:rPr>
      </w:pPr>
      <w:r w:rsidRPr="0026688A">
        <w:t>In Commission proceedings to establish revenue requir</w:t>
      </w:r>
      <w:r>
        <w:t>ements or address over-earnings,</w:t>
      </w:r>
      <w:r w:rsidRPr="0026688A">
        <w:t xml:space="preserve"> </w:t>
      </w:r>
      <w:r w:rsidRPr="0026688A">
        <w:rPr>
          <w:strike/>
        </w:rPr>
        <w:t>other than those entered into under Rule 25-14.003, F.A.C.</w:t>
      </w:r>
      <w:r w:rsidRPr="00414910">
        <w:rPr>
          <w:strike/>
        </w:rPr>
        <w:t>,</w:t>
      </w:r>
      <w:r w:rsidRPr="0026688A">
        <w:t xml:space="preserve"> the income tax expense of a regulated </w:t>
      </w:r>
      <w:r w:rsidRPr="0026688A">
        <w:rPr>
          <w:u w:val="single"/>
        </w:rPr>
        <w:t>utility</w:t>
      </w:r>
      <w:r w:rsidRPr="0026688A">
        <w:t xml:space="preserve"> </w:t>
      </w:r>
      <w:r w:rsidRPr="0026688A">
        <w:rPr>
          <w:strike/>
        </w:rPr>
        <w:t>company</w:t>
      </w:r>
      <w:r w:rsidRPr="0026688A">
        <w:t xml:space="preserve"> </w:t>
      </w:r>
      <w:r w:rsidRPr="0026688A">
        <w:rPr>
          <w:u w:val="single"/>
        </w:rPr>
        <w:t>must</w:t>
      </w:r>
      <w:r w:rsidRPr="0026688A">
        <w:t xml:space="preserve"> </w:t>
      </w:r>
      <w:r w:rsidRPr="0026688A">
        <w:rPr>
          <w:strike/>
        </w:rPr>
        <w:t>shall</w:t>
      </w:r>
      <w:r w:rsidRPr="0026688A">
        <w:t xml:space="preserve"> be </w:t>
      </w:r>
      <w:r w:rsidRPr="0026688A">
        <w:rPr>
          <w:u w:val="single"/>
        </w:rPr>
        <w:t>determined using only the income of the regulated utility regardless of any</w:t>
      </w:r>
      <w:r w:rsidRPr="0026688A">
        <w:t xml:space="preserve"> </w:t>
      </w:r>
      <w:r w:rsidRPr="0026688A">
        <w:rPr>
          <w:strike/>
        </w:rPr>
        <w:t>adjusted to reflect the income tax expense of the parent debt that may be invested in the equity of the subsidiary where a</w:t>
      </w:r>
      <w:r w:rsidRPr="0026688A">
        <w:t xml:space="preserve"> parent-subsidiary relationship </w:t>
      </w:r>
      <w:r w:rsidRPr="0026688A">
        <w:rPr>
          <w:u w:val="single"/>
        </w:rPr>
        <w:t>that</w:t>
      </w:r>
      <w:r>
        <w:rPr>
          <w:u w:val="single"/>
        </w:rPr>
        <w:t xml:space="preserve"> may</w:t>
      </w:r>
      <w:r w:rsidRPr="0026688A">
        <w:t xml:space="preserve"> exist</w:t>
      </w:r>
      <w:r w:rsidRPr="00D00A00">
        <w:rPr>
          <w:strike/>
        </w:rPr>
        <w:t>s</w:t>
      </w:r>
      <w:r w:rsidRPr="00700F15">
        <w:rPr>
          <w:u w:val="single"/>
        </w:rPr>
        <w:t>.</w:t>
      </w:r>
      <w:r w:rsidRPr="00700F15">
        <w:t xml:space="preserve"> </w:t>
      </w:r>
      <w:r w:rsidRPr="0026688A">
        <w:rPr>
          <w:strike/>
        </w:rPr>
        <w:t>and the parties to the relationship join in the filing of a consolidated income tax return.</w:t>
      </w:r>
      <w:r w:rsidRPr="0026688A">
        <w:t xml:space="preserve"> </w:t>
      </w:r>
      <w:r w:rsidRPr="0026688A">
        <w:rPr>
          <w:u w:val="single"/>
        </w:rPr>
        <w:t>The regulated utility’s stand-alone income tax expense will be calculated as follows:</w:t>
      </w:r>
    </w:p>
    <w:p w14:paraId="0347EBB7" w14:textId="77777777" w:rsidR="00B51421" w:rsidRPr="0026688A" w:rsidRDefault="00B51421" w:rsidP="0031449C">
      <w:pPr>
        <w:pStyle w:val="Rule"/>
        <w:ind w:firstLine="360"/>
      </w:pPr>
      <w:r w:rsidRPr="00700F15">
        <w:t xml:space="preserve">(1) </w:t>
      </w:r>
      <w:r w:rsidRPr="003C032B">
        <w:rPr>
          <w:u w:val="single"/>
        </w:rPr>
        <w:t>St</w:t>
      </w:r>
      <w:r w:rsidRPr="0026688A">
        <w:rPr>
          <w:u w:val="single"/>
        </w:rPr>
        <w:t xml:space="preserve">ate corporate </w:t>
      </w:r>
      <w:r>
        <w:rPr>
          <w:u w:val="single"/>
        </w:rPr>
        <w:t xml:space="preserve">current </w:t>
      </w:r>
      <w:r w:rsidRPr="0026688A">
        <w:rPr>
          <w:u w:val="single"/>
        </w:rPr>
        <w:t xml:space="preserve">income taxes will be determined by multiplying the regulated utility’s </w:t>
      </w:r>
      <w:r>
        <w:rPr>
          <w:u w:val="single"/>
        </w:rPr>
        <w:t xml:space="preserve">state taxable </w:t>
      </w:r>
      <w:r w:rsidRPr="0026688A">
        <w:rPr>
          <w:u w:val="single"/>
        </w:rPr>
        <w:t>income before state and federal income taxes by Florida’s corporate income tax rate</w:t>
      </w:r>
      <w:r>
        <w:rPr>
          <w:u w:val="single"/>
        </w:rPr>
        <w:t>, plus or minus any applicable tax adjustments or credits in accordance with applicable state income tax laws and regulations</w:t>
      </w:r>
      <w:r w:rsidRPr="0026688A">
        <w:rPr>
          <w:u w:val="single"/>
        </w:rPr>
        <w:t>.</w:t>
      </w:r>
      <w:r w:rsidRPr="0026688A">
        <w:rPr>
          <w:strike/>
        </w:rPr>
        <w:t xml:space="preserve"> Where the regulated utility is a subsidiary of a single parent, the income tax effect of the parent’s debt invested in the equity of the subsidiary utility shall reduce the income tax expense of the utility.</w:t>
      </w:r>
    </w:p>
    <w:p w14:paraId="792A6D1F" w14:textId="77777777" w:rsidR="00B51421" w:rsidRPr="0026688A" w:rsidRDefault="00B51421" w:rsidP="0031449C">
      <w:pPr>
        <w:pStyle w:val="Rule"/>
        <w:ind w:firstLine="360"/>
      </w:pPr>
      <w:r w:rsidRPr="00700F15">
        <w:t>(2)</w:t>
      </w:r>
      <w:r w:rsidRPr="0026688A">
        <w:t xml:space="preserve"> </w:t>
      </w:r>
      <w:r w:rsidRPr="0026688A">
        <w:rPr>
          <w:u w:val="single"/>
        </w:rPr>
        <w:t>The</w:t>
      </w:r>
      <w:r w:rsidRPr="003C032B">
        <w:rPr>
          <w:u w:val="single"/>
        </w:rPr>
        <w:t xml:space="preserve"> s</w:t>
      </w:r>
      <w:r w:rsidRPr="0026688A">
        <w:rPr>
          <w:u w:val="single"/>
        </w:rPr>
        <w:t xml:space="preserve">tate </w:t>
      </w:r>
      <w:r>
        <w:rPr>
          <w:u w:val="single"/>
        </w:rPr>
        <w:t xml:space="preserve">current </w:t>
      </w:r>
      <w:r w:rsidRPr="0026688A">
        <w:rPr>
          <w:u w:val="single"/>
        </w:rPr>
        <w:t xml:space="preserve">corporate income taxes as calculated </w:t>
      </w:r>
      <w:r>
        <w:rPr>
          <w:u w:val="single"/>
        </w:rPr>
        <w:t xml:space="preserve">in subsection (1) </w:t>
      </w:r>
      <w:r w:rsidRPr="0026688A">
        <w:rPr>
          <w:u w:val="single"/>
        </w:rPr>
        <w:t xml:space="preserve">will then be deducted from the regulated utility’s </w:t>
      </w:r>
      <w:r>
        <w:rPr>
          <w:u w:val="single"/>
        </w:rPr>
        <w:t xml:space="preserve">federal </w:t>
      </w:r>
      <w:r w:rsidRPr="0026688A">
        <w:rPr>
          <w:u w:val="single"/>
        </w:rPr>
        <w:t xml:space="preserve">income before income taxes to yield the </w:t>
      </w:r>
      <w:r>
        <w:rPr>
          <w:u w:val="single"/>
        </w:rPr>
        <w:t xml:space="preserve">federal taxable </w:t>
      </w:r>
      <w:r w:rsidRPr="0026688A">
        <w:rPr>
          <w:u w:val="single"/>
        </w:rPr>
        <w:t>income after state income taxes.</w:t>
      </w:r>
      <w:r w:rsidRPr="0026688A">
        <w:rPr>
          <w:strike/>
        </w:rPr>
        <w:t xml:space="preserve"> Where the regulated utility is a subsidiary of tiered parents, the adjusted income tax effect of the debt of all parents invested in the equity of the subsidiary utility shall reduce the income tax expense of the utility.</w:t>
      </w:r>
    </w:p>
    <w:p w14:paraId="6BA92D75" w14:textId="77777777" w:rsidR="00B51421" w:rsidRPr="0026688A" w:rsidRDefault="00B51421" w:rsidP="0031449C">
      <w:pPr>
        <w:pStyle w:val="Rule"/>
        <w:ind w:firstLine="360"/>
      </w:pPr>
      <w:r w:rsidRPr="00700F15">
        <w:t>(3)</w:t>
      </w:r>
      <w:r w:rsidRPr="0026688A">
        <w:t xml:space="preserve"> </w:t>
      </w:r>
      <w:r w:rsidRPr="0026688A">
        <w:rPr>
          <w:u w:val="single"/>
        </w:rPr>
        <w:t xml:space="preserve">The </w:t>
      </w:r>
      <w:r>
        <w:rPr>
          <w:u w:val="single"/>
        </w:rPr>
        <w:t xml:space="preserve">federal taxable </w:t>
      </w:r>
      <w:r w:rsidRPr="0026688A">
        <w:rPr>
          <w:u w:val="single"/>
        </w:rPr>
        <w:t xml:space="preserve">income after </w:t>
      </w:r>
      <w:r w:rsidRPr="008034DC">
        <w:rPr>
          <w:u w:val="single"/>
        </w:rPr>
        <w:t xml:space="preserve">state </w:t>
      </w:r>
      <w:r>
        <w:rPr>
          <w:u w:val="single"/>
        </w:rPr>
        <w:t xml:space="preserve">current </w:t>
      </w:r>
      <w:r w:rsidRPr="008034DC">
        <w:rPr>
          <w:u w:val="single"/>
        </w:rPr>
        <w:t>income taxes</w:t>
      </w:r>
      <w:r w:rsidRPr="0026688A">
        <w:rPr>
          <w:u w:val="single"/>
        </w:rPr>
        <w:t xml:space="preserve"> as calculated</w:t>
      </w:r>
      <w:r>
        <w:rPr>
          <w:u w:val="single"/>
        </w:rPr>
        <w:t xml:space="preserve"> in subsection (2)</w:t>
      </w:r>
      <w:r w:rsidRPr="0026688A">
        <w:rPr>
          <w:u w:val="single"/>
        </w:rPr>
        <w:t xml:space="preserve"> will then be multiplied by the federal corporate income tax rate</w:t>
      </w:r>
      <w:r>
        <w:rPr>
          <w:u w:val="single"/>
        </w:rPr>
        <w:t>, plus or minus any applicable tax adjustments or credits in accordance with applicable federal income tax laws and regulations,</w:t>
      </w:r>
      <w:r w:rsidRPr="0026688A">
        <w:rPr>
          <w:u w:val="single"/>
        </w:rPr>
        <w:t xml:space="preserve"> to yield the </w:t>
      </w:r>
      <w:r w:rsidRPr="008034DC">
        <w:rPr>
          <w:u w:val="single"/>
        </w:rPr>
        <w:t xml:space="preserve">federal </w:t>
      </w:r>
      <w:r>
        <w:rPr>
          <w:u w:val="single"/>
        </w:rPr>
        <w:t xml:space="preserve">current </w:t>
      </w:r>
      <w:r w:rsidRPr="008034DC">
        <w:rPr>
          <w:u w:val="single"/>
        </w:rPr>
        <w:t>corporate income tax</w:t>
      </w:r>
      <w:r w:rsidRPr="0026688A">
        <w:rPr>
          <w:u w:val="single"/>
        </w:rPr>
        <w:t xml:space="preserve"> for the regulated utility.</w:t>
      </w:r>
      <w:r w:rsidRPr="00A837AB">
        <w:t xml:space="preserve"> </w:t>
      </w:r>
      <w:r w:rsidRPr="0026688A">
        <w:rPr>
          <w:strike/>
        </w:rPr>
        <w:t>The capital structure of the parent used to make the adjustment shall include at least long term debt, short term debt, common stock, cost free capital and investment tax credits, excluding retained earnings of the subsidiaries. It shall be a rebuttable presumption that a parent’s investment in any subsidiary or in its own operations shall be considered to have been made in the same ratios as exist in the parent’s overall capital structure.</w:t>
      </w:r>
    </w:p>
    <w:p w14:paraId="5441C156" w14:textId="77777777" w:rsidR="00B51421" w:rsidRDefault="00B51421" w:rsidP="0031449C">
      <w:pPr>
        <w:pStyle w:val="Rule"/>
        <w:ind w:firstLine="360"/>
        <w:rPr>
          <w:strike/>
        </w:rPr>
      </w:pPr>
      <w:r w:rsidRPr="00700F15">
        <w:t xml:space="preserve">(4) </w:t>
      </w:r>
      <w:r>
        <w:rPr>
          <w:u w:val="single"/>
        </w:rPr>
        <w:t>Federal and state deferred income tax expenses for the regulated utility will be determined based on the applicable temporary adjustments to taxable income multiplied by the respective federal and state corporate income tax rates, plus or minus any applicable tax adjustments or credits in accordance with applicable federal and state income tax laws and regulations.</w:t>
      </w:r>
      <w:r>
        <w:t xml:space="preserve"> </w:t>
      </w:r>
      <w:r w:rsidRPr="0026688A">
        <w:rPr>
          <w:strike/>
        </w:rPr>
        <w:t>The adjustment shall be made by multiplying the debt ratio of the parent by the debt cost of the parent. This product shall be multiplied by the statutory tax rate applicable to the consolidated entity. This result shall be multiplied by the equity dollars of the subsidiary, excluding its retained earnings. The resulting dollar amount shall be used to adjust the income tax expense of the utility.</w:t>
      </w:r>
    </w:p>
    <w:p w14:paraId="79A2E65E" w14:textId="77777777" w:rsidR="00B51421" w:rsidRDefault="00B51421" w:rsidP="0031449C">
      <w:pPr>
        <w:pStyle w:val="Rule"/>
        <w:ind w:firstLine="360"/>
        <w:rPr>
          <w:u w:val="single"/>
        </w:rPr>
      </w:pPr>
      <w:r w:rsidRPr="00700F15">
        <w:t>(5)</w:t>
      </w:r>
      <w:r>
        <w:rPr>
          <w:u w:val="single"/>
        </w:rPr>
        <w:t xml:space="preserve"> Total income tax expense for the regulated utility will be determined by adding the amounts </w:t>
      </w:r>
      <w:r w:rsidRPr="00AB01C5">
        <w:rPr>
          <w:u w:val="single"/>
        </w:rPr>
        <w:t>calculated</w:t>
      </w:r>
      <w:r>
        <w:rPr>
          <w:u w:val="single"/>
        </w:rPr>
        <w:t xml:space="preserve"> in subsections (1), (3), and (4) of this rule.</w:t>
      </w:r>
    </w:p>
    <w:p w14:paraId="796C9417" w14:textId="77777777" w:rsidR="00B51421" w:rsidRPr="0026688A" w:rsidRDefault="00B51421" w:rsidP="0031449C">
      <w:pPr>
        <w:pStyle w:val="Rule"/>
        <w:ind w:firstLine="360"/>
        <w:rPr>
          <w:i/>
        </w:rPr>
      </w:pPr>
      <w:r w:rsidRPr="0026688A">
        <w:rPr>
          <w:i/>
        </w:rPr>
        <w:t>Rulemaking Authority 350.127(2) FS. Law Implemented 366.05(1), 367.121(1)(a) FS. History–New 1-25-83, Formerly 25-14.04.</w:t>
      </w:r>
      <w:r>
        <w:rPr>
          <w:i/>
        </w:rPr>
        <w:t xml:space="preserve"> Amended _____</w:t>
      </w:r>
    </w:p>
    <w:p w14:paraId="557A1E94" w14:textId="77777777" w:rsidR="00B51421" w:rsidRPr="0026688A" w:rsidRDefault="00B51421" w:rsidP="0031449C">
      <w:pPr>
        <w:pStyle w:val="Rule"/>
        <w:ind w:firstLine="360"/>
      </w:pPr>
    </w:p>
    <w:p w14:paraId="67D988AA" w14:textId="77777777" w:rsidR="00B51421" w:rsidRDefault="00B51421" w:rsidP="00B51421">
      <w:pPr>
        <w:pStyle w:val="BodyText"/>
        <w:sectPr w:rsidR="00B51421" w:rsidSect="0031449C">
          <w:headerReference w:type="default" r:id="rId11"/>
          <w:footerReference w:type="default" r:id="rId12"/>
          <w:headerReference w:type="first" r:id="rId13"/>
          <w:footerReference w:type="first" r:id="rId14"/>
          <w:pgSz w:w="12240" w:h="15840" w:code="1"/>
          <w:pgMar w:top="360" w:right="720" w:bottom="360" w:left="2405" w:header="360" w:footer="360" w:gutter="0"/>
          <w:cols w:space="720"/>
          <w:formProt w:val="0"/>
          <w:docGrid w:linePitch="360"/>
        </w:sectPr>
      </w:pPr>
    </w:p>
    <w:p w14:paraId="07F4097D" w14:textId="7CD7D0FE" w:rsidR="00F721B3" w:rsidRDefault="00B51421" w:rsidP="00B51421">
      <w:pPr>
        <w:pStyle w:val="BodyText"/>
        <w:rPr>
          <w:noProof/>
        </w:rPr>
      </w:pPr>
      <w:r>
        <w:rPr>
          <w:noProof/>
        </w:rPr>
        <w:drawing>
          <wp:inline distT="0" distB="0" distL="0" distR="0" wp14:anchorId="022EF96B" wp14:editId="7CAF5DB2">
            <wp:extent cx="5788025" cy="749046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achment B SERC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88025" cy="7490460"/>
                    </a:xfrm>
                    <a:prstGeom prst="rect">
                      <a:avLst/>
                    </a:prstGeom>
                  </pic:spPr>
                </pic:pic>
              </a:graphicData>
            </a:graphic>
          </wp:inline>
        </w:drawing>
      </w:r>
    </w:p>
    <w:p w14:paraId="7E79AA96" w14:textId="17A20253" w:rsidR="00F721B3" w:rsidRDefault="00F721B3">
      <w:pPr>
        <w:rPr>
          <w:noProof/>
        </w:rPr>
      </w:pPr>
    </w:p>
    <w:p w14:paraId="04BDB510" w14:textId="05708B21" w:rsidR="004017B4" w:rsidRDefault="004017B4" w:rsidP="00B51421">
      <w:pPr>
        <w:pStyle w:val="BodyText"/>
      </w:pPr>
    </w:p>
    <w:p w14:paraId="49961BEC" w14:textId="25F7CCF1" w:rsidR="00F721B3" w:rsidRDefault="00F721B3" w:rsidP="00B51421">
      <w:pPr>
        <w:pStyle w:val="BodyText"/>
      </w:pPr>
      <w:r>
        <w:rPr>
          <w:noProof/>
        </w:rPr>
        <w:drawing>
          <wp:inline distT="0" distB="0" distL="0" distR="0" wp14:anchorId="51E20567" wp14:editId="27969DEB">
            <wp:extent cx="5788025" cy="749046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14.004 Determination of Total Corporate Income Tax_SERC Form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8025" cy="7490460"/>
                    </a:xfrm>
                    <a:prstGeom prst="rect">
                      <a:avLst/>
                    </a:prstGeom>
                  </pic:spPr>
                </pic:pic>
              </a:graphicData>
            </a:graphic>
          </wp:inline>
        </w:drawing>
      </w:r>
      <w:r>
        <w:rPr>
          <w:noProof/>
        </w:rPr>
        <w:drawing>
          <wp:inline distT="0" distB="0" distL="0" distR="0" wp14:anchorId="2ACF7E3B" wp14:editId="08079D9F">
            <wp:extent cx="5788025" cy="749046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5-14.004 Determination of Total Corporate Income Tax_SERC Form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88025" cy="7490460"/>
                    </a:xfrm>
                    <a:prstGeom prst="rect">
                      <a:avLst/>
                    </a:prstGeom>
                  </pic:spPr>
                </pic:pic>
              </a:graphicData>
            </a:graphic>
          </wp:inline>
        </w:drawing>
      </w:r>
      <w:r>
        <w:rPr>
          <w:noProof/>
        </w:rPr>
        <w:drawing>
          <wp:inline distT="0" distB="0" distL="0" distR="0" wp14:anchorId="76898940" wp14:editId="72D54B01">
            <wp:extent cx="5788025" cy="749046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5-14.004 Determination of Total Corporate Income Tax_SERC Form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8025" cy="7490460"/>
                    </a:xfrm>
                    <a:prstGeom prst="rect">
                      <a:avLst/>
                    </a:prstGeom>
                  </pic:spPr>
                </pic:pic>
              </a:graphicData>
            </a:graphic>
          </wp:inline>
        </w:drawing>
      </w:r>
      <w:r>
        <w:rPr>
          <w:noProof/>
        </w:rPr>
        <w:drawing>
          <wp:inline distT="0" distB="0" distL="0" distR="0" wp14:anchorId="2E7E0022" wp14:editId="75482CC1">
            <wp:extent cx="5788025" cy="749046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5-14.004 Determination of Total Corporate Income Tax_SERC Form_Page_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88025" cy="7490460"/>
                    </a:xfrm>
                    <a:prstGeom prst="rect">
                      <a:avLst/>
                    </a:prstGeom>
                  </pic:spPr>
                </pic:pic>
              </a:graphicData>
            </a:graphic>
          </wp:inline>
        </w:drawing>
      </w:r>
    </w:p>
    <w:sectPr w:rsidR="00F721B3" w:rsidSect="0031449C">
      <w:headerReference w:type="default" r:id="rId20"/>
      <w:pgSz w:w="12240" w:h="15840" w:code="1"/>
      <w:pgMar w:top="360" w:right="720" w:bottom="360" w:left="2405" w:header="360" w:footer="36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F34D93" w14:textId="77777777" w:rsidR="001A4149" w:rsidRDefault="001A4149">
      <w:r>
        <w:separator/>
      </w:r>
    </w:p>
  </w:endnote>
  <w:endnote w:type="continuationSeparator" w:id="0">
    <w:p w14:paraId="7BC8E587" w14:textId="77777777" w:rsidR="001A4149" w:rsidRDefault="001A4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ABF4C" w14:textId="380F86EC" w:rsidR="0031449C" w:rsidRDefault="0031449C">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DC3FF6">
      <w:rPr>
        <w:rStyle w:val="PageNumber"/>
        <w:noProof/>
      </w:rPr>
      <w:t>13</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872DE" w14:textId="0B85A68A" w:rsidR="0031449C" w:rsidRDefault="0031449C">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DC3FF6">
      <w:rPr>
        <w:rStyle w:val="PageNumber"/>
        <w:noProof/>
      </w:rPr>
      <w:t>20</w:t>
    </w:r>
    <w:r>
      <w:rPr>
        <w:rStyle w:val="PageNumber"/>
      </w:rPr>
      <w:fldChar w:fldCharType="end"/>
    </w:r>
    <w:r>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9435A" w14:textId="77777777" w:rsidR="0031449C" w:rsidRDefault="003144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AC9975B" w14:textId="77777777" w:rsidR="0031449C" w:rsidRDefault="0031449C">
    <w:pPr>
      <w:pStyle w:val="Footer"/>
    </w:pPr>
    <w:r>
      <w:t xml:space="preserve">CODING: Words </w:t>
    </w:r>
    <w:r>
      <w:rPr>
        <w:u w:val="single"/>
      </w:rPr>
      <w:t>underlined</w:t>
    </w:r>
    <w:r>
      <w:t xml:space="preserve"> are additions; words in struck through type are deletions from existing law.</w:t>
    </w:r>
  </w:p>
  <w:p w14:paraId="62C058B8" w14:textId="77777777" w:rsidR="0031449C" w:rsidRDefault="0031449C">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334AD6" w14:textId="77777777" w:rsidR="001A4149" w:rsidRDefault="001A4149">
      <w:r>
        <w:separator/>
      </w:r>
    </w:p>
  </w:footnote>
  <w:footnote w:type="continuationSeparator" w:id="0">
    <w:p w14:paraId="0DB0C524" w14:textId="77777777" w:rsidR="001A4149" w:rsidRDefault="001A4149">
      <w:r>
        <w:continuationSeparator/>
      </w:r>
    </w:p>
  </w:footnote>
  <w:footnote w:id="1">
    <w:p w14:paraId="4DCA2D9A" w14:textId="1081E553" w:rsidR="0031449C" w:rsidRDefault="0031449C">
      <w:pPr>
        <w:pStyle w:val="FootnoteText"/>
      </w:pPr>
      <w:r>
        <w:rPr>
          <w:rStyle w:val="FootnoteReference"/>
        </w:rPr>
        <w:footnoteRef/>
      </w:r>
      <w:r>
        <w:t xml:space="preserve"> </w:t>
      </w:r>
      <w:r w:rsidRPr="007D5AA2">
        <w:t>Financial leverage involves using debt to increase earnings. Shareholders benefit from financial leverage to the extent that the return on the borrowed money exceeds the interest cost. Double leverage implies a parent company issued debt to invest in the equity of a subsidiary that also issued its own debt.</w:t>
      </w:r>
      <w:r w:rsidR="006177E4">
        <w:t xml:space="preserve"> Hence, the leverage is doubled</w:t>
      </w:r>
      <w:r>
        <w:t>.</w:t>
      </w:r>
    </w:p>
  </w:footnote>
  <w:footnote w:id="2">
    <w:p w14:paraId="2FC99F91" w14:textId="2C9774D2" w:rsidR="0031449C" w:rsidRDefault="0031449C">
      <w:pPr>
        <w:pStyle w:val="FootnoteText"/>
      </w:pPr>
      <w:r>
        <w:rPr>
          <w:rStyle w:val="FootnoteReference"/>
        </w:rPr>
        <w:footnoteRef/>
      </w:r>
      <w:r>
        <w:t xml:space="preserve"> Docket No. 870386-PI, DN09448, Sept. 8, 1988.</w:t>
      </w:r>
    </w:p>
  </w:footnote>
  <w:footnote w:id="3">
    <w:p w14:paraId="73C63592" w14:textId="1CD29A7A" w:rsidR="0031449C" w:rsidRDefault="0031449C" w:rsidP="002C08B1">
      <w:pPr>
        <w:pStyle w:val="FootnoteText"/>
      </w:pPr>
      <w:r>
        <w:rPr>
          <w:rStyle w:val="FootnoteReference"/>
        </w:rPr>
        <w:footnoteRef/>
      </w:r>
      <w:r>
        <w:t xml:space="preserve"> Order No. 20206, issued Oct. 24, 1988, in Docket No. 870386-PU, </w:t>
      </w:r>
      <w:r w:rsidRPr="00096720">
        <w:rPr>
          <w:i/>
        </w:rPr>
        <w:t>In re: Repeal of Rule 25-14.004, F</w:t>
      </w:r>
      <w:r>
        <w:rPr>
          <w:i/>
        </w:rPr>
        <w:t>.A.C.</w:t>
      </w:r>
      <w:r w:rsidRPr="00096720">
        <w:rPr>
          <w:i/>
        </w:rPr>
        <w:t>, Effect of Parent Debt on Fed</w:t>
      </w:r>
      <w:r>
        <w:rPr>
          <w:i/>
        </w:rPr>
        <w:t>.</w:t>
      </w:r>
      <w:r w:rsidRPr="00096720">
        <w:rPr>
          <w:i/>
        </w:rPr>
        <w:t xml:space="preserve"> Corp</w:t>
      </w:r>
      <w:r>
        <w:rPr>
          <w:i/>
        </w:rPr>
        <w:t xml:space="preserve">. </w:t>
      </w:r>
      <w:r w:rsidRPr="00096720">
        <w:rPr>
          <w:i/>
        </w:rPr>
        <w:t>Income Tax</w:t>
      </w:r>
      <w:r>
        <w:t>.</w:t>
      </w:r>
    </w:p>
  </w:footnote>
  <w:footnote w:id="4">
    <w:p w14:paraId="6704FABF" w14:textId="6BFDFE9B" w:rsidR="006177E4" w:rsidRDefault="006177E4">
      <w:pPr>
        <w:pStyle w:val="FootnoteText"/>
      </w:pPr>
      <w:r>
        <w:rPr>
          <w:rStyle w:val="FootnoteReference"/>
        </w:rPr>
        <w:footnoteRef/>
      </w:r>
      <w:r>
        <w:rPr>
          <w:rFonts w:eastAsiaTheme="minorHAnsi" w:cstheme="minorBidi"/>
          <w:szCs w:val="22"/>
        </w:rPr>
        <w:t>The rule is currently named “Effect of Parent Debt on the Federal Corporate Income Tax.”</w:t>
      </w:r>
      <w:r w:rsidR="003240B8" w:rsidRPr="003240B8">
        <w:rPr>
          <w:rFonts w:eastAsiaTheme="minorHAnsi" w:cstheme="minorBidi"/>
          <w:szCs w:val="22"/>
        </w:rPr>
        <w:t xml:space="preserve"> </w:t>
      </w:r>
      <w:r w:rsidR="000E3DEE">
        <w:rPr>
          <w:rFonts w:eastAsiaTheme="minorHAnsi" w:cstheme="minorBidi"/>
          <w:szCs w:val="22"/>
        </w:rPr>
        <w:t>Staff recommends</w:t>
      </w:r>
      <w:r w:rsidR="003240B8">
        <w:rPr>
          <w:rFonts w:eastAsiaTheme="minorHAnsi" w:cstheme="minorBidi"/>
          <w:szCs w:val="22"/>
        </w:rPr>
        <w:t xml:space="preserve"> that</w:t>
      </w:r>
      <w:r w:rsidR="003240B8" w:rsidRPr="003240B8">
        <w:rPr>
          <w:rFonts w:eastAsiaTheme="minorHAnsi" w:cstheme="minorBidi"/>
          <w:szCs w:val="22"/>
        </w:rPr>
        <w:t xml:space="preserve"> </w:t>
      </w:r>
      <w:r w:rsidR="003240B8">
        <w:rPr>
          <w:rFonts w:eastAsiaTheme="minorHAnsi" w:cstheme="minorBidi"/>
          <w:szCs w:val="22"/>
        </w:rPr>
        <w:t xml:space="preserve">if the Commission votes to approve the recommended </w:t>
      </w:r>
      <w:r w:rsidR="00CE618C">
        <w:rPr>
          <w:rFonts w:eastAsiaTheme="minorHAnsi" w:cstheme="minorBidi"/>
          <w:szCs w:val="22"/>
        </w:rPr>
        <w:t>amendments of</w:t>
      </w:r>
      <w:r w:rsidR="003240B8">
        <w:rPr>
          <w:rFonts w:eastAsiaTheme="minorHAnsi" w:cstheme="minorBidi"/>
          <w:szCs w:val="22"/>
        </w:rPr>
        <w:t xml:space="preserve"> the rule, that the title of the rule also be amended to accurately re</w:t>
      </w:r>
      <w:r w:rsidR="00CF77A9">
        <w:rPr>
          <w:rFonts w:eastAsiaTheme="minorHAnsi" w:cstheme="minorBidi"/>
          <w:szCs w:val="22"/>
        </w:rPr>
        <w:t>flect</w:t>
      </w:r>
      <w:r w:rsidR="000E3DEE">
        <w:rPr>
          <w:rFonts w:eastAsiaTheme="minorHAnsi" w:cstheme="minorBidi"/>
          <w:szCs w:val="22"/>
        </w:rPr>
        <w:t xml:space="preserve"> the rule’s conten</w:t>
      </w:r>
      <w:r w:rsidR="003240B8">
        <w:rPr>
          <w:rFonts w:eastAsiaTheme="minorHAnsi" w:cstheme="minorBidi"/>
          <w:szCs w:val="22"/>
        </w:rPr>
        <w:t>t.</w:t>
      </w:r>
      <w:r w:rsidR="003240B8" w:rsidRPr="003240B8">
        <w:rPr>
          <w:rFonts w:eastAsiaTheme="minorHAnsi" w:cstheme="minorBidi"/>
          <w:szCs w:val="22"/>
        </w:rPr>
        <w:t xml:space="preserve"> </w:t>
      </w:r>
      <w:r w:rsidR="003240B8">
        <w:rPr>
          <w:rFonts w:eastAsiaTheme="minorHAnsi" w:cstheme="minorBidi"/>
          <w:szCs w:val="22"/>
        </w:rPr>
        <w:t xml:space="preserve">The recommended </w:t>
      </w:r>
      <w:r w:rsidR="00CE618C">
        <w:rPr>
          <w:rFonts w:eastAsiaTheme="minorHAnsi" w:cstheme="minorBidi"/>
          <w:szCs w:val="22"/>
        </w:rPr>
        <w:t>amendment of</w:t>
      </w:r>
      <w:r w:rsidR="003240B8">
        <w:rPr>
          <w:rFonts w:eastAsiaTheme="minorHAnsi" w:cstheme="minorBidi"/>
          <w:szCs w:val="22"/>
        </w:rPr>
        <w:t xml:space="preserve"> the title of the rule is “Determination of Total Corporate Income Tax” because the recommended amendments change the policy for making tax determinations from incorporating parent debt</w:t>
      </w:r>
      <w:r w:rsidR="000E3DEE">
        <w:rPr>
          <w:rFonts w:eastAsiaTheme="minorHAnsi" w:cstheme="minorBidi"/>
          <w:szCs w:val="22"/>
        </w:rPr>
        <w:t xml:space="preserve"> to only using the tax expense of the regulated utility</w:t>
      </w:r>
      <w:r w:rsidR="003240B8">
        <w:rPr>
          <w:rFonts w:eastAsiaTheme="minorHAnsi" w:cstheme="minorBidi"/>
          <w:szCs w:val="22"/>
        </w:rPr>
        <w:t>.</w:t>
      </w:r>
    </w:p>
  </w:footnote>
  <w:footnote w:id="5">
    <w:p w14:paraId="1A53237F" w14:textId="77777777" w:rsidR="00187CEC" w:rsidRDefault="00187CEC" w:rsidP="00187CEC">
      <w:pPr>
        <w:pStyle w:val="FootnoteText"/>
      </w:pPr>
      <w:r>
        <w:rPr>
          <w:rStyle w:val="FootnoteReference"/>
        </w:rPr>
        <w:footnoteRef/>
      </w:r>
      <w:r>
        <w:t xml:space="preserve"> </w:t>
      </w:r>
      <w:r w:rsidRPr="00E87550">
        <w:rPr>
          <w:i/>
        </w:rPr>
        <w:t xml:space="preserve">See, e.g., </w:t>
      </w:r>
      <w:r>
        <w:rPr>
          <w:i/>
        </w:rPr>
        <w:t xml:space="preserve">Constellation Mystic Power, LLC v. Fed. Energy Reg. Comm’n, </w:t>
      </w:r>
      <w:r w:rsidRPr="002944EC">
        <w:t>45 F.4</w:t>
      </w:r>
      <w:r>
        <w:t>th</w:t>
      </w:r>
      <w:r w:rsidRPr="002944EC">
        <w:t xml:space="preserve"> 1028 (D.C. 2022), </w:t>
      </w:r>
      <w:r w:rsidRPr="00E87550">
        <w:rPr>
          <w:i/>
        </w:rPr>
        <w:t>McCloskey v. Penn. Pub. Util. Comm’n</w:t>
      </w:r>
      <w:r>
        <w:t>, 255 A.3d 416 (Pa. 2021),</w:t>
      </w:r>
      <w:r w:rsidRPr="00E87550">
        <w:rPr>
          <w:i/>
        </w:rPr>
        <w:t xml:space="preserve"> Oncor Elect. Del. Co. LLC v. Pub. Util. Comm’n of Texas</w:t>
      </w:r>
      <w:r>
        <w:t>, 507 S.W.3d 706 (Tex. 2017),</w:t>
      </w:r>
      <w:r w:rsidRPr="00E87550">
        <w:rPr>
          <w:i/>
        </w:rPr>
        <w:t xml:space="preserve"> SFPP, L.P. v. Pub. Utils. Comm’n,</w:t>
      </w:r>
      <w:r>
        <w:t xml:space="preserve"> 217 Cal. App. 4th 784 (2013), </w:t>
      </w:r>
      <w:r w:rsidRPr="007F0572">
        <w:rPr>
          <w:i/>
        </w:rPr>
        <w:t>In re North. States Power Co.</w:t>
      </w:r>
      <w:r w:rsidRPr="007F0572">
        <w:t>,</w:t>
      </w:r>
      <w:r>
        <w:t xml:space="preserve"> </w:t>
      </w:r>
      <w:r w:rsidRPr="007F0572">
        <w:t xml:space="preserve">2008 WL 131201 </w:t>
      </w:r>
      <w:r>
        <w:t xml:space="preserve">(2008), </w:t>
      </w:r>
      <w:r w:rsidRPr="00C45B81">
        <w:rPr>
          <w:i/>
        </w:rPr>
        <w:t>Stumbo v. Ky. Pub. Serv. Comm’n</w:t>
      </w:r>
      <w:r>
        <w:t xml:space="preserve">, 243 S.W.3d 374 (Ky. App. 2007), </w:t>
      </w:r>
      <w:r w:rsidRPr="00C45B81">
        <w:rPr>
          <w:i/>
        </w:rPr>
        <w:t>Litchfield Park Serv. Co. v. Az. Corp. Comm’n</w:t>
      </w:r>
      <w:r>
        <w:t>, 874 P.2d 988 (1994),</w:t>
      </w:r>
      <w:r w:rsidRPr="00C45B81">
        <w:rPr>
          <w:i/>
        </w:rPr>
        <w:t xml:space="preserve"> </w:t>
      </w:r>
      <w:r>
        <w:rPr>
          <w:i/>
        </w:rPr>
        <w:t xml:space="preserve">Pittman v. Miss. Pub. Serv. Comm’n, </w:t>
      </w:r>
      <w:r>
        <w:t xml:space="preserve">538 So. 2d 387 (Miss. 1989), </w:t>
      </w:r>
      <w:r w:rsidRPr="00FC199E">
        <w:rPr>
          <w:i/>
        </w:rPr>
        <w:t>General Tele. Co. of the Southwest v. Corp. Comm’n</w:t>
      </w:r>
      <w:r>
        <w:t xml:space="preserve">, 852 P.2d 1200 (N.M. 1982), </w:t>
      </w:r>
      <w:r w:rsidRPr="00C45B81">
        <w:rPr>
          <w:i/>
        </w:rPr>
        <w:t>General Tele. Co. of SW v. Ark. Pub. Serv. Comm’n</w:t>
      </w:r>
      <w:r>
        <w:t xml:space="preserve">, 616 S.W.2d 1 (Ark. 1981), </w:t>
      </w:r>
      <w:r w:rsidRPr="00FC199E">
        <w:rPr>
          <w:i/>
        </w:rPr>
        <w:t>New York Water Serv. Corp. v. Pub. Serv. Comm’n</w:t>
      </w:r>
      <w:r>
        <w:t xml:space="preserve">, 72 A.D.2d 841 (N.Y. App. 3d 1979), </w:t>
      </w:r>
      <w:r w:rsidRPr="007F0572">
        <w:rPr>
          <w:i/>
        </w:rPr>
        <w:t>United Tele. Co. of Iowa v. Iowa State Comm. Comm’n,</w:t>
      </w:r>
      <w:r>
        <w:t xml:space="preserve"> 257 N.W.2d 466 (Iowa 1977).</w:t>
      </w:r>
    </w:p>
  </w:footnote>
  <w:footnote w:id="6">
    <w:p w14:paraId="447D4A8F" w14:textId="320D8915" w:rsidR="0031449C" w:rsidRDefault="0031449C">
      <w:pPr>
        <w:pStyle w:val="FootnoteText"/>
      </w:pPr>
      <w:r>
        <w:rPr>
          <w:rStyle w:val="FootnoteReference"/>
        </w:rPr>
        <w:footnoteRef/>
      </w:r>
      <w:r>
        <w:t xml:space="preserve"> Even though OPC opposes a change to the rule</w:t>
      </w:r>
      <w:r w:rsidR="00067C08">
        <w:t xml:space="preserve"> policy</w:t>
      </w:r>
      <w:r>
        <w:t xml:space="preserve">, it recommended an edit to the wording of subsection (4), which edit was also suggested by the other </w:t>
      </w:r>
      <w:r w:rsidRPr="0035364E">
        <w:t>stakeholders</w:t>
      </w:r>
      <w:r>
        <w:t xml:space="preserve"> who commented.</w:t>
      </w:r>
      <w:r w:rsidRPr="0035364E">
        <w:t xml:space="preserve"> That edit is incorporated into the recommended amendments.</w:t>
      </w:r>
    </w:p>
  </w:footnote>
  <w:footnote w:id="7">
    <w:p w14:paraId="3AAA1EF0" w14:textId="7CB127F2" w:rsidR="00B1659E" w:rsidRDefault="00B1659E">
      <w:pPr>
        <w:pStyle w:val="FootnoteText"/>
      </w:pPr>
      <w:r>
        <w:rPr>
          <w:rStyle w:val="FootnoteReference"/>
        </w:rPr>
        <w:footnoteRef/>
      </w:r>
      <w:r>
        <w:t xml:space="preserve"> </w:t>
      </w:r>
      <w:r w:rsidR="00270B52">
        <w:t>In</w:t>
      </w:r>
      <w:r w:rsidR="00270B52" w:rsidRPr="00270B52">
        <w:rPr>
          <w:i/>
        </w:rPr>
        <w:t xml:space="preserve"> City of Charlottesville, supra</w:t>
      </w:r>
      <w:r w:rsidR="00270B52">
        <w:t xml:space="preserve">, at </w:t>
      </w:r>
      <w:r w:rsidR="00270B52" w:rsidRPr="00B1659E">
        <w:t>1213, 1221,</w:t>
      </w:r>
      <w:r w:rsidR="00270B52">
        <w:t xml:space="preserve"> </w:t>
      </w:r>
      <w:r w:rsidR="00270B52" w:rsidRPr="00B1659E">
        <w:t>then Judge Antonin Scalia</w:t>
      </w:r>
      <w:r w:rsidR="00270B52">
        <w:t>, w</w:t>
      </w:r>
      <w:r w:rsidRPr="00B1659E">
        <w:t>riting for the Federal District Court for Washington, D.C., upheld the stand-alone method</w:t>
      </w:r>
      <w:r w:rsidR="00270B52">
        <w:t>.</w:t>
      </w:r>
    </w:p>
  </w:footnote>
  <w:footnote w:id="8">
    <w:p w14:paraId="5E241C1E" w14:textId="364B5B53" w:rsidR="00E841EE" w:rsidRDefault="00E841EE">
      <w:pPr>
        <w:pStyle w:val="FootnoteText"/>
      </w:pPr>
      <w:r>
        <w:rPr>
          <w:rStyle w:val="FootnoteReference"/>
        </w:rPr>
        <w:footnoteRef/>
      </w:r>
      <w:r>
        <w:t xml:space="preserve"> FPL filed comments on behalf of itself, Florida Public Utilities Company, and Florida City Gas.</w:t>
      </w:r>
    </w:p>
  </w:footnote>
  <w:footnote w:id="9">
    <w:p w14:paraId="459875FC" w14:textId="27AB5B56" w:rsidR="002E77E8" w:rsidRDefault="002E77E8">
      <w:pPr>
        <w:pStyle w:val="FootnoteText"/>
      </w:pPr>
      <w:r>
        <w:rPr>
          <w:rStyle w:val="FootnoteReference"/>
        </w:rPr>
        <w:footnoteRef/>
      </w:r>
      <w:r>
        <w:t xml:space="preserve"> TECO file comments on behalf of itself and Peoples Gas.</w:t>
      </w:r>
    </w:p>
  </w:footnote>
  <w:footnote w:id="10">
    <w:p w14:paraId="635C0335" w14:textId="5800366D" w:rsidR="0031449C" w:rsidRDefault="0031449C" w:rsidP="00DB2F8D">
      <w:pPr>
        <w:pStyle w:val="FootnoteText"/>
      </w:pPr>
      <w:r>
        <w:rPr>
          <w:rStyle w:val="FootnoteReference"/>
        </w:rPr>
        <w:footnoteRef/>
      </w:r>
      <w:r w:rsidRPr="00DD5D54">
        <w:rPr>
          <w:i/>
        </w:rPr>
        <w:t xml:space="preserve"> </w:t>
      </w:r>
      <w:r w:rsidR="00DD5D54" w:rsidRPr="00DD5D54">
        <w:rPr>
          <w:i/>
        </w:rPr>
        <w:t>Id</w:t>
      </w:r>
      <w:r w:rsidR="00DD5D54">
        <w:t>.</w:t>
      </w:r>
      <w:r>
        <w:t xml:space="preserve"> at 1069.</w:t>
      </w:r>
    </w:p>
  </w:footnote>
  <w:footnote w:id="11">
    <w:p w14:paraId="5BF3EB9C" w14:textId="77777777" w:rsidR="0031449C" w:rsidRDefault="0031449C" w:rsidP="00DB2F8D">
      <w:pPr>
        <w:pStyle w:val="FootnoteText"/>
      </w:pPr>
      <w:r>
        <w:rPr>
          <w:rStyle w:val="FootnoteReference"/>
        </w:rPr>
        <w:footnoteRef/>
      </w:r>
      <w:r>
        <w:t xml:space="preserve"> </w:t>
      </w:r>
      <w:r w:rsidRPr="00BE059A">
        <w:rPr>
          <w:i/>
        </w:rPr>
        <w:t xml:space="preserve">See Trailblazer Pipeline Co. LLC, </w:t>
      </w:r>
      <w:r w:rsidRPr="00BE059A">
        <w:t>166 F.E.R.C. P</w:t>
      </w:r>
      <w:r>
        <w:t xml:space="preserve"> </w:t>
      </w:r>
      <w:r w:rsidRPr="00BE059A">
        <w:t>61141, 2019 WL 830962,</w:t>
      </w:r>
      <w:r w:rsidRPr="00BE059A">
        <w:rPr>
          <w:i/>
        </w:rPr>
        <w:t xml:space="preserve"> </w:t>
      </w:r>
      <w:r w:rsidRPr="006009B5">
        <w:t>at *10 (F</w:t>
      </w:r>
      <w:r>
        <w:t>.</w:t>
      </w:r>
      <w:r w:rsidRPr="006009B5">
        <w:t>E</w:t>
      </w:r>
      <w:r>
        <w:t>.</w:t>
      </w:r>
      <w:r w:rsidRPr="006009B5">
        <w:t>R</w:t>
      </w:r>
      <w:r>
        <w:t>.</w:t>
      </w:r>
      <w:r w:rsidRPr="006009B5">
        <w:t>C</w:t>
      </w:r>
      <w:r>
        <w:t>.</w:t>
      </w:r>
      <w:r w:rsidRPr="006009B5">
        <w:t xml:space="preserve"> Feb. 21, 2019)</w:t>
      </w:r>
      <w:r w:rsidRPr="00BE059A">
        <w:rPr>
          <w:i/>
        </w:rPr>
        <w:t xml:space="preserve">; </w:t>
      </w:r>
      <w:r w:rsidRPr="00BE059A">
        <w:rPr>
          <w:i/>
          <w:iCs/>
        </w:rPr>
        <w:t>Constellation Mystic Power, LLC</w:t>
      </w:r>
      <w:r w:rsidRPr="00BE059A">
        <w:t>, 165 F</w:t>
      </w:r>
      <w:r>
        <w:t>.E.R.C. P 61</w:t>
      </w:r>
      <w:r w:rsidRPr="00BE059A">
        <w:t>267</w:t>
      </w:r>
      <w:r>
        <w:t xml:space="preserve">, </w:t>
      </w:r>
      <w:r w:rsidRPr="006009B5">
        <w:t>2018 WL 6720402</w:t>
      </w:r>
      <w:r>
        <w:t xml:space="preserve"> at </w:t>
      </w:r>
      <w:r w:rsidRPr="009F0512">
        <w:t>*14</w:t>
      </w:r>
      <w:r w:rsidRPr="00BE059A">
        <w:t xml:space="preserve"> (</w:t>
      </w:r>
      <w:r>
        <w:t xml:space="preserve">F.E.R.C. </w:t>
      </w:r>
      <w:r w:rsidRPr="00BE059A">
        <w:t xml:space="preserve">Dec. 20, 2018); </w:t>
      </w:r>
      <w:r w:rsidRPr="0030408F">
        <w:rPr>
          <w:i/>
        </w:rPr>
        <w:t>System Ener. Resources, Inc.</w:t>
      </w:r>
      <w:r w:rsidRPr="0030408F">
        <w:t>, 57 F</w:t>
      </w:r>
      <w:r>
        <w:t>.</w:t>
      </w:r>
      <w:r w:rsidRPr="0030408F">
        <w:t>E</w:t>
      </w:r>
      <w:r>
        <w:t>.</w:t>
      </w:r>
      <w:r w:rsidRPr="0030408F">
        <w:t>R</w:t>
      </w:r>
      <w:r>
        <w:t>.</w:t>
      </w:r>
      <w:r w:rsidRPr="0030408F">
        <w:t>C</w:t>
      </w:r>
      <w:r>
        <w:t>.</w:t>
      </w:r>
      <w:r w:rsidRPr="0030408F">
        <w:t xml:space="preserve"> P 63012, 1991 WL 307023, **11 (F.E.R.C. Nov. 21, 1991);</w:t>
      </w:r>
      <w:r w:rsidRPr="0030408F">
        <w:rPr>
          <w:i/>
        </w:rPr>
        <w:t xml:space="preserve"> City of Charlottesville v. FERC</w:t>
      </w:r>
      <w:r w:rsidRPr="0030408F">
        <w:t>, 774 F.2d 1205, 1213, 12</w:t>
      </w:r>
      <w:r>
        <w:t xml:space="preserve">21 (D.C. Cir. 1985), </w:t>
      </w:r>
      <w:r w:rsidRPr="00894D20">
        <w:rPr>
          <w:i/>
        </w:rPr>
        <w:t>cert. den’d</w:t>
      </w:r>
      <w:r w:rsidRPr="0030408F">
        <w:t>, 475 U.S. 11</w:t>
      </w:r>
      <w:r>
        <w:t xml:space="preserve">08 (1986); </w:t>
      </w:r>
      <w:r w:rsidRPr="0030408F">
        <w:rPr>
          <w:i/>
        </w:rPr>
        <w:t>In re: Columbia Gulf Trans. Co.</w:t>
      </w:r>
      <w:r w:rsidRPr="0030408F">
        <w:t>, 54 P.U.R. 4th 31, 1983 WL 874322 (F.E.R.C. June 22, 1983).</w:t>
      </w:r>
    </w:p>
  </w:footnote>
  <w:footnote w:id="12">
    <w:p w14:paraId="2D670157" w14:textId="77777777" w:rsidR="001C52DA" w:rsidRDefault="001C52DA" w:rsidP="001C52DA">
      <w:pPr>
        <w:pStyle w:val="FootnoteText"/>
      </w:pPr>
      <w:r>
        <w:rPr>
          <w:rStyle w:val="FootnoteReference"/>
        </w:rPr>
        <w:footnoteRef/>
      </w:r>
      <w:r>
        <w:t xml:space="preserve"> Docket No. 870386-PI, DN08216, Sept. 3, 1987.</w:t>
      </w:r>
    </w:p>
  </w:footnote>
  <w:footnote w:id="13">
    <w:p w14:paraId="63AB331B" w14:textId="77777777" w:rsidR="001C52DA" w:rsidRDefault="001C52DA" w:rsidP="001C52DA">
      <w:pPr>
        <w:pStyle w:val="FootnoteText"/>
      </w:pPr>
      <w:r>
        <w:rPr>
          <w:rStyle w:val="FootnoteReference"/>
        </w:rPr>
        <w:footnoteRef/>
      </w:r>
      <w:r>
        <w:t xml:space="preserve"> Docket No. 870386-PI, DN08570, Sept. 15, 1987.</w:t>
      </w:r>
    </w:p>
  </w:footnote>
  <w:footnote w:id="14">
    <w:p w14:paraId="39D47E1B" w14:textId="77777777" w:rsidR="001C52DA" w:rsidRDefault="001C52DA" w:rsidP="001C52DA">
      <w:pPr>
        <w:pStyle w:val="FootnoteText"/>
      </w:pPr>
      <w:r>
        <w:rPr>
          <w:rStyle w:val="FootnoteReference"/>
        </w:rPr>
        <w:footnoteRef/>
      </w:r>
      <w:r>
        <w:t xml:space="preserve"> Docket No. 870386-PI, DN09448, Sept. 8, 1988.</w:t>
      </w:r>
    </w:p>
  </w:footnote>
  <w:footnote w:id="15">
    <w:p w14:paraId="27F6AFD8" w14:textId="77777777" w:rsidR="001C52DA" w:rsidRDefault="001C52DA" w:rsidP="001C52DA">
      <w:pPr>
        <w:pStyle w:val="FootnoteText"/>
      </w:pPr>
      <w:r>
        <w:rPr>
          <w:rStyle w:val="FootnoteReference"/>
        </w:rPr>
        <w:footnoteRef/>
      </w:r>
      <w:r>
        <w:t xml:space="preserve"> Order No. 20206, issued Oct. 24, 1988, in Docket No. 870386-PU, </w:t>
      </w:r>
      <w:r w:rsidRPr="00096720">
        <w:rPr>
          <w:i/>
        </w:rPr>
        <w:t>In re: Repeal of Rule 25-14.004, F</w:t>
      </w:r>
      <w:r>
        <w:rPr>
          <w:i/>
        </w:rPr>
        <w:t>.A.C.</w:t>
      </w:r>
      <w:r w:rsidRPr="00096720">
        <w:rPr>
          <w:i/>
        </w:rPr>
        <w:t>, Effect of Parent Debt on Fed</w:t>
      </w:r>
      <w:r>
        <w:rPr>
          <w:i/>
        </w:rPr>
        <w:t>.</w:t>
      </w:r>
      <w:r w:rsidRPr="00096720">
        <w:rPr>
          <w:i/>
        </w:rPr>
        <w:t xml:space="preserve"> Corp</w:t>
      </w:r>
      <w:r>
        <w:rPr>
          <w:i/>
        </w:rPr>
        <w:t xml:space="preserve">. </w:t>
      </w:r>
      <w:r w:rsidRPr="00096720">
        <w:rPr>
          <w:i/>
        </w:rPr>
        <w:t>Income Tax</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CBFD1" w14:textId="77777777" w:rsidR="0031449C" w:rsidRDefault="0031449C" w:rsidP="00220732">
    <w:pPr>
      <w:pStyle w:val="Header"/>
      <w:tabs>
        <w:tab w:val="clear" w:pos="4320"/>
        <w:tab w:val="clear" w:pos="8640"/>
        <w:tab w:val="right" w:pos="9360"/>
      </w:tabs>
    </w:pPr>
    <w:bookmarkStart w:id="13" w:name="DocketLabel"/>
    <w:r>
      <w:t>Docket No.</w:t>
    </w:r>
    <w:bookmarkEnd w:id="13"/>
    <w:r>
      <w:t xml:space="preserve"> </w:t>
    </w:r>
    <w:bookmarkStart w:id="14" w:name="DocketList"/>
    <w:r>
      <w:t>20240019-PU</w:t>
    </w:r>
    <w:bookmarkEnd w:id="14"/>
  </w:p>
  <w:p w14:paraId="7F67955B" w14:textId="2E9D6052" w:rsidR="0031449C" w:rsidRDefault="0031449C">
    <w:pPr>
      <w:pStyle w:val="Header"/>
    </w:pPr>
    <w:r>
      <w:t xml:space="preserve">Date: </w:t>
    </w:r>
    <w:r w:rsidR="002714C4">
      <w:t>February 22, 2024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0EEF5" w14:textId="62EFDE84" w:rsidR="0031449C" w:rsidRDefault="0031449C" w:rsidP="00220732">
    <w:pPr>
      <w:pStyle w:val="Header"/>
      <w:tabs>
        <w:tab w:val="clear" w:pos="4320"/>
        <w:tab w:val="clear" w:pos="8640"/>
        <w:tab w:val="right" w:pos="9360"/>
      </w:tabs>
    </w:pPr>
    <w:r>
      <w:fldChar w:fldCharType="begin"/>
    </w:r>
    <w:r>
      <w:instrText xml:space="preserve"> REF DocketLabel</w:instrText>
    </w:r>
    <w:r>
      <w:fldChar w:fldCharType="separate"/>
    </w:r>
    <w:r w:rsidR="00024C1E">
      <w:t>Docket No.</w:t>
    </w:r>
    <w:r>
      <w:fldChar w:fldCharType="end"/>
    </w:r>
    <w:r>
      <w:t xml:space="preserve"> </w:t>
    </w:r>
    <w:r>
      <w:fldChar w:fldCharType="begin"/>
    </w:r>
    <w:r>
      <w:instrText xml:space="preserve"> REF DocketList</w:instrText>
    </w:r>
    <w:r>
      <w:fldChar w:fldCharType="separate"/>
    </w:r>
    <w:r w:rsidR="00024C1E">
      <w:t>20240019-PU</w:t>
    </w:r>
    <w:r>
      <w:fldChar w:fldCharType="end"/>
    </w:r>
    <w:r>
      <w:tab/>
      <w:t xml:space="preserve">Issue </w:t>
    </w:r>
    <w:fldSimple w:instr=" Seq Issue \c \* Arabic ">
      <w:r w:rsidR="00DC3FF6">
        <w:rPr>
          <w:noProof/>
        </w:rPr>
        <w:t>2</w:t>
      </w:r>
    </w:fldSimple>
  </w:p>
  <w:p w14:paraId="6E3BF0A9" w14:textId="504C274F" w:rsidR="0031449C" w:rsidRDefault="0031449C">
    <w:pPr>
      <w:pStyle w:val="Header"/>
    </w:pPr>
    <w:r>
      <w:t xml:space="preserve">Date: </w:t>
    </w:r>
    <w:r w:rsidR="002714C4">
      <w:t>February 22, 2024</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674A1" w14:textId="5B2C5D2A" w:rsidR="0031449C" w:rsidRDefault="0031449C" w:rsidP="00B51421">
    <w:pPr>
      <w:pStyle w:val="Header"/>
      <w:tabs>
        <w:tab w:val="clear" w:pos="4320"/>
        <w:tab w:val="clear" w:pos="8640"/>
        <w:tab w:val="right" w:pos="9360"/>
      </w:tabs>
    </w:pPr>
    <w:r>
      <w:fldChar w:fldCharType="begin"/>
    </w:r>
    <w:r>
      <w:instrText xml:space="preserve"> REF DocketLabel</w:instrText>
    </w:r>
    <w:r>
      <w:fldChar w:fldCharType="separate"/>
    </w:r>
    <w:r w:rsidR="00024C1E">
      <w:t>Docket No.</w:t>
    </w:r>
    <w:r>
      <w:fldChar w:fldCharType="end"/>
    </w:r>
    <w:r>
      <w:t xml:space="preserve"> </w:t>
    </w:r>
    <w:r>
      <w:fldChar w:fldCharType="begin"/>
    </w:r>
    <w:r>
      <w:instrText xml:space="preserve"> REF DocketList</w:instrText>
    </w:r>
    <w:r>
      <w:fldChar w:fldCharType="separate"/>
    </w:r>
    <w:r w:rsidR="00024C1E">
      <w:t>20240019-PU</w:t>
    </w:r>
    <w:r>
      <w:fldChar w:fldCharType="end"/>
    </w:r>
    <w:r>
      <w:tab/>
      <w:t>Attachment A</w:t>
    </w:r>
  </w:p>
  <w:p w14:paraId="255F9ACE" w14:textId="04D47B86" w:rsidR="0031449C" w:rsidRDefault="004B7ACA" w:rsidP="00B51421">
    <w:pPr>
      <w:pStyle w:val="Header"/>
      <w:rPr>
        <w:b/>
      </w:rPr>
    </w:pPr>
    <w:r>
      <w:rPr>
        <w:noProof/>
      </w:rPr>
      <w:pict w14:anchorId="48F40714">
        <v:line id="LeftBorder1" o:spid="_x0000_s2049" style="position:absolute;left:0;text-align:left;z-index:251652096;visibility:visible;mso-position-horizontal-relative:page;mso-position-vertical-relative:page" from="114pt,60pt" to="114pt,7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w:r>
    <w:r w:rsidR="0031449C">
      <w:t xml:space="preserve">Date: </w:t>
    </w:r>
    <w:r>
      <w:rPr>
        <w:noProof/>
      </w:rPr>
      <w:pict w14:anchorId="54C07902">
        <v:shapetype id="_x0000_t202" coordsize="21600,21600" o:spt="202" path="m,l,21600r21600,l21600,xe">
          <v:stroke joinstyle="miter"/>
          <v:path gradientshapeok="t" o:connecttype="rect"/>
        </v:shapetype>
        <v:shape id="LineNumbers" o:spid="_x0000_s2052" type="#_x0000_t202" style="position:absolute;left:0;text-align:left;margin-left:69.85pt;margin-top:0;width:36pt;height:684pt;z-index:25165516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14:paraId="5B322E2A" w14:textId="77777777" w:rsidR="0031449C" w:rsidRDefault="0031449C">
                <w:pPr>
                  <w:pStyle w:val="RuleHeader"/>
                  <w:rPr>
                    <w:rStyle w:val="RuleChar"/>
                  </w:rPr>
                </w:pPr>
                <w:r>
                  <w:t>1</w:t>
                </w:r>
              </w:p>
              <w:p w14:paraId="2F21F313" w14:textId="77777777" w:rsidR="0031449C" w:rsidRDefault="0031449C">
                <w:pPr>
                  <w:pStyle w:val="RuleHeader"/>
                </w:pPr>
                <w:r>
                  <w:t>2</w:t>
                </w:r>
              </w:p>
              <w:p w14:paraId="4476F65F" w14:textId="77777777" w:rsidR="0031449C" w:rsidRDefault="0031449C">
                <w:pPr>
                  <w:pStyle w:val="RuleHeader"/>
                </w:pPr>
                <w:r>
                  <w:t>3</w:t>
                </w:r>
              </w:p>
              <w:p w14:paraId="22D66584" w14:textId="77777777" w:rsidR="0031449C" w:rsidRDefault="0031449C">
                <w:pPr>
                  <w:pStyle w:val="RuleHeader"/>
                </w:pPr>
                <w:r>
                  <w:t>4</w:t>
                </w:r>
              </w:p>
              <w:p w14:paraId="16014BFA" w14:textId="77777777" w:rsidR="0031449C" w:rsidRDefault="0031449C">
                <w:pPr>
                  <w:pStyle w:val="RuleHeader"/>
                </w:pPr>
                <w:r>
                  <w:t>5</w:t>
                </w:r>
              </w:p>
              <w:p w14:paraId="4ACC7330" w14:textId="77777777" w:rsidR="0031449C" w:rsidRDefault="0031449C">
                <w:pPr>
                  <w:pStyle w:val="RuleHeader"/>
                </w:pPr>
                <w:r>
                  <w:t>6</w:t>
                </w:r>
              </w:p>
              <w:p w14:paraId="206BC936" w14:textId="77777777" w:rsidR="0031449C" w:rsidRDefault="0031449C">
                <w:pPr>
                  <w:pStyle w:val="RuleHeader"/>
                </w:pPr>
                <w:r>
                  <w:t>7</w:t>
                </w:r>
              </w:p>
              <w:p w14:paraId="6212EF1D" w14:textId="77777777" w:rsidR="0031449C" w:rsidRDefault="0031449C">
                <w:pPr>
                  <w:pStyle w:val="RuleHeader"/>
                </w:pPr>
                <w:r>
                  <w:t>8</w:t>
                </w:r>
              </w:p>
              <w:p w14:paraId="0B6C04DA" w14:textId="77777777" w:rsidR="0031449C" w:rsidRDefault="0031449C">
                <w:pPr>
                  <w:pStyle w:val="RuleHeader"/>
                </w:pPr>
                <w:r>
                  <w:t>9</w:t>
                </w:r>
              </w:p>
              <w:p w14:paraId="4A02E674" w14:textId="77777777" w:rsidR="0031449C" w:rsidRDefault="0031449C">
                <w:pPr>
                  <w:pStyle w:val="RuleHeader"/>
                </w:pPr>
                <w:r>
                  <w:t>10</w:t>
                </w:r>
              </w:p>
              <w:p w14:paraId="6C4FC003" w14:textId="77777777" w:rsidR="0031449C" w:rsidRDefault="0031449C">
                <w:pPr>
                  <w:pStyle w:val="RuleHeader"/>
                </w:pPr>
                <w:r>
                  <w:t>11</w:t>
                </w:r>
              </w:p>
              <w:p w14:paraId="4A86250E" w14:textId="77777777" w:rsidR="0031449C" w:rsidRDefault="0031449C">
                <w:pPr>
                  <w:pStyle w:val="RuleHeader"/>
                </w:pPr>
                <w:r>
                  <w:t>12</w:t>
                </w:r>
              </w:p>
              <w:p w14:paraId="17486E91" w14:textId="77777777" w:rsidR="0031449C" w:rsidRDefault="0031449C">
                <w:pPr>
                  <w:pStyle w:val="RuleHeader"/>
                </w:pPr>
                <w:r>
                  <w:t>13</w:t>
                </w:r>
              </w:p>
              <w:p w14:paraId="50C67A68" w14:textId="77777777" w:rsidR="0031449C" w:rsidRDefault="0031449C">
                <w:pPr>
                  <w:pStyle w:val="RuleHeader"/>
                </w:pPr>
                <w:r>
                  <w:t>14</w:t>
                </w:r>
              </w:p>
              <w:p w14:paraId="6952B76E" w14:textId="77777777" w:rsidR="0031449C" w:rsidRDefault="0031449C">
                <w:pPr>
                  <w:pStyle w:val="RuleHeader"/>
                </w:pPr>
                <w:r>
                  <w:t>15</w:t>
                </w:r>
              </w:p>
              <w:p w14:paraId="2553D406" w14:textId="77777777" w:rsidR="0031449C" w:rsidRDefault="0031449C">
                <w:pPr>
                  <w:pStyle w:val="RuleHeader"/>
                </w:pPr>
                <w:r>
                  <w:t>16</w:t>
                </w:r>
              </w:p>
              <w:p w14:paraId="1BF9B496" w14:textId="77777777" w:rsidR="0031449C" w:rsidRDefault="0031449C">
                <w:pPr>
                  <w:pStyle w:val="RuleHeader"/>
                </w:pPr>
                <w:r>
                  <w:t>17</w:t>
                </w:r>
              </w:p>
              <w:p w14:paraId="5591A021" w14:textId="77777777" w:rsidR="0031449C" w:rsidRDefault="0031449C">
                <w:pPr>
                  <w:pStyle w:val="RuleHeader"/>
                </w:pPr>
                <w:r>
                  <w:t>18</w:t>
                </w:r>
              </w:p>
              <w:p w14:paraId="4EB8F053" w14:textId="77777777" w:rsidR="0031449C" w:rsidRDefault="0031449C">
                <w:pPr>
                  <w:pStyle w:val="RuleHeader"/>
                </w:pPr>
                <w:r>
                  <w:t>19</w:t>
                </w:r>
              </w:p>
              <w:p w14:paraId="27E86DEE" w14:textId="77777777" w:rsidR="0031449C" w:rsidRDefault="0031449C">
                <w:pPr>
                  <w:pStyle w:val="RuleHeader"/>
                </w:pPr>
                <w:r>
                  <w:t>20</w:t>
                </w:r>
              </w:p>
              <w:p w14:paraId="1ACE0BC5" w14:textId="77777777" w:rsidR="0031449C" w:rsidRDefault="0031449C">
                <w:pPr>
                  <w:pStyle w:val="RuleHeader"/>
                </w:pPr>
                <w:r>
                  <w:t>21</w:t>
                </w:r>
              </w:p>
              <w:p w14:paraId="6DA642E7" w14:textId="77777777" w:rsidR="0031449C" w:rsidRDefault="0031449C">
                <w:pPr>
                  <w:pStyle w:val="RuleHeader"/>
                </w:pPr>
                <w:r>
                  <w:t>22</w:t>
                </w:r>
              </w:p>
              <w:p w14:paraId="1E619CEB" w14:textId="77777777" w:rsidR="0031449C" w:rsidRDefault="0031449C">
                <w:pPr>
                  <w:pStyle w:val="RuleHeader"/>
                </w:pPr>
                <w:r>
                  <w:t>23</w:t>
                </w:r>
              </w:p>
              <w:p w14:paraId="21CDA6BC" w14:textId="77777777" w:rsidR="0031449C" w:rsidRDefault="0031449C">
                <w:pPr>
                  <w:pStyle w:val="RuleHeader"/>
                </w:pPr>
                <w:r>
                  <w:t>24</w:t>
                </w:r>
              </w:p>
              <w:p w14:paraId="69823916" w14:textId="77777777" w:rsidR="0031449C" w:rsidRDefault="0031449C">
                <w:pPr>
                  <w:pStyle w:val="RuleHeader"/>
                </w:pPr>
                <w:r>
                  <w:t>25</w:t>
                </w:r>
              </w:p>
            </w:txbxContent>
          </v:textbox>
          <w10:wrap anchorx="page" anchory="margin"/>
        </v:shape>
      </w:pict>
    </w:r>
    <w:r w:rsidR="002714C4">
      <w:t>February 22, 2024</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1CD8A" w14:textId="34AB070F" w:rsidR="0031449C" w:rsidRDefault="004B7ACA">
    <w:pPr>
      <w:tabs>
        <w:tab w:val="left" w:pos="3770"/>
      </w:tabs>
    </w:pPr>
    <w:r>
      <w:rPr>
        <w:noProof/>
      </w:rPr>
      <w:pict w14:anchorId="2A90B0B3">
        <v:line id="_x0000_s2053" style="position:absolute;z-index:251656192;visibility:visible;mso-position-horizontal-relative:margin;mso-position-vertical-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w:r>
    <w:r>
      <w:rPr>
        <w:noProof/>
      </w:rPr>
      <w:pict w14:anchorId="0BD79DB2">
        <v:shapetype id="_x0000_t202" coordsize="21600,21600" o:spt="202" path="m,l,21600r21600,l21600,xe">
          <v:stroke joinstyle="miter"/>
          <v:path gradientshapeok="t" o:connecttype="rect"/>
        </v:shapetype>
        <v:shape id="_x0000_s2056" type="#_x0000_t202" style="position:absolute;margin-left:-50.4pt;margin-top:0;width:36pt;height:684pt;z-index:25165926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14:paraId="591820D3" w14:textId="77777777" w:rsidR="0031449C" w:rsidRDefault="0031449C">
                <w:pPr>
                  <w:jc w:val="right"/>
                </w:pPr>
                <w:r>
                  <w:t>1</w:t>
                </w:r>
              </w:p>
              <w:p w14:paraId="0DB01F17" w14:textId="77777777" w:rsidR="0031449C" w:rsidRDefault="0031449C">
                <w:pPr>
                  <w:jc w:val="right"/>
                </w:pPr>
                <w:r>
                  <w:t>2</w:t>
                </w:r>
              </w:p>
              <w:p w14:paraId="38A56011" w14:textId="77777777" w:rsidR="0031449C" w:rsidRDefault="0031449C">
                <w:pPr>
                  <w:jc w:val="right"/>
                </w:pPr>
                <w:r>
                  <w:t>3</w:t>
                </w:r>
              </w:p>
              <w:p w14:paraId="3B63342F" w14:textId="77777777" w:rsidR="0031449C" w:rsidRDefault="0031449C">
                <w:pPr>
                  <w:jc w:val="right"/>
                </w:pPr>
                <w:r>
                  <w:t>4</w:t>
                </w:r>
              </w:p>
              <w:p w14:paraId="67D5B7E7" w14:textId="77777777" w:rsidR="0031449C" w:rsidRDefault="0031449C">
                <w:pPr>
                  <w:jc w:val="right"/>
                </w:pPr>
                <w:r>
                  <w:t>5</w:t>
                </w:r>
              </w:p>
              <w:p w14:paraId="0CFD080A" w14:textId="77777777" w:rsidR="0031449C" w:rsidRDefault="0031449C">
                <w:pPr>
                  <w:jc w:val="right"/>
                </w:pPr>
                <w:r>
                  <w:t>6</w:t>
                </w:r>
              </w:p>
              <w:p w14:paraId="622A296B" w14:textId="77777777" w:rsidR="0031449C" w:rsidRDefault="0031449C">
                <w:pPr>
                  <w:jc w:val="right"/>
                </w:pPr>
                <w:r>
                  <w:t>7</w:t>
                </w:r>
              </w:p>
              <w:p w14:paraId="0683DA25" w14:textId="77777777" w:rsidR="0031449C" w:rsidRDefault="0031449C">
                <w:pPr>
                  <w:jc w:val="right"/>
                </w:pPr>
                <w:r>
                  <w:t>8</w:t>
                </w:r>
              </w:p>
              <w:p w14:paraId="0B5482FA" w14:textId="77777777" w:rsidR="0031449C" w:rsidRDefault="0031449C">
                <w:pPr>
                  <w:jc w:val="right"/>
                </w:pPr>
                <w:r>
                  <w:t>9</w:t>
                </w:r>
              </w:p>
              <w:p w14:paraId="443179E0" w14:textId="77777777" w:rsidR="0031449C" w:rsidRDefault="0031449C">
                <w:pPr>
                  <w:jc w:val="right"/>
                </w:pPr>
                <w:r>
                  <w:t>10</w:t>
                </w:r>
              </w:p>
              <w:p w14:paraId="391D6409" w14:textId="77777777" w:rsidR="0031449C" w:rsidRDefault="0031449C">
                <w:pPr>
                  <w:jc w:val="right"/>
                </w:pPr>
                <w:r>
                  <w:t>11</w:t>
                </w:r>
              </w:p>
              <w:p w14:paraId="3793890F" w14:textId="77777777" w:rsidR="0031449C" w:rsidRDefault="0031449C">
                <w:pPr>
                  <w:jc w:val="right"/>
                </w:pPr>
                <w:r>
                  <w:t>12</w:t>
                </w:r>
              </w:p>
              <w:p w14:paraId="31FDCB7C" w14:textId="77777777" w:rsidR="0031449C" w:rsidRDefault="0031449C">
                <w:pPr>
                  <w:jc w:val="right"/>
                </w:pPr>
                <w:r>
                  <w:t>13</w:t>
                </w:r>
              </w:p>
              <w:p w14:paraId="70740F03" w14:textId="77777777" w:rsidR="0031449C" w:rsidRDefault="0031449C">
                <w:pPr>
                  <w:jc w:val="right"/>
                </w:pPr>
                <w:r>
                  <w:t>14</w:t>
                </w:r>
              </w:p>
              <w:p w14:paraId="2F70E46C" w14:textId="77777777" w:rsidR="0031449C" w:rsidRDefault="0031449C">
                <w:pPr>
                  <w:jc w:val="right"/>
                </w:pPr>
                <w:r>
                  <w:t>15</w:t>
                </w:r>
              </w:p>
              <w:p w14:paraId="18F7C04E" w14:textId="77777777" w:rsidR="0031449C" w:rsidRDefault="0031449C">
                <w:pPr>
                  <w:jc w:val="right"/>
                </w:pPr>
                <w:r>
                  <w:t>16</w:t>
                </w:r>
              </w:p>
              <w:p w14:paraId="7399253C" w14:textId="77777777" w:rsidR="0031449C" w:rsidRDefault="0031449C">
                <w:pPr>
                  <w:jc w:val="right"/>
                </w:pPr>
                <w:r>
                  <w:t>17</w:t>
                </w:r>
              </w:p>
              <w:p w14:paraId="553651C7" w14:textId="77777777" w:rsidR="0031449C" w:rsidRDefault="0031449C">
                <w:pPr>
                  <w:jc w:val="right"/>
                </w:pPr>
                <w:r>
                  <w:t>18</w:t>
                </w:r>
              </w:p>
              <w:p w14:paraId="1FEC1730" w14:textId="77777777" w:rsidR="0031449C" w:rsidRDefault="0031449C">
                <w:pPr>
                  <w:jc w:val="right"/>
                </w:pPr>
                <w:r>
                  <w:t>19</w:t>
                </w:r>
              </w:p>
              <w:p w14:paraId="3F424263" w14:textId="77777777" w:rsidR="0031449C" w:rsidRDefault="0031449C">
                <w:pPr>
                  <w:jc w:val="right"/>
                </w:pPr>
                <w:r>
                  <w:t>20</w:t>
                </w:r>
              </w:p>
              <w:p w14:paraId="6BF9A169" w14:textId="77777777" w:rsidR="0031449C" w:rsidRDefault="0031449C">
                <w:pPr>
                  <w:jc w:val="right"/>
                </w:pPr>
                <w:r>
                  <w:t>21</w:t>
                </w:r>
              </w:p>
              <w:p w14:paraId="62B223FE" w14:textId="77777777" w:rsidR="0031449C" w:rsidRDefault="0031449C">
                <w:pPr>
                  <w:jc w:val="right"/>
                </w:pPr>
                <w:r>
                  <w:t>22</w:t>
                </w:r>
              </w:p>
              <w:p w14:paraId="671BA202" w14:textId="77777777" w:rsidR="0031449C" w:rsidRDefault="0031449C">
                <w:pPr>
                  <w:jc w:val="right"/>
                </w:pPr>
                <w:r>
                  <w:t>23</w:t>
                </w:r>
              </w:p>
              <w:p w14:paraId="2A2325A8" w14:textId="77777777" w:rsidR="0031449C" w:rsidRDefault="0031449C">
                <w:pPr>
                  <w:jc w:val="right"/>
                </w:pPr>
                <w:r>
                  <w:t>24</w:t>
                </w:r>
              </w:p>
              <w:p w14:paraId="21686C55" w14:textId="77777777" w:rsidR="0031449C" w:rsidRDefault="0031449C">
                <w:pPr>
                  <w:jc w:val="right"/>
                </w:pPr>
                <w:r>
                  <w:t>25</w:t>
                </w:r>
              </w:p>
            </w:txbxContent>
          </v:textbox>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FB019" w14:textId="08482040" w:rsidR="0031449C" w:rsidRDefault="0031449C" w:rsidP="00B51421">
    <w:pPr>
      <w:pStyle w:val="Header"/>
      <w:tabs>
        <w:tab w:val="clear" w:pos="4320"/>
        <w:tab w:val="clear" w:pos="8640"/>
        <w:tab w:val="right" w:pos="9360"/>
      </w:tabs>
    </w:pPr>
    <w:r>
      <w:fldChar w:fldCharType="begin"/>
    </w:r>
    <w:r>
      <w:instrText xml:space="preserve"> REF DocketLabel</w:instrText>
    </w:r>
    <w:r>
      <w:fldChar w:fldCharType="separate"/>
    </w:r>
    <w:r w:rsidR="00024C1E">
      <w:t>Docket No.</w:t>
    </w:r>
    <w:r>
      <w:fldChar w:fldCharType="end"/>
    </w:r>
    <w:r>
      <w:t xml:space="preserve"> </w:t>
    </w:r>
    <w:r>
      <w:fldChar w:fldCharType="begin"/>
    </w:r>
    <w:r>
      <w:instrText xml:space="preserve"> REF DocketList</w:instrText>
    </w:r>
    <w:r>
      <w:fldChar w:fldCharType="separate"/>
    </w:r>
    <w:r w:rsidR="00024C1E">
      <w:t>20240019-PU</w:t>
    </w:r>
    <w:r>
      <w:fldChar w:fldCharType="end"/>
    </w:r>
    <w:r>
      <w:tab/>
    </w:r>
    <w:r w:rsidR="002B3C75">
      <w:t>Attachment B</w:t>
    </w:r>
  </w:p>
  <w:p w14:paraId="5A0399A1" w14:textId="1987AE08" w:rsidR="0031449C" w:rsidRDefault="0031449C" w:rsidP="00B51421">
    <w:pPr>
      <w:pStyle w:val="Header"/>
      <w:rPr>
        <w:b/>
      </w:rPr>
    </w:pPr>
    <w:r>
      <w:t xml:space="preserve">Date: </w:t>
    </w:r>
    <w:r w:rsidR="002714C4">
      <w:t>February 22, 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4D60FC"/>
    <w:rsid w:val="000043D5"/>
    <w:rsid w:val="00006170"/>
    <w:rsid w:val="00010E37"/>
    <w:rsid w:val="000172DA"/>
    <w:rsid w:val="00022337"/>
    <w:rsid w:val="00023A0E"/>
    <w:rsid w:val="000247C5"/>
    <w:rsid w:val="00024C1E"/>
    <w:rsid w:val="000277C2"/>
    <w:rsid w:val="00030007"/>
    <w:rsid w:val="00035B48"/>
    <w:rsid w:val="00036CE2"/>
    <w:rsid w:val="000437FE"/>
    <w:rsid w:val="000513BE"/>
    <w:rsid w:val="00051573"/>
    <w:rsid w:val="0005451B"/>
    <w:rsid w:val="00065A06"/>
    <w:rsid w:val="000666F3"/>
    <w:rsid w:val="00067C08"/>
    <w:rsid w:val="00070DCB"/>
    <w:rsid w:val="00072CCA"/>
    <w:rsid w:val="00073120"/>
    <w:rsid w:val="000764D0"/>
    <w:rsid w:val="000828D3"/>
    <w:rsid w:val="000A2B57"/>
    <w:rsid w:val="000A418B"/>
    <w:rsid w:val="000B0ACE"/>
    <w:rsid w:val="000C4346"/>
    <w:rsid w:val="000C4431"/>
    <w:rsid w:val="000C4F7E"/>
    <w:rsid w:val="000C6607"/>
    <w:rsid w:val="000D1C06"/>
    <w:rsid w:val="000D3043"/>
    <w:rsid w:val="000D4319"/>
    <w:rsid w:val="000E24FA"/>
    <w:rsid w:val="000E338A"/>
    <w:rsid w:val="000E3DEE"/>
    <w:rsid w:val="000E4392"/>
    <w:rsid w:val="000E4B4A"/>
    <w:rsid w:val="000F374A"/>
    <w:rsid w:val="000F4DAF"/>
    <w:rsid w:val="00105BA1"/>
    <w:rsid w:val="001076AF"/>
    <w:rsid w:val="001109F6"/>
    <w:rsid w:val="00116C6B"/>
    <w:rsid w:val="00117C8C"/>
    <w:rsid w:val="001239F0"/>
    <w:rsid w:val="00124C38"/>
    <w:rsid w:val="00124E2E"/>
    <w:rsid w:val="00125ED4"/>
    <w:rsid w:val="001303BF"/>
    <w:rsid w:val="001305E9"/>
    <w:rsid w:val="001307AF"/>
    <w:rsid w:val="00131A9A"/>
    <w:rsid w:val="0013347E"/>
    <w:rsid w:val="00133F0E"/>
    <w:rsid w:val="00135687"/>
    <w:rsid w:val="00136BD1"/>
    <w:rsid w:val="00146B5D"/>
    <w:rsid w:val="00150ECE"/>
    <w:rsid w:val="0015506E"/>
    <w:rsid w:val="00163031"/>
    <w:rsid w:val="001654C4"/>
    <w:rsid w:val="00171A90"/>
    <w:rsid w:val="00171CE3"/>
    <w:rsid w:val="00180254"/>
    <w:rsid w:val="00186EE8"/>
    <w:rsid w:val="00187CEC"/>
    <w:rsid w:val="00191E1F"/>
    <w:rsid w:val="00191EE8"/>
    <w:rsid w:val="00192943"/>
    <w:rsid w:val="00193BAF"/>
    <w:rsid w:val="00194791"/>
    <w:rsid w:val="001A4149"/>
    <w:rsid w:val="001A7406"/>
    <w:rsid w:val="001A7AE4"/>
    <w:rsid w:val="001B1EDC"/>
    <w:rsid w:val="001B3A8B"/>
    <w:rsid w:val="001B4053"/>
    <w:rsid w:val="001B4FEE"/>
    <w:rsid w:val="001B51C5"/>
    <w:rsid w:val="001B672A"/>
    <w:rsid w:val="001B6F3F"/>
    <w:rsid w:val="001C0C9E"/>
    <w:rsid w:val="001C52B5"/>
    <w:rsid w:val="001C52DA"/>
    <w:rsid w:val="001D0D3E"/>
    <w:rsid w:val="001D2817"/>
    <w:rsid w:val="001D2899"/>
    <w:rsid w:val="001E14A3"/>
    <w:rsid w:val="001E390F"/>
    <w:rsid w:val="001E3AA0"/>
    <w:rsid w:val="001E7FF4"/>
    <w:rsid w:val="001F2245"/>
    <w:rsid w:val="001F2C63"/>
    <w:rsid w:val="001F48C7"/>
    <w:rsid w:val="001F6DA1"/>
    <w:rsid w:val="00200178"/>
    <w:rsid w:val="00204200"/>
    <w:rsid w:val="002044E6"/>
    <w:rsid w:val="00205C82"/>
    <w:rsid w:val="00205DC2"/>
    <w:rsid w:val="00212B17"/>
    <w:rsid w:val="00213221"/>
    <w:rsid w:val="002163B6"/>
    <w:rsid w:val="00217215"/>
    <w:rsid w:val="00220732"/>
    <w:rsid w:val="0022121F"/>
    <w:rsid w:val="00221D32"/>
    <w:rsid w:val="00222AC1"/>
    <w:rsid w:val="00223738"/>
    <w:rsid w:val="00223E82"/>
    <w:rsid w:val="00225C3F"/>
    <w:rsid w:val="00263D44"/>
    <w:rsid w:val="00267811"/>
    <w:rsid w:val="002702AD"/>
    <w:rsid w:val="00270B52"/>
    <w:rsid w:val="002714C4"/>
    <w:rsid w:val="00276327"/>
    <w:rsid w:val="00281EB4"/>
    <w:rsid w:val="00292CE1"/>
    <w:rsid w:val="00292D82"/>
    <w:rsid w:val="00293EE7"/>
    <w:rsid w:val="00293FEA"/>
    <w:rsid w:val="00294EA4"/>
    <w:rsid w:val="002963CB"/>
    <w:rsid w:val="002B2DAC"/>
    <w:rsid w:val="002B3C75"/>
    <w:rsid w:val="002B4A01"/>
    <w:rsid w:val="002C08B1"/>
    <w:rsid w:val="002C291B"/>
    <w:rsid w:val="002C5F3D"/>
    <w:rsid w:val="002C746A"/>
    <w:rsid w:val="002C7E4E"/>
    <w:rsid w:val="002D226D"/>
    <w:rsid w:val="002D2A8A"/>
    <w:rsid w:val="002D74E3"/>
    <w:rsid w:val="002E6247"/>
    <w:rsid w:val="002E77E8"/>
    <w:rsid w:val="002F6030"/>
    <w:rsid w:val="003001AC"/>
    <w:rsid w:val="0030098D"/>
    <w:rsid w:val="003037E1"/>
    <w:rsid w:val="00307E51"/>
    <w:rsid w:val="003103EC"/>
    <w:rsid w:val="00312132"/>
    <w:rsid w:val="003130BA"/>
    <w:rsid w:val="0031449C"/>
    <w:rsid w:val="003144EF"/>
    <w:rsid w:val="0031480E"/>
    <w:rsid w:val="00316877"/>
    <w:rsid w:val="00322F74"/>
    <w:rsid w:val="003240B8"/>
    <w:rsid w:val="00325E15"/>
    <w:rsid w:val="00337C89"/>
    <w:rsid w:val="00340073"/>
    <w:rsid w:val="003411D8"/>
    <w:rsid w:val="00341E27"/>
    <w:rsid w:val="003445B0"/>
    <w:rsid w:val="00346AD2"/>
    <w:rsid w:val="0035364E"/>
    <w:rsid w:val="00353B66"/>
    <w:rsid w:val="00354B89"/>
    <w:rsid w:val="00355934"/>
    <w:rsid w:val="00357928"/>
    <w:rsid w:val="003632FD"/>
    <w:rsid w:val="00370F78"/>
    <w:rsid w:val="00372805"/>
    <w:rsid w:val="00373180"/>
    <w:rsid w:val="00375AB9"/>
    <w:rsid w:val="0037691E"/>
    <w:rsid w:val="003821A0"/>
    <w:rsid w:val="00385B04"/>
    <w:rsid w:val="003864CF"/>
    <w:rsid w:val="00387A59"/>
    <w:rsid w:val="003948AE"/>
    <w:rsid w:val="00394D2F"/>
    <w:rsid w:val="003A08C0"/>
    <w:rsid w:val="003A22A6"/>
    <w:rsid w:val="003A32EB"/>
    <w:rsid w:val="003A3359"/>
    <w:rsid w:val="003A4A1F"/>
    <w:rsid w:val="003A5494"/>
    <w:rsid w:val="003B2510"/>
    <w:rsid w:val="003B4355"/>
    <w:rsid w:val="003C0C23"/>
    <w:rsid w:val="003C2CC4"/>
    <w:rsid w:val="003C3710"/>
    <w:rsid w:val="003C42A3"/>
    <w:rsid w:val="003C48F7"/>
    <w:rsid w:val="003D43B2"/>
    <w:rsid w:val="003D5F35"/>
    <w:rsid w:val="003E0463"/>
    <w:rsid w:val="003E0EFC"/>
    <w:rsid w:val="003E4A2B"/>
    <w:rsid w:val="003E6FE9"/>
    <w:rsid w:val="003E76C2"/>
    <w:rsid w:val="003F1367"/>
    <w:rsid w:val="003F1679"/>
    <w:rsid w:val="003F21EB"/>
    <w:rsid w:val="003F4A35"/>
    <w:rsid w:val="003F5998"/>
    <w:rsid w:val="003F5F03"/>
    <w:rsid w:val="003F7FDD"/>
    <w:rsid w:val="004017B4"/>
    <w:rsid w:val="00402101"/>
    <w:rsid w:val="00402481"/>
    <w:rsid w:val="0040388D"/>
    <w:rsid w:val="004042B4"/>
    <w:rsid w:val="00410DC4"/>
    <w:rsid w:val="00412DAE"/>
    <w:rsid w:val="0041302D"/>
    <w:rsid w:val="004242E6"/>
    <w:rsid w:val="00427B35"/>
    <w:rsid w:val="00431598"/>
    <w:rsid w:val="004319AD"/>
    <w:rsid w:val="0043326F"/>
    <w:rsid w:val="004426B8"/>
    <w:rsid w:val="00444432"/>
    <w:rsid w:val="00447D5C"/>
    <w:rsid w:val="00450202"/>
    <w:rsid w:val="004502B2"/>
    <w:rsid w:val="00455499"/>
    <w:rsid w:val="004649A7"/>
    <w:rsid w:val="00471860"/>
    <w:rsid w:val="00477026"/>
    <w:rsid w:val="00477730"/>
    <w:rsid w:val="0048660E"/>
    <w:rsid w:val="00494C24"/>
    <w:rsid w:val="004A4D8A"/>
    <w:rsid w:val="004A744D"/>
    <w:rsid w:val="004B60BD"/>
    <w:rsid w:val="004C0ED7"/>
    <w:rsid w:val="004C3150"/>
    <w:rsid w:val="004C3641"/>
    <w:rsid w:val="004C3873"/>
    <w:rsid w:val="004C4390"/>
    <w:rsid w:val="004C4AF7"/>
    <w:rsid w:val="004C7501"/>
    <w:rsid w:val="004C75D2"/>
    <w:rsid w:val="004D020C"/>
    <w:rsid w:val="004D2881"/>
    <w:rsid w:val="004D2D7D"/>
    <w:rsid w:val="004D385F"/>
    <w:rsid w:val="004D5B39"/>
    <w:rsid w:val="004D60FC"/>
    <w:rsid w:val="004D7976"/>
    <w:rsid w:val="004D7AAB"/>
    <w:rsid w:val="004E0CEA"/>
    <w:rsid w:val="004E330D"/>
    <w:rsid w:val="004E4985"/>
    <w:rsid w:val="004E5147"/>
    <w:rsid w:val="004E69B5"/>
    <w:rsid w:val="004F50D1"/>
    <w:rsid w:val="004F5C43"/>
    <w:rsid w:val="005050A2"/>
    <w:rsid w:val="00506030"/>
    <w:rsid w:val="0050652D"/>
    <w:rsid w:val="00506C03"/>
    <w:rsid w:val="00511A11"/>
    <w:rsid w:val="00516496"/>
    <w:rsid w:val="00522E7D"/>
    <w:rsid w:val="00523B11"/>
    <w:rsid w:val="0052455B"/>
    <w:rsid w:val="0052572A"/>
    <w:rsid w:val="00527E43"/>
    <w:rsid w:val="00530900"/>
    <w:rsid w:val="00532DFB"/>
    <w:rsid w:val="00536241"/>
    <w:rsid w:val="005362C4"/>
    <w:rsid w:val="0054341F"/>
    <w:rsid w:val="00543CB3"/>
    <w:rsid w:val="005442E4"/>
    <w:rsid w:val="00547652"/>
    <w:rsid w:val="0055529B"/>
    <w:rsid w:val="00560FF0"/>
    <w:rsid w:val="005614BD"/>
    <w:rsid w:val="0057154F"/>
    <w:rsid w:val="00580F69"/>
    <w:rsid w:val="00581CA3"/>
    <w:rsid w:val="00584456"/>
    <w:rsid w:val="00585031"/>
    <w:rsid w:val="00586E8B"/>
    <w:rsid w:val="00587090"/>
    <w:rsid w:val="00587A44"/>
    <w:rsid w:val="00592E63"/>
    <w:rsid w:val="00597730"/>
    <w:rsid w:val="005977EC"/>
    <w:rsid w:val="00597DE7"/>
    <w:rsid w:val="005A1CD3"/>
    <w:rsid w:val="005A4AA2"/>
    <w:rsid w:val="005B34B6"/>
    <w:rsid w:val="005B606A"/>
    <w:rsid w:val="005B6C8F"/>
    <w:rsid w:val="005B6EC3"/>
    <w:rsid w:val="005C17D7"/>
    <w:rsid w:val="005C33CE"/>
    <w:rsid w:val="005D0F74"/>
    <w:rsid w:val="005D2E7D"/>
    <w:rsid w:val="005D4A8F"/>
    <w:rsid w:val="005D561B"/>
    <w:rsid w:val="005D578F"/>
    <w:rsid w:val="005D5ECF"/>
    <w:rsid w:val="005E6B4F"/>
    <w:rsid w:val="005F468D"/>
    <w:rsid w:val="005F69A3"/>
    <w:rsid w:val="00604CC7"/>
    <w:rsid w:val="0061100C"/>
    <w:rsid w:val="00613441"/>
    <w:rsid w:val="00615423"/>
    <w:rsid w:val="006165B2"/>
    <w:rsid w:val="00617276"/>
    <w:rsid w:val="006177E4"/>
    <w:rsid w:val="0062527B"/>
    <w:rsid w:val="00625D97"/>
    <w:rsid w:val="00625F1C"/>
    <w:rsid w:val="0062658E"/>
    <w:rsid w:val="006279E1"/>
    <w:rsid w:val="00630CEB"/>
    <w:rsid w:val="00632264"/>
    <w:rsid w:val="0063546E"/>
    <w:rsid w:val="006355F2"/>
    <w:rsid w:val="006456FA"/>
    <w:rsid w:val="006470BC"/>
    <w:rsid w:val="0065111C"/>
    <w:rsid w:val="006554D3"/>
    <w:rsid w:val="00656640"/>
    <w:rsid w:val="006603F4"/>
    <w:rsid w:val="00661245"/>
    <w:rsid w:val="00661708"/>
    <w:rsid w:val="00666522"/>
    <w:rsid w:val="00667036"/>
    <w:rsid w:val="00667B89"/>
    <w:rsid w:val="00673BDB"/>
    <w:rsid w:val="00674341"/>
    <w:rsid w:val="00675EEC"/>
    <w:rsid w:val="006771B8"/>
    <w:rsid w:val="00682631"/>
    <w:rsid w:val="00683A89"/>
    <w:rsid w:val="006843B6"/>
    <w:rsid w:val="0068481F"/>
    <w:rsid w:val="00685510"/>
    <w:rsid w:val="006929FB"/>
    <w:rsid w:val="00693EA1"/>
    <w:rsid w:val="0069636F"/>
    <w:rsid w:val="00696F5D"/>
    <w:rsid w:val="00697249"/>
    <w:rsid w:val="006A06F3"/>
    <w:rsid w:val="006A1A3C"/>
    <w:rsid w:val="006A1A67"/>
    <w:rsid w:val="006B09C4"/>
    <w:rsid w:val="006B3947"/>
    <w:rsid w:val="006B4293"/>
    <w:rsid w:val="006B624F"/>
    <w:rsid w:val="006C0C95"/>
    <w:rsid w:val="006C31E3"/>
    <w:rsid w:val="006C4B3A"/>
    <w:rsid w:val="006D18D3"/>
    <w:rsid w:val="006D1EE9"/>
    <w:rsid w:val="006D3BD1"/>
    <w:rsid w:val="006E010E"/>
    <w:rsid w:val="006E08CB"/>
    <w:rsid w:val="006E598D"/>
    <w:rsid w:val="0070437D"/>
    <w:rsid w:val="00704CF1"/>
    <w:rsid w:val="00705B04"/>
    <w:rsid w:val="0071040E"/>
    <w:rsid w:val="00717EE9"/>
    <w:rsid w:val="00723CFE"/>
    <w:rsid w:val="00724992"/>
    <w:rsid w:val="00724F64"/>
    <w:rsid w:val="00727F90"/>
    <w:rsid w:val="00734820"/>
    <w:rsid w:val="007349DC"/>
    <w:rsid w:val="0074365E"/>
    <w:rsid w:val="00744B55"/>
    <w:rsid w:val="00746F20"/>
    <w:rsid w:val="007515FD"/>
    <w:rsid w:val="00760D80"/>
    <w:rsid w:val="00761CB4"/>
    <w:rsid w:val="00780C09"/>
    <w:rsid w:val="00780DDF"/>
    <w:rsid w:val="007834E9"/>
    <w:rsid w:val="00787DBC"/>
    <w:rsid w:val="0079019A"/>
    <w:rsid w:val="00792935"/>
    <w:rsid w:val="007A04A1"/>
    <w:rsid w:val="007A1840"/>
    <w:rsid w:val="007B32BD"/>
    <w:rsid w:val="007B730C"/>
    <w:rsid w:val="007C0528"/>
    <w:rsid w:val="007C08D7"/>
    <w:rsid w:val="007C08EA"/>
    <w:rsid w:val="007C3D38"/>
    <w:rsid w:val="007C6599"/>
    <w:rsid w:val="007D0F35"/>
    <w:rsid w:val="007D1783"/>
    <w:rsid w:val="007D4546"/>
    <w:rsid w:val="007D4FEB"/>
    <w:rsid w:val="007D5AA2"/>
    <w:rsid w:val="007D6146"/>
    <w:rsid w:val="007E0CE7"/>
    <w:rsid w:val="007F1193"/>
    <w:rsid w:val="007F417F"/>
    <w:rsid w:val="007F7644"/>
    <w:rsid w:val="00800B8D"/>
    <w:rsid w:val="00803801"/>
    <w:rsid w:val="008042BD"/>
    <w:rsid w:val="00804E17"/>
    <w:rsid w:val="008050A8"/>
    <w:rsid w:val="008050B3"/>
    <w:rsid w:val="00816624"/>
    <w:rsid w:val="00822427"/>
    <w:rsid w:val="00822562"/>
    <w:rsid w:val="00823663"/>
    <w:rsid w:val="00823664"/>
    <w:rsid w:val="008305B7"/>
    <w:rsid w:val="00832DDC"/>
    <w:rsid w:val="00836DF8"/>
    <w:rsid w:val="008426B0"/>
    <w:rsid w:val="008431BB"/>
    <w:rsid w:val="00843CD6"/>
    <w:rsid w:val="00844719"/>
    <w:rsid w:val="00845E34"/>
    <w:rsid w:val="00850BAC"/>
    <w:rsid w:val="00854A3E"/>
    <w:rsid w:val="00855D08"/>
    <w:rsid w:val="008618A4"/>
    <w:rsid w:val="008731AB"/>
    <w:rsid w:val="00874344"/>
    <w:rsid w:val="0087505D"/>
    <w:rsid w:val="00877703"/>
    <w:rsid w:val="00882155"/>
    <w:rsid w:val="0088233B"/>
    <w:rsid w:val="0088599E"/>
    <w:rsid w:val="00886C37"/>
    <w:rsid w:val="008915FC"/>
    <w:rsid w:val="00892D99"/>
    <w:rsid w:val="00893315"/>
    <w:rsid w:val="00894C09"/>
    <w:rsid w:val="008B5C68"/>
    <w:rsid w:val="008B62AE"/>
    <w:rsid w:val="008C04B5"/>
    <w:rsid w:val="008C0B2F"/>
    <w:rsid w:val="008C12E0"/>
    <w:rsid w:val="008C14FA"/>
    <w:rsid w:val="008C7B0B"/>
    <w:rsid w:val="008D4057"/>
    <w:rsid w:val="008D56F6"/>
    <w:rsid w:val="008E04B6"/>
    <w:rsid w:val="008E1F19"/>
    <w:rsid w:val="008F2262"/>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18E6"/>
    <w:rsid w:val="00934336"/>
    <w:rsid w:val="0093658B"/>
    <w:rsid w:val="009429FF"/>
    <w:rsid w:val="009444D1"/>
    <w:rsid w:val="00945BD6"/>
    <w:rsid w:val="009479FB"/>
    <w:rsid w:val="00951C45"/>
    <w:rsid w:val="00951DD8"/>
    <w:rsid w:val="009525C3"/>
    <w:rsid w:val="00952C45"/>
    <w:rsid w:val="009656F2"/>
    <w:rsid w:val="00966A08"/>
    <w:rsid w:val="009701B7"/>
    <w:rsid w:val="00971207"/>
    <w:rsid w:val="00975CB4"/>
    <w:rsid w:val="009863B0"/>
    <w:rsid w:val="00987DE1"/>
    <w:rsid w:val="00990571"/>
    <w:rsid w:val="00991905"/>
    <w:rsid w:val="009926B2"/>
    <w:rsid w:val="00992FA8"/>
    <w:rsid w:val="0099673A"/>
    <w:rsid w:val="009A3291"/>
    <w:rsid w:val="009A3330"/>
    <w:rsid w:val="009A548F"/>
    <w:rsid w:val="009A7C96"/>
    <w:rsid w:val="009B61BF"/>
    <w:rsid w:val="009C3253"/>
    <w:rsid w:val="009C3DB9"/>
    <w:rsid w:val="009C5968"/>
    <w:rsid w:val="009D0436"/>
    <w:rsid w:val="009D46E5"/>
    <w:rsid w:val="009D500F"/>
    <w:rsid w:val="009D568A"/>
    <w:rsid w:val="009F04EC"/>
    <w:rsid w:val="009F2A7C"/>
    <w:rsid w:val="009F3B36"/>
    <w:rsid w:val="00A019B9"/>
    <w:rsid w:val="00A03157"/>
    <w:rsid w:val="00A11756"/>
    <w:rsid w:val="00A12497"/>
    <w:rsid w:val="00A12508"/>
    <w:rsid w:val="00A1282B"/>
    <w:rsid w:val="00A13A27"/>
    <w:rsid w:val="00A15B7C"/>
    <w:rsid w:val="00A175B6"/>
    <w:rsid w:val="00A21835"/>
    <w:rsid w:val="00A2374B"/>
    <w:rsid w:val="00A23AAB"/>
    <w:rsid w:val="00A27D6E"/>
    <w:rsid w:val="00A328EC"/>
    <w:rsid w:val="00A33A51"/>
    <w:rsid w:val="00A41CA6"/>
    <w:rsid w:val="00A431ED"/>
    <w:rsid w:val="00A47927"/>
    <w:rsid w:val="00A47FFC"/>
    <w:rsid w:val="00A51599"/>
    <w:rsid w:val="00A5442F"/>
    <w:rsid w:val="00A54FF9"/>
    <w:rsid w:val="00A56765"/>
    <w:rsid w:val="00A57047"/>
    <w:rsid w:val="00A675AC"/>
    <w:rsid w:val="00A7097D"/>
    <w:rsid w:val="00A7581F"/>
    <w:rsid w:val="00A81274"/>
    <w:rsid w:val="00A86ACA"/>
    <w:rsid w:val="00A90D3C"/>
    <w:rsid w:val="00A92439"/>
    <w:rsid w:val="00A92FB1"/>
    <w:rsid w:val="00A95980"/>
    <w:rsid w:val="00A95A0C"/>
    <w:rsid w:val="00AA2765"/>
    <w:rsid w:val="00AA77B5"/>
    <w:rsid w:val="00AB6C5D"/>
    <w:rsid w:val="00AC3401"/>
    <w:rsid w:val="00AC51A7"/>
    <w:rsid w:val="00AC603B"/>
    <w:rsid w:val="00AD0E89"/>
    <w:rsid w:val="00AD444B"/>
    <w:rsid w:val="00AD5614"/>
    <w:rsid w:val="00AD6C78"/>
    <w:rsid w:val="00AE03F0"/>
    <w:rsid w:val="00AE2EAB"/>
    <w:rsid w:val="00AF13D0"/>
    <w:rsid w:val="00AF5E0E"/>
    <w:rsid w:val="00AF5F89"/>
    <w:rsid w:val="00AF6FB4"/>
    <w:rsid w:val="00AF73CB"/>
    <w:rsid w:val="00B002D6"/>
    <w:rsid w:val="00B02EF0"/>
    <w:rsid w:val="00B03379"/>
    <w:rsid w:val="00B03FA5"/>
    <w:rsid w:val="00B04110"/>
    <w:rsid w:val="00B05B51"/>
    <w:rsid w:val="00B07BCE"/>
    <w:rsid w:val="00B14E5A"/>
    <w:rsid w:val="00B15370"/>
    <w:rsid w:val="00B160E6"/>
    <w:rsid w:val="00B1659E"/>
    <w:rsid w:val="00B16DA4"/>
    <w:rsid w:val="00B17BEB"/>
    <w:rsid w:val="00B21A3C"/>
    <w:rsid w:val="00B223C0"/>
    <w:rsid w:val="00B234ED"/>
    <w:rsid w:val="00B249B2"/>
    <w:rsid w:val="00B25CA3"/>
    <w:rsid w:val="00B2765A"/>
    <w:rsid w:val="00B3109A"/>
    <w:rsid w:val="00B32D37"/>
    <w:rsid w:val="00B37ABF"/>
    <w:rsid w:val="00B41AA8"/>
    <w:rsid w:val="00B42B45"/>
    <w:rsid w:val="00B453E2"/>
    <w:rsid w:val="00B51421"/>
    <w:rsid w:val="00B516ED"/>
    <w:rsid w:val="00B565DA"/>
    <w:rsid w:val="00B57A6A"/>
    <w:rsid w:val="00B62D0D"/>
    <w:rsid w:val="00B760F1"/>
    <w:rsid w:val="00B7669E"/>
    <w:rsid w:val="00B76EBB"/>
    <w:rsid w:val="00B77DA1"/>
    <w:rsid w:val="00B822A0"/>
    <w:rsid w:val="00B82F85"/>
    <w:rsid w:val="00B858AE"/>
    <w:rsid w:val="00B85964"/>
    <w:rsid w:val="00B96250"/>
    <w:rsid w:val="00B96CA8"/>
    <w:rsid w:val="00BA0D55"/>
    <w:rsid w:val="00BA37B3"/>
    <w:rsid w:val="00BA4CC6"/>
    <w:rsid w:val="00BA57CB"/>
    <w:rsid w:val="00BA7F46"/>
    <w:rsid w:val="00BB0F1D"/>
    <w:rsid w:val="00BB3493"/>
    <w:rsid w:val="00BB6E4C"/>
    <w:rsid w:val="00BB7468"/>
    <w:rsid w:val="00BC0514"/>
    <w:rsid w:val="00BC188A"/>
    <w:rsid w:val="00BC402E"/>
    <w:rsid w:val="00BC4046"/>
    <w:rsid w:val="00BC70C6"/>
    <w:rsid w:val="00BD0F48"/>
    <w:rsid w:val="00BD14E5"/>
    <w:rsid w:val="00BE0E50"/>
    <w:rsid w:val="00BE6DDB"/>
    <w:rsid w:val="00BF03E0"/>
    <w:rsid w:val="00BF38D0"/>
    <w:rsid w:val="00BF5010"/>
    <w:rsid w:val="00C03009"/>
    <w:rsid w:val="00C03D5F"/>
    <w:rsid w:val="00C13791"/>
    <w:rsid w:val="00C1442E"/>
    <w:rsid w:val="00C210BD"/>
    <w:rsid w:val="00C2575A"/>
    <w:rsid w:val="00C31BB3"/>
    <w:rsid w:val="00C36977"/>
    <w:rsid w:val="00C46628"/>
    <w:rsid w:val="00C467DA"/>
    <w:rsid w:val="00C477D9"/>
    <w:rsid w:val="00C47829"/>
    <w:rsid w:val="00C5452B"/>
    <w:rsid w:val="00C5649F"/>
    <w:rsid w:val="00C57869"/>
    <w:rsid w:val="00C60BA3"/>
    <w:rsid w:val="00C623F7"/>
    <w:rsid w:val="00C62A81"/>
    <w:rsid w:val="00C66A65"/>
    <w:rsid w:val="00C67CD7"/>
    <w:rsid w:val="00C71E00"/>
    <w:rsid w:val="00C75BC5"/>
    <w:rsid w:val="00C81670"/>
    <w:rsid w:val="00C81773"/>
    <w:rsid w:val="00C82861"/>
    <w:rsid w:val="00C86896"/>
    <w:rsid w:val="00C86CC6"/>
    <w:rsid w:val="00C86F6A"/>
    <w:rsid w:val="00C907A8"/>
    <w:rsid w:val="00C90BAC"/>
    <w:rsid w:val="00C91670"/>
    <w:rsid w:val="00C93211"/>
    <w:rsid w:val="00C93DB8"/>
    <w:rsid w:val="00C942EC"/>
    <w:rsid w:val="00C96047"/>
    <w:rsid w:val="00C979D0"/>
    <w:rsid w:val="00CA0818"/>
    <w:rsid w:val="00CA15C8"/>
    <w:rsid w:val="00CA2C8F"/>
    <w:rsid w:val="00CA30DA"/>
    <w:rsid w:val="00CA3A24"/>
    <w:rsid w:val="00CB1777"/>
    <w:rsid w:val="00CB33E9"/>
    <w:rsid w:val="00CB690F"/>
    <w:rsid w:val="00CC10A9"/>
    <w:rsid w:val="00CD0655"/>
    <w:rsid w:val="00CE2BF8"/>
    <w:rsid w:val="00CE2DD5"/>
    <w:rsid w:val="00CE452A"/>
    <w:rsid w:val="00CE484E"/>
    <w:rsid w:val="00CE4D20"/>
    <w:rsid w:val="00CE618C"/>
    <w:rsid w:val="00CE656F"/>
    <w:rsid w:val="00CF0DA8"/>
    <w:rsid w:val="00CF2E25"/>
    <w:rsid w:val="00CF4453"/>
    <w:rsid w:val="00CF5589"/>
    <w:rsid w:val="00CF5D94"/>
    <w:rsid w:val="00CF77A9"/>
    <w:rsid w:val="00CF7E0F"/>
    <w:rsid w:val="00D00893"/>
    <w:rsid w:val="00D034D7"/>
    <w:rsid w:val="00D04BE4"/>
    <w:rsid w:val="00D06FC7"/>
    <w:rsid w:val="00D11A99"/>
    <w:rsid w:val="00D12565"/>
    <w:rsid w:val="00D140C1"/>
    <w:rsid w:val="00D14127"/>
    <w:rsid w:val="00D479AE"/>
    <w:rsid w:val="00D5083D"/>
    <w:rsid w:val="00D50FCD"/>
    <w:rsid w:val="00D533E3"/>
    <w:rsid w:val="00D60B16"/>
    <w:rsid w:val="00D60F02"/>
    <w:rsid w:val="00D61637"/>
    <w:rsid w:val="00D66E49"/>
    <w:rsid w:val="00D70D71"/>
    <w:rsid w:val="00D72F74"/>
    <w:rsid w:val="00D81563"/>
    <w:rsid w:val="00D837C1"/>
    <w:rsid w:val="00D85907"/>
    <w:rsid w:val="00D860AC"/>
    <w:rsid w:val="00D90088"/>
    <w:rsid w:val="00D9073E"/>
    <w:rsid w:val="00D9221D"/>
    <w:rsid w:val="00D9253C"/>
    <w:rsid w:val="00D94038"/>
    <w:rsid w:val="00D952C3"/>
    <w:rsid w:val="00D958DF"/>
    <w:rsid w:val="00D96DA1"/>
    <w:rsid w:val="00DA51E7"/>
    <w:rsid w:val="00DB0260"/>
    <w:rsid w:val="00DB1C78"/>
    <w:rsid w:val="00DB2F8D"/>
    <w:rsid w:val="00DB7D96"/>
    <w:rsid w:val="00DC23FE"/>
    <w:rsid w:val="00DC3FF6"/>
    <w:rsid w:val="00DC54F3"/>
    <w:rsid w:val="00DC59E6"/>
    <w:rsid w:val="00DD150B"/>
    <w:rsid w:val="00DD3356"/>
    <w:rsid w:val="00DD5025"/>
    <w:rsid w:val="00DD5464"/>
    <w:rsid w:val="00DD5D54"/>
    <w:rsid w:val="00DD6F85"/>
    <w:rsid w:val="00DE254E"/>
    <w:rsid w:val="00DE32C0"/>
    <w:rsid w:val="00DE76A7"/>
    <w:rsid w:val="00DF1510"/>
    <w:rsid w:val="00E02F1F"/>
    <w:rsid w:val="00E05454"/>
    <w:rsid w:val="00E06484"/>
    <w:rsid w:val="00E06B24"/>
    <w:rsid w:val="00E20A7D"/>
    <w:rsid w:val="00E23FE4"/>
    <w:rsid w:val="00E263A4"/>
    <w:rsid w:val="00E275D8"/>
    <w:rsid w:val="00E30F6A"/>
    <w:rsid w:val="00E3117C"/>
    <w:rsid w:val="00E31288"/>
    <w:rsid w:val="00E34307"/>
    <w:rsid w:val="00E34511"/>
    <w:rsid w:val="00E3635B"/>
    <w:rsid w:val="00E375C3"/>
    <w:rsid w:val="00E375CA"/>
    <w:rsid w:val="00E5364F"/>
    <w:rsid w:val="00E53CDE"/>
    <w:rsid w:val="00E55D35"/>
    <w:rsid w:val="00E567E8"/>
    <w:rsid w:val="00E60157"/>
    <w:rsid w:val="00E63766"/>
    <w:rsid w:val="00E64679"/>
    <w:rsid w:val="00E65EBC"/>
    <w:rsid w:val="00E6602E"/>
    <w:rsid w:val="00E677FE"/>
    <w:rsid w:val="00E73432"/>
    <w:rsid w:val="00E77B0C"/>
    <w:rsid w:val="00E77FB8"/>
    <w:rsid w:val="00E838B0"/>
    <w:rsid w:val="00E841EE"/>
    <w:rsid w:val="00E86A7C"/>
    <w:rsid w:val="00E878E1"/>
    <w:rsid w:val="00E87F2C"/>
    <w:rsid w:val="00E9221C"/>
    <w:rsid w:val="00E95063"/>
    <w:rsid w:val="00E95278"/>
    <w:rsid w:val="00E96A42"/>
    <w:rsid w:val="00EA2273"/>
    <w:rsid w:val="00EA2851"/>
    <w:rsid w:val="00EA7C3C"/>
    <w:rsid w:val="00EB2DB3"/>
    <w:rsid w:val="00EC3FBB"/>
    <w:rsid w:val="00EC469E"/>
    <w:rsid w:val="00EC6B7A"/>
    <w:rsid w:val="00EC7CF1"/>
    <w:rsid w:val="00ED3A87"/>
    <w:rsid w:val="00ED5B67"/>
    <w:rsid w:val="00EE1A5C"/>
    <w:rsid w:val="00EE5F5A"/>
    <w:rsid w:val="00EE6F1C"/>
    <w:rsid w:val="00EF264C"/>
    <w:rsid w:val="00EF3FEE"/>
    <w:rsid w:val="00EF6B41"/>
    <w:rsid w:val="00F0042C"/>
    <w:rsid w:val="00F04B59"/>
    <w:rsid w:val="00F06699"/>
    <w:rsid w:val="00F07B69"/>
    <w:rsid w:val="00F102E7"/>
    <w:rsid w:val="00F11741"/>
    <w:rsid w:val="00F117B0"/>
    <w:rsid w:val="00F12B1C"/>
    <w:rsid w:val="00F13CF8"/>
    <w:rsid w:val="00F15855"/>
    <w:rsid w:val="00F15CDD"/>
    <w:rsid w:val="00F200B2"/>
    <w:rsid w:val="00F21BAF"/>
    <w:rsid w:val="00F227DC"/>
    <w:rsid w:val="00F263B9"/>
    <w:rsid w:val="00F30701"/>
    <w:rsid w:val="00F32978"/>
    <w:rsid w:val="00F45CB2"/>
    <w:rsid w:val="00F46B40"/>
    <w:rsid w:val="00F511F3"/>
    <w:rsid w:val="00F544C0"/>
    <w:rsid w:val="00F55332"/>
    <w:rsid w:val="00F60799"/>
    <w:rsid w:val="00F6156E"/>
    <w:rsid w:val="00F6504A"/>
    <w:rsid w:val="00F65519"/>
    <w:rsid w:val="00F66D9F"/>
    <w:rsid w:val="00F713C0"/>
    <w:rsid w:val="00F721B3"/>
    <w:rsid w:val="00F75DDC"/>
    <w:rsid w:val="00F7792F"/>
    <w:rsid w:val="00F842AA"/>
    <w:rsid w:val="00F8476F"/>
    <w:rsid w:val="00F853E1"/>
    <w:rsid w:val="00F85604"/>
    <w:rsid w:val="00F93809"/>
    <w:rsid w:val="00F94B7A"/>
    <w:rsid w:val="00F95C73"/>
    <w:rsid w:val="00FA17AC"/>
    <w:rsid w:val="00FA32DE"/>
    <w:rsid w:val="00FA3382"/>
    <w:rsid w:val="00FA59CD"/>
    <w:rsid w:val="00FB0CDC"/>
    <w:rsid w:val="00FB1740"/>
    <w:rsid w:val="00FB4235"/>
    <w:rsid w:val="00FC270E"/>
    <w:rsid w:val="00FC4446"/>
    <w:rsid w:val="00FC5469"/>
    <w:rsid w:val="00FC6D7D"/>
    <w:rsid w:val="00FD0496"/>
    <w:rsid w:val="00FD16B0"/>
    <w:rsid w:val="00FD4FED"/>
    <w:rsid w:val="00FD5946"/>
    <w:rsid w:val="00FE00C8"/>
    <w:rsid w:val="00FE0577"/>
    <w:rsid w:val="00FE2FF8"/>
    <w:rsid w:val="00FE59EC"/>
    <w:rsid w:val="00FE5B67"/>
    <w:rsid w:val="00FE60D6"/>
    <w:rsid w:val="00FF2685"/>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4:docId w14:val="5A825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semiHidden/>
    <w:unhideWhenUsed/>
    <w:rsid w:val="004D60FC"/>
    <w:rPr>
      <w:vertAlign w:val="superscript"/>
    </w:rPr>
  </w:style>
  <w:style w:type="character" w:styleId="CommentReference">
    <w:name w:val="annotation reference"/>
    <w:basedOn w:val="DefaultParagraphFont"/>
    <w:semiHidden/>
    <w:unhideWhenUsed/>
    <w:rsid w:val="002C5F3D"/>
    <w:rPr>
      <w:sz w:val="16"/>
      <w:szCs w:val="16"/>
    </w:rPr>
  </w:style>
  <w:style w:type="paragraph" w:customStyle="1" w:styleId="Rule">
    <w:name w:val="Rule"/>
    <w:link w:val="RuleChar"/>
    <w:qFormat/>
    <w:rsid w:val="00B51421"/>
    <w:pPr>
      <w:widowControl w:val="0"/>
      <w:tabs>
        <w:tab w:val="left" w:pos="720"/>
      </w:tabs>
      <w:spacing w:line="536" w:lineRule="exact"/>
    </w:pPr>
    <w:rPr>
      <w:sz w:val="24"/>
      <w:szCs w:val="24"/>
    </w:rPr>
  </w:style>
  <w:style w:type="character" w:customStyle="1" w:styleId="RuleChar">
    <w:name w:val="Rule Char"/>
    <w:link w:val="Rule"/>
    <w:rsid w:val="00B51421"/>
    <w:rPr>
      <w:sz w:val="24"/>
      <w:szCs w:val="24"/>
    </w:rPr>
  </w:style>
  <w:style w:type="paragraph" w:customStyle="1" w:styleId="RuleHeader">
    <w:name w:val="Rule Header"/>
    <w:basedOn w:val="Rule"/>
    <w:rsid w:val="00B51421"/>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88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4.jpg"/><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jpg"/><Relationship Id="rId10" Type="http://schemas.openxmlformats.org/officeDocument/2006/relationships/header" Target="header2.xml"/><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(Regular).dotm</Template>
  <TotalTime>0</TotalTime>
  <Pages>20</Pages>
  <Words>5169</Words>
  <Characters>28187</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2024-02-22T14:45:00Z</dcterms:created>
  <dcterms:modified xsi:type="dcterms:W3CDTF">2024-02-22T14:45:00Z</dcterms:modified>
  <cp:category/>
</cp:coreProperties>
</file>