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D2D53">
            <w:pPr>
              <w:pStyle w:val="MastHeadState"/>
            </w:pPr>
            <w:bookmarkStart w:id="0" w:name="_GoBack"/>
            <w:bookmarkEnd w:id="0"/>
            <w:r>
              <w:t xml:space="preserve">    </w:t>
            </w:r>
            <w:r w:rsidR="007C0528">
              <w:t>State of Florida</w:t>
            </w:r>
          </w:p>
          <w:p w:rsidR="007C0528" w:rsidRDefault="00774B95">
            <w:pPr>
              <w:jc w:val="center"/>
            </w:pPr>
            <w:r>
              <w:rPr>
                <w:noProof/>
              </w:rPr>
              <w:drawing>
                <wp:inline distT="0" distB="0" distL="0" distR="0" wp14:anchorId="17A4CE8C" wp14:editId="289489F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F1A1F">
            <w:pPr>
              <w:pStyle w:val="MemoHeading"/>
            </w:pPr>
            <w:bookmarkStart w:id="1" w:name="FilingDate"/>
            <w:r>
              <w:t>July 9,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F1A1F" w:rsidRDefault="008F1A1F">
            <w:pPr>
              <w:pStyle w:val="MemoHeading"/>
            </w:pPr>
            <w:bookmarkStart w:id="2" w:name="From"/>
            <w:r>
              <w:t>Division of Economics (Bruce, Daniel, Hudson)</w:t>
            </w:r>
          </w:p>
          <w:p w:rsidR="008F1A1F" w:rsidRDefault="008F1A1F">
            <w:pPr>
              <w:pStyle w:val="MemoHeading"/>
            </w:pPr>
            <w:r>
              <w:t xml:space="preserve">Division of Accounting and Finance (Archer, </w:t>
            </w:r>
            <w:proofErr w:type="spellStart"/>
            <w:r>
              <w:t>Bulecza</w:t>
            </w:r>
            <w:proofErr w:type="spellEnd"/>
            <w:r>
              <w:t xml:space="preserve">-Banks, </w:t>
            </w:r>
            <w:r w:rsidR="001151ED">
              <w:t xml:space="preserve">D. </w:t>
            </w:r>
            <w:r>
              <w:t>Buys, Cicchetti)</w:t>
            </w:r>
          </w:p>
          <w:p w:rsidR="001151ED" w:rsidRPr="001151ED" w:rsidRDefault="001151ED" w:rsidP="001151ED">
            <w:r>
              <w:t>Division of Engineering (Watts)</w:t>
            </w:r>
          </w:p>
          <w:p w:rsidR="007C0528" w:rsidRDefault="008F1A1F">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F1A1F">
            <w:pPr>
              <w:pStyle w:val="MemoHeadingRe"/>
            </w:pPr>
            <w:bookmarkStart w:id="3" w:name="Re"/>
            <w:r>
              <w:t xml:space="preserve">Docket No. 150102-SU – Application for increase in wastewater rates in Charlotte County by Utilities, Inc. of </w:t>
            </w:r>
            <w:proofErr w:type="spellStart"/>
            <w:r>
              <w:t>Sandalhaven</w:t>
            </w:r>
            <w:proofErr w:type="spellEnd"/>
            <w:r>
              <w: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F1A1F">
            <w:pPr>
              <w:pStyle w:val="MemoHeading"/>
            </w:pPr>
            <w:bookmarkStart w:id="4" w:name="AgendaDate"/>
            <w:r>
              <w:t>07/21/15</w:t>
            </w:r>
            <w:bookmarkEnd w:id="4"/>
            <w:r w:rsidR="007C0528">
              <w:t xml:space="preserve"> – </w:t>
            </w:r>
            <w:bookmarkStart w:id="5" w:name="PermittedStatus"/>
            <w:r>
              <w:t xml:space="preserve">Regular Agenda – Decision on </w:t>
            </w:r>
            <w:r w:rsidR="00121D0A">
              <w:t xml:space="preserve">Suspension of Rates and </w:t>
            </w:r>
            <w:r>
              <w:t>Interim Rates –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F1A1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F1A1F">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F1A1F">
            <w:pPr>
              <w:pStyle w:val="MemoHeading"/>
            </w:pPr>
            <w:bookmarkStart w:id="9" w:name="CriticalDates"/>
            <w:r>
              <w:t>08/03/15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F1A1F">
            <w:pPr>
              <w:pStyle w:val="MemoHeading"/>
            </w:pPr>
            <w:bookmarkStart w:id="10" w:name="SpecialInstructions"/>
            <w:r>
              <w:t>None</w:t>
            </w:r>
            <w:bookmarkEnd w:id="10"/>
          </w:p>
        </w:tc>
      </w:tr>
    </w:tbl>
    <w:p w:rsidR="007C0528" w:rsidRDefault="007C0528" w:rsidP="00DA0319"/>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DA0319" w:rsidRDefault="00DA0319" w:rsidP="00DA0319">
      <w:pPr>
        <w:jc w:val="both"/>
      </w:pPr>
      <w:r>
        <w:t xml:space="preserve">Utilities, Inc. of </w:t>
      </w:r>
      <w:proofErr w:type="spellStart"/>
      <w:r>
        <w:t>Sandalhaven</w:t>
      </w:r>
      <w:proofErr w:type="spellEnd"/>
      <w:r>
        <w:t xml:space="preserve"> (</w:t>
      </w:r>
      <w:proofErr w:type="spellStart"/>
      <w:r>
        <w:t>Sandalhaven</w:t>
      </w:r>
      <w:proofErr w:type="spellEnd"/>
      <w:r>
        <w:t xml:space="preserve"> or utility) is a Class B wastewater utility serving </w:t>
      </w:r>
      <w:r w:rsidR="00FA4E0F">
        <w:t>835</w:t>
      </w:r>
      <w:r>
        <w:t xml:space="preserve"> wastewater customers in Charlotte County. Water service to the area is supplied by Charlotte County.</w:t>
      </w:r>
      <w:r w:rsidR="00121D0A">
        <w:t xml:space="preserve"> </w:t>
      </w:r>
      <w:r>
        <w:t>According to the utility’s 2014 annual report, the utility had</w:t>
      </w:r>
      <w:r w:rsidR="0057390D">
        <w:t xml:space="preserve"> operating revenues of $668,757 and</w:t>
      </w:r>
      <w:r>
        <w:t xml:space="preserve"> operating expenses of $841,708.</w:t>
      </w:r>
    </w:p>
    <w:p w:rsidR="00DA0319" w:rsidRDefault="00DA0319" w:rsidP="00DA0319">
      <w:pPr>
        <w:ind w:firstLine="720"/>
        <w:jc w:val="both"/>
      </w:pPr>
    </w:p>
    <w:p w:rsidR="0068481F" w:rsidRDefault="00DA0319" w:rsidP="00DA0319">
      <w:pPr>
        <w:pStyle w:val="BodyText"/>
      </w:pPr>
      <w:proofErr w:type="spellStart"/>
      <w:r>
        <w:t>Sandalhaven</w:t>
      </w:r>
      <w:proofErr w:type="spellEnd"/>
      <w:r>
        <w:t xml:space="preserve"> has been in existence since 1983 and was granted an original certificate in 1995</w:t>
      </w:r>
      <w:r w:rsidR="00A23B20">
        <w:t xml:space="preserve"> following Charlotte County adopting a resolution giving the </w:t>
      </w:r>
      <w:r w:rsidR="004A415E">
        <w:t>Florida Public Service Commission (</w:t>
      </w:r>
      <w:r w:rsidR="00A23B20">
        <w:t>Commission</w:t>
      </w:r>
      <w:r w:rsidR="004A415E">
        <w:t>)</w:t>
      </w:r>
      <w:r w:rsidR="00A23B20">
        <w:t xml:space="preserve"> jurisdiction over privately owned water and wastewater utilities</w:t>
      </w:r>
      <w:r>
        <w:t>.</w:t>
      </w:r>
      <w:r>
        <w:rPr>
          <w:rStyle w:val="FootnoteReference"/>
        </w:rPr>
        <w:footnoteReference w:id="1"/>
      </w:r>
      <w:r>
        <w:t xml:space="preserve">  Effective </w:t>
      </w:r>
      <w:r>
        <w:lastRenderedPageBreak/>
        <w:t>September 25, 2007, the Commission’s jurisdiction was rescinded by Charlotte County and the certificate was cancelled.</w:t>
      </w:r>
      <w:r>
        <w:rPr>
          <w:rStyle w:val="FootnoteReference"/>
        </w:rPr>
        <w:footnoteReference w:id="2"/>
      </w:r>
      <w:r>
        <w:t xml:space="preserve">  Subsequently</w:t>
      </w:r>
      <w:r w:rsidR="00F96E1E">
        <w:t>,</w:t>
      </w:r>
      <w:r>
        <w:t xml:space="preserve"> in 2013, Charlotte County transfer</w:t>
      </w:r>
      <w:r w:rsidR="005579E3">
        <w:t>red jurisdiction back to the Commission</w:t>
      </w:r>
      <w:r w:rsidR="00AD7FCB">
        <w:t xml:space="preserve">. </w:t>
      </w:r>
      <w:r>
        <w:t xml:space="preserve">Effective February 12, 2013, </w:t>
      </w:r>
      <w:proofErr w:type="spellStart"/>
      <w:r>
        <w:t>Sandalhaven</w:t>
      </w:r>
      <w:proofErr w:type="spellEnd"/>
      <w:r>
        <w:t xml:space="preserve"> was granted Certificate No. 567-S.</w:t>
      </w:r>
      <w:r>
        <w:rPr>
          <w:rStyle w:val="FootnoteReference"/>
        </w:rPr>
        <w:footnoteReference w:id="3"/>
      </w:r>
      <w:r>
        <w:t xml:space="preserve">  The Commission set rate base for the utility in 2007</w:t>
      </w:r>
      <w:r w:rsidR="00121D0A">
        <w:t>.</w:t>
      </w:r>
      <w:r>
        <w:rPr>
          <w:rStyle w:val="FootnoteReference"/>
        </w:rPr>
        <w:footnoteReference w:id="4"/>
      </w:r>
      <w:r>
        <w:t xml:space="preserve">  However, the utility’s current rates were established by Charlotte County</w:t>
      </w:r>
      <w:r w:rsidR="00436E90">
        <w:t>,</w:t>
      </w:r>
      <w:r>
        <w:t xml:space="preserve"> in Resolution 2012-209</w:t>
      </w:r>
      <w:r w:rsidR="00436E90">
        <w:t>,</w:t>
      </w:r>
      <w:r>
        <w:t xml:space="preserve"> adopted November 13, 2012, based upon a December 31, 2010 test year.</w:t>
      </w:r>
    </w:p>
    <w:p w:rsidR="00677DAE" w:rsidRDefault="006542E5" w:rsidP="00677DAE">
      <w:pPr>
        <w:spacing w:after="240"/>
        <w:jc w:val="both"/>
      </w:pPr>
      <w:r>
        <w:t xml:space="preserve">On </w:t>
      </w:r>
      <w:r w:rsidR="00436E90">
        <w:t>June 4, 2015</w:t>
      </w:r>
      <w:r>
        <w:t xml:space="preserve">, </w:t>
      </w:r>
      <w:proofErr w:type="spellStart"/>
      <w:r w:rsidR="00436E90">
        <w:t>Sandalhaven</w:t>
      </w:r>
      <w:proofErr w:type="spellEnd"/>
      <w:r>
        <w:t xml:space="preserve"> filed its application for the rate increase at issue in the instant docket. </w:t>
      </w:r>
      <w:r w:rsidR="00A23B20">
        <w:t>A deficiency letter was sent to the utility on July 1</w:t>
      </w:r>
      <w:r w:rsidR="009A4207">
        <w:t>,</w:t>
      </w:r>
      <w:r w:rsidR="00A23B20">
        <w:t xml:space="preserve"> 2015</w:t>
      </w:r>
      <w:r w:rsidR="00E410E3">
        <w:t xml:space="preserve">, </w:t>
      </w:r>
      <w:r w:rsidR="00DF18A4">
        <w:t xml:space="preserve">and corrections </w:t>
      </w:r>
      <w:r w:rsidR="00E410E3">
        <w:t xml:space="preserve">to the minimum filing requirements (MFRs) were filed on July 6, 2015, which was established as the official date of filing pursuant to Section 367.083, Florida Statutes (F.S.). </w:t>
      </w:r>
      <w:r w:rsidR="00436E90" w:rsidRPr="00436E90">
        <w:t xml:space="preserve">The </w:t>
      </w:r>
      <w:r w:rsidR="00121D0A">
        <w:t>u</w:t>
      </w:r>
      <w:r w:rsidR="00436E90" w:rsidRPr="00436E90">
        <w:t xml:space="preserve">tility requested that the application be processed using the Proposed Agency Action (PAA) procedure and requested interim rates. The test year </w:t>
      </w:r>
      <w:r w:rsidR="00436E90" w:rsidRPr="00121D0A">
        <w:t xml:space="preserve">established for interim and final rates is the period ended December 31, 2014. </w:t>
      </w:r>
      <w:r w:rsidR="00FB7C3F">
        <w:t xml:space="preserve">The </w:t>
      </w:r>
      <w:r w:rsidR="00130CDE">
        <w:t>u</w:t>
      </w:r>
      <w:r w:rsidR="00FB7C3F">
        <w:t xml:space="preserve">tility is requesting an increase to recover reasonable and prudent costs for providing service and a reasonable rate of return on investment, including pro forma plant improvements. </w:t>
      </w:r>
      <w:proofErr w:type="spellStart"/>
      <w:r w:rsidR="00D76733">
        <w:t>Sandalhaven</w:t>
      </w:r>
      <w:proofErr w:type="spellEnd"/>
      <w:r w:rsidR="00D76733">
        <w:t xml:space="preserve"> requested</w:t>
      </w:r>
      <w:r w:rsidR="00677DAE">
        <w:t xml:space="preserve"> a</w:t>
      </w:r>
      <w:r w:rsidR="00FA689E">
        <w:t>n</w:t>
      </w:r>
      <w:r w:rsidR="00677DAE">
        <w:t xml:space="preserve"> interim revenue increase of $724,062 (106.2 percent) </w:t>
      </w:r>
      <w:r w:rsidR="00A23B20">
        <w:t xml:space="preserve">and </w:t>
      </w:r>
      <w:r w:rsidR="00121D0A">
        <w:t xml:space="preserve">a </w:t>
      </w:r>
      <w:r w:rsidR="00677DAE">
        <w:t>final revenue increase of $939,540 (137.9 percent).</w:t>
      </w:r>
    </w:p>
    <w:p w:rsidR="006542E5" w:rsidRDefault="006542E5" w:rsidP="00677DAE">
      <w:pPr>
        <w:spacing w:after="240"/>
        <w:jc w:val="both"/>
      </w:pPr>
      <w:r>
        <w:t xml:space="preserve">The 60-day statutory deadline for the Commission to suspend the </w:t>
      </w:r>
      <w:r w:rsidR="00121D0A">
        <w:t>u</w:t>
      </w:r>
      <w:r>
        <w:t xml:space="preserve">tility’s requested final rates is </w:t>
      </w:r>
      <w:r w:rsidR="00677DAE">
        <w:t>August 3, 2015</w:t>
      </w:r>
      <w:r>
        <w:t>.</w:t>
      </w:r>
      <w:r w:rsidR="00677DAE">
        <w:t xml:space="preserve"> </w:t>
      </w:r>
      <w:r>
        <w:t xml:space="preserve">This recommendation addresses the suspension of the </w:t>
      </w:r>
      <w:r w:rsidR="00121D0A">
        <w:t>u</w:t>
      </w:r>
      <w:r>
        <w:t>tility’s requested final rates</w:t>
      </w:r>
      <w:r w:rsidR="00677DAE">
        <w:t xml:space="preserve"> and the requested interim rates</w:t>
      </w:r>
      <w:r>
        <w:t>. The Commission has jurisdiction pursuant to Sections 367.081 and 367.082, F.S.</w:t>
      </w:r>
    </w:p>
    <w:p w:rsidR="007C0528" w:rsidRDefault="007C0528" w:rsidP="00436E90"/>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A0319" w:rsidRDefault="00DA0319">
      <w:pPr>
        <w:pStyle w:val="IssueHeading"/>
        <w:rPr>
          <w:vanish/>
          <w:specVanish/>
        </w:rPr>
      </w:pPr>
      <w:r w:rsidRPr="00DA0319">
        <w:rPr>
          <w:b/>
          <w:i/>
        </w:rPr>
        <w:t xml:space="preserve">Issue </w:t>
      </w:r>
      <w:r w:rsidRPr="00DA0319">
        <w:rPr>
          <w:b/>
          <w:i/>
        </w:rPr>
        <w:fldChar w:fldCharType="begin"/>
      </w:r>
      <w:r w:rsidRPr="00DA0319">
        <w:rPr>
          <w:b/>
          <w:i/>
        </w:rPr>
        <w:instrText xml:space="preserve"> SEQ Issue \* MERGEFORMAT </w:instrText>
      </w:r>
      <w:r w:rsidRPr="00DA0319">
        <w:rPr>
          <w:b/>
          <w:i/>
        </w:rPr>
        <w:fldChar w:fldCharType="separate"/>
      </w:r>
      <w:r w:rsidR="003F6E3F">
        <w:rPr>
          <w:b/>
          <w:i/>
          <w:noProof/>
        </w:rPr>
        <w:t>1</w:t>
      </w:r>
      <w:r w:rsidRPr="00DA0319">
        <w:rPr>
          <w:b/>
          <w:i/>
        </w:rPr>
        <w:fldChar w:fldCharType="end"/>
      </w:r>
      <w:r w:rsidRPr="00DA0319">
        <w:rPr>
          <w:b/>
          <w:i/>
        </w:rPr>
        <w:t>:</w:t>
      </w:r>
      <w:r>
        <w:fldChar w:fldCharType="begin"/>
      </w:r>
      <w:r>
        <w:instrText xml:space="preserve"> TC "</w:instrText>
      </w:r>
      <w:r>
        <w:fldChar w:fldCharType="begin"/>
      </w:r>
      <w:r>
        <w:instrText xml:space="preserve"> SEQ issue \c </w:instrText>
      </w:r>
      <w:r>
        <w:fldChar w:fldCharType="separate"/>
      </w:r>
      <w:r w:rsidR="003F6E3F">
        <w:rPr>
          <w:noProof/>
        </w:rPr>
        <w:instrText>1</w:instrText>
      </w:r>
      <w:r>
        <w:fldChar w:fldCharType="end"/>
      </w:r>
      <w:r>
        <w:tab/>
        <w:instrText xml:space="preserve">(Bruce)" \l 1 </w:instrText>
      </w:r>
      <w:r>
        <w:fldChar w:fldCharType="end"/>
      </w:r>
      <w:r>
        <w:t> </w:t>
      </w:r>
    </w:p>
    <w:p w:rsidR="00DA0319" w:rsidRDefault="00DA0319">
      <w:pPr>
        <w:pStyle w:val="BodyText"/>
      </w:pPr>
      <w:r>
        <w:t> Should the utility’s proposed final wastewater rates be suspended?</w:t>
      </w:r>
    </w:p>
    <w:p w:rsidR="00DA0319" w:rsidRDefault="00DA0319">
      <w:pPr>
        <w:pStyle w:val="IssueSubsectionHeading"/>
        <w:rPr>
          <w:vanish/>
          <w:specVanish/>
        </w:rPr>
      </w:pPr>
      <w:r w:rsidRPr="00DA0319">
        <w:rPr>
          <w:b/>
          <w:i/>
        </w:rPr>
        <w:t>Recommendation:</w:t>
      </w:r>
      <w:r>
        <w:t> </w:t>
      </w:r>
    </w:p>
    <w:p w:rsidR="00DA0319" w:rsidRDefault="00DA0319">
      <w:pPr>
        <w:pStyle w:val="BodyText"/>
      </w:pPr>
      <w:r>
        <w:t xml:space="preserve"> Yes. </w:t>
      </w:r>
      <w:proofErr w:type="spellStart"/>
      <w:r>
        <w:t>Sandalhaven’s</w:t>
      </w:r>
      <w:proofErr w:type="spellEnd"/>
      <w:r>
        <w:t xml:space="preserve"> proposed final wastewater rates should be suspended. (Bruce)</w:t>
      </w:r>
    </w:p>
    <w:p w:rsidR="00DA0319" w:rsidRDefault="00DA0319">
      <w:pPr>
        <w:pStyle w:val="IssueSubsectionHeading"/>
        <w:rPr>
          <w:vanish/>
          <w:specVanish/>
        </w:rPr>
      </w:pPr>
      <w:r w:rsidRPr="00DA0319">
        <w:rPr>
          <w:b/>
          <w:i/>
        </w:rPr>
        <w:t>Staff Analysis:</w:t>
      </w:r>
      <w:r>
        <w:t> </w:t>
      </w:r>
    </w:p>
    <w:p w:rsidR="00121D0A" w:rsidRPr="006154C6" w:rsidRDefault="00DA0319" w:rsidP="00121D0A">
      <w:pPr>
        <w:spacing w:after="240"/>
        <w:ind w:firstLine="720"/>
        <w:jc w:val="both"/>
      </w:pPr>
      <w:r>
        <w:t> </w:t>
      </w:r>
      <w:r w:rsidRPr="00DA0319">
        <w:t> Section 367.081(6), F.S., provides that the Commission may, for good cause, withhold consent to the implementation of requested rates within 60 days after the date the rate request is filed</w:t>
      </w:r>
      <w:r w:rsidR="00AD7FCB">
        <w:t xml:space="preserve">. </w:t>
      </w:r>
      <w:r w:rsidRPr="00DA0319">
        <w:t xml:space="preserve">Further, Section 367.081(8), F.S., permits the proposed rates to go into effect (secured and subject to refund) at the expiration of five months from the official date of filing if: (1) the Commission has not acted upon the requested rate increase; or (2) if the Commission’s PAA action is protested by a party other than the </w:t>
      </w:r>
      <w:r w:rsidR="0057390D">
        <w:t>u</w:t>
      </w:r>
      <w:r w:rsidRPr="00DA0319">
        <w:t>tility.</w:t>
      </w:r>
      <w:r w:rsidR="00121D0A" w:rsidRPr="006154C6">
        <w:t xml:space="preserve"> </w:t>
      </w:r>
    </w:p>
    <w:p w:rsidR="00121D0A" w:rsidRPr="006154C6" w:rsidRDefault="00121D0A" w:rsidP="0057390D">
      <w:pPr>
        <w:spacing w:after="240"/>
        <w:jc w:val="both"/>
      </w:pPr>
      <w:r w:rsidRPr="006154C6">
        <w:t>Staff reviewed the filing and considered the information filed in support of the rate application and the proposed final rates. Staff believes that further investigation of this information, including on-site in</w:t>
      </w:r>
      <w:r w:rsidR="003B68FF">
        <w:t>spection</w:t>
      </w:r>
      <w:r w:rsidRPr="006154C6">
        <w:t>s</w:t>
      </w:r>
      <w:r>
        <w:t>,</w:t>
      </w:r>
      <w:r w:rsidR="003B68FF">
        <w:t xml:space="preserve"> </w:t>
      </w:r>
      <w:r>
        <w:t>is needed</w:t>
      </w:r>
      <w:r w:rsidRPr="006154C6">
        <w:t xml:space="preserve">. </w:t>
      </w:r>
      <w:r>
        <w:t>S</w:t>
      </w:r>
      <w:r w:rsidRPr="006154C6">
        <w:t xml:space="preserve">taff initiated an audit of </w:t>
      </w:r>
      <w:proofErr w:type="spellStart"/>
      <w:r>
        <w:t>Sandalhaven</w:t>
      </w:r>
      <w:r w:rsidRPr="006154C6">
        <w:t>’</w:t>
      </w:r>
      <w:r>
        <w:t>s</w:t>
      </w:r>
      <w:proofErr w:type="spellEnd"/>
      <w:r w:rsidRPr="006154C6">
        <w:t xml:space="preserve"> books and records, as well as an audit of the</w:t>
      </w:r>
      <w:r>
        <w:t xml:space="preserve"> u</w:t>
      </w:r>
      <w:r w:rsidRPr="006154C6">
        <w:t xml:space="preserve">tility’s </w:t>
      </w:r>
      <w:r>
        <w:t xml:space="preserve">proposed allocation of </w:t>
      </w:r>
      <w:r w:rsidRPr="006154C6">
        <w:t>parent</w:t>
      </w:r>
      <w:r>
        <w:t xml:space="preserve"> </w:t>
      </w:r>
      <w:r w:rsidR="0071530B">
        <w:t>company</w:t>
      </w:r>
      <w:r>
        <w:t xml:space="preserve"> </w:t>
      </w:r>
      <w:r w:rsidRPr="006154C6">
        <w:t>investment and operating expenses. Both of these audits are tentatively du</w:t>
      </w:r>
      <w:r w:rsidRPr="00355906">
        <w:t xml:space="preserve">e on </w:t>
      </w:r>
      <w:r>
        <w:t>August 31, 2015</w:t>
      </w:r>
      <w:r w:rsidRPr="00355906">
        <w:t xml:space="preserve">. </w:t>
      </w:r>
      <w:r w:rsidRPr="006154C6">
        <w:t>In addition, staff sent its first data req</w:t>
      </w:r>
      <w:r w:rsidRPr="00355906">
        <w:t xml:space="preserve">uest </w:t>
      </w:r>
      <w:r>
        <w:t xml:space="preserve">to the </w:t>
      </w:r>
      <w:r w:rsidR="0057390D">
        <w:t>u</w:t>
      </w:r>
      <w:r>
        <w:t xml:space="preserve">tility </w:t>
      </w:r>
      <w:r w:rsidRPr="00355906">
        <w:t xml:space="preserve">on </w:t>
      </w:r>
      <w:r>
        <w:t>July 8, 2015</w:t>
      </w:r>
      <w:r w:rsidRPr="00355906">
        <w:t xml:space="preserve">. </w:t>
      </w:r>
      <w:r w:rsidRPr="006154C6">
        <w:t xml:space="preserve">The </w:t>
      </w:r>
      <w:r w:rsidR="0057390D">
        <w:t>u</w:t>
      </w:r>
      <w:r w:rsidRPr="006154C6">
        <w:t>tility’s response to the data request</w:t>
      </w:r>
      <w:r>
        <w:t xml:space="preserve"> is</w:t>
      </w:r>
      <w:r w:rsidRPr="006154C6">
        <w:t xml:space="preserve"> due </w:t>
      </w:r>
      <w:r w:rsidRPr="00355906">
        <w:t xml:space="preserve">on </w:t>
      </w:r>
      <w:r w:rsidR="00B555F0" w:rsidRPr="00FA4E0F">
        <w:t>July 22</w:t>
      </w:r>
      <w:r w:rsidRPr="00FA4E0F">
        <w:t>, 2015</w:t>
      </w:r>
      <w:r w:rsidRPr="00355906">
        <w:t xml:space="preserve">. </w:t>
      </w:r>
      <w:r w:rsidRPr="006154C6">
        <w:t xml:space="preserve">Based on the foregoing, staff recommends </w:t>
      </w:r>
      <w:proofErr w:type="spellStart"/>
      <w:r w:rsidR="00D76733">
        <w:t>Sandalhaven’s</w:t>
      </w:r>
      <w:proofErr w:type="spellEnd"/>
      <w:r w:rsidR="00D76733">
        <w:t xml:space="preserve"> </w:t>
      </w:r>
      <w:r w:rsidR="00D76733" w:rsidRPr="007F3719">
        <w:t>proposed</w:t>
      </w:r>
      <w:r w:rsidRPr="007F3719">
        <w:t xml:space="preserve"> final </w:t>
      </w:r>
      <w:r w:rsidR="00055963">
        <w:t xml:space="preserve">wastewater </w:t>
      </w:r>
      <w:r w:rsidRPr="007F3719">
        <w:t>rates be suspended</w:t>
      </w:r>
      <w:r w:rsidRPr="006154C6">
        <w:t>.</w:t>
      </w:r>
    </w:p>
    <w:p w:rsidR="006542E5" w:rsidRPr="00DB4E3F" w:rsidRDefault="006542E5" w:rsidP="00121D0A">
      <w:pPr>
        <w:pStyle w:val="BodyText"/>
        <w:rPr>
          <w:rFonts w:ascii="Arial" w:hAnsi="Arial" w:cs="Arial"/>
          <w:vanish/>
          <w:specVanish/>
        </w:rPr>
      </w:pPr>
      <w:r>
        <w:br w:type="page"/>
      </w:r>
      <w:r w:rsidRPr="00DB4E3F">
        <w:rPr>
          <w:rFonts w:ascii="Arial" w:hAnsi="Arial" w:cs="Arial"/>
          <w:b/>
          <w:i/>
        </w:rPr>
        <w:lastRenderedPageBreak/>
        <w:t xml:space="preserve">Issue </w:t>
      </w:r>
      <w:r w:rsidRPr="00DB4E3F">
        <w:rPr>
          <w:rFonts w:ascii="Arial" w:hAnsi="Arial" w:cs="Arial"/>
          <w:b/>
          <w:i/>
        </w:rPr>
        <w:fldChar w:fldCharType="begin"/>
      </w:r>
      <w:r w:rsidRPr="00DB4E3F">
        <w:rPr>
          <w:rFonts w:ascii="Arial" w:hAnsi="Arial" w:cs="Arial"/>
          <w:b/>
          <w:i/>
        </w:rPr>
        <w:instrText xml:space="preserve"> SEQ Issue \* MERGEFORMAT </w:instrText>
      </w:r>
      <w:r w:rsidRPr="00DB4E3F">
        <w:rPr>
          <w:rFonts w:ascii="Arial" w:hAnsi="Arial" w:cs="Arial"/>
          <w:b/>
          <w:i/>
        </w:rPr>
        <w:fldChar w:fldCharType="separate"/>
      </w:r>
      <w:r w:rsidR="003F6E3F">
        <w:rPr>
          <w:rFonts w:ascii="Arial" w:hAnsi="Arial" w:cs="Arial"/>
          <w:b/>
          <w:i/>
          <w:noProof/>
        </w:rPr>
        <w:t>2</w:t>
      </w:r>
      <w:r w:rsidRPr="00DB4E3F">
        <w:rPr>
          <w:rFonts w:ascii="Arial" w:hAnsi="Arial" w:cs="Arial"/>
          <w:b/>
          <w:i/>
        </w:rPr>
        <w:fldChar w:fldCharType="end"/>
      </w:r>
      <w:r w:rsidRPr="00DB4E3F">
        <w:rPr>
          <w:rFonts w:ascii="Arial" w:hAnsi="Arial" w:cs="Arial"/>
          <w:b/>
          <w:i/>
        </w:rPr>
        <w:t>:</w:t>
      </w:r>
      <w:r w:rsidRPr="00DB4E3F">
        <w:rPr>
          <w:rFonts w:ascii="Arial" w:hAnsi="Arial" w:cs="Arial"/>
        </w:rPr>
        <w:fldChar w:fldCharType="begin"/>
      </w:r>
      <w:r w:rsidRPr="00DB4E3F">
        <w:rPr>
          <w:rFonts w:ascii="Arial" w:hAnsi="Arial" w:cs="Arial"/>
        </w:rPr>
        <w:instrText xml:space="preserve"> TC "</w:instrText>
      </w:r>
      <w:r w:rsidRPr="00DB4E3F">
        <w:rPr>
          <w:rFonts w:ascii="Arial" w:hAnsi="Arial" w:cs="Arial"/>
        </w:rPr>
        <w:fldChar w:fldCharType="begin"/>
      </w:r>
      <w:r w:rsidRPr="00DB4E3F">
        <w:rPr>
          <w:rFonts w:ascii="Arial" w:hAnsi="Arial" w:cs="Arial"/>
        </w:rPr>
        <w:instrText xml:space="preserve"> SEQ issue \c </w:instrText>
      </w:r>
      <w:r w:rsidRPr="00DB4E3F">
        <w:rPr>
          <w:rFonts w:ascii="Arial" w:hAnsi="Arial" w:cs="Arial"/>
        </w:rPr>
        <w:fldChar w:fldCharType="separate"/>
      </w:r>
      <w:r w:rsidR="003F6E3F">
        <w:rPr>
          <w:rFonts w:ascii="Arial" w:hAnsi="Arial" w:cs="Arial"/>
          <w:noProof/>
        </w:rPr>
        <w:instrText>2</w:instrText>
      </w:r>
      <w:r w:rsidRPr="00DB4E3F">
        <w:rPr>
          <w:rFonts w:ascii="Arial" w:hAnsi="Arial" w:cs="Arial"/>
        </w:rPr>
        <w:fldChar w:fldCharType="end"/>
      </w:r>
      <w:r w:rsidRPr="00DB4E3F">
        <w:rPr>
          <w:rFonts w:ascii="Arial" w:hAnsi="Arial" w:cs="Arial"/>
        </w:rPr>
        <w:tab/>
        <w:instrText xml:space="preserve">" \l 1 </w:instrText>
      </w:r>
      <w:r w:rsidRPr="00DB4E3F">
        <w:rPr>
          <w:rFonts w:ascii="Arial" w:hAnsi="Arial" w:cs="Arial"/>
        </w:rPr>
        <w:fldChar w:fldCharType="end"/>
      </w:r>
      <w:r w:rsidRPr="00DB4E3F">
        <w:rPr>
          <w:rFonts w:ascii="Arial" w:hAnsi="Arial" w:cs="Arial"/>
        </w:rPr>
        <w:t> </w:t>
      </w:r>
    </w:p>
    <w:p w:rsidR="006542E5" w:rsidRPr="007617DC" w:rsidRDefault="006542E5">
      <w:pPr>
        <w:pStyle w:val="BodyText"/>
      </w:pPr>
      <w:r w:rsidRPr="00DB4E3F">
        <w:rPr>
          <w:rFonts w:ascii="Arial" w:hAnsi="Arial" w:cs="Arial"/>
        </w:rPr>
        <w:t> </w:t>
      </w:r>
      <w:r w:rsidRPr="007617DC">
        <w:t>Should any interim increase be approved?</w:t>
      </w:r>
    </w:p>
    <w:p w:rsidR="006542E5" w:rsidRDefault="006542E5">
      <w:pPr>
        <w:pStyle w:val="IssueSubsectionHeading"/>
        <w:rPr>
          <w:vanish/>
          <w:specVanish/>
        </w:rPr>
      </w:pPr>
      <w:r w:rsidRPr="006542E5">
        <w:rPr>
          <w:b/>
          <w:i/>
        </w:rPr>
        <w:t>Recommendation:</w:t>
      </w:r>
      <w:r>
        <w:t> </w:t>
      </w:r>
    </w:p>
    <w:p w:rsidR="005B4E74" w:rsidRPr="00066038" w:rsidRDefault="006542E5" w:rsidP="005B4E74">
      <w:pPr>
        <w:pStyle w:val="BodyText"/>
        <w:rPr>
          <w:bCs/>
          <w:iCs/>
        </w:rPr>
      </w:pPr>
      <w:r>
        <w:t> </w:t>
      </w:r>
      <w:r w:rsidR="005B4E74" w:rsidRPr="00066038">
        <w:rPr>
          <w:bCs/>
          <w:iCs/>
        </w:rPr>
        <w:t>Yes</w:t>
      </w:r>
      <w:r w:rsidR="005B4E74">
        <w:rPr>
          <w:bCs/>
          <w:iCs/>
        </w:rPr>
        <w:t xml:space="preserve">. </w:t>
      </w:r>
      <w:proofErr w:type="spellStart"/>
      <w:r w:rsidR="005B4E74" w:rsidRPr="00066038">
        <w:rPr>
          <w:bCs/>
          <w:iCs/>
        </w:rPr>
        <w:t>San</w:t>
      </w:r>
      <w:r w:rsidR="005B4E74">
        <w:rPr>
          <w:bCs/>
          <w:iCs/>
        </w:rPr>
        <w:t>dalhaven</w:t>
      </w:r>
      <w:proofErr w:type="spellEnd"/>
      <w:r w:rsidR="005B4E74" w:rsidRPr="00066038">
        <w:rPr>
          <w:bCs/>
          <w:iCs/>
        </w:rPr>
        <w:t xml:space="preserve"> has demonstrated the need for an interim rate increase for the </w:t>
      </w:r>
      <w:r w:rsidR="005B4E74">
        <w:rPr>
          <w:bCs/>
          <w:iCs/>
        </w:rPr>
        <w:t>wastewater</w:t>
      </w:r>
      <w:r w:rsidR="005B4E74" w:rsidRPr="00066038">
        <w:rPr>
          <w:bCs/>
          <w:iCs/>
        </w:rPr>
        <w:t xml:space="preserve"> system. </w:t>
      </w:r>
      <w:proofErr w:type="spellStart"/>
      <w:r w:rsidR="005B4E74" w:rsidRPr="00066038">
        <w:rPr>
          <w:bCs/>
          <w:iCs/>
        </w:rPr>
        <w:t>San</w:t>
      </w:r>
      <w:r w:rsidR="005B4E74">
        <w:rPr>
          <w:bCs/>
          <w:iCs/>
        </w:rPr>
        <w:t>dalhaven</w:t>
      </w:r>
      <w:proofErr w:type="spellEnd"/>
      <w:r w:rsidR="005B4E74" w:rsidRPr="00066038">
        <w:rPr>
          <w:bCs/>
          <w:iCs/>
        </w:rPr>
        <w:t xml:space="preserve"> should be authorized to collect annual </w:t>
      </w:r>
      <w:r w:rsidR="005B4E74">
        <w:rPr>
          <w:bCs/>
          <w:iCs/>
        </w:rPr>
        <w:t>wastewater</w:t>
      </w:r>
      <w:r w:rsidR="005B4E74" w:rsidRPr="00066038">
        <w:rPr>
          <w:bCs/>
          <w:iCs/>
        </w:rPr>
        <w:t xml:space="preserve"> revenues as indicated below: </w:t>
      </w:r>
    </w:p>
    <w:tbl>
      <w:tblPr>
        <w:tblW w:w="0" w:type="auto"/>
        <w:tblInd w:w="650" w:type="dxa"/>
        <w:tblLayout w:type="fixed"/>
        <w:tblCellMar>
          <w:left w:w="110" w:type="dxa"/>
          <w:right w:w="110" w:type="dxa"/>
        </w:tblCellMar>
        <w:tblLook w:val="0000" w:firstRow="0" w:lastRow="0" w:firstColumn="0" w:lastColumn="0" w:noHBand="0" w:noVBand="0"/>
      </w:tblPr>
      <w:tblGrid>
        <w:gridCol w:w="1980"/>
        <w:gridCol w:w="1710"/>
        <w:gridCol w:w="1539"/>
        <w:gridCol w:w="1596"/>
        <w:gridCol w:w="1368"/>
      </w:tblGrid>
      <w:tr w:rsidR="005B4E74" w:rsidRPr="00066038" w:rsidTr="002F5C78">
        <w:trPr>
          <w:cantSplit/>
        </w:trPr>
        <w:tc>
          <w:tcPr>
            <w:tcW w:w="1980" w:type="dxa"/>
            <w:tcBorders>
              <w:top w:val="nil"/>
              <w:left w:val="nil"/>
              <w:bottom w:val="nil"/>
              <w:right w:val="nil"/>
            </w:tcBorders>
          </w:tcPr>
          <w:p w:rsidR="005B4E74" w:rsidRPr="00066038" w:rsidRDefault="005B4E74" w:rsidP="002F5C78">
            <w:pPr>
              <w:pStyle w:val="BodyText"/>
            </w:pPr>
            <w:r w:rsidRPr="00066038">
              <w:rPr>
                <w:lang w:val="en-CA"/>
              </w:rPr>
              <w:fldChar w:fldCharType="begin"/>
            </w:r>
            <w:r w:rsidRPr="00066038">
              <w:rPr>
                <w:lang w:val="en-CA"/>
              </w:rPr>
              <w:instrText xml:space="preserve"> SEQ CHAPTER \h \r 1</w:instrText>
            </w:r>
            <w:r w:rsidRPr="00066038">
              <w:fldChar w:fldCharType="end"/>
            </w:r>
          </w:p>
        </w:tc>
        <w:tc>
          <w:tcPr>
            <w:tcW w:w="1710" w:type="dxa"/>
            <w:tcBorders>
              <w:top w:val="nil"/>
              <w:left w:val="nil"/>
              <w:bottom w:val="nil"/>
              <w:right w:val="nil"/>
            </w:tcBorders>
            <w:vAlign w:val="bottom"/>
          </w:tcPr>
          <w:p w:rsidR="005B4E74" w:rsidRPr="00066038" w:rsidRDefault="005B4E74" w:rsidP="002F5C78">
            <w:pPr>
              <w:pStyle w:val="BodyText"/>
              <w:jc w:val="center"/>
            </w:pPr>
            <w:r w:rsidRPr="00066038">
              <w:t>Adjusted Test</w:t>
            </w:r>
            <w:r>
              <w:t xml:space="preserve"> </w:t>
            </w:r>
            <w:r w:rsidRPr="00066038">
              <w:rPr>
                <w:u w:val="single"/>
              </w:rPr>
              <w:t>Year Revenues</w:t>
            </w:r>
          </w:p>
        </w:tc>
        <w:tc>
          <w:tcPr>
            <w:tcW w:w="1539" w:type="dxa"/>
            <w:tcBorders>
              <w:top w:val="nil"/>
              <w:left w:val="nil"/>
              <w:bottom w:val="nil"/>
              <w:right w:val="nil"/>
            </w:tcBorders>
            <w:vAlign w:val="bottom"/>
          </w:tcPr>
          <w:p w:rsidR="005B4E74" w:rsidRPr="00066038" w:rsidRDefault="005B4E74" w:rsidP="002F5C78">
            <w:pPr>
              <w:pStyle w:val="BodyText"/>
              <w:jc w:val="center"/>
              <w:rPr>
                <w:u w:val="single"/>
              </w:rPr>
            </w:pPr>
            <w:r w:rsidRPr="00066038">
              <w:rPr>
                <w:u w:val="single"/>
              </w:rPr>
              <w:t>$ Increase</w:t>
            </w:r>
          </w:p>
        </w:tc>
        <w:tc>
          <w:tcPr>
            <w:tcW w:w="1596" w:type="dxa"/>
            <w:tcBorders>
              <w:top w:val="nil"/>
              <w:left w:val="nil"/>
              <w:bottom w:val="nil"/>
              <w:right w:val="nil"/>
            </w:tcBorders>
            <w:vAlign w:val="bottom"/>
          </w:tcPr>
          <w:p w:rsidR="005B4E74" w:rsidRPr="00066038" w:rsidRDefault="005B4E74" w:rsidP="002F5C78">
            <w:pPr>
              <w:pStyle w:val="BodyText"/>
              <w:jc w:val="center"/>
            </w:pPr>
            <w:r w:rsidRPr="00066038">
              <w:t>Revenue</w:t>
            </w:r>
            <w:r>
              <w:t xml:space="preserve"> </w:t>
            </w:r>
            <w:r w:rsidRPr="00066038">
              <w:rPr>
                <w:u w:val="single"/>
              </w:rPr>
              <w:t>Requirement</w:t>
            </w:r>
          </w:p>
        </w:tc>
        <w:tc>
          <w:tcPr>
            <w:tcW w:w="1368" w:type="dxa"/>
            <w:tcBorders>
              <w:top w:val="nil"/>
              <w:left w:val="nil"/>
              <w:bottom w:val="nil"/>
              <w:right w:val="nil"/>
            </w:tcBorders>
            <w:vAlign w:val="bottom"/>
          </w:tcPr>
          <w:p w:rsidR="005B4E74" w:rsidRPr="00066038" w:rsidRDefault="005B4E74" w:rsidP="002F5C78">
            <w:pPr>
              <w:pStyle w:val="BodyText"/>
              <w:jc w:val="center"/>
            </w:pPr>
            <w:r w:rsidRPr="00066038">
              <w:rPr>
                <w:u w:val="single"/>
              </w:rPr>
              <w:t>% Increase</w:t>
            </w:r>
          </w:p>
        </w:tc>
      </w:tr>
      <w:tr w:rsidR="005B4E74" w:rsidRPr="00066038" w:rsidTr="002F5C78">
        <w:trPr>
          <w:cantSplit/>
        </w:trPr>
        <w:tc>
          <w:tcPr>
            <w:tcW w:w="1980" w:type="dxa"/>
            <w:tcBorders>
              <w:top w:val="nil"/>
              <w:left w:val="nil"/>
              <w:bottom w:val="nil"/>
              <w:right w:val="nil"/>
            </w:tcBorders>
          </w:tcPr>
          <w:p w:rsidR="005B4E74" w:rsidRPr="00066038" w:rsidRDefault="005B4E74" w:rsidP="002F5C78">
            <w:pPr>
              <w:pStyle w:val="BodyText"/>
            </w:pPr>
            <w:r w:rsidRPr="00066038">
              <w:t>Waste</w:t>
            </w:r>
            <w:r>
              <w:t>water</w:t>
            </w:r>
          </w:p>
        </w:tc>
        <w:tc>
          <w:tcPr>
            <w:tcW w:w="1710" w:type="dxa"/>
            <w:tcBorders>
              <w:top w:val="nil"/>
              <w:left w:val="nil"/>
              <w:bottom w:val="nil"/>
              <w:right w:val="nil"/>
            </w:tcBorders>
          </w:tcPr>
          <w:p w:rsidR="005B4E74" w:rsidRPr="00066038" w:rsidRDefault="005B4E74" w:rsidP="002F5C78">
            <w:pPr>
              <w:pStyle w:val="BodyText"/>
              <w:jc w:val="center"/>
            </w:pPr>
            <w:r w:rsidRPr="00066038">
              <w:t>$</w:t>
            </w:r>
            <w:r>
              <w:t>669,037</w:t>
            </w:r>
          </w:p>
        </w:tc>
        <w:tc>
          <w:tcPr>
            <w:tcW w:w="1539" w:type="dxa"/>
            <w:tcBorders>
              <w:top w:val="nil"/>
              <w:left w:val="nil"/>
              <w:bottom w:val="nil"/>
              <w:right w:val="nil"/>
            </w:tcBorders>
          </w:tcPr>
          <w:p w:rsidR="005B4E74" w:rsidRPr="00066038" w:rsidRDefault="005B4E74" w:rsidP="002F5C78">
            <w:pPr>
              <w:pStyle w:val="BodyText"/>
              <w:jc w:val="center"/>
            </w:pPr>
            <w:r w:rsidRPr="00066038">
              <w:t>$</w:t>
            </w:r>
            <w:r>
              <w:t>611,174</w:t>
            </w:r>
          </w:p>
        </w:tc>
        <w:tc>
          <w:tcPr>
            <w:tcW w:w="1596" w:type="dxa"/>
            <w:tcBorders>
              <w:top w:val="nil"/>
              <w:left w:val="nil"/>
              <w:bottom w:val="nil"/>
              <w:right w:val="nil"/>
            </w:tcBorders>
          </w:tcPr>
          <w:p w:rsidR="005B4E74" w:rsidRPr="00066038" w:rsidRDefault="005B4E74" w:rsidP="002F5C78">
            <w:pPr>
              <w:pStyle w:val="BodyText"/>
              <w:jc w:val="center"/>
            </w:pPr>
            <w:r w:rsidRPr="00066038">
              <w:t>$</w:t>
            </w:r>
            <w:r>
              <w:t>1,280,211</w:t>
            </w:r>
          </w:p>
        </w:tc>
        <w:tc>
          <w:tcPr>
            <w:tcW w:w="1368" w:type="dxa"/>
            <w:tcBorders>
              <w:top w:val="nil"/>
              <w:left w:val="nil"/>
              <w:bottom w:val="nil"/>
              <w:right w:val="nil"/>
            </w:tcBorders>
          </w:tcPr>
          <w:p w:rsidR="005B4E74" w:rsidRPr="00066038" w:rsidRDefault="005B4E74" w:rsidP="002F5C78">
            <w:pPr>
              <w:pStyle w:val="BodyText"/>
              <w:jc w:val="center"/>
            </w:pPr>
            <w:r>
              <w:t>91.35</w:t>
            </w:r>
          </w:p>
        </w:tc>
      </w:tr>
    </w:tbl>
    <w:p w:rsidR="006542E5" w:rsidRDefault="006542E5">
      <w:pPr>
        <w:pStyle w:val="BodyText"/>
      </w:pPr>
      <w:r>
        <w:t xml:space="preserve"> (D. Buys</w:t>
      </w:r>
      <w:r w:rsidR="00DB4E3F">
        <w:t>, Watts</w:t>
      </w:r>
      <w:r>
        <w:t>)</w:t>
      </w:r>
    </w:p>
    <w:p w:rsidR="006542E5" w:rsidRDefault="006542E5">
      <w:pPr>
        <w:pStyle w:val="IssueSubsectionHeading"/>
        <w:rPr>
          <w:vanish/>
          <w:specVanish/>
        </w:rPr>
      </w:pPr>
      <w:r w:rsidRPr="006542E5">
        <w:rPr>
          <w:b/>
          <w:i/>
        </w:rPr>
        <w:t>Staff Analysis:</w:t>
      </w:r>
      <w:r>
        <w:t> </w:t>
      </w:r>
    </w:p>
    <w:p w:rsidR="005B4E74" w:rsidRPr="00066038" w:rsidRDefault="006542E5" w:rsidP="005B4E74">
      <w:pPr>
        <w:pStyle w:val="BodyText"/>
      </w:pPr>
      <w:r>
        <w:t> </w:t>
      </w:r>
      <w:r w:rsidR="005B4E74" w:rsidRPr="00066038">
        <w:t>On Ju</w:t>
      </w:r>
      <w:r w:rsidR="00055963">
        <w:t>ne 4</w:t>
      </w:r>
      <w:r w:rsidR="005B4E74" w:rsidRPr="00066038">
        <w:t>, 201</w:t>
      </w:r>
      <w:r w:rsidR="005B4E74">
        <w:t>5</w:t>
      </w:r>
      <w:r w:rsidR="005B4E74" w:rsidRPr="00066038">
        <w:t xml:space="preserve">, </w:t>
      </w:r>
      <w:proofErr w:type="spellStart"/>
      <w:r w:rsidR="005B4E74">
        <w:t>Sandalhaven</w:t>
      </w:r>
      <w:proofErr w:type="spellEnd"/>
      <w:r w:rsidR="005B4E74" w:rsidRPr="00066038">
        <w:t xml:space="preserve"> filed its rate base, cost of capital, and net operating income </w:t>
      </w:r>
      <w:r w:rsidR="005B4E74">
        <w:t>MFR Schedules</w:t>
      </w:r>
      <w:r w:rsidR="005B4E74" w:rsidRPr="00066038">
        <w:t xml:space="preserve"> to support its requested interim increase in </w:t>
      </w:r>
      <w:r w:rsidR="005B4E74">
        <w:t>wastewater</w:t>
      </w:r>
      <w:r w:rsidR="005B4E74" w:rsidRPr="00066038">
        <w:t xml:space="preserve"> rates</w:t>
      </w:r>
      <w:r w:rsidR="005B4E74">
        <w:t xml:space="preserve">. </w:t>
      </w:r>
      <w:r w:rsidR="005B4E74" w:rsidRPr="00066038">
        <w:t xml:space="preserve">Pursuant to Section 367.082(1), F.S., in order to establish a prima facie entitlement for interim relief, the </w:t>
      </w:r>
      <w:r w:rsidR="009679A1">
        <w:t>u</w:t>
      </w:r>
      <w:r w:rsidR="005B4E74" w:rsidRPr="00066038">
        <w:t>tility shall demonstrate that it is earning outside the range of reasonableness on its rate of return</w:t>
      </w:r>
      <w:r w:rsidR="005B4E74">
        <w:t xml:space="preserve">. </w:t>
      </w:r>
      <w:r w:rsidR="005B4E74" w:rsidRPr="00066038">
        <w:t>Pursuant to Section 367.08</w:t>
      </w:r>
      <w:r w:rsidR="005B4E74">
        <w:t>2</w:t>
      </w:r>
      <w:r w:rsidR="005B4E74" w:rsidRPr="00066038">
        <w:t>(2</w:t>
      </w:r>
      <w:proofErr w:type="gramStart"/>
      <w:r w:rsidR="005B4E74" w:rsidRPr="00066038">
        <w:t>)(</w:t>
      </w:r>
      <w:proofErr w:type="gramEnd"/>
      <w:r w:rsidR="005B4E74" w:rsidRPr="00066038">
        <w:t xml:space="preserve">a), F.S., in a proceeding for an interim increase in rates, the Commission shall authorize, within 60 days of the filing for such relief, the collection of rates sufficient to earn the minimum of the range of </w:t>
      </w:r>
      <w:r w:rsidR="005B4E74">
        <w:t xml:space="preserve">the </w:t>
      </w:r>
      <w:r w:rsidR="005B4E74" w:rsidRPr="00066038">
        <w:t>rate of return</w:t>
      </w:r>
      <w:r w:rsidR="005B4E74">
        <w:t xml:space="preserve">. </w:t>
      </w:r>
      <w:r w:rsidR="005B4E74" w:rsidRPr="00066038">
        <w:t xml:space="preserve">Based on the </w:t>
      </w:r>
      <w:r w:rsidR="009679A1">
        <w:t>u</w:t>
      </w:r>
      <w:r w:rsidR="005B4E74" w:rsidRPr="00066038">
        <w:t xml:space="preserve">tility’s filing and the recommended adjustments below, staff believes </w:t>
      </w:r>
      <w:r w:rsidR="009679A1">
        <w:t>that the u</w:t>
      </w:r>
      <w:r w:rsidR="005B4E74" w:rsidRPr="00066038">
        <w:t xml:space="preserve">tility has demonstrated a prima facie entitlement in accordance with Section 367.082(1), F.S., for its </w:t>
      </w:r>
      <w:r w:rsidR="005B4E74">
        <w:t>wastewater</w:t>
      </w:r>
      <w:r w:rsidR="005B4E74" w:rsidRPr="00066038">
        <w:t xml:space="preserve"> system.</w:t>
      </w:r>
    </w:p>
    <w:p w:rsidR="005B4E74" w:rsidRPr="00066038" w:rsidRDefault="005B4E74" w:rsidP="005B4E74">
      <w:pPr>
        <w:pStyle w:val="BodyText"/>
      </w:pPr>
      <w:r w:rsidRPr="00066038">
        <w:t>Pursuant to Section 367.082(5</w:t>
      </w:r>
      <w:proofErr w:type="gramStart"/>
      <w:r w:rsidRPr="00066038">
        <w:t>)(</w:t>
      </w:r>
      <w:proofErr w:type="gramEnd"/>
      <w:r w:rsidRPr="00066038">
        <w:t xml:space="preserve">b)1., F.S., the achieved rate of return for interim purposes must be calculated by applying adjustments consistent with adjustments made in the </w:t>
      </w:r>
      <w:r w:rsidR="009679A1">
        <w:t>u</w:t>
      </w:r>
      <w:r w:rsidRPr="00066038">
        <w:t>tility’s most recent rate proceeding and annualizing any rate changes</w:t>
      </w:r>
      <w:r>
        <w:t xml:space="preserve">. </w:t>
      </w:r>
      <w:r w:rsidRPr="00066038">
        <w:t xml:space="preserve">Staff has reviewed </w:t>
      </w:r>
      <w:proofErr w:type="spellStart"/>
      <w:r>
        <w:t>Sandalhaven</w:t>
      </w:r>
      <w:r w:rsidRPr="00066038">
        <w:t>’s</w:t>
      </w:r>
      <w:proofErr w:type="spellEnd"/>
      <w:r w:rsidRPr="00066038">
        <w:t xml:space="preserve"> interim request, as well as Order No. PSC-</w:t>
      </w:r>
      <w:r>
        <w:t>07-0865</w:t>
      </w:r>
      <w:r w:rsidRPr="00066038">
        <w:t>-PAA-</w:t>
      </w:r>
      <w:r>
        <w:t>SU</w:t>
      </w:r>
      <w:r w:rsidRPr="00066038">
        <w:t>, in which the Commission last established rates for this utility</w:t>
      </w:r>
      <w:r>
        <w:t>.</w:t>
      </w:r>
      <w:r>
        <w:rPr>
          <w:rStyle w:val="FootnoteReference"/>
        </w:rPr>
        <w:footnoteReference w:id="5"/>
      </w:r>
      <w:r>
        <w:t xml:space="preserve"> </w:t>
      </w:r>
      <w:r w:rsidRPr="00066038">
        <w:t>Staff’s recommended adjustments are discussed below</w:t>
      </w:r>
      <w:r>
        <w:t xml:space="preserve">. </w:t>
      </w:r>
      <w:r w:rsidRPr="00066038">
        <w:t>Staff has attached accounting schedules to illustrate staff's recommended rate base, capital structure, and test year operating income amounts</w:t>
      </w:r>
      <w:r>
        <w:t xml:space="preserve">. </w:t>
      </w:r>
      <w:r w:rsidRPr="00066038">
        <w:t xml:space="preserve">Rate base </w:t>
      </w:r>
      <w:r>
        <w:t>is</w:t>
      </w:r>
      <w:r w:rsidRPr="00066038">
        <w:t xml:space="preserve"> labeled as Schedule No. 1</w:t>
      </w:r>
      <w:r>
        <w:t>-A</w:t>
      </w:r>
      <w:r w:rsidRPr="00066038">
        <w:t>, with the adjustments shown on Schedule No. 1-</w:t>
      </w:r>
      <w:r>
        <w:t xml:space="preserve">B. </w:t>
      </w:r>
      <w:r w:rsidRPr="00066038">
        <w:t>Capital structure is labeled as Schedule No. 2</w:t>
      </w:r>
      <w:r>
        <w:t xml:space="preserve">. </w:t>
      </w:r>
      <w:r w:rsidRPr="00066038">
        <w:t xml:space="preserve">Operating income </w:t>
      </w:r>
      <w:r>
        <w:t xml:space="preserve">is </w:t>
      </w:r>
      <w:r w:rsidRPr="00066038">
        <w:t>labeled as Schedule No. 3</w:t>
      </w:r>
      <w:r>
        <w:t>-A</w:t>
      </w:r>
      <w:r w:rsidRPr="00066038">
        <w:t>, with the adjustments shown on Schedule No. 3-</w:t>
      </w:r>
      <w:r>
        <w:t>B</w:t>
      </w:r>
      <w:r w:rsidRPr="00066038">
        <w:t>.</w:t>
      </w:r>
    </w:p>
    <w:p w:rsidR="005B4E74" w:rsidRPr="00AE6992" w:rsidRDefault="005B4E74" w:rsidP="005B4E74">
      <w:pPr>
        <w:pStyle w:val="BodyText"/>
        <w:spacing w:after="0"/>
        <w:rPr>
          <w:rFonts w:ascii="Arial" w:hAnsi="Arial" w:cs="Arial"/>
          <w:b/>
        </w:rPr>
      </w:pPr>
      <w:r w:rsidRPr="00AE6992">
        <w:rPr>
          <w:rFonts w:ascii="Arial" w:hAnsi="Arial" w:cs="Arial"/>
          <w:b/>
        </w:rPr>
        <w:t>Rate Base</w:t>
      </w:r>
    </w:p>
    <w:p w:rsidR="005B4E74" w:rsidRPr="00066038" w:rsidRDefault="005B4E74" w:rsidP="005B4E74">
      <w:pPr>
        <w:pStyle w:val="BodyText"/>
      </w:pPr>
      <w:r w:rsidRPr="00066038">
        <w:t xml:space="preserve">Pursuant to Section 367.082(5)(b)1., F.S., the achieved rate of return for interim purposes must be calculated by applying adjustments consistent with adjustments made in the </w:t>
      </w:r>
      <w:r w:rsidR="009679A1">
        <w:t>u</w:t>
      </w:r>
      <w:r w:rsidRPr="00066038">
        <w:t xml:space="preserve">tility’s most recent rate proceeding. </w:t>
      </w:r>
    </w:p>
    <w:p w:rsidR="005B4E74" w:rsidRPr="003205D3" w:rsidRDefault="005B4E74" w:rsidP="005B4E74">
      <w:pPr>
        <w:pStyle w:val="BodyText"/>
      </w:pPr>
      <w:r w:rsidRPr="003205D3">
        <w:t>Pursuant to Rule 25-30.433(2)</w:t>
      </w:r>
      <w:r w:rsidR="005579E3">
        <w:t>,</w:t>
      </w:r>
      <w:r w:rsidRPr="003205D3">
        <w:t xml:space="preserve"> Florida Administrative Code (F.A.C.), working capital for class B utilities shall be calculated using the formula method which is one-eighth of operation and maintenance (O&amp;M) expense</w:t>
      </w:r>
      <w:r>
        <w:t>s. Based on staff’s adjustment of $40,787</w:t>
      </w:r>
      <w:r w:rsidRPr="003205D3">
        <w:t xml:space="preserve"> to O&amp;M expenses</w:t>
      </w:r>
      <w:r>
        <w:t>,</w:t>
      </w:r>
      <w:r w:rsidRPr="003205D3">
        <w:t xml:space="preserve"> staff reduced working capital by $</w:t>
      </w:r>
      <w:r>
        <w:t xml:space="preserve">5,098. </w:t>
      </w:r>
      <w:r w:rsidRPr="003205D3">
        <w:t xml:space="preserve">Therefore, staff recommends that </w:t>
      </w:r>
      <w:proofErr w:type="spellStart"/>
      <w:r>
        <w:t>Sandalhaven</w:t>
      </w:r>
      <w:r w:rsidRPr="003205D3">
        <w:t>’s</w:t>
      </w:r>
      <w:proofErr w:type="spellEnd"/>
      <w:r w:rsidRPr="003205D3">
        <w:t xml:space="preserve"> interim</w:t>
      </w:r>
      <w:r>
        <w:t xml:space="preserve"> working capital allowance should be $68,245</w:t>
      </w:r>
      <w:r w:rsidRPr="003205D3">
        <w:t>.</w:t>
      </w:r>
    </w:p>
    <w:p w:rsidR="005B4E74" w:rsidRPr="00066038" w:rsidRDefault="005B4E74" w:rsidP="005B4E74">
      <w:pPr>
        <w:pStyle w:val="BodyText"/>
      </w:pPr>
      <w:r w:rsidRPr="00066038">
        <w:lastRenderedPageBreak/>
        <w:t xml:space="preserve">Pursuant to Section 367.082, F.S., the method used to calculate Used and Useful (U&amp;U) in </w:t>
      </w:r>
      <w:proofErr w:type="spellStart"/>
      <w:r>
        <w:t>Sandalhaven</w:t>
      </w:r>
      <w:r w:rsidRPr="00066038">
        <w:t>’s</w:t>
      </w:r>
      <w:proofErr w:type="spellEnd"/>
      <w:r w:rsidRPr="00066038">
        <w:t xml:space="preserve"> last rate case must be used for interim purposes</w:t>
      </w:r>
      <w:r>
        <w:t xml:space="preserve">. </w:t>
      </w:r>
      <w:proofErr w:type="gramStart"/>
      <w:r w:rsidRPr="00066038">
        <w:t>In Order No.</w:t>
      </w:r>
      <w:proofErr w:type="gramEnd"/>
      <w:r w:rsidRPr="00066038">
        <w:t xml:space="preserve"> PSC-</w:t>
      </w:r>
      <w:r>
        <w:t>07</w:t>
      </w:r>
      <w:r w:rsidRPr="00066038">
        <w:t>-0</w:t>
      </w:r>
      <w:r>
        <w:t>865-PAA-</w:t>
      </w:r>
      <w:r w:rsidRPr="00066038">
        <w:t>S</w:t>
      </w:r>
      <w:r>
        <w:t>U</w:t>
      </w:r>
      <w:r w:rsidRPr="00066038">
        <w:t xml:space="preserve">, the Commission found that </w:t>
      </w:r>
      <w:proofErr w:type="spellStart"/>
      <w:r>
        <w:t>Sandalhaven</w:t>
      </w:r>
      <w:r w:rsidRPr="00066038">
        <w:t>’s</w:t>
      </w:r>
      <w:proofErr w:type="spellEnd"/>
      <w:r w:rsidRPr="00066038">
        <w:t xml:space="preserve"> </w:t>
      </w:r>
      <w:r>
        <w:t>wastewater</w:t>
      </w:r>
      <w:r w:rsidRPr="00066038">
        <w:t xml:space="preserve"> system should be considered 100 percent U&amp;U</w:t>
      </w:r>
      <w:r>
        <w:t>. However, b</w:t>
      </w:r>
      <w:r w:rsidRPr="006A68CA">
        <w:t xml:space="preserve">ased on staff’s review, a non-used and useful adjustment of $73,089 should be made to reduce the land balance. The </w:t>
      </w:r>
      <w:r w:rsidR="009679A1">
        <w:t>u</w:t>
      </w:r>
      <w:r w:rsidRPr="006A68CA">
        <w:t xml:space="preserve">tility made this adjustment in its MFRs for final rates, but overlooked this adjustment in its calculation of rate base for interim rates. This adjustment is consistent with the methodology used in </w:t>
      </w:r>
      <w:proofErr w:type="spellStart"/>
      <w:r w:rsidRPr="006A68CA">
        <w:t>Sandalhaven’s</w:t>
      </w:r>
      <w:proofErr w:type="spellEnd"/>
      <w:r w:rsidRPr="006A68CA">
        <w:t xml:space="preserve"> last rate case.</w:t>
      </w:r>
      <w:r>
        <w:t xml:space="preserve"> No other</w:t>
      </w:r>
      <w:r w:rsidRPr="00066038">
        <w:t xml:space="preserve"> U&amp;U adjustments are necessary for interim purposes.</w:t>
      </w:r>
    </w:p>
    <w:p w:rsidR="005B4E74" w:rsidRPr="00066038" w:rsidRDefault="005B4E74" w:rsidP="005B4E74">
      <w:pPr>
        <w:pStyle w:val="BodyText"/>
      </w:pPr>
      <w:r w:rsidRPr="00066038">
        <w:t xml:space="preserve">Based on the above, staff recommends that </w:t>
      </w:r>
      <w:proofErr w:type="spellStart"/>
      <w:r>
        <w:t>Sandalhaven</w:t>
      </w:r>
      <w:r w:rsidRPr="00066038">
        <w:t>’s</w:t>
      </w:r>
      <w:proofErr w:type="spellEnd"/>
      <w:r w:rsidRPr="00066038">
        <w:t xml:space="preserve"> </w:t>
      </w:r>
      <w:r>
        <w:t>wastewater</w:t>
      </w:r>
      <w:r w:rsidRPr="00066038">
        <w:t xml:space="preserve"> rate base</w:t>
      </w:r>
      <w:r>
        <w:t xml:space="preserve"> for interim purposes</w:t>
      </w:r>
      <w:r w:rsidRPr="00066038">
        <w:t xml:space="preserve"> is $</w:t>
      </w:r>
      <w:r>
        <w:t>3,333,536</w:t>
      </w:r>
      <w:r w:rsidRPr="00066038">
        <w:t>.</w:t>
      </w:r>
    </w:p>
    <w:p w:rsidR="005B4E74" w:rsidRPr="00AE6992" w:rsidRDefault="005B4E74" w:rsidP="005B4E74">
      <w:pPr>
        <w:pStyle w:val="BodyText"/>
        <w:spacing w:after="0"/>
        <w:rPr>
          <w:rFonts w:ascii="Arial" w:hAnsi="Arial" w:cs="Arial"/>
          <w:b/>
        </w:rPr>
      </w:pPr>
      <w:r w:rsidRPr="00AE6992">
        <w:rPr>
          <w:rFonts w:ascii="Arial" w:hAnsi="Arial" w:cs="Arial"/>
          <w:b/>
        </w:rPr>
        <w:t>Cost of Capital</w:t>
      </w:r>
    </w:p>
    <w:p w:rsidR="005B4E74" w:rsidRDefault="005B4E74" w:rsidP="005B4E74">
      <w:pPr>
        <w:pStyle w:val="BodyText"/>
      </w:pPr>
      <w:r w:rsidRPr="0033332B">
        <w:t xml:space="preserve">In its MFRs, </w:t>
      </w:r>
      <w:proofErr w:type="spellStart"/>
      <w:r w:rsidRPr="0033332B">
        <w:t>Sandalhaven</w:t>
      </w:r>
      <w:proofErr w:type="spellEnd"/>
      <w:r w:rsidRPr="0033332B">
        <w:t xml:space="preserve"> requested a weighted average cost of capital of 10.21 percent based on a return on common equity </w:t>
      </w:r>
      <w:r>
        <w:t xml:space="preserve">(ROE) </w:t>
      </w:r>
      <w:r w:rsidRPr="0033332B">
        <w:t>of 11.00 percent</w:t>
      </w:r>
      <w:r>
        <w:t xml:space="preserve"> and an equity ratio of 57.57 percent</w:t>
      </w:r>
      <w:r w:rsidRPr="0033332B">
        <w:t>.</w:t>
      </w:r>
      <w:r>
        <w:t xml:space="preserve"> While the 11.00 percent ROE is appropriate in this instance, b</w:t>
      </w:r>
      <w:r w:rsidRPr="00C420C9">
        <w:t>ased on an analysis of the MFRs and staff’s review of Order No. PSC-</w:t>
      </w:r>
      <w:r>
        <w:t>07</w:t>
      </w:r>
      <w:r w:rsidRPr="00C420C9">
        <w:t>-0</w:t>
      </w:r>
      <w:r>
        <w:t>865</w:t>
      </w:r>
      <w:r w:rsidRPr="00C420C9">
        <w:t>-PAA-</w:t>
      </w:r>
      <w:r>
        <w:t>SU</w:t>
      </w:r>
      <w:r w:rsidRPr="00C420C9">
        <w:t xml:space="preserve">, staff believes an adjustment to the </w:t>
      </w:r>
      <w:r w:rsidR="009679A1">
        <w:t>u</w:t>
      </w:r>
      <w:r w:rsidRPr="00C420C9">
        <w:t>tility’s capital structure</w:t>
      </w:r>
      <w:r>
        <w:t xml:space="preserve"> and weighted average cost of capital is necessary. </w:t>
      </w:r>
    </w:p>
    <w:p w:rsidR="005B4E74" w:rsidRPr="00C420C9" w:rsidRDefault="005B4E74" w:rsidP="005B4E74">
      <w:pPr>
        <w:pStyle w:val="BodyText"/>
        <w:rPr>
          <w:u w:val="single"/>
        </w:rPr>
      </w:pPr>
      <w:r w:rsidRPr="00B805B9">
        <w:t xml:space="preserve">On MFR Schedule D-2 for interim, the </w:t>
      </w:r>
      <w:r w:rsidR="009679A1">
        <w:t>u</w:t>
      </w:r>
      <w:r w:rsidRPr="00B805B9">
        <w:t>tility reflected a negative amount of $</w:t>
      </w:r>
      <w:r>
        <w:t>540,800</w:t>
      </w:r>
      <w:r w:rsidRPr="00B805B9">
        <w:t xml:space="preserve"> for </w:t>
      </w:r>
      <w:r>
        <w:t>accumulated deferred income taxes (</w:t>
      </w:r>
      <w:r w:rsidRPr="00B805B9">
        <w:t>ADITs</w:t>
      </w:r>
      <w:r>
        <w:t>) in the capital structure</w:t>
      </w:r>
      <w:r w:rsidRPr="00B805B9">
        <w:t>.</w:t>
      </w:r>
      <w:r>
        <w:t xml:space="preserve"> In </w:t>
      </w:r>
      <w:proofErr w:type="spellStart"/>
      <w:r>
        <w:t>Sandalhaven’s</w:t>
      </w:r>
      <w:proofErr w:type="spellEnd"/>
      <w:r>
        <w:t xml:space="preserve"> last rate case, the debit ADITs from taxes paid on plant capacity charges (Def Tax Tap Fee Post 2000) and the credit ADITs for acquisition costs (</w:t>
      </w:r>
      <w:proofErr w:type="spellStart"/>
      <w:r>
        <w:t>Orgn</w:t>
      </w:r>
      <w:proofErr w:type="spellEnd"/>
      <w:r>
        <w:t xml:space="preserve"> </w:t>
      </w:r>
      <w:proofErr w:type="spellStart"/>
      <w:r>
        <w:t>Exp</w:t>
      </w:r>
      <w:proofErr w:type="spellEnd"/>
      <w:r>
        <w:t xml:space="preserve">) were disallowed for ratemaking purposes. </w:t>
      </w:r>
      <w:r w:rsidRPr="00C420C9">
        <w:t>Accordingly, staff recommends that the debit ADIT</w:t>
      </w:r>
      <w:r>
        <w:t>s</w:t>
      </w:r>
      <w:r w:rsidRPr="00C420C9">
        <w:t xml:space="preserve"> </w:t>
      </w:r>
      <w:r>
        <w:t>for Tap Fees of $618,138 and the credit ADITs for acquisition costs of $35,048 be removed from the debit ADIT balance of $540,800. The net adjustment is $583,090 ($618,800 - $35,048) which results in a positive ADIT balance of $42,290 in the capital structure.</w:t>
      </w:r>
    </w:p>
    <w:p w:rsidR="005B4E74" w:rsidRPr="00066038" w:rsidRDefault="005B4E74" w:rsidP="005B4E74">
      <w:pPr>
        <w:pStyle w:val="BodyText"/>
        <w:rPr>
          <w:u w:val="single"/>
        </w:rPr>
      </w:pPr>
      <w:r>
        <w:t>The adjustment to the ADIT balance in the capital structure yields an equity ratio of 49.0</w:t>
      </w:r>
      <w:r w:rsidR="00DB4E3F">
        <w:t>5</w:t>
      </w:r>
      <w:r>
        <w:t xml:space="preserve"> percent and an overall weighted average cost of capital of 8.71 percent. Accordingly</w:t>
      </w:r>
      <w:r w:rsidRPr="00066038">
        <w:t>, staff recommends that the appropriate</w:t>
      </w:r>
      <w:r>
        <w:t xml:space="preserve"> </w:t>
      </w:r>
      <w:r w:rsidRPr="00066038">
        <w:t xml:space="preserve">weighted average cost of capital </w:t>
      </w:r>
      <w:r>
        <w:t xml:space="preserve">for interim purposes </w:t>
      </w:r>
      <w:r w:rsidRPr="00066038">
        <w:t xml:space="preserve">is </w:t>
      </w:r>
      <w:r>
        <w:t>8.71</w:t>
      </w:r>
      <w:r w:rsidRPr="00066038">
        <w:t xml:space="preserve"> percent.</w:t>
      </w:r>
    </w:p>
    <w:p w:rsidR="005B4E74" w:rsidRPr="00AE6992" w:rsidRDefault="005B4E74" w:rsidP="005B4E74">
      <w:pPr>
        <w:pStyle w:val="BodyText"/>
        <w:spacing w:after="0"/>
        <w:rPr>
          <w:rFonts w:ascii="Arial" w:hAnsi="Arial" w:cs="Arial"/>
          <w:b/>
        </w:rPr>
      </w:pPr>
      <w:r w:rsidRPr="00AE6992">
        <w:rPr>
          <w:rFonts w:ascii="Arial" w:hAnsi="Arial" w:cs="Arial"/>
          <w:b/>
        </w:rPr>
        <w:t>Net Operating Income</w:t>
      </w:r>
    </w:p>
    <w:p w:rsidR="005B4E74" w:rsidRPr="00066038" w:rsidRDefault="005B4E74" w:rsidP="005B4E74">
      <w:pPr>
        <w:pStyle w:val="BodyText"/>
      </w:pPr>
      <w:r w:rsidRPr="00066038">
        <w:t xml:space="preserve">To attain the appropriate amount of interim test year operating revenues, staff removed the </w:t>
      </w:r>
      <w:r w:rsidR="009679A1">
        <w:t>u</w:t>
      </w:r>
      <w:r w:rsidRPr="00066038">
        <w:t>tility’s requested interim revenue increase of $</w:t>
      </w:r>
      <w:r>
        <w:t xml:space="preserve">724,062 </w:t>
      </w:r>
      <w:r w:rsidRPr="00066038">
        <w:t xml:space="preserve">for </w:t>
      </w:r>
      <w:r>
        <w:t xml:space="preserve">wastewater. </w:t>
      </w:r>
      <w:r w:rsidR="009679A1" w:rsidRPr="00055963">
        <w:t xml:space="preserve">Also, the utility did not use the wastewater gallons at its tariffed </w:t>
      </w:r>
      <w:proofErr w:type="spellStart"/>
      <w:r w:rsidR="009679A1" w:rsidRPr="00055963">
        <w:t>gallonage</w:t>
      </w:r>
      <w:proofErr w:type="spellEnd"/>
      <w:r w:rsidR="009679A1" w:rsidRPr="00055963">
        <w:t xml:space="preserve"> cap when determining the interim test year operating revenues. Staff </w:t>
      </w:r>
      <w:r w:rsidR="00DB4E3F">
        <w:t xml:space="preserve">further </w:t>
      </w:r>
      <w:r w:rsidR="009679A1" w:rsidRPr="00055963">
        <w:t>decreased the interim test</w:t>
      </w:r>
      <w:r w:rsidR="005579E3">
        <w:t xml:space="preserve"> </w:t>
      </w:r>
      <w:r w:rsidR="009679A1" w:rsidRPr="00055963">
        <w:t xml:space="preserve">year operating revenues by $12,199 to reflect the appropriate interim operating revenues using the wastewater gallons at the appropriate </w:t>
      </w:r>
      <w:proofErr w:type="spellStart"/>
      <w:r w:rsidR="00940599" w:rsidRPr="00055963">
        <w:t>gallonage</w:t>
      </w:r>
      <w:proofErr w:type="spellEnd"/>
      <w:r w:rsidR="00940599" w:rsidRPr="00055963">
        <w:t xml:space="preserve"> cap.</w:t>
      </w:r>
      <w:r w:rsidR="009679A1">
        <w:t xml:space="preserve"> </w:t>
      </w:r>
      <w:r w:rsidRPr="00066038">
        <w:t>Pursuant to Section 367.082(5</w:t>
      </w:r>
      <w:proofErr w:type="gramStart"/>
      <w:r w:rsidRPr="00066038">
        <w:t>)(</w:t>
      </w:r>
      <w:proofErr w:type="gramEnd"/>
      <w:r w:rsidRPr="00066038">
        <w:t xml:space="preserve">b)1., F.S., the achieved rate of return for interim purposes must be calculated by applying adjustments consistent with adjustments made in the </w:t>
      </w:r>
      <w:r w:rsidR="009679A1">
        <w:t>u</w:t>
      </w:r>
      <w:r w:rsidRPr="00066038">
        <w:t>tility’s most recent rate proceeding and annualizing any rate changes</w:t>
      </w:r>
      <w:r>
        <w:t xml:space="preserve">. </w:t>
      </w:r>
      <w:r w:rsidRPr="00066038">
        <w:t>Based on staff’s review, several adjustments to operation and maintenance (O&amp;M) expenses</w:t>
      </w:r>
      <w:r>
        <w:t xml:space="preserve"> </w:t>
      </w:r>
      <w:r w:rsidRPr="00066038">
        <w:t>are necessary for interim purposes</w:t>
      </w:r>
      <w:r>
        <w:t xml:space="preserve">. </w:t>
      </w:r>
    </w:p>
    <w:p w:rsidR="005B4E74" w:rsidRDefault="005B4E74" w:rsidP="005B4E74">
      <w:pPr>
        <w:pStyle w:val="BodyText"/>
      </w:pPr>
      <w:r>
        <w:t>First</w:t>
      </w:r>
      <w:r w:rsidRPr="00066038">
        <w:t xml:space="preserve">, </w:t>
      </w:r>
      <w:proofErr w:type="spellStart"/>
      <w:r>
        <w:t>Sandalhaven</w:t>
      </w:r>
      <w:proofErr w:type="spellEnd"/>
      <w:r w:rsidRPr="00066038">
        <w:t xml:space="preserve"> included an adjustment to increase </w:t>
      </w:r>
      <w:r>
        <w:t>the amortization of deferred charges included in miscellaneous expenses by $1,798 to annualize test year additions.</w:t>
      </w:r>
      <w:r w:rsidRPr="00066038">
        <w:t xml:space="preserve"> Staff believes the </w:t>
      </w:r>
      <w:r w:rsidR="009679A1">
        <w:lastRenderedPageBreak/>
        <w:t>u</w:t>
      </w:r>
      <w:r w:rsidRPr="00066038">
        <w:t xml:space="preserve">tility’s proposed adjustment </w:t>
      </w:r>
      <w:r>
        <w:t>is</w:t>
      </w:r>
      <w:r w:rsidRPr="00066038">
        <w:t xml:space="preserve"> pro forma because </w:t>
      </w:r>
      <w:r>
        <w:t>it is</w:t>
      </w:r>
      <w:r w:rsidRPr="00066038">
        <w:t xml:space="preserve"> outside the interim historic test year</w:t>
      </w:r>
      <w:r w:rsidR="005579E3">
        <w:t>,</w:t>
      </w:r>
      <w:r w:rsidRPr="00066038">
        <w:t xml:space="preserve"> and recommends that the adjustment be removed from the interim net</w:t>
      </w:r>
      <w:r>
        <w:t xml:space="preserve"> operating income calculation.</w:t>
      </w:r>
    </w:p>
    <w:p w:rsidR="001C7DB2" w:rsidRPr="001C7DB2" w:rsidRDefault="005B4E74" w:rsidP="001C7DB2">
      <w:pPr>
        <w:pStyle w:val="BodyText"/>
      </w:pPr>
      <w:r>
        <w:t xml:space="preserve">Second, using the same methodology in the last rate case for excessive inflow and infiltration (excessive I&amp;I), staff determined that excessive I&amp;I is 20.16 percent. </w:t>
      </w:r>
      <w:r w:rsidR="001C7DB2" w:rsidRPr="001C7DB2">
        <w:t xml:space="preserve">The process for determining excessive I&amp;I </w:t>
      </w:r>
      <w:proofErr w:type="gramStart"/>
      <w:r w:rsidR="001C7DB2" w:rsidRPr="001C7DB2">
        <w:t>involves</w:t>
      </w:r>
      <w:proofErr w:type="gramEnd"/>
      <w:r w:rsidR="001C7DB2" w:rsidRPr="001C7DB2">
        <w:t xml:space="preserve"> the following steps:</w:t>
      </w:r>
    </w:p>
    <w:p w:rsidR="001C7DB2" w:rsidRPr="001C7DB2" w:rsidRDefault="001C7DB2" w:rsidP="001C7DB2">
      <w:pPr>
        <w:pStyle w:val="BodyText"/>
        <w:numPr>
          <w:ilvl w:val="0"/>
          <w:numId w:val="12"/>
        </w:numPr>
      </w:pPr>
      <w:r w:rsidRPr="001C7DB2">
        <w:t xml:space="preserve">Calculate the infiltration allowance using the pipe sizes and lengths provided in the </w:t>
      </w:r>
      <w:r w:rsidR="009679A1">
        <w:t>u</w:t>
      </w:r>
      <w:r w:rsidRPr="001C7DB2">
        <w:t xml:space="preserve">tility’s MFRs, and add to it the allowable inflow based on the flows reported by the </w:t>
      </w:r>
      <w:r w:rsidR="009679A1">
        <w:t>u</w:t>
      </w:r>
      <w:r w:rsidRPr="001C7DB2">
        <w:t xml:space="preserve">tility, to obtain the </w:t>
      </w:r>
      <w:r w:rsidRPr="00055963">
        <w:t xml:space="preserve">total allowable </w:t>
      </w:r>
      <w:proofErr w:type="gramStart"/>
      <w:r w:rsidRPr="00055963">
        <w:t>I&amp;I</w:t>
      </w:r>
      <w:proofErr w:type="gramEnd"/>
      <w:r w:rsidRPr="001C7DB2">
        <w:t>.</w:t>
      </w:r>
    </w:p>
    <w:p w:rsidR="001C7DB2" w:rsidRPr="001C7DB2" w:rsidRDefault="001C7DB2" w:rsidP="001C7DB2">
      <w:pPr>
        <w:pStyle w:val="BodyText"/>
        <w:numPr>
          <w:ilvl w:val="0"/>
          <w:numId w:val="12"/>
        </w:numPr>
      </w:pPr>
      <w:r w:rsidRPr="001C7DB2">
        <w:t xml:space="preserve">Calculate the </w:t>
      </w:r>
      <w:r w:rsidRPr="00055963">
        <w:t>estimated returns</w:t>
      </w:r>
      <w:r w:rsidRPr="001C7DB2">
        <w:t xml:space="preserve"> at 80 percent of the residential water gallons sold plus 90 percent of the non-residential water gallons sold.  </w:t>
      </w:r>
    </w:p>
    <w:p w:rsidR="001C7DB2" w:rsidRPr="001C7DB2" w:rsidRDefault="001C7DB2" w:rsidP="001C7DB2">
      <w:pPr>
        <w:pStyle w:val="BodyText"/>
        <w:numPr>
          <w:ilvl w:val="0"/>
          <w:numId w:val="12"/>
        </w:numPr>
      </w:pPr>
      <w:r w:rsidRPr="001C7DB2">
        <w:t xml:space="preserve">Subtract the estimated returns from the amount of wastewater treated to get the </w:t>
      </w:r>
      <w:r w:rsidRPr="00055963">
        <w:t>estimated I&amp;I</w:t>
      </w:r>
      <w:r w:rsidRPr="001C7DB2">
        <w:t xml:space="preserve">.  </w:t>
      </w:r>
    </w:p>
    <w:p w:rsidR="001C7DB2" w:rsidRPr="001C7DB2" w:rsidRDefault="001C7DB2" w:rsidP="001C7DB2">
      <w:pPr>
        <w:pStyle w:val="BodyText"/>
        <w:numPr>
          <w:ilvl w:val="0"/>
          <w:numId w:val="12"/>
        </w:numPr>
      </w:pPr>
      <w:r w:rsidRPr="001C7DB2">
        <w:t xml:space="preserve">Subtract the total allowable I&amp;I from the estimated I&amp;I to yield the </w:t>
      </w:r>
      <w:r w:rsidRPr="00055963">
        <w:t>excessive I&amp;I</w:t>
      </w:r>
      <w:r w:rsidRPr="001C7DB2">
        <w:t xml:space="preserve">.  </w:t>
      </w:r>
    </w:p>
    <w:p w:rsidR="005B4E74" w:rsidRPr="00066038" w:rsidRDefault="001C7DB2" w:rsidP="001C7DB2">
      <w:pPr>
        <w:pStyle w:val="BodyText"/>
      </w:pPr>
      <w:r w:rsidRPr="001C7DB2">
        <w:t xml:space="preserve">Using this process in the last rate case, staff found no excessive </w:t>
      </w:r>
      <w:proofErr w:type="gramStart"/>
      <w:r w:rsidRPr="001C7DB2">
        <w:t>I&amp;I</w:t>
      </w:r>
      <w:proofErr w:type="gramEnd"/>
      <w:r w:rsidRPr="001C7DB2">
        <w:t xml:space="preserve">. However, in the instant docket, using the data provided by the </w:t>
      </w:r>
      <w:r w:rsidR="009679A1">
        <w:t>u</w:t>
      </w:r>
      <w:r w:rsidRPr="001C7DB2">
        <w:t xml:space="preserve">tility in its MFRs, staff calculated the excessive I&amp;I stated above. Staff notes that its result differs from that of the </w:t>
      </w:r>
      <w:r w:rsidR="009679A1">
        <w:t>u</w:t>
      </w:r>
      <w:r w:rsidRPr="001C7DB2">
        <w:t xml:space="preserve">tility as reported on Schedule F-6 of the </w:t>
      </w:r>
      <w:proofErr w:type="spellStart"/>
      <w:r w:rsidRPr="001C7DB2">
        <w:t>MFRs.</w:t>
      </w:r>
      <w:proofErr w:type="spellEnd"/>
      <w:r w:rsidRPr="001C7DB2">
        <w:t xml:space="preserve"> This is due to an apparent error on line 14 of Schedule F-6.</w:t>
      </w:r>
      <w:r w:rsidR="005B4E74">
        <w:t xml:space="preserve"> Consistent with prior Commission practice, staff believes an adjustment should be made to reduce the chemicals, purchased power, and purchased sewage treatment expenses by 20.16 percent. Accordingly</w:t>
      </w:r>
      <w:r w:rsidR="00DB4E3F">
        <w:t>,</w:t>
      </w:r>
      <w:r w:rsidR="005B4E74">
        <w:t xml:space="preserve"> staff recommends that Chemicals Expense be reduced by $664, Purchased Power Expense be reduced by $4,199, and Purchased Sewage Treatment be reduced by $34,126, for a total reduction of $38,989.</w:t>
      </w:r>
    </w:p>
    <w:p w:rsidR="005B4E74" w:rsidRDefault="005B4E74" w:rsidP="005B4E74">
      <w:pPr>
        <w:pStyle w:val="BodyText"/>
      </w:pPr>
      <w:r>
        <w:t>Third</w:t>
      </w:r>
      <w:r w:rsidRPr="00066038">
        <w:t xml:space="preserve">, staff made adjustments to </w:t>
      </w:r>
      <w:r>
        <w:t>taxes other than income (</w:t>
      </w:r>
      <w:r w:rsidRPr="00066038">
        <w:t>TOTI</w:t>
      </w:r>
      <w:r>
        <w:t>)</w:t>
      </w:r>
      <w:r w:rsidRPr="00066038">
        <w:t xml:space="preserve"> to reflect the revenue and O&amp;M</w:t>
      </w:r>
      <w:r>
        <w:t xml:space="preserve"> expense</w:t>
      </w:r>
      <w:r w:rsidRPr="00066038">
        <w:t xml:space="preserve"> adjustments cited above</w:t>
      </w:r>
      <w:r>
        <w:t xml:space="preserve">. </w:t>
      </w:r>
      <w:r w:rsidRPr="00066038">
        <w:t xml:space="preserve">Staff reduced the </w:t>
      </w:r>
      <w:r w:rsidR="004A415E">
        <w:t>r</w:t>
      </w:r>
      <w:r w:rsidR="005579E3">
        <w:t xml:space="preserve">egulatory </w:t>
      </w:r>
      <w:r w:rsidR="004A415E">
        <w:t>a</w:t>
      </w:r>
      <w:r w:rsidR="005579E3">
        <w:t>sses</w:t>
      </w:r>
      <w:r w:rsidR="00316187">
        <w:t>s</w:t>
      </w:r>
      <w:r w:rsidR="005579E3">
        <w:t xml:space="preserve">ment </w:t>
      </w:r>
      <w:r w:rsidR="004A415E">
        <w:t>f</w:t>
      </w:r>
      <w:r w:rsidR="005579E3">
        <w:t>ees (</w:t>
      </w:r>
      <w:r w:rsidRPr="00066038">
        <w:t>RAFs</w:t>
      </w:r>
      <w:r w:rsidR="005579E3">
        <w:t>)</w:t>
      </w:r>
      <w:r w:rsidRPr="00066038">
        <w:t xml:space="preserve"> </w:t>
      </w:r>
      <w:r>
        <w:t>by</w:t>
      </w:r>
      <w:r w:rsidRPr="00066038">
        <w:t xml:space="preserve"> $</w:t>
      </w:r>
      <w:r>
        <w:t>33,132</w:t>
      </w:r>
      <w:r w:rsidRPr="00066038">
        <w:t xml:space="preserve"> to reflect the removal of the </w:t>
      </w:r>
      <w:proofErr w:type="gramStart"/>
      <w:r w:rsidR="009679A1">
        <w:t>u</w:t>
      </w:r>
      <w:r w:rsidRPr="00066038">
        <w:t>tility’s</w:t>
      </w:r>
      <w:proofErr w:type="gramEnd"/>
      <w:r w:rsidRPr="00066038">
        <w:t xml:space="preserve"> requested revenue increase</w:t>
      </w:r>
      <w:r>
        <w:t xml:space="preserve">. </w:t>
      </w:r>
    </w:p>
    <w:p w:rsidR="005B4E74" w:rsidRDefault="005B4E74" w:rsidP="005B4E74">
      <w:pPr>
        <w:pStyle w:val="BodyText"/>
      </w:pPr>
      <w:r w:rsidRPr="00066038">
        <w:t xml:space="preserve">Based on the above, staff recommends that the appropriate test year operating </w:t>
      </w:r>
      <w:r>
        <w:t>loss</w:t>
      </w:r>
      <w:r w:rsidRPr="00066038">
        <w:t xml:space="preserve">, before any interim revenue increase, is </w:t>
      </w:r>
      <w:r>
        <w:t>$73,568.</w:t>
      </w:r>
    </w:p>
    <w:p w:rsidR="005B4E74" w:rsidRPr="00AE6992" w:rsidRDefault="005B4E74" w:rsidP="005B4E74">
      <w:pPr>
        <w:pStyle w:val="BodyText"/>
        <w:spacing w:after="0"/>
        <w:rPr>
          <w:rFonts w:ascii="Arial" w:hAnsi="Arial" w:cs="Arial"/>
          <w:b/>
        </w:rPr>
      </w:pPr>
      <w:r w:rsidRPr="00AE6992">
        <w:rPr>
          <w:rFonts w:ascii="Arial" w:hAnsi="Arial" w:cs="Arial"/>
          <w:b/>
        </w:rPr>
        <w:t>Revenue Requirement</w:t>
      </w:r>
    </w:p>
    <w:p w:rsidR="006542E5" w:rsidRDefault="005B4E74" w:rsidP="005B4E74">
      <w:pPr>
        <w:pStyle w:val="BodyText"/>
      </w:pPr>
      <w:r w:rsidRPr="0058557F">
        <w:t xml:space="preserve">Based on the above adjustments, staff recommends </w:t>
      </w:r>
      <w:r>
        <w:t xml:space="preserve">a </w:t>
      </w:r>
      <w:r w:rsidRPr="0058557F">
        <w:t>revenue requirement of $</w:t>
      </w:r>
      <w:r>
        <w:t xml:space="preserve">1,280,211. </w:t>
      </w:r>
      <w:r w:rsidRPr="0058557F">
        <w:t xml:space="preserve">This represents </w:t>
      </w:r>
      <w:r>
        <w:t xml:space="preserve">an </w:t>
      </w:r>
      <w:r w:rsidRPr="0058557F">
        <w:t>interim increase in annual revenues of $</w:t>
      </w:r>
      <w:r>
        <w:t>611,174, or 91.35 percent.</w:t>
      </w:r>
    </w:p>
    <w:p w:rsidR="006542E5" w:rsidRDefault="006542E5">
      <w:pPr>
        <w:pStyle w:val="IssueHeading"/>
        <w:rPr>
          <w:vanish/>
          <w:specVanish/>
        </w:rPr>
      </w:pPr>
      <w:r>
        <w:br w:type="page"/>
      </w:r>
      <w:r w:rsidRPr="006542E5">
        <w:rPr>
          <w:b/>
          <w:i/>
        </w:rPr>
        <w:lastRenderedPageBreak/>
        <w:t xml:space="preserve">Issue </w:t>
      </w:r>
      <w:r w:rsidRPr="006542E5">
        <w:rPr>
          <w:b/>
          <w:i/>
        </w:rPr>
        <w:fldChar w:fldCharType="begin"/>
      </w:r>
      <w:r w:rsidRPr="006542E5">
        <w:rPr>
          <w:b/>
          <w:i/>
        </w:rPr>
        <w:instrText xml:space="preserve"> SEQ Issue \* MERGEFORMAT </w:instrText>
      </w:r>
      <w:r w:rsidRPr="006542E5">
        <w:rPr>
          <w:b/>
          <w:i/>
        </w:rPr>
        <w:fldChar w:fldCharType="separate"/>
      </w:r>
      <w:r w:rsidR="003F6E3F">
        <w:rPr>
          <w:b/>
          <w:i/>
          <w:noProof/>
        </w:rPr>
        <w:t>3</w:t>
      </w:r>
      <w:r w:rsidRPr="006542E5">
        <w:rPr>
          <w:b/>
          <w:i/>
        </w:rPr>
        <w:fldChar w:fldCharType="end"/>
      </w:r>
      <w:r w:rsidRPr="006542E5">
        <w:rPr>
          <w:b/>
          <w:i/>
        </w:rPr>
        <w:t>:</w:t>
      </w:r>
      <w:r>
        <w:fldChar w:fldCharType="begin"/>
      </w:r>
      <w:r>
        <w:instrText xml:space="preserve"> TC "</w:instrText>
      </w:r>
      <w:r>
        <w:fldChar w:fldCharType="begin"/>
      </w:r>
      <w:r>
        <w:instrText xml:space="preserve"> SEQ issue \c </w:instrText>
      </w:r>
      <w:r>
        <w:fldChar w:fldCharType="separate"/>
      </w:r>
      <w:r w:rsidR="003F6E3F">
        <w:rPr>
          <w:noProof/>
        </w:rPr>
        <w:instrText>3</w:instrText>
      </w:r>
      <w:r>
        <w:fldChar w:fldCharType="end"/>
      </w:r>
      <w:r>
        <w:tab/>
        <w:instrText xml:space="preserve">(Bruce)" \l 1 </w:instrText>
      </w:r>
      <w:r>
        <w:fldChar w:fldCharType="end"/>
      </w:r>
      <w:r>
        <w:t> </w:t>
      </w:r>
    </w:p>
    <w:p w:rsidR="006542E5" w:rsidRDefault="006542E5">
      <w:pPr>
        <w:pStyle w:val="BodyText"/>
      </w:pPr>
      <w:r>
        <w:t> What are the appropriate interim wastewater rates?</w:t>
      </w:r>
    </w:p>
    <w:p w:rsidR="006542E5" w:rsidRDefault="006542E5">
      <w:pPr>
        <w:pStyle w:val="IssueSubsectionHeading"/>
        <w:rPr>
          <w:vanish/>
          <w:specVanish/>
        </w:rPr>
      </w:pPr>
      <w:r w:rsidRPr="006542E5">
        <w:rPr>
          <w:b/>
          <w:i/>
        </w:rPr>
        <w:t>Recommendation:</w:t>
      </w:r>
      <w:r>
        <w:t> </w:t>
      </w:r>
    </w:p>
    <w:p w:rsidR="006542E5" w:rsidRDefault="006542E5">
      <w:pPr>
        <w:pStyle w:val="BodyText"/>
      </w:pPr>
      <w:r>
        <w:t> T</w:t>
      </w:r>
      <w:r w:rsidRPr="008B2F9C">
        <w:t xml:space="preserve">he interim rate increase of </w:t>
      </w:r>
      <w:r w:rsidR="0092511D">
        <w:t>91</w:t>
      </w:r>
      <w:r w:rsidR="00055A21">
        <w:t>.</w:t>
      </w:r>
      <w:r w:rsidR="009634A9">
        <w:t>6</w:t>
      </w:r>
      <w:r w:rsidRPr="008B2F9C">
        <w:t xml:space="preserve"> percent for wastewater should be applied as an across-the-board increase to the </w:t>
      </w:r>
      <w:r>
        <w:t xml:space="preserve">utility’s existing </w:t>
      </w:r>
      <w:r w:rsidRPr="008B2F9C">
        <w:t>service rates</w:t>
      </w:r>
      <w:r>
        <w:t xml:space="preserve">. </w:t>
      </w:r>
      <w:r w:rsidRPr="008B2F9C">
        <w:t>The rat</w:t>
      </w:r>
      <w:r w:rsidR="0092511D">
        <w:t>es, as shown on Schedule No. 4</w:t>
      </w:r>
      <w:r w:rsidRPr="008B2F9C">
        <w:t>, should be effective for service rendered on or after the stamped approval date on the tariff sheets pursuant to Rule 25-30.475(1), F.A.C</w:t>
      </w:r>
      <w:r w:rsidR="00AD7FCB">
        <w:t xml:space="preserve">. </w:t>
      </w:r>
      <w:r w:rsidRPr="008B2F9C">
        <w:t xml:space="preserve">The </w:t>
      </w:r>
      <w:r>
        <w:t>u</w:t>
      </w:r>
      <w:r w:rsidRPr="008B2F9C">
        <w:t>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w:t>
      </w:r>
      <w:r w:rsidR="00AD7FCB">
        <w:t xml:space="preserve">een received by the customers. </w:t>
      </w:r>
      <w:r w:rsidRPr="008B2F9C">
        <w:t xml:space="preserve">The </w:t>
      </w:r>
      <w:r>
        <w:t>u</w:t>
      </w:r>
      <w:r w:rsidRPr="008B2F9C">
        <w:t xml:space="preserve">tility should provide proof of the date notice was given within 10 days of the date of the notice. </w:t>
      </w:r>
      <w:r>
        <w:t xml:space="preserve"> (Bruce)</w:t>
      </w:r>
    </w:p>
    <w:p w:rsidR="006542E5" w:rsidRDefault="006542E5">
      <w:pPr>
        <w:pStyle w:val="IssueSubsectionHeading"/>
        <w:rPr>
          <w:vanish/>
          <w:specVanish/>
        </w:rPr>
      </w:pPr>
      <w:r w:rsidRPr="006542E5">
        <w:rPr>
          <w:b/>
          <w:i/>
        </w:rPr>
        <w:t>Staff Analysis:</w:t>
      </w:r>
      <w:r>
        <w:t> </w:t>
      </w:r>
    </w:p>
    <w:p w:rsidR="006542E5" w:rsidRPr="006542E5" w:rsidRDefault="006542E5" w:rsidP="006542E5">
      <w:pPr>
        <w:pStyle w:val="BodyText"/>
      </w:pPr>
      <w:r>
        <w:t> </w:t>
      </w:r>
      <w:r w:rsidRPr="006542E5">
        <w:t>Staff recommends that interim service rates for</w:t>
      </w:r>
      <w:r>
        <w:t xml:space="preserve"> </w:t>
      </w:r>
      <w:proofErr w:type="spellStart"/>
      <w:r>
        <w:t>Sandalhaven</w:t>
      </w:r>
      <w:proofErr w:type="spellEnd"/>
      <w:r>
        <w:t xml:space="preserve"> </w:t>
      </w:r>
      <w:r w:rsidRPr="006542E5">
        <w:t xml:space="preserve">be designed to allow the </w:t>
      </w:r>
      <w:r w:rsidR="00D173CF">
        <w:t>u</w:t>
      </w:r>
      <w:r w:rsidRPr="006542E5">
        <w:t xml:space="preserve">tility the opportunity to generate annual operating revenues of </w:t>
      </w:r>
      <w:r w:rsidR="00B15540">
        <w:t>$1,</w:t>
      </w:r>
      <w:r w:rsidR="00D173CF">
        <w:t>280</w:t>
      </w:r>
      <w:r w:rsidR="00B15540">
        <w:t>,2</w:t>
      </w:r>
      <w:r w:rsidR="00D173CF">
        <w:t>11</w:t>
      </w:r>
      <w:r w:rsidR="00B15540">
        <w:t xml:space="preserve">. </w:t>
      </w:r>
      <w:r w:rsidRPr="006542E5">
        <w:t xml:space="preserve">Before removal of miscellaneous revenues, this would result in an increase </w:t>
      </w:r>
      <w:r w:rsidR="00774B95">
        <w:t xml:space="preserve">of </w:t>
      </w:r>
      <w:r w:rsidR="00B15540" w:rsidRPr="00B15540">
        <w:t>$</w:t>
      </w:r>
      <w:r w:rsidR="00D173CF">
        <w:t>611</w:t>
      </w:r>
      <w:r w:rsidR="00B15540" w:rsidRPr="00B15540">
        <w:t>,</w:t>
      </w:r>
      <w:r w:rsidR="00D173CF">
        <w:t>174</w:t>
      </w:r>
      <w:r w:rsidRPr="00B15540">
        <w:t xml:space="preserve"> (</w:t>
      </w:r>
      <w:r w:rsidR="00D173CF">
        <w:t>91.35</w:t>
      </w:r>
      <w:r w:rsidRPr="00B15540">
        <w:t xml:space="preserve"> percent)</w:t>
      </w:r>
      <w:r w:rsidR="00B15540">
        <w:t xml:space="preserve">. </w:t>
      </w:r>
      <w:r w:rsidRPr="006542E5">
        <w:t>To determine the appropriate increase to apply to the service rates, miscellaneous revenues should be removed from the test year revenues. The calculation is as follows:</w:t>
      </w:r>
    </w:p>
    <w:p w:rsidR="00DA3273" w:rsidRPr="00DA3273" w:rsidRDefault="006542E5" w:rsidP="008B57B6">
      <w:pPr>
        <w:jc w:val="center"/>
        <w:rPr>
          <w:rFonts w:ascii="Arial" w:hAnsi="Arial" w:cs="Arial"/>
          <w:b/>
        </w:rPr>
      </w:pPr>
      <w:r w:rsidRPr="00DA3273">
        <w:rPr>
          <w:rFonts w:ascii="Arial" w:hAnsi="Arial" w:cs="Arial"/>
          <w:b/>
        </w:rPr>
        <w:t xml:space="preserve">Table </w:t>
      </w:r>
      <w:r w:rsidR="00DA3273" w:rsidRPr="00DA3273">
        <w:rPr>
          <w:rFonts w:ascii="Arial" w:hAnsi="Arial" w:cs="Arial"/>
          <w:b/>
        </w:rPr>
        <w:t>3</w:t>
      </w:r>
    </w:p>
    <w:p w:rsidR="00DA3273" w:rsidRPr="00DA3273" w:rsidRDefault="00DA3273" w:rsidP="008B57B6">
      <w:pPr>
        <w:jc w:val="center"/>
        <w:rPr>
          <w:rFonts w:ascii="Arial" w:hAnsi="Arial" w:cs="Arial"/>
          <w:b/>
        </w:rPr>
      </w:pPr>
      <w:r w:rsidRPr="00DA3273">
        <w:rPr>
          <w:rFonts w:ascii="Arial" w:hAnsi="Arial" w:cs="Arial"/>
          <w:b/>
        </w:rPr>
        <w:t xml:space="preserve">Percentage Increase </w:t>
      </w:r>
      <w:proofErr w:type="gramStart"/>
      <w:r w:rsidRPr="00DA3273">
        <w:rPr>
          <w:rFonts w:ascii="Arial" w:hAnsi="Arial" w:cs="Arial"/>
          <w:b/>
        </w:rPr>
        <w:t>Less</w:t>
      </w:r>
      <w:proofErr w:type="gramEnd"/>
      <w:r w:rsidRPr="00DA3273">
        <w:rPr>
          <w:rFonts w:ascii="Arial" w:hAnsi="Arial" w:cs="Arial"/>
          <w:b/>
        </w:rPr>
        <w:t xml:space="preserve"> Miscellaneous Revenues</w:t>
      </w:r>
    </w:p>
    <w:tbl>
      <w:tblPr>
        <w:tblW w:w="0" w:type="auto"/>
        <w:jc w:val="center"/>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64"/>
        <w:gridCol w:w="1406"/>
      </w:tblGrid>
      <w:tr w:rsidR="00774B95" w:rsidRPr="006542E5" w:rsidTr="002F5C78">
        <w:trPr>
          <w:jc w:val="center"/>
        </w:trPr>
        <w:tc>
          <w:tcPr>
            <w:tcW w:w="686" w:type="dxa"/>
            <w:shd w:val="clear" w:color="auto" w:fill="auto"/>
          </w:tcPr>
          <w:p w:rsidR="00774B95" w:rsidRPr="006542E5" w:rsidRDefault="00774B95" w:rsidP="006542E5">
            <w:pPr>
              <w:jc w:val="right"/>
            </w:pPr>
          </w:p>
        </w:tc>
        <w:tc>
          <w:tcPr>
            <w:tcW w:w="6064" w:type="dxa"/>
            <w:shd w:val="clear" w:color="auto" w:fill="auto"/>
          </w:tcPr>
          <w:p w:rsidR="00774B95" w:rsidRPr="006542E5" w:rsidRDefault="00774B95" w:rsidP="006542E5"/>
        </w:tc>
        <w:tc>
          <w:tcPr>
            <w:tcW w:w="1406" w:type="dxa"/>
          </w:tcPr>
          <w:p w:rsidR="00774B95" w:rsidRPr="00823B06" w:rsidRDefault="00774B95" w:rsidP="006542E5">
            <w:pPr>
              <w:jc w:val="center"/>
              <w:rPr>
                <w:u w:val="single"/>
              </w:rPr>
            </w:pPr>
            <w:r w:rsidRPr="00823B06">
              <w:rPr>
                <w:u w:val="single"/>
              </w:rPr>
              <w:t>Wastewater</w:t>
            </w:r>
          </w:p>
        </w:tc>
      </w:tr>
      <w:tr w:rsidR="00774B95" w:rsidRPr="006542E5" w:rsidTr="002F5C78">
        <w:trPr>
          <w:trHeight w:val="117"/>
          <w:jc w:val="center"/>
        </w:trPr>
        <w:tc>
          <w:tcPr>
            <w:tcW w:w="686" w:type="dxa"/>
            <w:shd w:val="clear" w:color="auto" w:fill="auto"/>
          </w:tcPr>
          <w:p w:rsidR="00774B95" w:rsidRPr="006542E5" w:rsidRDefault="00774B95" w:rsidP="006542E5">
            <w:pPr>
              <w:jc w:val="right"/>
            </w:pPr>
          </w:p>
        </w:tc>
        <w:tc>
          <w:tcPr>
            <w:tcW w:w="6064" w:type="dxa"/>
            <w:shd w:val="clear" w:color="auto" w:fill="auto"/>
          </w:tcPr>
          <w:p w:rsidR="00774B95" w:rsidRPr="006542E5" w:rsidRDefault="00774B95" w:rsidP="006542E5"/>
        </w:tc>
        <w:tc>
          <w:tcPr>
            <w:tcW w:w="1406" w:type="dxa"/>
          </w:tcPr>
          <w:p w:rsidR="00774B95" w:rsidRPr="00823B06" w:rsidRDefault="00774B95" w:rsidP="006542E5">
            <w:pPr>
              <w:jc w:val="right"/>
            </w:pPr>
          </w:p>
        </w:tc>
      </w:tr>
      <w:tr w:rsidR="00774B95" w:rsidRPr="006542E5" w:rsidTr="002F5C78">
        <w:trPr>
          <w:jc w:val="center"/>
        </w:trPr>
        <w:tc>
          <w:tcPr>
            <w:tcW w:w="686" w:type="dxa"/>
            <w:shd w:val="clear" w:color="auto" w:fill="auto"/>
          </w:tcPr>
          <w:p w:rsidR="00774B95" w:rsidRPr="006542E5" w:rsidRDefault="00774B95" w:rsidP="006542E5">
            <w:pPr>
              <w:jc w:val="right"/>
            </w:pPr>
            <w:r w:rsidRPr="006542E5">
              <w:t>1</w:t>
            </w:r>
          </w:p>
        </w:tc>
        <w:tc>
          <w:tcPr>
            <w:tcW w:w="6064" w:type="dxa"/>
            <w:shd w:val="clear" w:color="auto" w:fill="auto"/>
          </w:tcPr>
          <w:p w:rsidR="00774B95" w:rsidRPr="006542E5" w:rsidRDefault="00774B95" w:rsidP="006542E5">
            <w:r w:rsidRPr="006542E5">
              <w:t>Total Test Year Revenues</w:t>
            </w:r>
          </w:p>
        </w:tc>
        <w:tc>
          <w:tcPr>
            <w:tcW w:w="1406" w:type="dxa"/>
          </w:tcPr>
          <w:p w:rsidR="00774B95" w:rsidRPr="00823B06" w:rsidRDefault="00774B95" w:rsidP="008B57B6">
            <w:pPr>
              <w:jc w:val="right"/>
            </w:pPr>
            <w:r w:rsidRPr="00823B06">
              <w:t>$</w:t>
            </w:r>
            <w:r w:rsidR="008B57B6" w:rsidRPr="00823B06">
              <w:t>669</w:t>
            </w:r>
            <w:r w:rsidRPr="00823B06">
              <w:t>,</w:t>
            </w:r>
            <w:r w:rsidR="008B57B6" w:rsidRPr="00823B06">
              <w:t>037</w:t>
            </w:r>
          </w:p>
        </w:tc>
      </w:tr>
      <w:tr w:rsidR="00774B95" w:rsidRPr="006542E5" w:rsidTr="002F5C78">
        <w:trPr>
          <w:jc w:val="center"/>
        </w:trPr>
        <w:tc>
          <w:tcPr>
            <w:tcW w:w="686" w:type="dxa"/>
            <w:shd w:val="clear" w:color="auto" w:fill="auto"/>
          </w:tcPr>
          <w:p w:rsidR="00774B95" w:rsidRPr="006542E5" w:rsidRDefault="00774B95" w:rsidP="006542E5">
            <w:pPr>
              <w:jc w:val="right"/>
            </w:pPr>
          </w:p>
        </w:tc>
        <w:tc>
          <w:tcPr>
            <w:tcW w:w="6064" w:type="dxa"/>
            <w:shd w:val="clear" w:color="auto" w:fill="auto"/>
          </w:tcPr>
          <w:p w:rsidR="00774B95" w:rsidRPr="006542E5" w:rsidRDefault="00774B95" w:rsidP="006542E5"/>
        </w:tc>
        <w:tc>
          <w:tcPr>
            <w:tcW w:w="1406" w:type="dxa"/>
          </w:tcPr>
          <w:p w:rsidR="00774B95" w:rsidRPr="00823B06" w:rsidRDefault="00774B95" w:rsidP="006542E5">
            <w:pPr>
              <w:jc w:val="right"/>
            </w:pPr>
          </w:p>
        </w:tc>
      </w:tr>
      <w:tr w:rsidR="00774B95" w:rsidRPr="006542E5" w:rsidTr="002F5C78">
        <w:trPr>
          <w:jc w:val="center"/>
        </w:trPr>
        <w:tc>
          <w:tcPr>
            <w:tcW w:w="686" w:type="dxa"/>
            <w:shd w:val="clear" w:color="auto" w:fill="auto"/>
          </w:tcPr>
          <w:p w:rsidR="00774B95" w:rsidRPr="006542E5" w:rsidRDefault="00774B95" w:rsidP="006542E5">
            <w:pPr>
              <w:jc w:val="right"/>
            </w:pPr>
            <w:r w:rsidRPr="006542E5">
              <w:t>2</w:t>
            </w:r>
          </w:p>
        </w:tc>
        <w:tc>
          <w:tcPr>
            <w:tcW w:w="6064" w:type="dxa"/>
            <w:shd w:val="clear" w:color="auto" w:fill="auto"/>
          </w:tcPr>
          <w:p w:rsidR="00774B95" w:rsidRPr="006542E5" w:rsidRDefault="00774B95" w:rsidP="006542E5">
            <w:r w:rsidRPr="006542E5">
              <w:t>Less:  Miscellaneous Revenues</w:t>
            </w:r>
          </w:p>
        </w:tc>
        <w:tc>
          <w:tcPr>
            <w:tcW w:w="1406" w:type="dxa"/>
          </w:tcPr>
          <w:p w:rsidR="00774B95" w:rsidRPr="00823B06" w:rsidRDefault="00774B95" w:rsidP="006542E5">
            <w:pPr>
              <w:jc w:val="right"/>
              <w:rPr>
                <w:u w:val="single"/>
              </w:rPr>
            </w:pPr>
            <w:r w:rsidRPr="00823B06">
              <w:rPr>
                <w:u w:val="single"/>
              </w:rPr>
              <w:t>$</w:t>
            </w:r>
            <w:r w:rsidR="008B57B6" w:rsidRPr="00823B06">
              <w:rPr>
                <w:u w:val="single"/>
              </w:rPr>
              <w:t>1,848</w:t>
            </w:r>
          </w:p>
        </w:tc>
      </w:tr>
      <w:tr w:rsidR="00774B95" w:rsidRPr="006542E5" w:rsidTr="002F5C78">
        <w:trPr>
          <w:jc w:val="center"/>
        </w:trPr>
        <w:tc>
          <w:tcPr>
            <w:tcW w:w="686" w:type="dxa"/>
            <w:shd w:val="clear" w:color="auto" w:fill="auto"/>
          </w:tcPr>
          <w:p w:rsidR="00774B95" w:rsidRPr="006542E5" w:rsidRDefault="00774B95" w:rsidP="006542E5">
            <w:pPr>
              <w:jc w:val="right"/>
            </w:pPr>
          </w:p>
        </w:tc>
        <w:tc>
          <w:tcPr>
            <w:tcW w:w="6064" w:type="dxa"/>
            <w:shd w:val="clear" w:color="auto" w:fill="auto"/>
          </w:tcPr>
          <w:p w:rsidR="00774B95" w:rsidRPr="006542E5" w:rsidRDefault="00774B95" w:rsidP="006542E5"/>
        </w:tc>
        <w:tc>
          <w:tcPr>
            <w:tcW w:w="1406" w:type="dxa"/>
          </w:tcPr>
          <w:p w:rsidR="00774B95" w:rsidRPr="00823B06" w:rsidRDefault="00774B95" w:rsidP="006542E5">
            <w:pPr>
              <w:jc w:val="right"/>
            </w:pPr>
          </w:p>
        </w:tc>
      </w:tr>
      <w:tr w:rsidR="00774B95" w:rsidRPr="006542E5" w:rsidTr="002F5C78">
        <w:trPr>
          <w:jc w:val="center"/>
        </w:trPr>
        <w:tc>
          <w:tcPr>
            <w:tcW w:w="686" w:type="dxa"/>
            <w:shd w:val="clear" w:color="auto" w:fill="auto"/>
          </w:tcPr>
          <w:p w:rsidR="00774B95" w:rsidRPr="006542E5" w:rsidRDefault="00774B95" w:rsidP="006542E5">
            <w:pPr>
              <w:jc w:val="right"/>
            </w:pPr>
            <w:r w:rsidRPr="006542E5">
              <w:t>3</w:t>
            </w:r>
          </w:p>
        </w:tc>
        <w:tc>
          <w:tcPr>
            <w:tcW w:w="6064" w:type="dxa"/>
            <w:shd w:val="clear" w:color="auto" w:fill="auto"/>
          </w:tcPr>
          <w:p w:rsidR="00774B95" w:rsidRPr="006542E5" w:rsidRDefault="00774B95" w:rsidP="006542E5">
            <w:r w:rsidRPr="006542E5">
              <w:t>Test Year Revenues from Service Rates</w:t>
            </w:r>
          </w:p>
        </w:tc>
        <w:tc>
          <w:tcPr>
            <w:tcW w:w="1406" w:type="dxa"/>
          </w:tcPr>
          <w:p w:rsidR="00774B95" w:rsidRPr="00823B06" w:rsidRDefault="008B57B6" w:rsidP="008B57B6">
            <w:pPr>
              <w:jc w:val="right"/>
            </w:pPr>
            <w:r w:rsidRPr="00823B06">
              <w:t>$667,189</w:t>
            </w:r>
          </w:p>
        </w:tc>
      </w:tr>
      <w:tr w:rsidR="00774B95" w:rsidRPr="006542E5" w:rsidTr="002F5C78">
        <w:trPr>
          <w:jc w:val="center"/>
        </w:trPr>
        <w:tc>
          <w:tcPr>
            <w:tcW w:w="686" w:type="dxa"/>
            <w:shd w:val="clear" w:color="auto" w:fill="auto"/>
          </w:tcPr>
          <w:p w:rsidR="00774B95" w:rsidRPr="006542E5" w:rsidRDefault="00774B95" w:rsidP="006542E5">
            <w:pPr>
              <w:jc w:val="right"/>
            </w:pPr>
          </w:p>
        </w:tc>
        <w:tc>
          <w:tcPr>
            <w:tcW w:w="6064" w:type="dxa"/>
            <w:shd w:val="clear" w:color="auto" w:fill="auto"/>
          </w:tcPr>
          <w:p w:rsidR="00774B95" w:rsidRPr="006542E5" w:rsidRDefault="00774B95" w:rsidP="006542E5"/>
        </w:tc>
        <w:tc>
          <w:tcPr>
            <w:tcW w:w="1406" w:type="dxa"/>
          </w:tcPr>
          <w:p w:rsidR="00774B95" w:rsidRPr="00823B06" w:rsidRDefault="00774B95" w:rsidP="006542E5">
            <w:pPr>
              <w:jc w:val="right"/>
            </w:pPr>
          </w:p>
        </w:tc>
      </w:tr>
      <w:tr w:rsidR="00774B95" w:rsidRPr="006542E5" w:rsidTr="002F5C78">
        <w:trPr>
          <w:jc w:val="center"/>
        </w:trPr>
        <w:tc>
          <w:tcPr>
            <w:tcW w:w="686" w:type="dxa"/>
            <w:shd w:val="clear" w:color="auto" w:fill="auto"/>
          </w:tcPr>
          <w:p w:rsidR="00774B95" w:rsidRPr="006542E5" w:rsidRDefault="00774B95" w:rsidP="006542E5">
            <w:pPr>
              <w:jc w:val="right"/>
            </w:pPr>
            <w:r w:rsidRPr="006542E5">
              <w:t>4</w:t>
            </w:r>
          </w:p>
        </w:tc>
        <w:tc>
          <w:tcPr>
            <w:tcW w:w="6064" w:type="dxa"/>
            <w:shd w:val="clear" w:color="auto" w:fill="auto"/>
          </w:tcPr>
          <w:p w:rsidR="00774B95" w:rsidRPr="006542E5" w:rsidRDefault="00774B95" w:rsidP="006542E5">
            <w:r w:rsidRPr="006542E5">
              <w:t>Revenue Increase</w:t>
            </w:r>
          </w:p>
        </w:tc>
        <w:tc>
          <w:tcPr>
            <w:tcW w:w="1406" w:type="dxa"/>
          </w:tcPr>
          <w:p w:rsidR="00774B95" w:rsidRPr="00823B06" w:rsidRDefault="008B57B6" w:rsidP="00C866E7">
            <w:pPr>
              <w:jc w:val="right"/>
              <w:rPr>
                <w:u w:val="single"/>
              </w:rPr>
            </w:pPr>
            <w:r w:rsidRPr="00823B06">
              <w:rPr>
                <w:u w:val="single"/>
              </w:rPr>
              <w:t>$</w:t>
            </w:r>
            <w:r w:rsidR="00C866E7" w:rsidRPr="00823B06">
              <w:rPr>
                <w:u w:val="single"/>
              </w:rPr>
              <w:t>611</w:t>
            </w:r>
            <w:r w:rsidRPr="00823B06">
              <w:rPr>
                <w:u w:val="single"/>
              </w:rPr>
              <w:t>,</w:t>
            </w:r>
            <w:r w:rsidR="00C866E7" w:rsidRPr="00823B06">
              <w:rPr>
                <w:u w:val="single"/>
              </w:rPr>
              <w:t>174</w:t>
            </w:r>
          </w:p>
        </w:tc>
      </w:tr>
      <w:tr w:rsidR="00774B95" w:rsidRPr="006542E5" w:rsidTr="002F5C78">
        <w:trPr>
          <w:jc w:val="center"/>
        </w:trPr>
        <w:tc>
          <w:tcPr>
            <w:tcW w:w="686" w:type="dxa"/>
            <w:shd w:val="clear" w:color="auto" w:fill="auto"/>
          </w:tcPr>
          <w:p w:rsidR="00774B95" w:rsidRPr="006542E5" w:rsidRDefault="00774B95" w:rsidP="006542E5">
            <w:pPr>
              <w:jc w:val="right"/>
            </w:pPr>
          </w:p>
        </w:tc>
        <w:tc>
          <w:tcPr>
            <w:tcW w:w="6064" w:type="dxa"/>
            <w:shd w:val="clear" w:color="auto" w:fill="auto"/>
          </w:tcPr>
          <w:p w:rsidR="00774B95" w:rsidRPr="006542E5" w:rsidRDefault="00774B95" w:rsidP="006542E5"/>
        </w:tc>
        <w:tc>
          <w:tcPr>
            <w:tcW w:w="1406" w:type="dxa"/>
          </w:tcPr>
          <w:p w:rsidR="00774B95" w:rsidRPr="00823B06" w:rsidRDefault="00774B95" w:rsidP="006542E5">
            <w:pPr>
              <w:jc w:val="right"/>
            </w:pPr>
          </w:p>
        </w:tc>
      </w:tr>
      <w:tr w:rsidR="00774B95" w:rsidRPr="006542E5" w:rsidTr="002F5C78">
        <w:trPr>
          <w:jc w:val="center"/>
        </w:trPr>
        <w:tc>
          <w:tcPr>
            <w:tcW w:w="686" w:type="dxa"/>
            <w:shd w:val="clear" w:color="auto" w:fill="auto"/>
          </w:tcPr>
          <w:p w:rsidR="00774B95" w:rsidRPr="006542E5" w:rsidRDefault="00774B95" w:rsidP="006542E5">
            <w:pPr>
              <w:jc w:val="right"/>
            </w:pPr>
            <w:r w:rsidRPr="006542E5">
              <w:t>5</w:t>
            </w:r>
          </w:p>
        </w:tc>
        <w:tc>
          <w:tcPr>
            <w:tcW w:w="6064" w:type="dxa"/>
            <w:shd w:val="clear" w:color="auto" w:fill="auto"/>
          </w:tcPr>
          <w:p w:rsidR="00774B95" w:rsidRPr="006542E5" w:rsidRDefault="00774B95" w:rsidP="006542E5">
            <w:r w:rsidRPr="006542E5">
              <w:t>% Service Rate Increase (Line 4/Line 3)</w:t>
            </w:r>
          </w:p>
        </w:tc>
        <w:tc>
          <w:tcPr>
            <w:tcW w:w="1406" w:type="dxa"/>
          </w:tcPr>
          <w:p w:rsidR="00774B95" w:rsidRPr="00823B06" w:rsidRDefault="00C866E7" w:rsidP="00C866E7">
            <w:pPr>
              <w:jc w:val="right"/>
            </w:pPr>
            <w:r w:rsidRPr="00823B06">
              <w:t>91</w:t>
            </w:r>
            <w:r w:rsidR="00774B95" w:rsidRPr="00823B06">
              <w:t>.</w:t>
            </w:r>
            <w:r w:rsidR="009634A9">
              <w:t>6</w:t>
            </w:r>
            <w:r w:rsidR="00774B95" w:rsidRPr="00823B06">
              <w:t>%</w:t>
            </w:r>
          </w:p>
        </w:tc>
      </w:tr>
    </w:tbl>
    <w:p w:rsidR="006542E5" w:rsidRDefault="006542E5">
      <w:pPr>
        <w:pStyle w:val="BodyText"/>
      </w:pPr>
    </w:p>
    <w:p w:rsidR="006542E5" w:rsidRDefault="006542E5">
      <w:pPr>
        <w:pStyle w:val="BodyText"/>
      </w:pPr>
      <w:r w:rsidRPr="006542E5">
        <w:t xml:space="preserve">Staff recommends that the interim rate increase of </w:t>
      </w:r>
      <w:r w:rsidR="00810976">
        <w:t>91</w:t>
      </w:r>
      <w:r w:rsidRPr="008B57B6">
        <w:t>.</w:t>
      </w:r>
      <w:r w:rsidR="009634A9">
        <w:t>6</w:t>
      </w:r>
      <w:r w:rsidRPr="006542E5">
        <w:t xml:space="preserve"> percent be applied as an a</w:t>
      </w:r>
      <w:r w:rsidR="00774B95">
        <w:t xml:space="preserve">cross-the-board increase to the utility’s existing </w:t>
      </w:r>
      <w:r w:rsidRPr="006542E5">
        <w:t>service rates</w:t>
      </w:r>
      <w:r w:rsidR="00774B95">
        <w:t xml:space="preserve">. </w:t>
      </w:r>
      <w:r w:rsidRPr="006542E5">
        <w:t>The rat</w:t>
      </w:r>
      <w:r w:rsidR="0092511D">
        <w:t>es, as shown on Schedule No. 4</w:t>
      </w:r>
      <w:r w:rsidR="00774B95">
        <w:t>,</w:t>
      </w:r>
      <w:r w:rsidRPr="006542E5">
        <w:t xml:space="preserve"> should be effective for service rendered on or after the stamped approval date on the tariff sheets pursuant to Rule 25-30.475(1), F.A.C.</w:t>
      </w:r>
      <w:r w:rsidR="00774B95">
        <w:t xml:space="preserve"> </w:t>
      </w:r>
      <w:r w:rsidRPr="006542E5">
        <w:t xml:space="preserve">The </w:t>
      </w:r>
      <w:r w:rsidR="00810976">
        <w:t>u</w:t>
      </w:r>
      <w:r w:rsidRPr="006542E5">
        <w:t>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w:t>
      </w:r>
      <w:r w:rsidR="00823B06">
        <w:t>eceived by the customers. The u</w:t>
      </w:r>
      <w:r w:rsidRPr="006542E5">
        <w:t>tility should provide proof of the date notice was given within 10 days of the date of the notice.</w:t>
      </w:r>
    </w:p>
    <w:p w:rsidR="006542E5" w:rsidRDefault="006542E5">
      <w:pPr>
        <w:pStyle w:val="IssueHeading"/>
        <w:rPr>
          <w:vanish/>
          <w:specVanish/>
        </w:rPr>
      </w:pPr>
      <w:r>
        <w:br w:type="page"/>
      </w:r>
      <w:r w:rsidRPr="006542E5">
        <w:rPr>
          <w:b/>
          <w:i/>
        </w:rPr>
        <w:lastRenderedPageBreak/>
        <w:t xml:space="preserve">Issue </w:t>
      </w:r>
      <w:r w:rsidRPr="006542E5">
        <w:rPr>
          <w:b/>
          <w:i/>
        </w:rPr>
        <w:fldChar w:fldCharType="begin"/>
      </w:r>
      <w:r w:rsidRPr="006542E5">
        <w:rPr>
          <w:b/>
          <w:i/>
        </w:rPr>
        <w:instrText xml:space="preserve"> SEQ Issue \* MERGEFORMAT </w:instrText>
      </w:r>
      <w:r w:rsidRPr="006542E5">
        <w:rPr>
          <w:b/>
          <w:i/>
        </w:rPr>
        <w:fldChar w:fldCharType="separate"/>
      </w:r>
      <w:r w:rsidR="003F6E3F">
        <w:rPr>
          <w:b/>
          <w:i/>
          <w:noProof/>
        </w:rPr>
        <w:t>4</w:t>
      </w:r>
      <w:r w:rsidRPr="006542E5">
        <w:rPr>
          <w:b/>
          <w:i/>
        </w:rPr>
        <w:fldChar w:fldCharType="end"/>
      </w:r>
      <w:r w:rsidRPr="006542E5">
        <w:rPr>
          <w:b/>
          <w:i/>
        </w:rPr>
        <w:t>:</w:t>
      </w:r>
      <w:r>
        <w:fldChar w:fldCharType="begin"/>
      </w:r>
      <w:r>
        <w:instrText xml:space="preserve"> TC "</w:instrText>
      </w:r>
      <w:r>
        <w:fldChar w:fldCharType="begin"/>
      </w:r>
      <w:r>
        <w:instrText xml:space="preserve"> SEQ issue \c </w:instrText>
      </w:r>
      <w:r>
        <w:fldChar w:fldCharType="separate"/>
      </w:r>
      <w:r w:rsidR="003F6E3F">
        <w:rPr>
          <w:noProof/>
        </w:rPr>
        <w:instrText>4</w:instrText>
      </w:r>
      <w:r>
        <w:fldChar w:fldCharType="end"/>
      </w:r>
      <w:r>
        <w:tab/>
        <w:instrText xml:space="preserve">" \l 1 </w:instrText>
      </w:r>
      <w:r>
        <w:fldChar w:fldCharType="end"/>
      </w:r>
      <w:r>
        <w:t> </w:t>
      </w:r>
    </w:p>
    <w:p w:rsidR="006542E5" w:rsidRDefault="006542E5">
      <w:pPr>
        <w:pStyle w:val="BodyText"/>
      </w:pPr>
      <w:r>
        <w:t> What is the appropriate security to guarantee the interim increase?</w:t>
      </w:r>
    </w:p>
    <w:p w:rsidR="006542E5" w:rsidRDefault="006542E5">
      <w:pPr>
        <w:pStyle w:val="IssueSubsectionHeading"/>
        <w:rPr>
          <w:vanish/>
          <w:specVanish/>
        </w:rPr>
      </w:pPr>
      <w:r w:rsidRPr="006542E5">
        <w:rPr>
          <w:b/>
          <w:i/>
        </w:rPr>
        <w:t>Recommendation:</w:t>
      </w:r>
      <w:r>
        <w:t> </w:t>
      </w:r>
    </w:p>
    <w:p w:rsidR="006542E5" w:rsidRDefault="006542E5">
      <w:pPr>
        <w:pStyle w:val="BodyText"/>
      </w:pPr>
      <w:r>
        <w:t> </w:t>
      </w:r>
      <w:r w:rsidR="00EB426D" w:rsidRPr="002755DE">
        <w:t xml:space="preserve">A cumulative corporate undertaking is acceptable contingent upon receipt of the written guarantee of the parent </w:t>
      </w:r>
      <w:r w:rsidR="0071530B">
        <w:t>company</w:t>
      </w:r>
      <w:r w:rsidR="00EB426D" w:rsidRPr="002755DE">
        <w:t>, Utilities, Inc. (UI</w:t>
      </w:r>
      <w:r w:rsidR="009A3866">
        <w:t xml:space="preserve"> or </w:t>
      </w:r>
      <w:r w:rsidR="0071530B">
        <w:t>company</w:t>
      </w:r>
      <w:r w:rsidR="00EB426D" w:rsidRPr="002755DE">
        <w:t>), and written confirmation that the cumulative outstanding guarantees on behalf of UI-owned utilities in other states will not exceed $1.2 million (inclusive of all Florida utilities). UI should be required to file a corporate undertaking on behalf of its subsidiaries to guarantee any potential refunds of revenues collected under interim conditions. UI’s guarantee</w:t>
      </w:r>
      <w:r w:rsidR="00EB426D">
        <w:t>d amount subject to refund</w:t>
      </w:r>
      <w:r w:rsidR="00EB426D" w:rsidRPr="002755DE">
        <w:t xml:space="preserve"> should be $</w:t>
      </w:r>
      <w:r w:rsidR="00EB426D">
        <w:t xml:space="preserve">356,608. </w:t>
      </w:r>
      <w:r w:rsidR="00EB426D" w:rsidRPr="002755DE">
        <w:t xml:space="preserve">Pursuant to Rule 25-30.360(6), F.A.C., the </w:t>
      </w:r>
      <w:r w:rsidR="009679A1">
        <w:t>u</w:t>
      </w:r>
      <w:r w:rsidR="00EB426D" w:rsidRPr="002755DE">
        <w:t>tility should provide a report by the 20th of each month indicating the monthly and total revenue collected subject to refund. Should a refund be required, the refund should be with interest and in accordance</w:t>
      </w:r>
      <w:r w:rsidR="00EB426D">
        <w:t xml:space="preserve"> with Rule 25-30.360, F.A.C.</w:t>
      </w:r>
      <w:r>
        <w:t xml:space="preserve"> (D. Buys)</w:t>
      </w:r>
    </w:p>
    <w:p w:rsidR="006542E5" w:rsidRDefault="006542E5">
      <w:pPr>
        <w:pStyle w:val="IssueSubsectionHeading"/>
        <w:rPr>
          <w:vanish/>
          <w:specVanish/>
        </w:rPr>
      </w:pPr>
      <w:r w:rsidRPr="006542E5">
        <w:rPr>
          <w:b/>
          <w:i/>
        </w:rPr>
        <w:t>Staff Analysis:</w:t>
      </w:r>
      <w:r>
        <w:t> </w:t>
      </w:r>
    </w:p>
    <w:p w:rsidR="00EB426D" w:rsidRPr="002755DE" w:rsidRDefault="006542E5" w:rsidP="00EB426D">
      <w:pPr>
        <w:numPr>
          <w:ilvl w:val="0"/>
          <w:numId w:val="1"/>
        </w:numPr>
        <w:spacing w:after="240"/>
        <w:ind w:left="0" w:firstLine="0"/>
        <w:jc w:val="both"/>
      </w:pPr>
      <w:r>
        <w:t> </w:t>
      </w:r>
      <w:r w:rsidR="00EB426D" w:rsidRPr="002755DE">
        <w:t>Pursuant to Section 367.082</w:t>
      </w:r>
      <w:r w:rsidR="00EB426D">
        <w:t>(2</w:t>
      </w:r>
      <w:proofErr w:type="gramStart"/>
      <w:r w:rsidR="00EB426D">
        <w:t>)(</w:t>
      </w:r>
      <w:proofErr w:type="gramEnd"/>
      <w:r w:rsidR="00EB426D">
        <w:t>a)</w:t>
      </w:r>
      <w:r w:rsidR="00EB426D" w:rsidRPr="002755DE">
        <w:t xml:space="preserve">, F.S., revenues collected under interim rates shall be placed under bond, escrow, letter of credit, or corporate undertaking subject to refund with interest at a rate ordered by the Commission. </w:t>
      </w:r>
      <w:proofErr w:type="spellStart"/>
      <w:r w:rsidR="00EB426D" w:rsidRPr="002755DE">
        <w:t>Sandalhaven</w:t>
      </w:r>
      <w:proofErr w:type="spellEnd"/>
      <w:r w:rsidR="00EB426D" w:rsidRPr="002755DE">
        <w:t xml:space="preserve"> has requested an annual interim revenue increase of $724,062 for wastewater. As recommended in Issue 2, the annual interim increase is $6</w:t>
      </w:r>
      <w:r w:rsidR="00EB426D">
        <w:t>11,174</w:t>
      </w:r>
      <w:r w:rsidR="00EB426D" w:rsidRPr="002755DE">
        <w:t>. In accordance with Rule 25-30.360, F.A.C., staff calculated the potential refund of revenues and interest collected under interim conditions to be $3</w:t>
      </w:r>
      <w:r w:rsidR="00EB426D">
        <w:t>56,608</w:t>
      </w:r>
      <w:r w:rsidR="00EB426D" w:rsidRPr="002755DE">
        <w:t>. This amount is based on an estimated seven months of revenue being collected under the recommended interim rates shown on Schedule No. 4.</w:t>
      </w:r>
    </w:p>
    <w:p w:rsidR="00EB426D" w:rsidRDefault="00EB426D" w:rsidP="00EB426D">
      <w:pPr>
        <w:spacing w:after="240"/>
        <w:jc w:val="both"/>
      </w:pPr>
      <w:proofErr w:type="spellStart"/>
      <w:r w:rsidRPr="002755DE">
        <w:t>Sandalhaven</w:t>
      </w:r>
      <w:proofErr w:type="spellEnd"/>
      <w:r w:rsidRPr="002755DE">
        <w:t xml:space="preserve"> is a wholly-owned subsidiary of UI, which provides all investor capital to its subsidiaries. Based on the amount subject to refund for </w:t>
      </w:r>
      <w:proofErr w:type="spellStart"/>
      <w:r>
        <w:t>Sandalhaven</w:t>
      </w:r>
      <w:proofErr w:type="spellEnd"/>
      <w:r w:rsidRPr="002755DE">
        <w:t xml:space="preserve"> the incremental increase in UI’s corporate undertaking is $3</w:t>
      </w:r>
      <w:r>
        <w:t>56,608</w:t>
      </w:r>
      <w:r w:rsidRPr="002755DE">
        <w:t>. The</w:t>
      </w:r>
      <w:r>
        <w:t>re are no other</w:t>
      </w:r>
      <w:r w:rsidRPr="002755DE">
        <w:t xml:space="preserve"> current corporate undertaking amount</w:t>
      </w:r>
      <w:r>
        <w:t>s</w:t>
      </w:r>
      <w:r w:rsidRPr="002755DE">
        <w:t xml:space="preserve"> outst</w:t>
      </w:r>
      <w:r>
        <w:t>anding for other UI systems</w:t>
      </w:r>
      <w:r w:rsidR="009A3866">
        <w:t xml:space="preserve"> in Florida</w:t>
      </w:r>
      <w:r>
        <w:t>, so therefore, the total cumulative outstanding guarantee is $356,608.</w:t>
      </w:r>
    </w:p>
    <w:p w:rsidR="00EB426D" w:rsidRPr="002755DE" w:rsidRDefault="00EB426D" w:rsidP="00EB426D">
      <w:pPr>
        <w:spacing w:after="240"/>
        <w:jc w:val="both"/>
      </w:pPr>
      <w:r w:rsidRPr="002755DE">
        <w:t xml:space="preserve">The criteria for a corporate undertaking include sufficient liquidity, ownership equity, profitability, and interest coverage to guarantee any potential refund. Staff reviewed UI’s 2012, 2013, and 2014 financial statements to determine if the </w:t>
      </w:r>
      <w:r w:rsidR="0071530B">
        <w:t>company</w:t>
      </w:r>
      <w:r w:rsidRPr="002755DE">
        <w:t xml:space="preserve"> can support a corporate undertaking on behalf of its subsidiary. In its financial statements, UI reported both an insufficient working capital amount and an inadequate current ratio in 2012 and 2013</w:t>
      </w:r>
      <w:r>
        <w:t xml:space="preserve">. </w:t>
      </w:r>
      <w:r w:rsidRPr="002755DE">
        <w:t>In 201</w:t>
      </w:r>
      <w:r>
        <w:t>3</w:t>
      </w:r>
      <w:r w:rsidRPr="002755DE">
        <w:t xml:space="preserve">, UI had an insufficient interest coverage ratio. </w:t>
      </w:r>
      <w:r>
        <w:t>I</w:t>
      </w:r>
      <w:r w:rsidRPr="002755DE">
        <w:t xml:space="preserve">n </w:t>
      </w:r>
      <w:r>
        <w:t xml:space="preserve">2014, the </w:t>
      </w:r>
      <w:r w:rsidR="0071530B">
        <w:t>company</w:t>
      </w:r>
      <w:r>
        <w:t xml:space="preserve">’s working capital amount, current ratio, and interest coverage ratio improved to </w:t>
      </w:r>
      <w:r w:rsidRPr="002755DE">
        <w:t>sufficient</w:t>
      </w:r>
      <w:r>
        <w:t xml:space="preserve"> level</w:t>
      </w:r>
      <w:r w:rsidR="009A3866">
        <w:t>s</w:t>
      </w:r>
      <w:r>
        <w:t>.</w:t>
      </w:r>
      <w:r w:rsidRPr="002755DE">
        <w:t xml:space="preserve"> In addition, UI</w:t>
      </w:r>
      <w:r>
        <w:t xml:space="preserve"> achieved sufficient profitability and</w:t>
      </w:r>
      <w:r w:rsidRPr="002755DE">
        <w:t xml:space="preserve"> reported adequate ownership equity over the three-year review period</w:t>
      </w:r>
      <w:r>
        <w:t>.</w:t>
      </w:r>
    </w:p>
    <w:p w:rsidR="00EB426D" w:rsidRDefault="00EB426D" w:rsidP="00EB426D">
      <w:pPr>
        <w:spacing w:after="240"/>
        <w:jc w:val="both"/>
      </w:pPr>
      <w:r w:rsidRPr="002755DE">
        <w:t>Based on staff’s review of the financial reports submitted by UI, staff believes UI has adequate resources to support a corporate undertaking in the amount requested. Based on this analysis, staff recommends that a cumulative corporate undertaking of $</w:t>
      </w:r>
      <w:r>
        <w:t>356,608</w:t>
      </w:r>
      <w:r w:rsidRPr="002755DE">
        <w:t xml:space="preserve"> is acceptable contingent upon receipt of the written guarantee of UI and written confirmation that the cumulative outstanding guarantees on behalf of UI-owned utilities in other states will not exceed $1.2 million (inclusive of all Florida utilities).</w:t>
      </w:r>
    </w:p>
    <w:p w:rsidR="00EB426D" w:rsidRPr="00682814" w:rsidRDefault="00EB426D" w:rsidP="00EB426D">
      <w:pPr>
        <w:spacing w:after="240"/>
        <w:jc w:val="both"/>
      </w:pPr>
      <w:r w:rsidRPr="00682814">
        <w:t>Th</w:t>
      </w:r>
      <w:r>
        <w:t>e</w:t>
      </w:r>
      <w:r w:rsidRPr="00682814">
        <w:t xml:space="preserve"> brief financial analysis above is only appropriate for deciding if UI can support a corporate undertaking in the amount proposed and should not be considered a finding regarding staff’s position on other issues in this proceeding</w:t>
      </w:r>
      <w:r>
        <w:t xml:space="preserve">. </w:t>
      </w:r>
    </w:p>
    <w:p w:rsidR="00EB426D" w:rsidRPr="00682814" w:rsidRDefault="00EB426D" w:rsidP="00EB426D">
      <w:pPr>
        <w:spacing w:after="240"/>
        <w:jc w:val="both"/>
      </w:pPr>
      <w:r w:rsidRPr="00682814">
        <w:lastRenderedPageBreak/>
        <w:t xml:space="preserve">Pursuant to Rule 25-30.360(6), F.A.C., the </w:t>
      </w:r>
      <w:r w:rsidR="009679A1">
        <w:t>u</w:t>
      </w:r>
      <w:r w:rsidRPr="00682814">
        <w:t>tility should provide a report by the 20th day of each month indicating the monthly and total revenue collected subject to refund</w:t>
      </w:r>
      <w:r>
        <w:t xml:space="preserve">. </w:t>
      </w:r>
      <w:r w:rsidRPr="00682814">
        <w:t>Should a refund be required, the refund should be with interest and undertaken in accordance with Rule 25-30.360, F.A.C.</w:t>
      </w:r>
    </w:p>
    <w:p w:rsidR="006542E5" w:rsidRDefault="00EB426D" w:rsidP="00EB426D">
      <w:pPr>
        <w:pStyle w:val="BodyText"/>
      </w:pPr>
      <w:r w:rsidRPr="00682814">
        <w:t xml:space="preserve">In no instance should maintenance and administrative costs associated with any refund be borne by the customers. The costs are the responsibility of, and should be borne by, the </w:t>
      </w:r>
      <w:r w:rsidR="009679A1">
        <w:t>u</w:t>
      </w:r>
      <w:r w:rsidRPr="00682814">
        <w:t>tility.</w:t>
      </w:r>
    </w:p>
    <w:p w:rsidR="006542E5" w:rsidRDefault="006542E5">
      <w:pPr>
        <w:pStyle w:val="IssueHeading"/>
        <w:rPr>
          <w:vanish/>
          <w:specVanish/>
        </w:rPr>
      </w:pPr>
      <w:r>
        <w:br w:type="page"/>
      </w:r>
      <w:r w:rsidRPr="006542E5">
        <w:rPr>
          <w:b/>
          <w:i/>
        </w:rPr>
        <w:lastRenderedPageBreak/>
        <w:t xml:space="preserve">Issue </w:t>
      </w:r>
      <w:r w:rsidRPr="006542E5">
        <w:rPr>
          <w:b/>
          <w:i/>
        </w:rPr>
        <w:fldChar w:fldCharType="begin"/>
      </w:r>
      <w:r w:rsidRPr="006542E5">
        <w:rPr>
          <w:b/>
          <w:i/>
        </w:rPr>
        <w:instrText xml:space="preserve"> SEQ Issue \* MERGEFORMAT </w:instrText>
      </w:r>
      <w:r w:rsidRPr="006542E5">
        <w:rPr>
          <w:b/>
          <w:i/>
        </w:rPr>
        <w:fldChar w:fldCharType="separate"/>
      </w:r>
      <w:r w:rsidR="003F6E3F">
        <w:rPr>
          <w:b/>
          <w:i/>
          <w:noProof/>
        </w:rPr>
        <w:t>5</w:t>
      </w:r>
      <w:r w:rsidRPr="006542E5">
        <w:rPr>
          <w:b/>
          <w:i/>
        </w:rPr>
        <w:fldChar w:fldCharType="end"/>
      </w:r>
      <w:r w:rsidRPr="006542E5">
        <w:rPr>
          <w:b/>
          <w:i/>
        </w:rPr>
        <w:t>:</w:t>
      </w:r>
      <w:r>
        <w:fldChar w:fldCharType="begin"/>
      </w:r>
      <w:r>
        <w:instrText xml:space="preserve"> TC "</w:instrText>
      </w:r>
      <w:r>
        <w:fldChar w:fldCharType="begin"/>
      </w:r>
      <w:r>
        <w:instrText xml:space="preserve"> SEQ issue \c </w:instrText>
      </w:r>
      <w:r>
        <w:fldChar w:fldCharType="separate"/>
      </w:r>
      <w:r w:rsidR="003F6E3F">
        <w:rPr>
          <w:noProof/>
        </w:rPr>
        <w:instrText>5</w:instrText>
      </w:r>
      <w:r>
        <w:fldChar w:fldCharType="end"/>
      </w:r>
      <w:r>
        <w:tab/>
        <w:instrText xml:space="preserve">(Brownless)" \l 1 </w:instrText>
      </w:r>
      <w:r>
        <w:fldChar w:fldCharType="end"/>
      </w:r>
      <w:r>
        <w:t> </w:t>
      </w:r>
    </w:p>
    <w:p w:rsidR="006542E5" w:rsidRDefault="006542E5">
      <w:pPr>
        <w:pStyle w:val="BodyText"/>
      </w:pPr>
      <w:r>
        <w:t> Should this docket be closed?</w:t>
      </w:r>
    </w:p>
    <w:p w:rsidR="006542E5" w:rsidRDefault="006542E5">
      <w:pPr>
        <w:pStyle w:val="IssueSubsectionHeading"/>
        <w:rPr>
          <w:vanish/>
          <w:specVanish/>
        </w:rPr>
      </w:pPr>
      <w:r w:rsidRPr="006542E5">
        <w:rPr>
          <w:b/>
          <w:i/>
        </w:rPr>
        <w:t>Recommendation:</w:t>
      </w:r>
      <w:r>
        <w:t> </w:t>
      </w:r>
    </w:p>
    <w:p w:rsidR="006542E5" w:rsidRDefault="006542E5">
      <w:pPr>
        <w:pStyle w:val="BodyText"/>
      </w:pPr>
      <w:r>
        <w:t>  No</w:t>
      </w:r>
      <w:r w:rsidR="00AD7FCB">
        <w:t xml:space="preserve">. </w:t>
      </w:r>
      <w:r>
        <w:t>The docket should remain open pending the Commission’s PAA decision on the utility’s requested rate increase.  (Brownless)</w:t>
      </w:r>
    </w:p>
    <w:p w:rsidR="006542E5" w:rsidRDefault="006542E5">
      <w:pPr>
        <w:pStyle w:val="IssueSubsectionHeading"/>
        <w:rPr>
          <w:vanish/>
          <w:specVanish/>
        </w:rPr>
      </w:pPr>
      <w:r w:rsidRPr="006542E5">
        <w:rPr>
          <w:b/>
          <w:i/>
        </w:rPr>
        <w:t>Staff Analysis:</w:t>
      </w:r>
      <w:r>
        <w:t> </w:t>
      </w:r>
    </w:p>
    <w:p w:rsidR="002F5C78" w:rsidRDefault="006542E5" w:rsidP="0062152B">
      <w:pPr>
        <w:pStyle w:val="BodyText"/>
        <w:sectPr w:rsidR="002F5C7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The docket should remain open pending the Commission’s PAA decision on the utility’s requested rate increase.</w:t>
      </w:r>
    </w:p>
    <w:tbl>
      <w:tblPr>
        <w:tblW w:w="5000" w:type="pct"/>
        <w:tblLook w:val="04A0" w:firstRow="1" w:lastRow="0" w:firstColumn="1" w:lastColumn="0" w:noHBand="0" w:noVBand="1"/>
      </w:tblPr>
      <w:tblGrid>
        <w:gridCol w:w="316"/>
        <w:gridCol w:w="3098"/>
        <w:gridCol w:w="1150"/>
        <w:gridCol w:w="1000"/>
        <w:gridCol w:w="1150"/>
        <w:gridCol w:w="1002"/>
        <w:gridCol w:w="1860"/>
      </w:tblGrid>
      <w:tr w:rsidR="002F5C78" w:rsidRPr="009C6A71" w:rsidTr="002F5C78">
        <w:trPr>
          <w:trHeight w:val="315"/>
        </w:trPr>
        <w:tc>
          <w:tcPr>
            <w:tcW w:w="170" w:type="pct"/>
            <w:tcBorders>
              <w:top w:val="single" w:sz="8" w:space="0" w:color="auto"/>
              <w:left w:val="single" w:sz="8" w:space="0" w:color="auto"/>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lastRenderedPageBreak/>
              <w:t> </w:t>
            </w:r>
          </w:p>
        </w:tc>
        <w:tc>
          <w:tcPr>
            <w:tcW w:w="2017" w:type="pct"/>
            <w:gridSpan w:val="2"/>
            <w:tcBorders>
              <w:top w:val="single" w:sz="8" w:space="0" w:color="auto"/>
              <w:left w:val="nil"/>
              <w:bottom w:val="nil"/>
              <w:right w:val="nil"/>
            </w:tcBorders>
            <w:shd w:val="clear" w:color="000000" w:fill="FFFFFF"/>
            <w:noWrap/>
            <w:vAlign w:val="bottom"/>
            <w:hideMark/>
          </w:tcPr>
          <w:p w:rsidR="002F5C78" w:rsidRPr="009C6A71" w:rsidRDefault="002F5C78" w:rsidP="002F5C78">
            <w:pPr>
              <w:rPr>
                <w:rFonts w:ascii="Arial" w:hAnsi="Arial" w:cs="Arial"/>
                <w:b/>
                <w:bCs/>
              </w:rPr>
            </w:pPr>
            <w:r w:rsidRPr="009C6A71">
              <w:rPr>
                <w:rFonts w:ascii="Arial" w:hAnsi="Arial" w:cs="Arial"/>
                <w:b/>
                <w:bCs/>
              </w:rPr>
              <w:t xml:space="preserve">Utilities, Inc. of </w:t>
            </w:r>
            <w:proofErr w:type="spellStart"/>
            <w:r w:rsidRPr="009C6A71">
              <w:rPr>
                <w:rFonts w:ascii="Arial" w:hAnsi="Arial" w:cs="Arial"/>
                <w:b/>
                <w:bCs/>
              </w:rPr>
              <w:t>Sandalhaven</w:t>
            </w:r>
            <w:proofErr w:type="spellEnd"/>
          </w:p>
        </w:tc>
        <w:tc>
          <w:tcPr>
            <w:tcW w:w="508" w:type="pct"/>
            <w:tcBorders>
              <w:top w:val="single" w:sz="8" w:space="0" w:color="auto"/>
              <w:left w:val="nil"/>
              <w:bottom w:val="nil"/>
              <w:right w:val="nil"/>
            </w:tcBorders>
            <w:shd w:val="clear" w:color="000000" w:fill="FFFFFF"/>
            <w:noWrap/>
            <w:vAlign w:val="bottom"/>
            <w:hideMark/>
          </w:tcPr>
          <w:p w:rsidR="002F5C78" w:rsidRPr="009C6A71" w:rsidRDefault="002F5C78" w:rsidP="002F5C78">
            <w:pPr>
              <w:rPr>
                <w:rFonts w:ascii="Arial" w:hAnsi="Arial" w:cs="Arial"/>
                <w:color w:val="000000"/>
              </w:rPr>
            </w:pPr>
            <w:r w:rsidRPr="009C6A71">
              <w:rPr>
                <w:rFonts w:ascii="Arial" w:hAnsi="Arial" w:cs="Arial"/>
                <w:color w:val="000000"/>
              </w:rPr>
              <w:t> </w:t>
            </w:r>
          </w:p>
        </w:tc>
        <w:tc>
          <w:tcPr>
            <w:tcW w:w="546" w:type="pct"/>
            <w:tcBorders>
              <w:top w:val="single" w:sz="8" w:space="0" w:color="auto"/>
              <w:left w:val="nil"/>
              <w:bottom w:val="nil"/>
              <w:right w:val="nil"/>
            </w:tcBorders>
            <w:shd w:val="clear" w:color="000000" w:fill="FFFFFF"/>
            <w:noWrap/>
            <w:vAlign w:val="bottom"/>
            <w:hideMark/>
          </w:tcPr>
          <w:p w:rsidR="002F5C78" w:rsidRPr="009C6A71" w:rsidRDefault="002F5C78" w:rsidP="002F5C78">
            <w:pPr>
              <w:rPr>
                <w:rFonts w:ascii="Arial" w:hAnsi="Arial" w:cs="Arial"/>
                <w:color w:val="000000"/>
              </w:rPr>
            </w:pPr>
            <w:r w:rsidRPr="009C6A71">
              <w:rPr>
                <w:rFonts w:ascii="Arial" w:hAnsi="Arial" w:cs="Arial"/>
                <w:color w:val="000000"/>
              </w:rPr>
              <w:t> </w:t>
            </w:r>
          </w:p>
        </w:tc>
        <w:tc>
          <w:tcPr>
            <w:tcW w:w="1759" w:type="pct"/>
            <w:gridSpan w:val="2"/>
            <w:tcBorders>
              <w:top w:val="single" w:sz="8" w:space="0" w:color="auto"/>
              <w:left w:val="nil"/>
              <w:bottom w:val="nil"/>
              <w:right w:val="single" w:sz="8" w:space="0" w:color="000000"/>
            </w:tcBorders>
            <w:shd w:val="clear" w:color="000000" w:fill="FFFFFF"/>
            <w:noWrap/>
            <w:vAlign w:val="bottom"/>
            <w:hideMark/>
          </w:tcPr>
          <w:p w:rsidR="002F5C78" w:rsidRPr="009C6A71" w:rsidRDefault="002F5C78" w:rsidP="002F5C78">
            <w:pPr>
              <w:jc w:val="right"/>
              <w:rPr>
                <w:rFonts w:ascii="Arial" w:hAnsi="Arial" w:cs="Arial"/>
                <w:b/>
                <w:bCs/>
              </w:rPr>
            </w:pPr>
            <w:r w:rsidRPr="009C6A71">
              <w:rPr>
                <w:rFonts w:ascii="Arial" w:hAnsi="Arial" w:cs="Arial"/>
                <w:b/>
                <w:bCs/>
              </w:rPr>
              <w:t>Schedule No. 1-A</w:t>
            </w:r>
          </w:p>
        </w:tc>
      </w:tr>
      <w:tr w:rsidR="002F5C78" w:rsidRPr="009C6A71" w:rsidTr="002F5C78">
        <w:trPr>
          <w:trHeight w:val="315"/>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2017" w:type="pct"/>
            <w:gridSpan w:val="2"/>
            <w:tcBorders>
              <w:top w:val="nil"/>
              <w:left w:val="nil"/>
              <w:bottom w:val="nil"/>
              <w:right w:val="nil"/>
            </w:tcBorders>
            <w:shd w:val="clear" w:color="000000" w:fill="FFFFFF"/>
            <w:noWrap/>
            <w:vAlign w:val="bottom"/>
            <w:hideMark/>
          </w:tcPr>
          <w:p w:rsidR="002F5C78" w:rsidRPr="009C6A71" w:rsidRDefault="002F5C78" w:rsidP="002F5C78">
            <w:pPr>
              <w:rPr>
                <w:rFonts w:ascii="Arial" w:hAnsi="Arial" w:cs="Arial"/>
                <w:b/>
                <w:bCs/>
              </w:rPr>
            </w:pPr>
            <w:r w:rsidRPr="009C6A71">
              <w:rPr>
                <w:rFonts w:ascii="Arial" w:hAnsi="Arial" w:cs="Arial"/>
                <w:b/>
                <w:bCs/>
              </w:rPr>
              <w:t>Schedule of Wastewater Rate Base</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rFonts w:ascii="Arial" w:hAnsi="Arial" w:cs="Arial"/>
                <w:color w:val="000000"/>
              </w:rPr>
            </w:pPr>
            <w:r w:rsidRPr="009C6A71">
              <w:rPr>
                <w:rFonts w:ascii="Arial" w:hAnsi="Arial" w:cs="Arial"/>
                <w:color w:val="00000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rFonts w:ascii="Arial" w:hAnsi="Arial" w:cs="Arial"/>
                <w:color w:val="000000"/>
              </w:rPr>
            </w:pPr>
            <w:r w:rsidRPr="009C6A71">
              <w:rPr>
                <w:rFonts w:ascii="Arial" w:hAnsi="Arial" w:cs="Arial"/>
                <w:color w:val="000000"/>
              </w:rPr>
              <w:t> </w:t>
            </w:r>
          </w:p>
        </w:tc>
        <w:tc>
          <w:tcPr>
            <w:tcW w:w="1759" w:type="pct"/>
            <w:gridSpan w:val="2"/>
            <w:tcBorders>
              <w:top w:val="nil"/>
              <w:left w:val="nil"/>
              <w:bottom w:val="nil"/>
              <w:right w:val="single" w:sz="8" w:space="0" w:color="000000"/>
            </w:tcBorders>
            <w:shd w:val="clear" w:color="000000" w:fill="FFFFFF"/>
            <w:noWrap/>
            <w:vAlign w:val="bottom"/>
            <w:hideMark/>
          </w:tcPr>
          <w:p w:rsidR="002F5C78" w:rsidRPr="009C6A71" w:rsidRDefault="002F5C78" w:rsidP="002F5C78">
            <w:pPr>
              <w:jc w:val="right"/>
              <w:rPr>
                <w:rFonts w:ascii="Arial" w:hAnsi="Arial" w:cs="Arial"/>
                <w:b/>
                <w:bCs/>
              </w:rPr>
            </w:pPr>
            <w:r w:rsidRPr="009C6A71">
              <w:rPr>
                <w:rFonts w:ascii="Arial" w:hAnsi="Arial" w:cs="Arial"/>
                <w:b/>
                <w:bCs/>
              </w:rPr>
              <w:t>Docket No. 150102-SU</w:t>
            </w:r>
          </w:p>
        </w:tc>
      </w:tr>
      <w:tr w:rsidR="002F5C78" w:rsidRPr="009C6A71" w:rsidTr="002F5C78">
        <w:trPr>
          <w:trHeight w:val="330"/>
        </w:trPr>
        <w:tc>
          <w:tcPr>
            <w:tcW w:w="170" w:type="pct"/>
            <w:tcBorders>
              <w:top w:val="nil"/>
              <w:left w:val="single" w:sz="8" w:space="0" w:color="auto"/>
              <w:bottom w:val="single" w:sz="8" w:space="0" w:color="auto"/>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1471"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rFonts w:ascii="Arial" w:hAnsi="Arial" w:cs="Arial"/>
                <w:b/>
                <w:bCs/>
              </w:rPr>
            </w:pPr>
            <w:r w:rsidRPr="009C6A71">
              <w:rPr>
                <w:rFonts w:ascii="Arial" w:hAnsi="Arial" w:cs="Arial"/>
                <w:b/>
                <w:bCs/>
              </w:rPr>
              <w:t>Test Year Ended 12/31/14</w:t>
            </w:r>
          </w:p>
        </w:tc>
        <w:tc>
          <w:tcPr>
            <w:tcW w:w="546"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rFonts w:ascii="Arial" w:hAnsi="Arial" w:cs="Arial"/>
                <w:color w:val="000000"/>
              </w:rPr>
            </w:pPr>
            <w:r w:rsidRPr="009C6A71">
              <w:rPr>
                <w:rFonts w:ascii="Arial" w:hAnsi="Arial" w:cs="Arial"/>
                <w:color w:val="000000"/>
              </w:rPr>
              <w:t> </w:t>
            </w:r>
          </w:p>
        </w:tc>
        <w:tc>
          <w:tcPr>
            <w:tcW w:w="508"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rFonts w:ascii="Arial" w:hAnsi="Arial" w:cs="Arial"/>
                <w:color w:val="000000"/>
              </w:rPr>
            </w:pPr>
            <w:r w:rsidRPr="009C6A71">
              <w:rPr>
                <w:rFonts w:ascii="Arial" w:hAnsi="Arial" w:cs="Arial"/>
                <w:color w:val="000000"/>
              </w:rPr>
              <w:t> </w:t>
            </w:r>
          </w:p>
        </w:tc>
        <w:tc>
          <w:tcPr>
            <w:tcW w:w="546"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rFonts w:ascii="Arial" w:hAnsi="Arial" w:cs="Arial"/>
                <w:color w:val="000000"/>
              </w:rPr>
            </w:pPr>
            <w:r w:rsidRPr="009C6A71">
              <w:rPr>
                <w:rFonts w:ascii="Arial" w:hAnsi="Arial" w:cs="Arial"/>
                <w:color w:val="000000"/>
              </w:rPr>
              <w:t> </w:t>
            </w:r>
          </w:p>
        </w:tc>
        <w:tc>
          <w:tcPr>
            <w:tcW w:w="598"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rFonts w:ascii="Arial" w:hAnsi="Arial" w:cs="Arial"/>
                <w:color w:val="000000"/>
              </w:rPr>
            </w:pPr>
            <w:r w:rsidRPr="009C6A71">
              <w:rPr>
                <w:rFonts w:ascii="Arial" w:hAnsi="Arial" w:cs="Arial"/>
                <w:color w:val="000000"/>
              </w:rPr>
              <w:t> </w:t>
            </w:r>
          </w:p>
        </w:tc>
        <w:tc>
          <w:tcPr>
            <w:tcW w:w="1161" w:type="pct"/>
            <w:tcBorders>
              <w:top w:val="nil"/>
              <w:left w:val="nil"/>
              <w:bottom w:val="single" w:sz="8" w:space="0" w:color="auto"/>
              <w:right w:val="single" w:sz="8" w:space="0" w:color="auto"/>
            </w:tcBorders>
            <w:shd w:val="clear" w:color="000000" w:fill="FFFFFF"/>
            <w:noWrap/>
            <w:vAlign w:val="bottom"/>
            <w:hideMark/>
          </w:tcPr>
          <w:p w:rsidR="002F5C78" w:rsidRPr="009C6A71" w:rsidRDefault="002F5C78" w:rsidP="002F5C78">
            <w:pPr>
              <w:rPr>
                <w:rFonts w:ascii="Arial" w:hAnsi="Arial" w:cs="Arial"/>
              </w:rPr>
            </w:pPr>
            <w:r w:rsidRPr="009C6A71">
              <w:rPr>
                <w:rFonts w:ascii="Arial" w:hAnsi="Arial" w:cs="Arial"/>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rFonts w:ascii="Arial" w:hAnsi="Arial" w:cs="Arial"/>
                <w:b/>
                <w:bCs/>
                <w:sz w:val="20"/>
                <w:szCs w:val="20"/>
              </w:rPr>
            </w:pPr>
            <w:r w:rsidRPr="009C6A71">
              <w:rPr>
                <w:rFonts w:ascii="Arial" w:hAnsi="Arial" w:cs="Arial"/>
                <w:b/>
                <w:bCs/>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Test Year</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Utility</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Adjusted</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Staff</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Staff</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rFonts w:ascii="Arial" w:hAnsi="Arial" w:cs="Arial"/>
                <w:b/>
                <w:bCs/>
                <w:sz w:val="20"/>
                <w:szCs w:val="20"/>
              </w:rPr>
            </w:pPr>
            <w:r w:rsidRPr="009C6A71">
              <w:rPr>
                <w:rFonts w:ascii="Arial" w:hAnsi="Arial" w:cs="Arial"/>
                <w:b/>
                <w:bCs/>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Per</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Adjust-</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Test Year</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Adjust-</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Adjusted</w:t>
            </w:r>
          </w:p>
        </w:tc>
      </w:tr>
      <w:tr w:rsidR="002F5C78" w:rsidRPr="009C6A71" w:rsidTr="002F5C78">
        <w:trPr>
          <w:trHeight w:val="315"/>
        </w:trPr>
        <w:tc>
          <w:tcPr>
            <w:tcW w:w="170" w:type="pct"/>
            <w:tcBorders>
              <w:top w:val="nil"/>
              <w:left w:val="single" w:sz="8" w:space="0" w:color="auto"/>
              <w:bottom w:val="single" w:sz="8" w:space="0" w:color="auto"/>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471"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rFonts w:ascii="Arial" w:hAnsi="Arial" w:cs="Arial"/>
                <w:b/>
                <w:bCs/>
                <w:sz w:val="20"/>
                <w:szCs w:val="20"/>
              </w:rPr>
            </w:pPr>
            <w:r w:rsidRPr="009C6A71">
              <w:rPr>
                <w:rFonts w:ascii="Arial" w:hAnsi="Arial" w:cs="Arial"/>
                <w:b/>
                <w:bCs/>
                <w:sz w:val="20"/>
                <w:szCs w:val="20"/>
              </w:rPr>
              <w:t>Description</w:t>
            </w:r>
          </w:p>
        </w:tc>
        <w:tc>
          <w:tcPr>
            <w:tcW w:w="546" w:type="pct"/>
            <w:tcBorders>
              <w:top w:val="nil"/>
              <w:left w:val="nil"/>
              <w:bottom w:val="single" w:sz="8" w:space="0" w:color="auto"/>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Utility</w:t>
            </w:r>
          </w:p>
        </w:tc>
        <w:tc>
          <w:tcPr>
            <w:tcW w:w="508" w:type="pct"/>
            <w:tcBorders>
              <w:top w:val="nil"/>
              <w:left w:val="nil"/>
              <w:bottom w:val="single" w:sz="8" w:space="0" w:color="auto"/>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proofErr w:type="spellStart"/>
            <w:r w:rsidRPr="009C6A71">
              <w:rPr>
                <w:rFonts w:ascii="Arial" w:hAnsi="Arial" w:cs="Arial"/>
                <w:b/>
                <w:bCs/>
                <w:sz w:val="20"/>
                <w:szCs w:val="20"/>
              </w:rPr>
              <w:t>ments</w:t>
            </w:r>
            <w:proofErr w:type="spellEnd"/>
          </w:p>
        </w:tc>
        <w:tc>
          <w:tcPr>
            <w:tcW w:w="546" w:type="pct"/>
            <w:tcBorders>
              <w:top w:val="nil"/>
              <w:left w:val="nil"/>
              <w:bottom w:val="single" w:sz="8" w:space="0" w:color="auto"/>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Per Utility</w:t>
            </w:r>
          </w:p>
        </w:tc>
        <w:tc>
          <w:tcPr>
            <w:tcW w:w="598" w:type="pct"/>
            <w:tcBorders>
              <w:top w:val="nil"/>
              <w:left w:val="nil"/>
              <w:bottom w:val="single" w:sz="8" w:space="0" w:color="auto"/>
              <w:right w:val="nil"/>
            </w:tcBorders>
            <w:shd w:val="clear" w:color="000000" w:fill="FFFFFF"/>
            <w:noWrap/>
            <w:vAlign w:val="bottom"/>
            <w:hideMark/>
          </w:tcPr>
          <w:p w:rsidR="002F5C78" w:rsidRPr="009C6A71" w:rsidRDefault="002F5C78" w:rsidP="002F5C78">
            <w:pPr>
              <w:jc w:val="center"/>
              <w:rPr>
                <w:rFonts w:ascii="Arial" w:hAnsi="Arial" w:cs="Arial"/>
                <w:b/>
                <w:bCs/>
                <w:sz w:val="20"/>
                <w:szCs w:val="20"/>
              </w:rPr>
            </w:pPr>
            <w:proofErr w:type="spellStart"/>
            <w:r w:rsidRPr="009C6A71">
              <w:rPr>
                <w:rFonts w:ascii="Arial" w:hAnsi="Arial" w:cs="Arial"/>
                <w:b/>
                <w:bCs/>
                <w:sz w:val="20"/>
                <w:szCs w:val="20"/>
              </w:rPr>
              <w:t>ments</w:t>
            </w:r>
            <w:proofErr w:type="spellEnd"/>
          </w:p>
        </w:tc>
        <w:tc>
          <w:tcPr>
            <w:tcW w:w="1161" w:type="pct"/>
            <w:tcBorders>
              <w:top w:val="nil"/>
              <w:left w:val="nil"/>
              <w:bottom w:val="single" w:sz="8" w:space="0" w:color="auto"/>
              <w:right w:val="single" w:sz="8" w:space="0" w:color="auto"/>
            </w:tcBorders>
            <w:shd w:val="clear" w:color="000000" w:fill="FFFFFF"/>
            <w:noWrap/>
            <w:vAlign w:val="bottom"/>
            <w:hideMark/>
          </w:tcPr>
          <w:p w:rsidR="002F5C78" w:rsidRPr="009C6A71" w:rsidRDefault="002F5C78" w:rsidP="002F5C78">
            <w:pPr>
              <w:jc w:val="center"/>
              <w:rPr>
                <w:rFonts w:ascii="Arial" w:hAnsi="Arial" w:cs="Arial"/>
                <w:b/>
                <w:bCs/>
                <w:sz w:val="20"/>
                <w:szCs w:val="20"/>
              </w:rPr>
            </w:pPr>
            <w:r w:rsidRPr="009C6A71">
              <w:rPr>
                <w:rFonts w:ascii="Arial" w:hAnsi="Arial" w:cs="Arial"/>
                <w:b/>
                <w:bCs/>
                <w:sz w:val="20"/>
                <w:szCs w:val="20"/>
              </w:rPr>
              <w:t>Test Year</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1</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Plant in Service</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$8,571,371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($16,502)</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$8,554,869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$8,554,869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2</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Land and Land Rights</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157,487</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209</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157,696</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0</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157,696</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3</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Non-used and Useful Components</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(73,089)</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(73,089)</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4</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Accumulated Depreciation</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(3,712,738)</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20,172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(3,692,566)</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(3,692,566)</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5</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CIAC</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(3,276,640)</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(3,276,640)</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(3,276,640)</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6</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Amortization of CIAC</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1,595,021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1,595,021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1,595,021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7</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Construction Work in Progress</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134,200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(134,200)</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right"/>
              <w:rPr>
                <w:sz w:val="20"/>
                <w:szCs w:val="20"/>
              </w:rPr>
            </w:pPr>
            <w:r w:rsidRPr="009C6A71">
              <w:rPr>
                <w:sz w:val="20"/>
                <w:szCs w:val="20"/>
              </w:rPr>
              <w:t xml:space="preserve">0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8</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Working Capital Allowance</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u w:val="single"/>
              </w:rPr>
            </w:pPr>
            <w:r w:rsidRPr="009C6A71">
              <w:rPr>
                <w:sz w:val="20"/>
                <w:szCs w:val="20"/>
                <w:u w:val="single"/>
              </w:rPr>
              <w:t xml:space="preserve">0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u w:val="single"/>
              </w:rPr>
            </w:pPr>
            <w:r w:rsidRPr="009C6A71">
              <w:rPr>
                <w:sz w:val="20"/>
                <w:szCs w:val="20"/>
                <w:u w:val="single"/>
              </w:rPr>
              <w:t xml:space="preserve">73,343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u w:val="single"/>
              </w:rPr>
            </w:pPr>
            <w:r w:rsidRPr="009C6A71">
              <w:rPr>
                <w:sz w:val="20"/>
                <w:szCs w:val="20"/>
                <w:u w:val="single"/>
              </w:rPr>
              <w:t xml:space="preserve">73,343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u w:val="single"/>
              </w:rPr>
            </w:pPr>
            <w:r w:rsidRPr="009C6A71">
              <w:rPr>
                <w:sz w:val="20"/>
                <w:szCs w:val="20"/>
                <w:u w:val="single"/>
              </w:rPr>
              <w:t>(5,098)</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right"/>
              <w:rPr>
                <w:sz w:val="20"/>
                <w:szCs w:val="20"/>
                <w:u w:val="single"/>
              </w:rPr>
            </w:pPr>
            <w:r w:rsidRPr="009C6A71">
              <w:rPr>
                <w:sz w:val="20"/>
                <w:szCs w:val="20"/>
                <w:u w:val="single"/>
              </w:rPr>
              <w:t xml:space="preserve">68,245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rPr>
                <w:color w:val="000000"/>
                <w:sz w:val="20"/>
                <w:szCs w:val="20"/>
              </w:rPr>
            </w:pPr>
            <w:r w:rsidRPr="009C6A71">
              <w:rPr>
                <w:color w:val="000000"/>
                <w:sz w:val="20"/>
                <w:szCs w:val="20"/>
              </w:rPr>
              <w:t> </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r w:rsidR="002F5C78" w:rsidRPr="009C6A71" w:rsidTr="002F5C78">
        <w:trPr>
          <w:trHeight w:val="300"/>
        </w:trPr>
        <w:tc>
          <w:tcPr>
            <w:tcW w:w="170" w:type="pct"/>
            <w:tcBorders>
              <w:top w:val="nil"/>
              <w:left w:val="single" w:sz="8" w:space="0" w:color="auto"/>
              <w:bottom w:val="nil"/>
              <w:right w:val="nil"/>
            </w:tcBorders>
            <w:shd w:val="clear" w:color="000000" w:fill="FFFFFF"/>
            <w:noWrap/>
            <w:vAlign w:val="bottom"/>
            <w:hideMark/>
          </w:tcPr>
          <w:p w:rsidR="002F5C78" w:rsidRPr="009C6A71" w:rsidRDefault="002F5C78" w:rsidP="002F5C78">
            <w:pPr>
              <w:jc w:val="center"/>
              <w:rPr>
                <w:sz w:val="20"/>
                <w:szCs w:val="20"/>
              </w:rPr>
            </w:pPr>
            <w:r w:rsidRPr="009C6A71">
              <w:rPr>
                <w:sz w:val="20"/>
                <w:szCs w:val="20"/>
              </w:rPr>
              <w:t>9</w:t>
            </w:r>
          </w:p>
        </w:tc>
        <w:tc>
          <w:tcPr>
            <w:tcW w:w="1471" w:type="pct"/>
            <w:tcBorders>
              <w:top w:val="nil"/>
              <w:left w:val="nil"/>
              <w:bottom w:val="nil"/>
              <w:right w:val="nil"/>
            </w:tcBorders>
            <w:shd w:val="clear" w:color="000000" w:fill="FFFFFF"/>
            <w:noWrap/>
            <w:vAlign w:val="bottom"/>
            <w:hideMark/>
          </w:tcPr>
          <w:p w:rsidR="002F5C78" w:rsidRPr="009C6A71" w:rsidRDefault="002F5C78" w:rsidP="002F5C78">
            <w:pPr>
              <w:rPr>
                <w:b/>
                <w:bCs/>
                <w:sz w:val="20"/>
                <w:szCs w:val="20"/>
              </w:rPr>
            </w:pPr>
            <w:r w:rsidRPr="009C6A71">
              <w:rPr>
                <w:b/>
                <w:bCs/>
                <w:sz w:val="20"/>
                <w:szCs w:val="20"/>
              </w:rPr>
              <w:t>Rate Base</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u w:val="double"/>
              </w:rPr>
            </w:pPr>
            <w:r w:rsidRPr="009C6A71">
              <w:rPr>
                <w:sz w:val="20"/>
                <w:szCs w:val="20"/>
                <w:u w:val="double"/>
              </w:rPr>
              <w:t xml:space="preserve">$3,468,701 </w:t>
            </w:r>
          </w:p>
        </w:tc>
        <w:tc>
          <w:tcPr>
            <w:tcW w:w="50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u w:val="double"/>
              </w:rPr>
            </w:pPr>
            <w:r w:rsidRPr="009C6A71">
              <w:rPr>
                <w:sz w:val="20"/>
                <w:szCs w:val="20"/>
                <w:u w:val="double"/>
              </w:rPr>
              <w:t>($56,978)</w:t>
            </w:r>
          </w:p>
        </w:tc>
        <w:tc>
          <w:tcPr>
            <w:tcW w:w="546"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u w:val="double"/>
              </w:rPr>
            </w:pPr>
            <w:r w:rsidRPr="009C6A71">
              <w:rPr>
                <w:sz w:val="20"/>
                <w:szCs w:val="20"/>
                <w:u w:val="double"/>
              </w:rPr>
              <w:t xml:space="preserve">$3,411,723 </w:t>
            </w:r>
          </w:p>
        </w:tc>
        <w:tc>
          <w:tcPr>
            <w:tcW w:w="598" w:type="pct"/>
            <w:tcBorders>
              <w:top w:val="nil"/>
              <w:left w:val="nil"/>
              <w:bottom w:val="nil"/>
              <w:right w:val="nil"/>
            </w:tcBorders>
            <w:shd w:val="clear" w:color="000000" w:fill="FFFFFF"/>
            <w:noWrap/>
            <w:vAlign w:val="bottom"/>
            <w:hideMark/>
          </w:tcPr>
          <w:p w:rsidR="002F5C78" w:rsidRPr="009C6A71" w:rsidRDefault="002F5C78" w:rsidP="002F5C78">
            <w:pPr>
              <w:jc w:val="right"/>
              <w:rPr>
                <w:sz w:val="20"/>
                <w:szCs w:val="20"/>
                <w:u w:val="double"/>
              </w:rPr>
            </w:pPr>
            <w:r w:rsidRPr="009C6A71">
              <w:rPr>
                <w:sz w:val="20"/>
                <w:szCs w:val="20"/>
                <w:u w:val="double"/>
              </w:rPr>
              <w:t>($78,187)</w:t>
            </w:r>
          </w:p>
        </w:tc>
        <w:tc>
          <w:tcPr>
            <w:tcW w:w="1161" w:type="pct"/>
            <w:tcBorders>
              <w:top w:val="nil"/>
              <w:left w:val="nil"/>
              <w:bottom w:val="nil"/>
              <w:right w:val="single" w:sz="8" w:space="0" w:color="auto"/>
            </w:tcBorders>
            <w:shd w:val="clear" w:color="000000" w:fill="FFFFFF"/>
            <w:noWrap/>
            <w:vAlign w:val="bottom"/>
            <w:hideMark/>
          </w:tcPr>
          <w:p w:rsidR="002F5C78" w:rsidRPr="009C6A71" w:rsidRDefault="002F5C78" w:rsidP="002F5C78">
            <w:pPr>
              <w:jc w:val="right"/>
              <w:rPr>
                <w:sz w:val="20"/>
                <w:szCs w:val="20"/>
                <w:u w:val="double"/>
              </w:rPr>
            </w:pPr>
            <w:r w:rsidRPr="009C6A71">
              <w:rPr>
                <w:sz w:val="20"/>
                <w:szCs w:val="20"/>
                <w:u w:val="double"/>
              </w:rPr>
              <w:t xml:space="preserve">$3,333,536 </w:t>
            </w:r>
          </w:p>
        </w:tc>
      </w:tr>
      <w:tr w:rsidR="002F5C78" w:rsidRPr="009C6A71" w:rsidTr="002F5C78">
        <w:trPr>
          <w:trHeight w:val="315"/>
        </w:trPr>
        <w:tc>
          <w:tcPr>
            <w:tcW w:w="170" w:type="pct"/>
            <w:tcBorders>
              <w:top w:val="nil"/>
              <w:left w:val="single" w:sz="8" w:space="0" w:color="auto"/>
              <w:bottom w:val="single" w:sz="8" w:space="0" w:color="auto"/>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471"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08"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46"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598" w:type="pct"/>
            <w:tcBorders>
              <w:top w:val="nil"/>
              <w:left w:val="nil"/>
              <w:bottom w:val="single" w:sz="8" w:space="0" w:color="auto"/>
              <w:right w:val="nil"/>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c>
          <w:tcPr>
            <w:tcW w:w="1161" w:type="pct"/>
            <w:tcBorders>
              <w:top w:val="nil"/>
              <w:left w:val="nil"/>
              <w:bottom w:val="single" w:sz="8" w:space="0" w:color="auto"/>
              <w:right w:val="single" w:sz="8" w:space="0" w:color="auto"/>
            </w:tcBorders>
            <w:shd w:val="clear" w:color="000000" w:fill="FFFFFF"/>
            <w:noWrap/>
            <w:vAlign w:val="bottom"/>
            <w:hideMark/>
          </w:tcPr>
          <w:p w:rsidR="002F5C78" w:rsidRPr="009C6A71" w:rsidRDefault="002F5C78" w:rsidP="002F5C78">
            <w:pPr>
              <w:rPr>
                <w:sz w:val="20"/>
                <w:szCs w:val="20"/>
              </w:rPr>
            </w:pPr>
            <w:r w:rsidRPr="009C6A71">
              <w:rPr>
                <w:sz w:val="20"/>
                <w:szCs w:val="20"/>
              </w:rPr>
              <w:t> </w:t>
            </w:r>
          </w:p>
        </w:tc>
      </w:tr>
    </w:tbl>
    <w:p w:rsidR="00792D15" w:rsidRDefault="00792D15" w:rsidP="0062152B">
      <w:pPr>
        <w:pStyle w:val="BodyText"/>
        <w:sectPr w:rsidR="00792D15" w:rsidSect="0068481F">
          <w:headerReference w:type="default" r:id="rId15"/>
          <w:pgSz w:w="12240" w:h="15840" w:code="1"/>
          <w:pgMar w:top="1584" w:right="1440" w:bottom="1440" w:left="1440" w:header="720" w:footer="720" w:gutter="0"/>
          <w:cols w:space="720"/>
          <w:formProt w:val="0"/>
          <w:docGrid w:linePitch="360"/>
        </w:sectPr>
      </w:pPr>
    </w:p>
    <w:tbl>
      <w:tblPr>
        <w:tblW w:w="8538" w:type="dxa"/>
        <w:tblInd w:w="93" w:type="dxa"/>
        <w:tblLook w:val="04A0" w:firstRow="1" w:lastRow="0" w:firstColumn="1" w:lastColumn="0" w:noHBand="0" w:noVBand="1"/>
      </w:tblPr>
      <w:tblGrid>
        <w:gridCol w:w="640"/>
        <w:gridCol w:w="4636"/>
        <w:gridCol w:w="589"/>
        <w:gridCol w:w="2673"/>
      </w:tblGrid>
      <w:tr w:rsidR="00792D15" w:rsidRPr="009C6A71" w:rsidTr="002F7512">
        <w:trPr>
          <w:trHeight w:val="315"/>
        </w:trPr>
        <w:tc>
          <w:tcPr>
            <w:tcW w:w="640" w:type="dxa"/>
            <w:tcBorders>
              <w:top w:val="single" w:sz="8" w:space="0" w:color="auto"/>
              <w:left w:val="single" w:sz="8" w:space="0" w:color="auto"/>
              <w:bottom w:val="nil"/>
              <w:right w:val="nil"/>
            </w:tcBorders>
            <w:shd w:val="clear" w:color="000000" w:fill="FFFFFF"/>
            <w:noWrap/>
            <w:vAlign w:val="bottom"/>
            <w:hideMark/>
          </w:tcPr>
          <w:p w:rsidR="00792D15" w:rsidRPr="009C6A71" w:rsidRDefault="00792D15" w:rsidP="002F7512">
            <w:pPr>
              <w:rPr>
                <w:rFonts w:ascii="Arial" w:hAnsi="Arial" w:cs="Arial"/>
              </w:rPr>
            </w:pPr>
            <w:r w:rsidRPr="009C6A71">
              <w:rPr>
                <w:rFonts w:ascii="Arial" w:hAnsi="Arial" w:cs="Arial"/>
              </w:rPr>
              <w:lastRenderedPageBreak/>
              <w:t> </w:t>
            </w:r>
          </w:p>
        </w:tc>
        <w:tc>
          <w:tcPr>
            <w:tcW w:w="4636" w:type="dxa"/>
            <w:tcBorders>
              <w:top w:val="single" w:sz="8" w:space="0" w:color="auto"/>
              <w:left w:val="nil"/>
              <w:bottom w:val="nil"/>
              <w:right w:val="nil"/>
            </w:tcBorders>
            <w:shd w:val="clear" w:color="auto" w:fill="auto"/>
            <w:noWrap/>
            <w:vAlign w:val="bottom"/>
            <w:hideMark/>
          </w:tcPr>
          <w:p w:rsidR="00792D15" w:rsidRPr="009C6A71" w:rsidRDefault="00792D15" w:rsidP="002F7512">
            <w:pPr>
              <w:rPr>
                <w:rFonts w:ascii="Arial" w:hAnsi="Arial" w:cs="Arial"/>
                <w:b/>
                <w:bCs/>
              </w:rPr>
            </w:pPr>
            <w:r w:rsidRPr="009C6A71">
              <w:rPr>
                <w:rFonts w:ascii="Arial" w:hAnsi="Arial" w:cs="Arial"/>
                <w:b/>
                <w:bCs/>
              </w:rPr>
              <w:t xml:space="preserve">Utilities, Inc. of </w:t>
            </w:r>
            <w:proofErr w:type="spellStart"/>
            <w:r w:rsidRPr="009C6A71">
              <w:rPr>
                <w:rFonts w:ascii="Arial" w:hAnsi="Arial" w:cs="Arial"/>
                <w:b/>
                <w:bCs/>
              </w:rPr>
              <w:t>Sandalhaven</w:t>
            </w:r>
            <w:proofErr w:type="spellEnd"/>
          </w:p>
        </w:tc>
        <w:tc>
          <w:tcPr>
            <w:tcW w:w="3262" w:type="dxa"/>
            <w:gridSpan w:val="2"/>
            <w:tcBorders>
              <w:top w:val="single" w:sz="8" w:space="0" w:color="auto"/>
              <w:left w:val="nil"/>
              <w:bottom w:val="nil"/>
              <w:right w:val="single" w:sz="8" w:space="0" w:color="000000"/>
            </w:tcBorders>
            <w:shd w:val="clear" w:color="000000" w:fill="FFFFFF"/>
            <w:noWrap/>
            <w:vAlign w:val="bottom"/>
            <w:hideMark/>
          </w:tcPr>
          <w:p w:rsidR="00792D15" w:rsidRPr="009C6A71" w:rsidRDefault="00792D15" w:rsidP="002F7512">
            <w:pPr>
              <w:jc w:val="right"/>
              <w:rPr>
                <w:rFonts w:ascii="Arial" w:hAnsi="Arial" w:cs="Arial"/>
                <w:b/>
                <w:bCs/>
              </w:rPr>
            </w:pPr>
            <w:r w:rsidRPr="009C6A71">
              <w:rPr>
                <w:rFonts w:ascii="Arial" w:hAnsi="Arial" w:cs="Arial"/>
                <w:b/>
                <w:bCs/>
              </w:rPr>
              <w:t>Schedule No. 1-B</w:t>
            </w:r>
          </w:p>
        </w:tc>
      </w:tr>
      <w:tr w:rsidR="00792D15" w:rsidRPr="009C6A71" w:rsidTr="002F7512">
        <w:trPr>
          <w:trHeight w:val="315"/>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rPr>
                <w:rFonts w:ascii="Arial" w:hAnsi="Arial" w:cs="Arial"/>
              </w:rPr>
            </w:pPr>
            <w:r w:rsidRPr="009C6A71">
              <w:rPr>
                <w:rFonts w:ascii="Arial" w:hAnsi="Arial" w:cs="Arial"/>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rFonts w:ascii="Arial" w:hAnsi="Arial" w:cs="Arial"/>
                <w:b/>
                <w:bCs/>
              </w:rPr>
            </w:pPr>
            <w:r w:rsidRPr="009C6A71">
              <w:rPr>
                <w:rFonts w:ascii="Arial" w:hAnsi="Arial" w:cs="Arial"/>
                <w:b/>
                <w:bCs/>
              </w:rPr>
              <w:t>Adjustments to Rate Base</w:t>
            </w:r>
          </w:p>
        </w:tc>
        <w:tc>
          <w:tcPr>
            <w:tcW w:w="3262" w:type="dxa"/>
            <w:gridSpan w:val="2"/>
            <w:tcBorders>
              <w:top w:val="nil"/>
              <w:left w:val="nil"/>
              <w:bottom w:val="nil"/>
              <w:right w:val="single" w:sz="8" w:space="0" w:color="000000"/>
            </w:tcBorders>
            <w:shd w:val="clear" w:color="auto" w:fill="auto"/>
            <w:noWrap/>
            <w:vAlign w:val="bottom"/>
            <w:hideMark/>
          </w:tcPr>
          <w:p w:rsidR="00792D15" w:rsidRPr="009C6A71" w:rsidRDefault="00792D15" w:rsidP="002F7512">
            <w:pPr>
              <w:jc w:val="right"/>
              <w:rPr>
                <w:rFonts w:ascii="Arial" w:hAnsi="Arial" w:cs="Arial"/>
                <w:b/>
                <w:bCs/>
              </w:rPr>
            </w:pPr>
            <w:r w:rsidRPr="009C6A71">
              <w:rPr>
                <w:rFonts w:ascii="Arial" w:hAnsi="Arial" w:cs="Arial"/>
                <w:b/>
                <w:bCs/>
              </w:rPr>
              <w:t>Docket No. 150102-SU</w:t>
            </w:r>
          </w:p>
        </w:tc>
      </w:tr>
      <w:tr w:rsidR="00792D15" w:rsidRPr="009C6A71" w:rsidTr="002F7512">
        <w:trPr>
          <w:trHeight w:val="330"/>
        </w:trPr>
        <w:tc>
          <w:tcPr>
            <w:tcW w:w="640" w:type="dxa"/>
            <w:tcBorders>
              <w:top w:val="nil"/>
              <w:left w:val="single" w:sz="8" w:space="0" w:color="auto"/>
              <w:bottom w:val="single" w:sz="8" w:space="0" w:color="auto"/>
              <w:right w:val="nil"/>
            </w:tcBorders>
            <w:shd w:val="clear" w:color="000000" w:fill="FFFFFF"/>
            <w:noWrap/>
            <w:vAlign w:val="bottom"/>
            <w:hideMark/>
          </w:tcPr>
          <w:p w:rsidR="00792D15" w:rsidRPr="009C6A71" w:rsidRDefault="00792D15" w:rsidP="002F7512">
            <w:pPr>
              <w:rPr>
                <w:rFonts w:ascii="Arial" w:hAnsi="Arial" w:cs="Arial"/>
              </w:rPr>
            </w:pPr>
            <w:r w:rsidRPr="009C6A71">
              <w:rPr>
                <w:rFonts w:ascii="Arial" w:hAnsi="Arial" w:cs="Arial"/>
              </w:rPr>
              <w:t> </w:t>
            </w:r>
          </w:p>
        </w:tc>
        <w:tc>
          <w:tcPr>
            <w:tcW w:w="4636" w:type="dxa"/>
            <w:tcBorders>
              <w:top w:val="nil"/>
              <w:left w:val="nil"/>
              <w:bottom w:val="single" w:sz="8" w:space="0" w:color="auto"/>
              <w:right w:val="nil"/>
            </w:tcBorders>
            <w:shd w:val="clear" w:color="auto" w:fill="auto"/>
            <w:noWrap/>
            <w:vAlign w:val="bottom"/>
            <w:hideMark/>
          </w:tcPr>
          <w:p w:rsidR="00792D15" w:rsidRPr="009C6A71" w:rsidRDefault="00792D15" w:rsidP="002F7512">
            <w:pPr>
              <w:rPr>
                <w:rFonts w:ascii="Arial" w:hAnsi="Arial" w:cs="Arial"/>
                <w:b/>
                <w:bCs/>
              </w:rPr>
            </w:pPr>
            <w:r w:rsidRPr="009C6A71">
              <w:rPr>
                <w:rFonts w:ascii="Arial" w:hAnsi="Arial" w:cs="Arial"/>
                <w:b/>
                <w:bCs/>
              </w:rPr>
              <w:t>Test Year Ended 12/31/14</w:t>
            </w:r>
          </w:p>
        </w:tc>
        <w:tc>
          <w:tcPr>
            <w:tcW w:w="589" w:type="dxa"/>
            <w:tcBorders>
              <w:top w:val="nil"/>
              <w:left w:val="nil"/>
              <w:bottom w:val="single" w:sz="8" w:space="0" w:color="auto"/>
              <w:right w:val="nil"/>
            </w:tcBorders>
            <w:shd w:val="clear" w:color="000000" w:fill="FFFFFF"/>
            <w:noWrap/>
            <w:vAlign w:val="bottom"/>
            <w:hideMark/>
          </w:tcPr>
          <w:p w:rsidR="00792D15" w:rsidRPr="009C6A71" w:rsidRDefault="00792D15" w:rsidP="002F7512">
            <w:pPr>
              <w:jc w:val="right"/>
              <w:rPr>
                <w:rFonts w:ascii="Arial" w:hAnsi="Arial" w:cs="Arial"/>
                <w:b/>
                <w:bCs/>
              </w:rPr>
            </w:pPr>
            <w:r w:rsidRPr="009C6A71">
              <w:rPr>
                <w:rFonts w:ascii="Arial" w:hAnsi="Arial" w:cs="Arial"/>
                <w:b/>
                <w:bCs/>
              </w:rPr>
              <w:t> </w:t>
            </w:r>
          </w:p>
        </w:tc>
        <w:tc>
          <w:tcPr>
            <w:tcW w:w="2673" w:type="dxa"/>
            <w:tcBorders>
              <w:top w:val="nil"/>
              <w:left w:val="nil"/>
              <w:bottom w:val="single" w:sz="8" w:space="0" w:color="auto"/>
              <w:right w:val="single" w:sz="8" w:space="0" w:color="auto"/>
            </w:tcBorders>
            <w:shd w:val="clear" w:color="000000" w:fill="FFFFFF"/>
            <w:noWrap/>
            <w:vAlign w:val="bottom"/>
            <w:hideMark/>
          </w:tcPr>
          <w:p w:rsidR="00792D15" w:rsidRPr="009C6A71" w:rsidRDefault="00792D15" w:rsidP="002F7512">
            <w:pPr>
              <w:rPr>
                <w:rFonts w:ascii="Arial" w:hAnsi="Arial" w:cs="Arial"/>
                <w:b/>
                <w:bCs/>
              </w:rPr>
            </w:pPr>
            <w:r w:rsidRPr="009C6A71">
              <w:rPr>
                <w:rFonts w:ascii="Arial" w:hAnsi="Arial" w:cs="Arial"/>
                <w:b/>
                <w:bCs/>
              </w:rPr>
              <w:t> </w:t>
            </w:r>
          </w:p>
        </w:tc>
      </w:tr>
      <w:tr w:rsidR="00792D15" w:rsidRPr="009C6A71" w:rsidTr="00257939">
        <w:trPr>
          <w:trHeight w:val="300"/>
        </w:trPr>
        <w:tc>
          <w:tcPr>
            <w:tcW w:w="640" w:type="dxa"/>
            <w:tcBorders>
              <w:top w:val="nil"/>
              <w:left w:val="single" w:sz="8" w:space="0" w:color="auto"/>
              <w:bottom w:val="nil"/>
              <w:right w:val="nil"/>
            </w:tcBorders>
            <w:shd w:val="clear" w:color="000000" w:fill="auto"/>
            <w:noWrap/>
            <w:vAlign w:val="bottom"/>
            <w:hideMark/>
          </w:tcPr>
          <w:p w:rsidR="00792D15" w:rsidRPr="009C6A71" w:rsidRDefault="00792D15" w:rsidP="002F7512">
            <w:pPr>
              <w:rPr>
                <w:sz w:val="20"/>
                <w:szCs w:val="20"/>
              </w:rPr>
            </w:pPr>
            <w:r w:rsidRPr="009C6A71">
              <w:rPr>
                <w:sz w:val="20"/>
                <w:szCs w:val="20"/>
              </w:rPr>
              <w:t> </w:t>
            </w:r>
          </w:p>
        </w:tc>
        <w:tc>
          <w:tcPr>
            <w:tcW w:w="4636" w:type="dxa"/>
            <w:tcBorders>
              <w:top w:val="nil"/>
              <w:left w:val="nil"/>
              <w:bottom w:val="nil"/>
              <w:right w:val="nil"/>
            </w:tcBorders>
            <w:shd w:val="clear" w:color="000000" w:fill="auto"/>
            <w:noWrap/>
            <w:vAlign w:val="bottom"/>
            <w:hideMark/>
          </w:tcPr>
          <w:p w:rsidR="00792D15" w:rsidRPr="009C6A71" w:rsidRDefault="00792D15" w:rsidP="002F7512">
            <w:pPr>
              <w:rPr>
                <w:sz w:val="20"/>
                <w:szCs w:val="20"/>
              </w:rPr>
            </w:pPr>
            <w:r w:rsidRPr="009C6A71">
              <w:rPr>
                <w:sz w:val="20"/>
                <w:szCs w:val="20"/>
              </w:rPr>
              <w:t> </w:t>
            </w:r>
          </w:p>
        </w:tc>
        <w:tc>
          <w:tcPr>
            <w:tcW w:w="589" w:type="dxa"/>
            <w:tcBorders>
              <w:top w:val="nil"/>
              <w:left w:val="nil"/>
              <w:bottom w:val="nil"/>
              <w:right w:val="nil"/>
            </w:tcBorders>
            <w:shd w:val="clear" w:color="000000" w:fill="auto"/>
            <w:noWrap/>
            <w:vAlign w:val="bottom"/>
            <w:hideMark/>
          </w:tcPr>
          <w:p w:rsidR="00792D15" w:rsidRPr="009C6A71" w:rsidRDefault="00792D15"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auto"/>
            <w:noWrap/>
            <w:vAlign w:val="bottom"/>
            <w:hideMark/>
          </w:tcPr>
          <w:p w:rsidR="00792D15" w:rsidRPr="009C6A71" w:rsidRDefault="00792D15" w:rsidP="002F7512">
            <w:pPr>
              <w:rPr>
                <w:sz w:val="20"/>
                <w:szCs w:val="20"/>
              </w:rPr>
            </w:pPr>
            <w:r w:rsidRPr="009C6A71">
              <w:rPr>
                <w:sz w:val="20"/>
                <w:szCs w:val="20"/>
              </w:rPr>
              <w:t> </w:t>
            </w:r>
          </w:p>
        </w:tc>
      </w:tr>
      <w:tr w:rsidR="00792D15" w:rsidRPr="009C6A71" w:rsidTr="00257939">
        <w:trPr>
          <w:trHeight w:val="300"/>
        </w:trPr>
        <w:tc>
          <w:tcPr>
            <w:tcW w:w="640" w:type="dxa"/>
            <w:tcBorders>
              <w:top w:val="nil"/>
              <w:left w:val="single" w:sz="8" w:space="0" w:color="auto"/>
              <w:bottom w:val="nil"/>
              <w:right w:val="nil"/>
            </w:tcBorders>
            <w:shd w:val="clear" w:color="000000" w:fill="auto"/>
            <w:noWrap/>
            <w:vAlign w:val="bottom"/>
            <w:hideMark/>
          </w:tcPr>
          <w:p w:rsidR="00792D15" w:rsidRPr="009C6A71" w:rsidRDefault="00792D15" w:rsidP="002F7512">
            <w:pPr>
              <w:rPr>
                <w:sz w:val="20"/>
                <w:szCs w:val="20"/>
              </w:rPr>
            </w:pPr>
            <w:r w:rsidRPr="009C6A71">
              <w:rPr>
                <w:sz w:val="20"/>
                <w:szCs w:val="20"/>
              </w:rPr>
              <w:t> </w:t>
            </w:r>
          </w:p>
        </w:tc>
        <w:tc>
          <w:tcPr>
            <w:tcW w:w="4636" w:type="dxa"/>
            <w:tcBorders>
              <w:top w:val="nil"/>
              <w:left w:val="nil"/>
              <w:bottom w:val="nil"/>
              <w:right w:val="nil"/>
            </w:tcBorders>
            <w:shd w:val="clear" w:color="000000" w:fill="auto"/>
            <w:noWrap/>
            <w:vAlign w:val="bottom"/>
            <w:hideMark/>
          </w:tcPr>
          <w:p w:rsidR="00792D15" w:rsidRPr="009C6A71" w:rsidRDefault="00792D15" w:rsidP="002F7512">
            <w:pPr>
              <w:rPr>
                <w:b/>
                <w:bCs/>
                <w:sz w:val="20"/>
                <w:szCs w:val="20"/>
              </w:rPr>
            </w:pPr>
            <w:r w:rsidRPr="009C6A71">
              <w:rPr>
                <w:b/>
                <w:bCs/>
                <w:sz w:val="20"/>
                <w:szCs w:val="20"/>
              </w:rPr>
              <w:t>Explanation</w:t>
            </w:r>
          </w:p>
        </w:tc>
        <w:tc>
          <w:tcPr>
            <w:tcW w:w="589" w:type="dxa"/>
            <w:tcBorders>
              <w:top w:val="nil"/>
              <w:left w:val="nil"/>
              <w:bottom w:val="nil"/>
              <w:right w:val="nil"/>
            </w:tcBorders>
            <w:shd w:val="clear" w:color="000000" w:fill="auto"/>
            <w:noWrap/>
            <w:vAlign w:val="bottom"/>
            <w:hideMark/>
          </w:tcPr>
          <w:p w:rsidR="00792D15" w:rsidRPr="009C6A71" w:rsidRDefault="00792D15" w:rsidP="002F7512">
            <w:pPr>
              <w:jc w:val="center"/>
              <w:rPr>
                <w:b/>
                <w:bCs/>
                <w:sz w:val="20"/>
                <w:szCs w:val="20"/>
              </w:rPr>
            </w:pPr>
            <w:r w:rsidRPr="009C6A71">
              <w:rPr>
                <w:b/>
                <w:bCs/>
                <w:sz w:val="20"/>
                <w:szCs w:val="20"/>
              </w:rPr>
              <w:t> </w:t>
            </w:r>
          </w:p>
        </w:tc>
        <w:tc>
          <w:tcPr>
            <w:tcW w:w="2673" w:type="dxa"/>
            <w:tcBorders>
              <w:top w:val="nil"/>
              <w:left w:val="nil"/>
              <w:bottom w:val="nil"/>
              <w:right w:val="single" w:sz="8" w:space="0" w:color="auto"/>
            </w:tcBorders>
            <w:shd w:val="clear" w:color="000000" w:fill="auto"/>
            <w:noWrap/>
            <w:vAlign w:val="bottom"/>
            <w:hideMark/>
          </w:tcPr>
          <w:p w:rsidR="00792D15" w:rsidRPr="009C6A71" w:rsidRDefault="00792D15" w:rsidP="002F7512">
            <w:pPr>
              <w:jc w:val="center"/>
              <w:rPr>
                <w:b/>
                <w:bCs/>
                <w:sz w:val="20"/>
                <w:szCs w:val="20"/>
              </w:rPr>
            </w:pPr>
            <w:r w:rsidRPr="009C6A71">
              <w:rPr>
                <w:b/>
                <w:bCs/>
                <w:sz w:val="20"/>
                <w:szCs w:val="20"/>
              </w:rPr>
              <w:t>Wastewater</w:t>
            </w:r>
          </w:p>
        </w:tc>
      </w:tr>
      <w:tr w:rsidR="00792D15" w:rsidRPr="009C6A71" w:rsidTr="00257939">
        <w:trPr>
          <w:trHeight w:val="315"/>
        </w:trPr>
        <w:tc>
          <w:tcPr>
            <w:tcW w:w="640" w:type="dxa"/>
            <w:tcBorders>
              <w:top w:val="nil"/>
              <w:left w:val="single" w:sz="8" w:space="0" w:color="auto"/>
              <w:bottom w:val="nil"/>
              <w:right w:val="nil"/>
            </w:tcBorders>
            <w:shd w:val="clear" w:color="000000" w:fill="auto"/>
            <w:noWrap/>
            <w:vAlign w:val="bottom"/>
            <w:hideMark/>
          </w:tcPr>
          <w:p w:rsidR="00792D15" w:rsidRPr="009C6A71" w:rsidRDefault="00792D15" w:rsidP="002F7512">
            <w:pPr>
              <w:rPr>
                <w:sz w:val="20"/>
                <w:szCs w:val="20"/>
              </w:rPr>
            </w:pPr>
            <w:r w:rsidRPr="009C6A71">
              <w:rPr>
                <w:sz w:val="20"/>
                <w:szCs w:val="20"/>
              </w:rPr>
              <w:t> </w:t>
            </w:r>
          </w:p>
        </w:tc>
        <w:tc>
          <w:tcPr>
            <w:tcW w:w="4636" w:type="dxa"/>
            <w:tcBorders>
              <w:top w:val="nil"/>
              <w:left w:val="nil"/>
              <w:bottom w:val="nil"/>
              <w:right w:val="nil"/>
            </w:tcBorders>
            <w:shd w:val="clear" w:color="000000" w:fill="auto"/>
            <w:noWrap/>
            <w:vAlign w:val="bottom"/>
            <w:hideMark/>
          </w:tcPr>
          <w:p w:rsidR="00792D15" w:rsidRPr="009C6A71" w:rsidRDefault="00792D15" w:rsidP="002F7512">
            <w:pPr>
              <w:rPr>
                <w:sz w:val="20"/>
                <w:szCs w:val="20"/>
              </w:rPr>
            </w:pPr>
            <w:r w:rsidRPr="009C6A71">
              <w:rPr>
                <w:sz w:val="20"/>
                <w:szCs w:val="20"/>
              </w:rPr>
              <w:t> </w:t>
            </w:r>
          </w:p>
        </w:tc>
        <w:tc>
          <w:tcPr>
            <w:tcW w:w="589" w:type="dxa"/>
            <w:tcBorders>
              <w:top w:val="nil"/>
              <w:left w:val="nil"/>
              <w:bottom w:val="nil"/>
              <w:right w:val="nil"/>
            </w:tcBorders>
            <w:shd w:val="clear" w:color="000000" w:fill="auto"/>
            <w:noWrap/>
            <w:vAlign w:val="bottom"/>
            <w:hideMark/>
          </w:tcPr>
          <w:p w:rsidR="00792D15" w:rsidRPr="009C6A71" w:rsidRDefault="00792D15"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auto"/>
            <w:noWrap/>
            <w:vAlign w:val="bottom"/>
            <w:hideMark/>
          </w:tcPr>
          <w:p w:rsidR="00792D15" w:rsidRPr="009C6A71" w:rsidRDefault="00792D15" w:rsidP="002F7512">
            <w:pPr>
              <w:rPr>
                <w:sz w:val="20"/>
                <w:szCs w:val="20"/>
              </w:rPr>
            </w:pPr>
            <w:r w:rsidRPr="009C6A71">
              <w:rPr>
                <w:sz w:val="20"/>
                <w:szCs w:val="20"/>
              </w:rPr>
              <w:t> </w:t>
            </w:r>
          </w:p>
        </w:tc>
      </w:tr>
      <w:tr w:rsidR="00792D15" w:rsidRPr="009C6A71" w:rsidTr="002F7512">
        <w:trPr>
          <w:trHeight w:val="300"/>
        </w:trPr>
        <w:tc>
          <w:tcPr>
            <w:tcW w:w="640" w:type="dxa"/>
            <w:tcBorders>
              <w:top w:val="single" w:sz="8" w:space="0" w:color="000000"/>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single" w:sz="8" w:space="0" w:color="000000"/>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589" w:type="dxa"/>
            <w:tcBorders>
              <w:top w:val="single" w:sz="8" w:space="0" w:color="000000"/>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2673" w:type="dxa"/>
            <w:tcBorders>
              <w:top w:val="single" w:sz="8" w:space="0" w:color="000000"/>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u w:val="single"/>
              </w:rPr>
            </w:pPr>
            <w:r w:rsidRPr="009C6A71">
              <w:rPr>
                <w:sz w:val="20"/>
                <w:szCs w:val="20"/>
                <w:u w:val="single"/>
              </w:rPr>
              <w:t>Plant In Service</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u w:val="double"/>
              </w:rPr>
            </w:pPr>
            <w:r w:rsidRPr="009C6A71">
              <w:rPr>
                <w:sz w:val="20"/>
                <w:szCs w:val="20"/>
                <w:u w:val="double"/>
              </w:rPr>
              <w:t xml:space="preserve">$0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u w:val="single"/>
              </w:rPr>
            </w:pPr>
            <w:r w:rsidRPr="009C6A71">
              <w:rPr>
                <w:sz w:val="20"/>
                <w:szCs w:val="20"/>
                <w:u w:val="single"/>
              </w:rPr>
              <w:t>Land</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5225" w:type="dxa"/>
            <w:gridSpan w:val="2"/>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To reflect non-used and useful adjustment to land. (Issue 2)</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u w:val="double"/>
              </w:rPr>
            </w:pPr>
            <w:r w:rsidRPr="009C6A71">
              <w:rPr>
                <w:sz w:val="20"/>
                <w:szCs w:val="20"/>
                <w:u w:val="double"/>
              </w:rPr>
              <w:t>($73,089)</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jc w:val="right"/>
              <w:rPr>
                <w:sz w:val="20"/>
                <w:szCs w:val="20"/>
                <w:u w:val="double"/>
              </w:rPr>
            </w:pP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u w:val="double"/>
              </w:rPr>
            </w:pP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u w:val="single"/>
              </w:rPr>
            </w:pPr>
            <w:r w:rsidRPr="009C6A71">
              <w:rPr>
                <w:sz w:val="20"/>
                <w:szCs w:val="20"/>
                <w:u w:val="single"/>
              </w:rPr>
              <w:t>Accumulated Depreciation</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u w:val="double"/>
              </w:rPr>
            </w:pPr>
            <w:r w:rsidRPr="009C6A71">
              <w:rPr>
                <w:sz w:val="20"/>
                <w:szCs w:val="20"/>
                <w:u w:val="double"/>
              </w:rPr>
              <w:t xml:space="preserve">$0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rFonts w:ascii="Arial" w:hAnsi="Arial" w:cs="Arial"/>
                <w:sz w:val="20"/>
                <w:szCs w:val="20"/>
              </w:rPr>
            </w:pPr>
            <w:r w:rsidRPr="009C6A71">
              <w:rPr>
                <w:rFonts w:ascii="Arial" w:hAnsi="Arial" w:cs="Arial"/>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u w:val="single"/>
              </w:rPr>
            </w:pPr>
            <w:r w:rsidRPr="009C6A71">
              <w:rPr>
                <w:sz w:val="20"/>
                <w:szCs w:val="20"/>
                <w:u w:val="single"/>
              </w:rPr>
              <w:t>CIAC</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rPr>
                <w:rFonts w:ascii="Arial" w:hAnsi="Arial" w:cs="Arial"/>
                <w:sz w:val="20"/>
                <w:szCs w:val="20"/>
              </w:rPr>
            </w:pPr>
            <w:r w:rsidRPr="009C6A71">
              <w:rPr>
                <w:rFonts w:ascii="Arial" w:hAnsi="Arial" w:cs="Arial"/>
                <w:sz w:val="20"/>
                <w:szCs w:val="20"/>
              </w:rPr>
              <w:t> </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u w:val="double"/>
              </w:rPr>
            </w:pPr>
            <w:r w:rsidRPr="009C6A71">
              <w:rPr>
                <w:sz w:val="20"/>
                <w:szCs w:val="20"/>
                <w:u w:val="double"/>
              </w:rPr>
              <w:t xml:space="preserve">$0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u w:val="single"/>
              </w:rPr>
            </w:pPr>
            <w:r w:rsidRPr="009C6A71">
              <w:rPr>
                <w:sz w:val="20"/>
                <w:szCs w:val="20"/>
                <w:u w:val="single"/>
              </w:rPr>
              <w:t>Accumulated Amortization of CIAC</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u w:val="double"/>
              </w:rPr>
            </w:pPr>
            <w:r w:rsidRPr="009C6A71">
              <w:rPr>
                <w:sz w:val="20"/>
                <w:szCs w:val="20"/>
                <w:u w:val="double"/>
              </w:rPr>
              <w:t xml:space="preserve">$0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nil"/>
              <w:right w:val="nil"/>
            </w:tcBorders>
            <w:shd w:val="clear" w:color="000000" w:fill="FFFFFF"/>
            <w:noWrap/>
            <w:vAlign w:val="bottom"/>
            <w:hideMark/>
          </w:tcPr>
          <w:p w:rsidR="00792D15" w:rsidRPr="009C6A71" w:rsidRDefault="00792D15" w:rsidP="002F7512">
            <w:pPr>
              <w:rPr>
                <w:sz w:val="20"/>
                <w:szCs w:val="20"/>
                <w:u w:val="single"/>
              </w:rPr>
            </w:pPr>
            <w:r w:rsidRPr="009C6A71">
              <w:rPr>
                <w:sz w:val="20"/>
                <w:szCs w:val="20"/>
                <w:u w:val="single"/>
              </w:rPr>
              <w:t>Working Capital</w:t>
            </w:r>
          </w:p>
        </w:tc>
        <w:tc>
          <w:tcPr>
            <w:tcW w:w="589" w:type="dxa"/>
            <w:tcBorders>
              <w:top w:val="nil"/>
              <w:left w:val="nil"/>
              <w:bottom w:val="nil"/>
              <w:right w:val="nil"/>
            </w:tcBorders>
            <w:shd w:val="clear" w:color="000000" w:fill="FFFFFF"/>
            <w:noWrap/>
            <w:vAlign w:val="bottom"/>
            <w:hideMark/>
          </w:tcPr>
          <w:p w:rsidR="00792D15" w:rsidRPr="009C6A71" w:rsidRDefault="00792D15" w:rsidP="002F7512">
            <w:pPr>
              <w:jc w:val="right"/>
              <w:rPr>
                <w:sz w:val="20"/>
                <w:szCs w:val="20"/>
                <w:u w:val="double"/>
              </w:rPr>
            </w:pP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u w:val="double"/>
              </w:rPr>
            </w:pPr>
          </w:p>
        </w:tc>
      </w:tr>
      <w:tr w:rsidR="00792D15"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5225" w:type="dxa"/>
            <w:gridSpan w:val="2"/>
            <w:tcBorders>
              <w:top w:val="nil"/>
              <w:left w:val="nil"/>
              <w:bottom w:val="nil"/>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To reflect the appropriate working capital allowance (Issue 2)</w:t>
            </w:r>
          </w:p>
        </w:tc>
        <w:tc>
          <w:tcPr>
            <w:tcW w:w="2673" w:type="dxa"/>
            <w:tcBorders>
              <w:top w:val="nil"/>
              <w:left w:val="nil"/>
              <w:bottom w:val="nil"/>
              <w:right w:val="single" w:sz="8" w:space="0" w:color="auto"/>
            </w:tcBorders>
            <w:shd w:val="clear" w:color="000000" w:fill="FFFFFF"/>
            <w:noWrap/>
            <w:vAlign w:val="bottom"/>
            <w:hideMark/>
          </w:tcPr>
          <w:p w:rsidR="00792D15" w:rsidRPr="009C6A71" w:rsidRDefault="00792D15" w:rsidP="002F7512">
            <w:pPr>
              <w:jc w:val="right"/>
              <w:rPr>
                <w:sz w:val="20"/>
                <w:szCs w:val="20"/>
                <w:u w:val="double"/>
              </w:rPr>
            </w:pPr>
            <w:r w:rsidRPr="009C6A71">
              <w:rPr>
                <w:sz w:val="20"/>
                <w:szCs w:val="20"/>
                <w:u w:val="double"/>
              </w:rPr>
              <w:t>($5,098)</w:t>
            </w:r>
          </w:p>
        </w:tc>
      </w:tr>
      <w:tr w:rsidR="00792D15" w:rsidRPr="009C6A71" w:rsidTr="002F7512">
        <w:trPr>
          <w:trHeight w:val="315"/>
        </w:trPr>
        <w:tc>
          <w:tcPr>
            <w:tcW w:w="640" w:type="dxa"/>
            <w:tcBorders>
              <w:top w:val="nil"/>
              <w:left w:val="single" w:sz="8" w:space="0" w:color="auto"/>
              <w:bottom w:val="single" w:sz="8" w:space="0" w:color="auto"/>
              <w:right w:val="nil"/>
            </w:tcBorders>
            <w:shd w:val="clear" w:color="000000" w:fill="FFFFFF"/>
            <w:noWrap/>
            <w:vAlign w:val="bottom"/>
            <w:hideMark/>
          </w:tcPr>
          <w:p w:rsidR="00792D15" w:rsidRPr="009C6A71" w:rsidRDefault="00792D15" w:rsidP="002F7512">
            <w:pPr>
              <w:jc w:val="center"/>
              <w:rPr>
                <w:sz w:val="20"/>
                <w:szCs w:val="20"/>
              </w:rPr>
            </w:pPr>
            <w:r w:rsidRPr="009C6A71">
              <w:rPr>
                <w:sz w:val="20"/>
                <w:szCs w:val="20"/>
              </w:rPr>
              <w:t> </w:t>
            </w:r>
          </w:p>
        </w:tc>
        <w:tc>
          <w:tcPr>
            <w:tcW w:w="4636" w:type="dxa"/>
            <w:tcBorders>
              <w:top w:val="nil"/>
              <w:left w:val="nil"/>
              <w:bottom w:val="single" w:sz="8" w:space="0" w:color="auto"/>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589" w:type="dxa"/>
            <w:tcBorders>
              <w:top w:val="nil"/>
              <w:left w:val="nil"/>
              <w:bottom w:val="single" w:sz="8" w:space="0" w:color="auto"/>
              <w:right w:val="nil"/>
            </w:tcBorders>
            <w:shd w:val="clear" w:color="000000" w:fill="FFFFFF"/>
            <w:noWrap/>
            <w:vAlign w:val="bottom"/>
            <w:hideMark/>
          </w:tcPr>
          <w:p w:rsidR="00792D15" w:rsidRPr="009C6A71" w:rsidRDefault="00792D15" w:rsidP="002F7512">
            <w:pPr>
              <w:rPr>
                <w:sz w:val="20"/>
                <w:szCs w:val="20"/>
              </w:rPr>
            </w:pPr>
            <w:r w:rsidRPr="009C6A71">
              <w:rPr>
                <w:sz w:val="20"/>
                <w:szCs w:val="20"/>
              </w:rPr>
              <w:t> </w:t>
            </w:r>
          </w:p>
        </w:tc>
        <w:tc>
          <w:tcPr>
            <w:tcW w:w="2673" w:type="dxa"/>
            <w:tcBorders>
              <w:top w:val="nil"/>
              <w:left w:val="nil"/>
              <w:bottom w:val="single" w:sz="8" w:space="0" w:color="auto"/>
              <w:right w:val="single" w:sz="8" w:space="0" w:color="auto"/>
            </w:tcBorders>
            <w:shd w:val="clear" w:color="000000" w:fill="FFFFFF"/>
            <w:noWrap/>
            <w:vAlign w:val="bottom"/>
            <w:hideMark/>
          </w:tcPr>
          <w:p w:rsidR="00792D15" w:rsidRPr="009C6A71" w:rsidRDefault="00792D15" w:rsidP="002F7512">
            <w:pPr>
              <w:jc w:val="right"/>
              <w:rPr>
                <w:sz w:val="20"/>
                <w:szCs w:val="20"/>
              </w:rPr>
            </w:pPr>
            <w:r w:rsidRPr="009C6A71">
              <w:rPr>
                <w:sz w:val="20"/>
                <w:szCs w:val="20"/>
              </w:rPr>
              <w:t> </w:t>
            </w:r>
          </w:p>
        </w:tc>
      </w:tr>
    </w:tbl>
    <w:p w:rsidR="00614982" w:rsidRDefault="00614982" w:rsidP="0062152B">
      <w:pPr>
        <w:pStyle w:val="BodyText"/>
        <w:sectPr w:rsidR="00614982" w:rsidSect="0068481F">
          <w:headerReference w:type="default" r:id="rId16"/>
          <w:pgSz w:w="12240" w:h="15840" w:code="1"/>
          <w:pgMar w:top="1584" w:right="1440" w:bottom="1440" w:left="1440" w:header="720" w:footer="720" w:gutter="0"/>
          <w:cols w:space="720"/>
          <w:formProt w:val="0"/>
          <w:docGrid w:linePitch="360"/>
        </w:sectPr>
      </w:pPr>
    </w:p>
    <w:tbl>
      <w:tblPr>
        <w:tblW w:w="5000" w:type="pct"/>
        <w:tblLook w:val="04A0" w:firstRow="1" w:lastRow="0" w:firstColumn="1" w:lastColumn="0" w:noHBand="0" w:noVBand="1"/>
      </w:tblPr>
      <w:tblGrid>
        <w:gridCol w:w="514"/>
        <w:gridCol w:w="2583"/>
        <w:gridCol w:w="1516"/>
        <w:gridCol w:w="1219"/>
        <w:gridCol w:w="1219"/>
        <w:gridCol w:w="1373"/>
        <w:gridCol w:w="1373"/>
        <w:gridCol w:w="1013"/>
        <w:gridCol w:w="841"/>
        <w:gridCol w:w="1114"/>
        <w:gridCol w:w="267"/>
      </w:tblGrid>
      <w:tr w:rsidR="009D6806" w:rsidRPr="009C6A71" w:rsidTr="002F7512">
        <w:trPr>
          <w:trHeight w:val="315"/>
        </w:trPr>
        <w:tc>
          <w:tcPr>
            <w:tcW w:w="211" w:type="pct"/>
            <w:tcBorders>
              <w:top w:val="single" w:sz="8" w:space="0" w:color="auto"/>
              <w:left w:val="single" w:sz="8" w:space="0" w:color="auto"/>
              <w:bottom w:val="nil"/>
              <w:right w:val="nil"/>
            </w:tcBorders>
            <w:shd w:val="clear" w:color="000000" w:fill="FFFFFF"/>
            <w:noWrap/>
            <w:vAlign w:val="bottom"/>
            <w:hideMark/>
          </w:tcPr>
          <w:p w:rsidR="009D6806" w:rsidRPr="009C6A71" w:rsidRDefault="009D6806" w:rsidP="002F7512">
            <w:pPr>
              <w:rPr>
                <w:rFonts w:ascii="Arial" w:hAnsi="Arial" w:cs="Arial"/>
                <w:color w:val="000000"/>
                <w:sz w:val="18"/>
                <w:szCs w:val="18"/>
              </w:rPr>
            </w:pPr>
            <w:r w:rsidRPr="009C6A71">
              <w:rPr>
                <w:rFonts w:ascii="Arial" w:hAnsi="Arial" w:cs="Arial"/>
                <w:color w:val="000000"/>
                <w:sz w:val="18"/>
                <w:szCs w:val="18"/>
              </w:rPr>
              <w:lastRenderedPageBreak/>
              <w:t> </w:t>
            </w:r>
          </w:p>
        </w:tc>
        <w:tc>
          <w:tcPr>
            <w:tcW w:w="1600" w:type="pct"/>
            <w:gridSpan w:val="2"/>
            <w:tcBorders>
              <w:top w:val="single" w:sz="8" w:space="0" w:color="auto"/>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xml:space="preserve">Utilities, Inc. of </w:t>
            </w:r>
            <w:proofErr w:type="spellStart"/>
            <w:r w:rsidRPr="009C6A71">
              <w:rPr>
                <w:rFonts w:ascii="Arial" w:hAnsi="Arial" w:cs="Arial"/>
                <w:b/>
                <w:bCs/>
              </w:rPr>
              <w:t>Sandalhaven</w:t>
            </w:r>
            <w:proofErr w:type="spellEnd"/>
          </w:p>
        </w:tc>
        <w:tc>
          <w:tcPr>
            <w:tcW w:w="481" w:type="pct"/>
            <w:tcBorders>
              <w:top w:val="single" w:sz="8" w:space="0" w:color="auto"/>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81" w:type="pct"/>
            <w:tcBorders>
              <w:top w:val="single" w:sz="8" w:space="0" w:color="auto"/>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81" w:type="pct"/>
            <w:tcBorders>
              <w:top w:val="single" w:sz="8" w:space="0" w:color="auto"/>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81" w:type="pct"/>
            <w:tcBorders>
              <w:top w:val="single" w:sz="8" w:space="0" w:color="auto"/>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02" w:type="pct"/>
            <w:tcBorders>
              <w:top w:val="single" w:sz="8" w:space="0" w:color="auto"/>
              <w:left w:val="nil"/>
              <w:bottom w:val="nil"/>
              <w:right w:val="nil"/>
            </w:tcBorders>
            <w:shd w:val="clear" w:color="000000" w:fill="FFFFFF"/>
            <w:noWrap/>
            <w:vAlign w:val="bottom"/>
            <w:hideMark/>
          </w:tcPr>
          <w:p w:rsidR="009D6806" w:rsidRPr="009C6A71" w:rsidRDefault="009D6806" w:rsidP="002F7512">
            <w:pPr>
              <w:rPr>
                <w:rFonts w:ascii="Courier New" w:hAnsi="Courier New" w:cs="Courier New"/>
                <w:color w:val="000000"/>
              </w:rPr>
            </w:pPr>
            <w:r w:rsidRPr="009C6A71">
              <w:rPr>
                <w:rFonts w:ascii="Courier New" w:hAnsi="Courier New" w:cs="Courier New"/>
                <w:color w:val="000000"/>
              </w:rPr>
              <w:t> </w:t>
            </w:r>
          </w:p>
        </w:tc>
        <w:tc>
          <w:tcPr>
            <w:tcW w:w="777" w:type="pct"/>
            <w:gridSpan w:val="2"/>
            <w:tcBorders>
              <w:top w:val="single" w:sz="8" w:space="0" w:color="auto"/>
              <w:left w:val="nil"/>
              <w:bottom w:val="nil"/>
              <w:right w:val="nil"/>
            </w:tcBorders>
            <w:shd w:val="clear" w:color="000000" w:fill="FFFFFF"/>
            <w:noWrap/>
            <w:vAlign w:val="bottom"/>
            <w:hideMark/>
          </w:tcPr>
          <w:p w:rsidR="009D6806" w:rsidRPr="009C6A71" w:rsidRDefault="009D6806" w:rsidP="002F7512">
            <w:pPr>
              <w:jc w:val="right"/>
              <w:rPr>
                <w:rFonts w:ascii="Arial" w:hAnsi="Arial" w:cs="Arial"/>
                <w:b/>
                <w:bCs/>
              </w:rPr>
            </w:pPr>
            <w:r w:rsidRPr="009C6A71">
              <w:rPr>
                <w:rFonts w:ascii="Arial" w:hAnsi="Arial" w:cs="Arial"/>
                <w:b/>
                <w:bCs/>
              </w:rPr>
              <w:t>Schedule No. 2</w:t>
            </w:r>
          </w:p>
        </w:tc>
        <w:tc>
          <w:tcPr>
            <w:tcW w:w="88" w:type="pct"/>
            <w:tcBorders>
              <w:top w:val="single" w:sz="8" w:space="0" w:color="auto"/>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color w:val="000000"/>
                <w:sz w:val="18"/>
                <w:szCs w:val="18"/>
              </w:rPr>
            </w:pPr>
            <w:r w:rsidRPr="009C6A71">
              <w:rPr>
                <w:rFonts w:ascii="Arial" w:hAnsi="Arial" w:cs="Arial"/>
                <w:color w:val="000000"/>
                <w:sz w:val="18"/>
                <w:szCs w:val="18"/>
              </w:rPr>
              <w:t> </w:t>
            </w:r>
          </w:p>
        </w:tc>
      </w:tr>
      <w:tr w:rsidR="009D6806" w:rsidRPr="009C6A71" w:rsidTr="002F7512">
        <w:trPr>
          <w:trHeight w:val="315"/>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rPr>
                <w:rFonts w:ascii="Arial" w:hAnsi="Arial" w:cs="Arial"/>
                <w:color w:val="000000"/>
                <w:sz w:val="18"/>
                <w:szCs w:val="18"/>
              </w:rPr>
            </w:pPr>
            <w:r w:rsidRPr="009C6A71">
              <w:rPr>
                <w:rFonts w:ascii="Arial" w:hAnsi="Arial" w:cs="Arial"/>
                <w:color w:val="000000"/>
                <w:sz w:val="18"/>
                <w:szCs w:val="18"/>
              </w:rPr>
              <w:t> </w:t>
            </w:r>
          </w:p>
        </w:tc>
        <w:tc>
          <w:tcPr>
            <w:tcW w:w="1600" w:type="pct"/>
            <w:gridSpan w:val="2"/>
            <w:tcBorders>
              <w:top w:val="nil"/>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Capital Structure-Simple Average</w:t>
            </w:r>
          </w:p>
        </w:tc>
        <w:tc>
          <w:tcPr>
            <w:tcW w:w="481" w:type="pct"/>
            <w:tcBorders>
              <w:top w:val="nil"/>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81" w:type="pct"/>
            <w:tcBorders>
              <w:top w:val="nil"/>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81" w:type="pct"/>
            <w:tcBorders>
              <w:top w:val="nil"/>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81" w:type="pct"/>
            <w:tcBorders>
              <w:top w:val="nil"/>
              <w:left w:val="nil"/>
              <w:bottom w:val="nil"/>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1179" w:type="pct"/>
            <w:gridSpan w:val="3"/>
            <w:tcBorders>
              <w:top w:val="nil"/>
              <w:left w:val="nil"/>
              <w:bottom w:val="nil"/>
              <w:right w:val="nil"/>
            </w:tcBorders>
            <w:shd w:val="clear" w:color="000000" w:fill="FFFFFF"/>
            <w:noWrap/>
            <w:vAlign w:val="bottom"/>
            <w:hideMark/>
          </w:tcPr>
          <w:p w:rsidR="009D6806" w:rsidRPr="009C6A71" w:rsidRDefault="009D6806" w:rsidP="002F7512">
            <w:pPr>
              <w:jc w:val="right"/>
              <w:rPr>
                <w:rFonts w:ascii="Arial" w:hAnsi="Arial" w:cs="Arial"/>
                <w:b/>
                <w:bCs/>
              </w:rPr>
            </w:pPr>
            <w:r w:rsidRPr="009C6A71">
              <w:rPr>
                <w:rFonts w:ascii="Arial" w:hAnsi="Arial" w:cs="Arial"/>
                <w:b/>
                <w:bCs/>
              </w:rPr>
              <w:t>Docket No. 150102-SU</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color w:val="000000"/>
                <w:sz w:val="18"/>
                <w:szCs w:val="18"/>
              </w:rPr>
            </w:pPr>
            <w:r w:rsidRPr="009C6A71">
              <w:rPr>
                <w:rFonts w:ascii="Arial" w:hAnsi="Arial" w:cs="Arial"/>
                <w:color w:val="000000"/>
                <w:sz w:val="18"/>
                <w:szCs w:val="18"/>
              </w:rPr>
              <w:t> </w:t>
            </w:r>
          </w:p>
        </w:tc>
      </w:tr>
      <w:tr w:rsidR="009D6806" w:rsidRPr="009C6A71" w:rsidTr="002F7512">
        <w:trPr>
          <w:trHeight w:val="330"/>
        </w:trPr>
        <w:tc>
          <w:tcPr>
            <w:tcW w:w="211" w:type="pct"/>
            <w:tcBorders>
              <w:top w:val="nil"/>
              <w:left w:val="single" w:sz="8" w:space="0" w:color="auto"/>
              <w:bottom w:val="single" w:sz="8" w:space="0" w:color="auto"/>
              <w:right w:val="nil"/>
            </w:tcBorders>
            <w:shd w:val="clear" w:color="auto" w:fill="auto"/>
            <w:noWrap/>
            <w:vAlign w:val="bottom"/>
            <w:hideMark/>
          </w:tcPr>
          <w:p w:rsidR="009D6806" w:rsidRPr="009C6A71" w:rsidRDefault="009D6806" w:rsidP="002F7512">
            <w:pPr>
              <w:rPr>
                <w:rFonts w:ascii="Arial" w:hAnsi="Arial" w:cs="Arial"/>
                <w:color w:val="000000"/>
                <w:sz w:val="18"/>
                <w:szCs w:val="18"/>
              </w:rPr>
            </w:pPr>
            <w:r w:rsidRPr="009C6A71">
              <w:rPr>
                <w:rFonts w:ascii="Arial" w:hAnsi="Arial" w:cs="Arial"/>
                <w:color w:val="000000"/>
                <w:sz w:val="18"/>
                <w:szCs w:val="18"/>
              </w:rPr>
              <w:t> </w:t>
            </w:r>
          </w:p>
        </w:tc>
        <w:tc>
          <w:tcPr>
            <w:tcW w:w="1600" w:type="pct"/>
            <w:gridSpan w:val="2"/>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Test Year Ended 12/31/14</w:t>
            </w:r>
          </w:p>
        </w:tc>
        <w:tc>
          <w:tcPr>
            <w:tcW w:w="48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8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8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8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02"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336"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b/>
                <w:bCs/>
              </w:rPr>
            </w:pPr>
            <w:r w:rsidRPr="009C6A71">
              <w:rPr>
                <w:rFonts w:ascii="Arial" w:hAnsi="Arial" w:cs="Arial"/>
                <w:b/>
                <w:bCs/>
              </w:rPr>
              <w:t> </w:t>
            </w:r>
          </w:p>
        </w:tc>
        <w:tc>
          <w:tcPr>
            <w:tcW w:w="44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rPr>
            </w:pPr>
            <w:r w:rsidRPr="009C6A71">
              <w:rPr>
                <w:rFonts w:ascii="Arial" w:hAnsi="Arial" w:cs="Arial"/>
              </w:rPr>
              <w:t> </w:t>
            </w:r>
          </w:p>
        </w:tc>
        <w:tc>
          <w:tcPr>
            <w:tcW w:w="88" w:type="pct"/>
            <w:tcBorders>
              <w:top w:val="nil"/>
              <w:left w:val="nil"/>
              <w:bottom w:val="single" w:sz="8" w:space="0" w:color="auto"/>
              <w:right w:val="single" w:sz="8" w:space="0" w:color="auto"/>
            </w:tcBorders>
            <w:shd w:val="clear" w:color="auto" w:fill="auto"/>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rPr>
                <w:rFonts w:ascii="Arial" w:hAnsi="Arial" w:cs="Arial"/>
                <w:b/>
                <w:bCs/>
                <w:sz w:val="18"/>
                <w:szCs w:val="18"/>
              </w:rPr>
            </w:pPr>
            <w:r w:rsidRPr="009C6A71">
              <w:rPr>
                <w:rFonts w:ascii="Arial" w:hAnsi="Arial" w:cs="Arial"/>
                <w:b/>
                <w:bCs/>
                <w:sz w:val="18"/>
                <w:szCs w:val="18"/>
              </w:rPr>
              <w:t> </w:t>
            </w:r>
          </w:p>
        </w:tc>
        <w:tc>
          <w:tcPr>
            <w:tcW w:w="1005" w:type="pct"/>
            <w:tcBorders>
              <w:top w:val="nil"/>
              <w:left w:val="nil"/>
              <w:bottom w:val="nil"/>
              <w:right w:val="nil"/>
            </w:tcBorders>
            <w:shd w:val="clear" w:color="000000" w:fill="FFFFFF"/>
            <w:noWrap/>
            <w:vAlign w:val="bottom"/>
            <w:hideMark/>
          </w:tcPr>
          <w:p w:rsidR="009D6806" w:rsidRPr="009C6A71" w:rsidRDefault="009D6806" w:rsidP="002F7512">
            <w:pPr>
              <w:rPr>
                <w:rFonts w:ascii="Arial" w:hAnsi="Arial" w:cs="Arial"/>
                <w:b/>
                <w:bCs/>
                <w:sz w:val="18"/>
                <w:szCs w:val="18"/>
              </w:rPr>
            </w:pPr>
            <w:r w:rsidRPr="009C6A71">
              <w:rPr>
                <w:rFonts w:ascii="Arial" w:hAnsi="Arial" w:cs="Arial"/>
                <w:b/>
                <w:bCs/>
                <w:sz w:val="18"/>
                <w:szCs w:val="18"/>
              </w:rPr>
              <w:t> </w:t>
            </w:r>
          </w:p>
        </w:tc>
        <w:tc>
          <w:tcPr>
            <w:tcW w:w="595" w:type="pct"/>
            <w:tcBorders>
              <w:top w:val="nil"/>
              <w:left w:val="nil"/>
              <w:bottom w:val="nil"/>
              <w:right w:val="nil"/>
            </w:tcBorders>
            <w:shd w:val="clear" w:color="000000" w:fill="FFFFFF"/>
            <w:noWrap/>
            <w:vAlign w:val="bottom"/>
            <w:hideMark/>
          </w:tcPr>
          <w:p w:rsidR="009D6806" w:rsidRPr="009C6A71" w:rsidRDefault="009D6806" w:rsidP="002F7512">
            <w:pPr>
              <w:rPr>
                <w:rFonts w:ascii="Arial" w:hAnsi="Arial" w:cs="Arial"/>
                <w:b/>
                <w:bCs/>
                <w:sz w:val="18"/>
                <w:szCs w:val="18"/>
              </w:rPr>
            </w:pPr>
            <w:r w:rsidRPr="009C6A71">
              <w:rPr>
                <w:rFonts w:ascii="Arial" w:hAnsi="Arial" w:cs="Arial"/>
                <w:b/>
                <w:bCs/>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Specific</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Subtotal</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proofErr w:type="spellStart"/>
            <w:r w:rsidRPr="00940599">
              <w:rPr>
                <w:b/>
                <w:bCs/>
                <w:sz w:val="18"/>
                <w:szCs w:val="18"/>
              </w:rPr>
              <w:t>Prorata</w:t>
            </w:r>
            <w:proofErr w:type="spellEnd"/>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Capital</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 </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 </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 </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b/>
                <w:bCs/>
                <w:sz w:val="18"/>
                <w:szCs w:val="18"/>
              </w:rPr>
            </w:pPr>
            <w:r w:rsidRPr="009C6A71">
              <w:rPr>
                <w:rFonts w:ascii="Arial" w:hAnsi="Arial" w:cs="Arial"/>
                <w:b/>
                <w:bCs/>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rPr>
                <w:rFonts w:ascii="Arial" w:hAnsi="Arial" w:cs="Arial"/>
                <w:b/>
                <w:bCs/>
                <w:sz w:val="18"/>
                <w:szCs w:val="18"/>
              </w:rPr>
            </w:pPr>
            <w:r w:rsidRPr="009C6A71">
              <w:rPr>
                <w:rFonts w:ascii="Arial" w:hAnsi="Arial" w:cs="Arial"/>
                <w:b/>
                <w:bCs/>
                <w:sz w:val="18"/>
                <w:szCs w:val="18"/>
              </w:rPr>
              <w:t> </w:t>
            </w:r>
          </w:p>
        </w:tc>
        <w:tc>
          <w:tcPr>
            <w:tcW w:w="1005" w:type="pct"/>
            <w:tcBorders>
              <w:top w:val="nil"/>
              <w:left w:val="nil"/>
              <w:bottom w:val="nil"/>
              <w:right w:val="nil"/>
            </w:tcBorders>
            <w:shd w:val="clear" w:color="000000" w:fill="FFFFFF"/>
            <w:noWrap/>
            <w:vAlign w:val="bottom"/>
            <w:hideMark/>
          </w:tcPr>
          <w:p w:rsidR="009D6806" w:rsidRPr="009C6A71" w:rsidRDefault="009D6806" w:rsidP="002F7512">
            <w:pPr>
              <w:rPr>
                <w:rFonts w:ascii="Arial" w:hAnsi="Arial" w:cs="Arial"/>
                <w:b/>
                <w:bCs/>
                <w:sz w:val="18"/>
                <w:szCs w:val="18"/>
              </w:rPr>
            </w:pPr>
            <w:r w:rsidRPr="009C6A71">
              <w:rPr>
                <w:rFonts w:ascii="Arial" w:hAnsi="Arial" w:cs="Arial"/>
                <w:b/>
                <w:bCs/>
                <w:sz w:val="18"/>
                <w:szCs w:val="18"/>
              </w:rPr>
              <w:t> </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Total</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Adjust-</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Adjusted</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Adjust-</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Reconciled</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 </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Cost</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Weighted</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b/>
                <w:bCs/>
                <w:sz w:val="18"/>
                <w:szCs w:val="18"/>
              </w:rPr>
            </w:pPr>
            <w:r w:rsidRPr="009C6A71">
              <w:rPr>
                <w:rFonts w:ascii="Arial" w:hAnsi="Arial" w:cs="Arial"/>
                <w:b/>
                <w:bCs/>
                <w:sz w:val="18"/>
                <w:szCs w:val="18"/>
              </w:rPr>
              <w:t> </w:t>
            </w:r>
          </w:p>
        </w:tc>
      </w:tr>
      <w:tr w:rsidR="009D6806" w:rsidRPr="009C6A71" w:rsidTr="002F7512">
        <w:trPr>
          <w:trHeight w:val="315"/>
        </w:trPr>
        <w:tc>
          <w:tcPr>
            <w:tcW w:w="211" w:type="pct"/>
            <w:tcBorders>
              <w:top w:val="nil"/>
              <w:left w:val="single" w:sz="8" w:space="0" w:color="auto"/>
              <w:bottom w:val="single" w:sz="8" w:space="0" w:color="auto"/>
              <w:right w:val="nil"/>
            </w:tcBorders>
            <w:shd w:val="clear" w:color="000000" w:fill="FFFFFF"/>
            <w:noWrap/>
            <w:vAlign w:val="bottom"/>
            <w:hideMark/>
          </w:tcPr>
          <w:p w:rsidR="009D6806" w:rsidRPr="009C6A71" w:rsidRDefault="009D6806" w:rsidP="002F7512">
            <w:pPr>
              <w:rPr>
                <w:rFonts w:ascii="Arial" w:hAnsi="Arial" w:cs="Arial"/>
                <w:b/>
                <w:bCs/>
                <w:sz w:val="18"/>
                <w:szCs w:val="18"/>
              </w:rPr>
            </w:pPr>
            <w:r w:rsidRPr="009C6A71">
              <w:rPr>
                <w:rFonts w:ascii="Arial" w:hAnsi="Arial" w:cs="Arial"/>
                <w:b/>
                <w:bCs/>
                <w:sz w:val="18"/>
                <w:szCs w:val="18"/>
              </w:rPr>
              <w:t> </w:t>
            </w:r>
          </w:p>
        </w:tc>
        <w:tc>
          <w:tcPr>
            <w:tcW w:w="1005" w:type="pct"/>
            <w:tcBorders>
              <w:top w:val="nil"/>
              <w:left w:val="nil"/>
              <w:bottom w:val="single" w:sz="8" w:space="0" w:color="auto"/>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Description</w:t>
            </w:r>
          </w:p>
        </w:tc>
        <w:tc>
          <w:tcPr>
            <w:tcW w:w="595" w:type="pct"/>
            <w:tcBorders>
              <w:top w:val="nil"/>
              <w:left w:val="nil"/>
              <w:bottom w:val="single" w:sz="8" w:space="0" w:color="auto"/>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Capital</w:t>
            </w:r>
          </w:p>
        </w:tc>
        <w:tc>
          <w:tcPr>
            <w:tcW w:w="481" w:type="pct"/>
            <w:tcBorders>
              <w:top w:val="nil"/>
              <w:left w:val="nil"/>
              <w:bottom w:val="single" w:sz="8" w:space="0" w:color="auto"/>
              <w:right w:val="nil"/>
            </w:tcBorders>
            <w:shd w:val="clear" w:color="000000" w:fill="FFFFFF"/>
            <w:noWrap/>
            <w:vAlign w:val="bottom"/>
            <w:hideMark/>
          </w:tcPr>
          <w:p w:rsidR="009D6806" w:rsidRPr="00940599" w:rsidRDefault="009D6806" w:rsidP="002F7512">
            <w:pPr>
              <w:jc w:val="center"/>
              <w:rPr>
                <w:b/>
                <w:bCs/>
                <w:sz w:val="18"/>
                <w:szCs w:val="18"/>
              </w:rPr>
            </w:pPr>
            <w:proofErr w:type="spellStart"/>
            <w:r w:rsidRPr="00940599">
              <w:rPr>
                <w:b/>
                <w:bCs/>
                <w:sz w:val="18"/>
                <w:szCs w:val="18"/>
              </w:rPr>
              <w:t>ments</w:t>
            </w:r>
            <w:proofErr w:type="spellEnd"/>
          </w:p>
        </w:tc>
        <w:tc>
          <w:tcPr>
            <w:tcW w:w="481" w:type="pct"/>
            <w:tcBorders>
              <w:top w:val="nil"/>
              <w:left w:val="nil"/>
              <w:bottom w:val="single" w:sz="8" w:space="0" w:color="auto"/>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Capital</w:t>
            </w:r>
          </w:p>
        </w:tc>
        <w:tc>
          <w:tcPr>
            <w:tcW w:w="481" w:type="pct"/>
            <w:tcBorders>
              <w:top w:val="nil"/>
              <w:left w:val="nil"/>
              <w:bottom w:val="single" w:sz="8" w:space="0" w:color="auto"/>
              <w:right w:val="nil"/>
            </w:tcBorders>
            <w:shd w:val="clear" w:color="000000" w:fill="FFFFFF"/>
            <w:noWrap/>
            <w:vAlign w:val="bottom"/>
            <w:hideMark/>
          </w:tcPr>
          <w:p w:rsidR="009D6806" w:rsidRPr="00940599" w:rsidRDefault="009D6806" w:rsidP="002F7512">
            <w:pPr>
              <w:jc w:val="center"/>
              <w:rPr>
                <w:b/>
                <w:bCs/>
                <w:sz w:val="18"/>
                <w:szCs w:val="18"/>
              </w:rPr>
            </w:pPr>
            <w:proofErr w:type="spellStart"/>
            <w:r w:rsidRPr="00940599">
              <w:rPr>
                <w:b/>
                <w:bCs/>
                <w:sz w:val="18"/>
                <w:szCs w:val="18"/>
              </w:rPr>
              <w:t>ments</w:t>
            </w:r>
            <w:proofErr w:type="spellEnd"/>
          </w:p>
        </w:tc>
        <w:tc>
          <w:tcPr>
            <w:tcW w:w="481" w:type="pct"/>
            <w:tcBorders>
              <w:top w:val="nil"/>
              <w:left w:val="nil"/>
              <w:bottom w:val="single" w:sz="8" w:space="0" w:color="auto"/>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to Rate Base</w:t>
            </w:r>
          </w:p>
        </w:tc>
        <w:tc>
          <w:tcPr>
            <w:tcW w:w="402" w:type="pct"/>
            <w:tcBorders>
              <w:top w:val="nil"/>
              <w:left w:val="nil"/>
              <w:bottom w:val="single" w:sz="8" w:space="0" w:color="auto"/>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Ratio</w:t>
            </w:r>
          </w:p>
        </w:tc>
        <w:tc>
          <w:tcPr>
            <w:tcW w:w="336" w:type="pct"/>
            <w:tcBorders>
              <w:top w:val="nil"/>
              <w:left w:val="nil"/>
              <w:bottom w:val="single" w:sz="8" w:space="0" w:color="auto"/>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Rate</w:t>
            </w:r>
          </w:p>
        </w:tc>
        <w:tc>
          <w:tcPr>
            <w:tcW w:w="441" w:type="pct"/>
            <w:tcBorders>
              <w:top w:val="nil"/>
              <w:left w:val="nil"/>
              <w:bottom w:val="single" w:sz="8" w:space="0" w:color="auto"/>
              <w:right w:val="nil"/>
            </w:tcBorders>
            <w:shd w:val="clear" w:color="000000" w:fill="FFFFFF"/>
            <w:noWrap/>
            <w:vAlign w:val="bottom"/>
            <w:hideMark/>
          </w:tcPr>
          <w:p w:rsidR="009D6806" w:rsidRPr="00940599" w:rsidRDefault="009D6806" w:rsidP="002F7512">
            <w:pPr>
              <w:jc w:val="center"/>
              <w:rPr>
                <w:b/>
                <w:bCs/>
                <w:sz w:val="18"/>
                <w:szCs w:val="18"/>
              </w:rPr>
            </w:pPr>
            <w:r w:rsidRPr="00940599">
              <w:rPr>
                <w:b/>
                <w:bCs/>
                <w:sz w:val="18"/>
                <w:szCs w:val="18"/>
              </w:rPr>
              <w:t>Cost</w:t>
            </w:r>
          </w:p>
        </w:tc>
        <w:tc>
          <w:tcPr>
            <w:tcW w:w="88" w:type="pct"/>
            <w:tcBorders>
              <w:top w:val="nil"/>
              <w:left w:val="nil"/>
              <w:bottom w:val="single" w:sz="8" w:space="0" w:color="auto"/>
              <w:right w:val="single" w:sz="8" w:space="0" w:color="auto"/>
            </w:tcBorders>
            <w:shd w:val="clear" w:color="000000" w:fill="FFFFFF"/>
            <w:noWrap/>
            <w:vAlign w:val="bottom"/>
            <w:hideMark/>
          </w:tcPr>
          <w:p w:rsidR="009D6806" w:rsidRPr="009C6A71" w:rsidRDefault="009D6806" w:rsidP="002F7512">
            <w:pPr>
              <w:jc w:val="center"/>
              <w:rPr>
                <w:rFonts w:ascii="Arial" w:hAnsi="Arial" w:cs="Arial"/>
                <w:b/>
                <w:bCs/>
                <w:sz w:val="18"/>
                <w:szCs w:val="18"/>
              </w:rPr>
            </w:pPr>
            <w:r w:rsidRPr="009C6A71">
              <w:rPr>
                <w:rFonts w:ascii="Arial" w:hAnsi="Arial" w:cs="Arial"/>
                <w:b/>
                <w:bCs/>
                <w:sz w:val="18"/>
                <w:szCs w:val="18"/>
              </w:rPr>
              <w:t> </w:t>
            </w:r>
          </w:p>
        </w:tc>
      </w:tr>
      <w:tr w:rsidR="009D6806" w:rsidRPr="009C6A71" w:rsidTr="002F7512">
        <w:trPr>
          <w:trHeight w:val="300"/>
        </w:trPr>
        <w:tc>
          <w:tcPr>
            <w:tcW w:w="1216" w:type="pct"/>
            <w:gridSpan w:val="2"/>
            <w:tcBorders>
              <w:top w:val="single" w:sz="8" w:space="0" w:color="auto"/>
              <w:left w:val="single" w:sz="8" w:space="0" w:color="auto"/>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Per Utility</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1</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Long-term Debt</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$180,000,000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$180,000,000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($178,061,256)</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$1,938,744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56.83%</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6.64%</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3.77%</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2</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Short-term Debt</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$4,000,000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$4,000,000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($3,956,917)</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$43,083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1.26%</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7.77%</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0.10%</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3</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Preferred Stock</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0.00%</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0.00%</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0.00%</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4</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Common Equity</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$182,354,550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$182,354,550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($180,390,445)</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$1,964,105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57.57%</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11.00%</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6.33%</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5</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Customer Deposits</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$6,591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$6,591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$6,591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0.19%</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2.00%</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0.00%</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6</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Deferred Income Taxes</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($540,800)</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($540,800)</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($540,800)</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-15.85%</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0.00%</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0.00%</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7</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Total Capital</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 xml:space="preserve">$365,820,341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 xml:space="preserve">$365,820,341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($362,408,618)</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 xml:space="preserve">$3,411,723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100.00%</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u w:val="double"/>
              </w:rPr>
            </w:pP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10.21%</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1216" w:type="pct"/>
            <w:gridSpan w:val="2"/>
            <w:tcBorders>
              <w:top w:val="nil"/>
              <w:left w:val="single" w:sz="8" w:space="0" w:color="auto"/>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Per Staff</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8</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Long-term Debt</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$180,000,000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$180,000,000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($178,386,159)</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$1,613,841 </w:t>
            </w:r>
          </w:p>
        </w:tc>
        <w:tc>
          <w:tcPr>
            <w:tcW w:w="402" w:type="pct"/>
            <w:tcBorders>
              <w:top w:val="nil"/>
              <w:left w:val="nil"/>
              <w:bottom w:val="nil"/>
              <w:right w:val="nil"/>
            </w:tcBorders>
            <w:shd w:val="clear" w:color="000000" w:fill="FFFFFF"/>
            <w:noWrap/>
            <w:vAlign w:val="bottom"/>
            <w:hideMark/>
          </w:tcPr>
          <w:p w:rsidR="009D6806" w:rsidRPr="00940599" w:rsidRDefault="009D6806" w:rsidP="00257939">
            <w:pPr>
              <w:jc w:val="right"/>
              <w:rPr>
                <w:sz w:val="18"/>
                <w:szCs w:val="18"/>
              </w:rPr>
            </w:pPr>
            <w:r w:rsidRPr="00940599">
              <w:rPr>
                <w:sz w:val="18"/>
                <w:szCs w:val="18"/>
              </w:rPr>
              <w:t>48.</w:t>
            </w:r>
            <w:r w:rsidR="00257939">
              <w:rPr>
                <w:sz w:val="18"/>
                <w:szCs w:val="18"/>
              </w:rPr>
              <w:t>41</w:t>
            </w:r>
            <w:r w:rsidRPr="00940599">
              <w:rPr>
                <w:sz w:val="18"/>
                <w:szCs w:val="18"/>
              </w:rPr>
              <w:t>%</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6.64%</w:t>
            </w:r>
          </w:p>
        </w:tc>
        <w:tc>
          <w:tcPr>
            <w:tcW w:w="441" w:type="pct"/>
            <w:tcBorders>
              <w:top w:val="nil"/>
              <w:left w:val="nil"/>
              <w:bottom w:val="nil"/>
              <w:right w:val="nil"/>
            </w:tcBorders>
            <w:shd w:val="clear" w:color="000000" w:fill="FFFFFF"/>
            <w:noWrap/>
            <w:vAlign w:val="bottom"/>
            <w:hideMark/>
          </w:tcPr>
          <w:p w:rsidR="009D6806" w:rsidRPr="00940599" w:rsidRDefault="009D6806" w:rsidP="00257939">
            <w:pPr>
              <w:jc w:val="right"/>
              <w:rPr>
                <w:sz w:val="18"/>
                <w:szCs w:val="18"/>
              </w:rPr>
            </w:pPr>
            <w:r w:rsidRPr="00940599">
              <w:rPr>
                <w:sz w:val="18"/>
                <w:szCs w:val="18"/>
              </w:rPr>
              <w:t>3.</w:t>
            </w:r>
            <w:r w:rsidR="00257939">
              <w:rPr>
                <w:sz w:val="18"/>
                <w:szCs w:val="18"/>
              </w:rPr>
              <w:t>22</w:t>
            </w:r>
            <w:r w:rsidRPr="00940599">
              <w:rPr>
                <w:sz w:val="18"/>
                <w:szCs w:val="18"/>
              </w:rPr>
              <w:t>%</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9</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Short-term Debt</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$4,000,000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$4,000,000 </w:t>
            </w:r>
          </w:p>
        </w:tc>
        <w:tc>
          <w:tcPr>
            <w:tcW w:w="481" w:type="pct"/>
            <w:tcBorders>
              <w:top w:val="nil"/>
              <w:left w:val="nil"/>
              <w:bottom w:val="nil"/>
              <w:right w:val="nil"/>
            </w:tcBorders>
            <w:shd w:val="clear" w:color="000000" w:fill="FFFFFF"/>
            <w:noWrap/>
            <w:vAlign w:val="bottom"/>
            <w:hideMark/>
          </w:tcPr>
          <w:p w:rsidR="009D6806" w:rsidRPr="00940599" w:rsidRDefault="00257939" w:rsidP="00257939">
            <w:pPr>
              <w:jc w:val="right"/>
              <w:rPr>
                <w:sz w:val="18"/>
                <w:szCs w:val="18"/>
              </w:rPr>
            </w:pPr>
            <w:r>
              <w:rPr>
                <w:sz w:val="18"/>
                <w:szCs w:val="18"/>
              </w:rPr>
              <w:t>($3,964</w:t>
            </w:r>
            <w:r w:rsidR="009D6806" w:rsidRPr="00940599">
              <w:rPr>
                <w:sz w:val="18"/>
                <w:szCs w:val="18"/>
              </w:rPr>
              <w:t>,</w:t>
            </w:r>
            <w:r>
              <w:rPr>
                <w:sz w:val="18"/>
                <w:szCs w:val="18"/>
              </w:rPr>
              <w:t>137</w:t>
            </w:r>
            <w:r w:rsidR="009D6806" w:rsidRPr="00940599">
              <w:rPr>
                <w:sz w:val="18"/>
                <w:szCs w:val="18"/>
              </w:rPr>
              <w:t>)</w:t>
            </w:r>
          </w:p>
        </w:tc>
        <w:tc>
          <w:tcPr>
            <w:tcW w:w="481" w:type="pct"/>
            <w:tcBorders>
              <w:top w:val="nil"/>
              <w:left w:val="nil"/>
              <w:bottom w:val="nil"/>
              <w:right w:val="nil"/>
            </w:tcBorders>
            <w:shd w:val="clear" w:color="000000" w:fill="FFFFFF"/>
            <w:noWrap/>
            <w:vAlign w:val="bottom"/>
            <w:hideMark/>
          </w:tcPr>
          <w:p w:rsidR="009D6806" w:rsidRPr="00940599" w:rsidRDefault="00257939" w:rsidP="00257939">
            <w:pPr>
              <w:jc w:val="right"/>
              <w:rPr>
                <w:sz w:val="18"/>
                <w:szCs w:val="18"/>
              </w:rPr>
            </w:pPr>
            <w:r>
              <w:rPr>
                <w:sz w:val="18"/>
                <w:szCs w:val="18"/>
              </w:rPr>
              <w:t>$35</w:t>
            </w:r>
            <w:r w:rsidR="009D6806" w:rsidRPr="00940599">
              <w:rPr>
                <w:sz w:val="18"/>
                <w:szCs w:val="18"/>
              </w:rPr>
              <w:t>,</w:t>
            </w:r>
            <w:r>
              <w:rPr>
                <w:sz w:val="18"/>
                <w:szCs w:val="18"/>
              </w:rPr>
              <w:t>863</w:t>
            </w:r>
            <w:r w:rsidR="009D6806" w:rsidRPr="00940599">
              <w:rPr>
                <w:sz w:val="18"/>
                <w:szCs w:val="18"/>
              </w:rPr>
              <w:t xml:space="preserve">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1.08%</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7.77%</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0.08%</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10</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Preferred Stock</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0.00%</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0.00%</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0.00%</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11</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Common Equity</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$182,354,550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$182,354,550 </w:t>
            </w:r>
          </w:p>
        </w:tc>
        <w:tc>
          <w:tcPr>
            <w:tcW w:w="481" w:type="pct"/>
            <w:tcBorders>
              <w:top w:val="nil"/>
              <w:left w:val="nil"/>
              <w:bottom w:val="nil"/>
              <w:right w:val="nil"/>
            </w:tcBorders>
            <w:shd w:val="clear" w:color="000000" w:fill="FFFFFF"/>
            <w:noWrap/>
            <w:vAlign w:val="bottom"/>
            <w:hideMark/>
          </w:tcPr>
          <w:p w:rsidR="009D6806" w:rsidRPr="00940599" w:rsidRDefault="009D6806" w:rsidP="00257939">
            <w:pPr>
              <w:jc w:val="right"/>
              <w:rPr>
                <w:sz w:val="18"/>
                <w:szCs w:val="18"/>
              </w:rPr>
            </w:pPr>
            <w:r w:rsidRPr="00940599">
              <w:rPr>
                <w:sz w:val="18"/>
                <w:szCs w:val="18"/>
              </w:rPr>
              <w:t>($180,</w:t>
            </w:r>
            <w:r w:rsidR="00257939">
              <w:rPr>
                <w:sz w:val="18"/>
                <w:szCs w:val="18"/>
              </w:rPr>
              <w:t>719</w:t>
            </w:r>
            <w:r w:rsidRPr="00940599">
              <w:rPr>
                <w:sz w:val="18"/>
                <w:szCs w:val="18"/>
              </w:rPr>
              <w:t>,</w:t>
            </w:r>
            <w:r w:rsidR="00257939">
              <w:rPr>
                <w:sz w:val="18"/>
                <w:szCs w:val="18"/>
              </w:rPr>
              <w:t>5</w:t>
            </w:r>
            <w:r w:rsidRPr="00940599">
              <w:rPr>
                <w:sz w:val="18"/>
                <w:szCs w:val="18"/>
              </w:rPr>
              <w:t>9</w:t>
            </w:r>
            <w:r w:rsidR="00257939">
              <w:rPr>
                <w:sz w:val="18"/>
                <w:szCs w:val="18"/>
              </w:rPr>
              <w:t>9</w:t>
            </w:r>
            <w:r w:rsidRPr="00940599">
              <w:rPr>
                <w:sz w:val="18"/>
                <w:szCs w:val="18"/>
              </w:rPr>
              <w:t>)</w:t>
            </w:r>
          </w:p>
        </w:tc>
        <w:tc>
          <w:tcPr>
            <w:tcW w:w="481" w:type="pct"/>
            <w:tcBorders>
              <w:top w:val="nil"/>
              <w:left w:val="nil"/>
              <w:bottom w:val="nil"/>
              <w:right w:val="nil"/>
            </w:tcBorders>
            <w:shd w:val="clear" w:color="000000" w:fill="FFFFFF"/>
            <w:noWrap/>
            <w:vAlign w:val="bottom"/>
            <w:hideMark/>
          </w:tcPr>
          <w:p w:rsidR="009D6806" w:rsidRPr="00940599" w:rsidRDefault="009D6806" w:rsidP="00257939">
            <w:pPr>
              <w:jc w:val="right"/>
              <w:rPr>
                <w:sz w:val="18"/>
                <w:szCs w:val="18"/>
              </w:rPr>
            </w:pPr>
            <w:r w:rsidRPr="00940599">
              <w:rPr>
                <w:sz w:val="18"/>
                <w:szCs w:val="18"/>
              </w:rPr>
              <w:t>$1,6</w:t>
            </w:r>
            <w:r w:rsidR="00257939">
              <w:rPr>
                <w:sz w:val="18"/>
                <w:szCs w:val="18"/>
              </w:rPr>
              <w:t>34</w:t>
            </w:r>
            <w:r w:rsidRPr="00940599">
              <w:rPr>
                <w:sz w:val="18"/>
                <w:szCs w:val="18"/>
              </w:rPr>
              <w:t>,</w:t>
            </w:r>
            <w:r w:rsidR="00257939">
              <w:rPr>
                <w:sz w:val="18"/>
                <w:szCs w:val="18"/>
              </w:rPr>
              <w:t>951</w:t>
            </w:r>
            <w:r w:rsidRPr="00940599">
              <w:rPr>
                <w:sz w:val="18"/>
                <w:szCs w:val="18"/>
              </w:rPr>
              <w:t xml:space="preserve"> </w:t>
            </w:r>
          </w:p>
        </w:tc>
        <w:tc>
          <w:tcPr>
            <w:tcW w:w="402" w:type="pct"/>
            <w:tcBorders>
              <w:top w:val="nil"/>
              <w:left w:val="nil"/>
              <w:bottom w:val="nil"/>
              <w:right w:val="nil"/>
            </w:tcBorders>
            <w:shd w:val="clear" w:color="000000" w:fill="FFFFFF"/>
            <w:noWrap/>
            <w:vAlign w:val="bottom"/>
            <w:hideMark/>
          </w:tcPr>
          <w:p w:rsidR="009D6806" w:rsidRPr="00940599" w:rsidRDefault="009D6806" w:rsidP="00257939">
            <w:pPr>
              <w:jc w:val="right"/>
              <w:rPr>
                <w:sz w:val="18"/>
                <w:szCs w:val="18"/>
              </w:rPr>
            </w:pPr>
            <w:r w:rsidRPr="00940599">
              <w:rPr>
                <w:sz w:val="18"/>
                <w:szCs w:val="18"/>
              </w:rPr>
              <w:t>49.</w:t>
            </w:r>
            <w:r w:rsidR="00257939">
              <w:rPr>
                <w:sz w:val="18"/>
                <w:szCs w:val="18"/>
              </w:rPr>
              <w:t>05</w:t>
            </w:r>
            <w:r w:rsidRPr="00940599">
              <w:rPr>
                <w:sz w:val="18"/>
                <w:szCs w:val="18"/>
              </w:rPr>
              <w:t>%</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11.00%</w:t>
            </w:r>
          </w:p>
        </w:tc>
        <w:tc>
          <w:tcPr>
            <w:tcW w:w="441" w:type="pct"/>
            <w:tcBorders>
              <w:top w:val="nil"/>
              <w:left w:val="nil"/>
              <w:bottom w:val="nil"/>
              <w:right w:val="nil"/>
            </w:tcBorders>
            <w:shd w:val="clear" w:color="000000" w:fill="FFFFFF"/>
            <w:noWrap/>
            <w:vAlign w:val="bottom"/>
            <w:hideMark/>
          </w:tcPr>
          <w:p w:rsidR="009D6806" w:rsidRPr="00940599" w:rsidRDefault="009D6806" w:rsidP="00257939">
            <w:pPr>
              <w:jc w:val="right"/>
              <w:rPr>
                <w:sz w:val="18"/>
                <w:szCs w:val="18"/>
              </w:rPr>
            </w:pPr>
            <w:r w:rsidRPr="00940599">
              <w:rPr>
                <w:sz w:val="18"/>
                <w:szCs w:val="18"/>
              </w:rPr>
              <w:t>5.4</w:t>
            </w:r>
            <w:r w:rsidR="00257939">
              <w:rPr>
                <w:sz w:val="18"/>
                <w:szCs w:val="18"/>
              </w:rPr>
              <w:t>1</w:t>
            </w:r>
            <w:r w:rsidRPr="00940599">
              <w:rPr>
                <w:sz w:val="18"/>
                <w:szCs w:val="18"/>
              </w:rPr>
              <w:t>%</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12</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Customer Deposits</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$6,591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$6,591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 xml:space="preserve">$6,591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0.20%</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2.00%</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rPr>
            </w:pPr>
            <w:r w:rsidRPr="00940599">
              <w:rPr>
                <w:sz w:val="18"/>
                <w:szCs w:val="18"/>
              </w:rPr>
              <w:t>0.00%</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13</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Deferred Income Taxes</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($540,800)</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 xml:space="preserve">$583,090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 xml:space="preserve">$42,290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 xml:space="preserve">$0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 xml:space="preserve">$42,290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1.26%</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0.00%</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single"/>
              </w:rPr>
            </w:pPr>
            <w:r w:rsidRPr="00940599">
              <w:rPr>
                <w:sz w:val="18"/>
                <w:szCs w:val="18"/>
                <w:u w:val="single"/>
              </w:rPr>
              <w:t>0.00%</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jc w:val="center"/>
              <w:rPr>
                <w:rFonts w:ascii="Arial" w:hAnsi="Arial" w:cs="Arial"/>
                <w:sz w:val="18"/>
                <w:szCs w:val="18"/>
              </w:rPr>
            </w:pPr>
            <w:r w:rsidRPr="009C6A71">
              <w:rPr>
                <w:rFonts w:ascii="Arial" w:hAnsi="Arial" w:cs="Arial"/>
                <w:sz w:val="18"/>
                <w:szCs w:val="18"/>
              </w:rPr>
              <w:t>14</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Total Capital</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 xml:space="preserve">$365,820,341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 xml:space="preserve">$583,090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 xml:space="preserve">$366,403,431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($363,069,895)</w:t>
            </w:r>
          </w:p>
        </w:tc>
        <w:tc>
          <w:tcPr>
            <w:tcW w:w="481" w:type="pct"/>
            <w:tcBorders>
              <w:top w:val="nil"/>
              <w:left w:val="nil"/>
              <w:bottom w:val="nil"/>
              <w:right w:val="nil"/>
            </w:tcBorders>
            <w:shd w:val="clear" w:color="000000" w:fill="FFFFFF"/>
            <w:noWrap/>
            <w:vAlign w:val="bottom"/>
            <w:hideMark/>
          </w:tcPr>
          <w:p w:rsidR="009D6806" w:rsidRPr="00940599" w:rsidRDefault="00257939" w:rsidP="002F7512">
            <w:pPr>
              <w:jc w:val="right"/>
              <w:rPr>
                <w:sz w:val="18"/>
                <w:szCs w:val="18"/>
                <w:u w:val="double"/>
              </w:rPr>
            </w:pPr>
            <w:r>
              <w:rPr>
                <w:sz w:val="18"/>
                <w:szCs w:val="18"/>
                <w:u w:val="double"/>
              </w:rPr>
              <w:t>$3,333,536</w:t>
            </w:r>
            <w:r w:rsidR="009D6806" w:rsidRPr="00940599">
              <w:rPr>
                <w:sz w:val="18"/>
                <w:szCs w:val="18"/>
                <w:u w:val="double"/>
              </w:rPr>
              <w:t xml:space="preserve">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100.00%</w:t>
            </w:r>
          </w:p>
        </w:tc>
        <w:tc>
          <w:tcPr>
            <w:tcW w:w="336" w:type="pct"/>
            <w:tcBorders>
              <w:top w:val="nil"/>
              <w:left w:val="nil"/>
              <w:bottom w:val="nil"/>
              <w:right w:val="nil"/>
            </w:tcBorders>
            <w:shd w:val="clear" w:color="000000" w:fill="FFFFFF"/>
            <w:noWrap/>
            <w:vAlign w:val="bottom"/>
          </w:tcPr>
          <w:p w:rsidR="009D6806" w:rsidRPr="00940599" w:rsidRDefault="009D6806" w:rsidP="002F7512">
            <w:pPr>
              <w:rPr>
                <w:sz w:val="18"/>
                <w:szCs w:val="18"/>
                <w:u w:val="double"/>
              </w:rPr>
            </w:pP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8.71%</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b/>
                <w:bCs/>
                <w:sz w:val="18"/>
                <w:szCs w:val="18"/>
              </w:rPr>
            </w:pPr>
            <w:r w:rsidRPr="00940599">
              <w:rPr>
                <w:b/>
                <w:bCs/>
                <w:sz w:val="18"/>
                <w:szCs w:val="18"/>
              </w:rPr>
              <w:t> </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u w:val="single"/>
              </w:rPr>
            </w:pPr>
            <w:r w:rsidRPr="00940599">
              <w:rPr>
                <w:b/>
                <w:bCs/>
                <w:sz w:val="18"/>
                <w:szCs w:val="18"/>
                <w:u w:val="single"/>
              </w:rPr>
              <w:t>LOW</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center"/>
              <w:rPr>
                <w:b/>
                <w:bCs/>
                <w:sz w:val="18"/>
                <w:szCs w:val="18"/>
                <w:u w:val="single"/>
              </w:rPr>
            </w:pPr>
            <w:r w:rsidRPr="00940599">
              <w:rPr>
                <w:b/>
                <w:bCs/>
                <w:sz w:val="18"/>
                <w:szCs w:val="18"/>
                <w:u w:val="single"/>
              </w:rPr>
              <w:t>HIGH</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961" w:type="pct"/>
            <w:gridSpan w:val="2"/>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xml:space="preserve">   RETURN ON EQUITY</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11.00%</w:t>
            </w:r>
          </w:p>
        </w:tc>
        <w:tc>
          <w:tcPr>
            <w:tcW w:w="336"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13.00%</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00"/>
        </w:trPr>
        <w:tc>
          <w:tcPr>
            <w:tcW w:w="211" w:type="pct"/>
            <w:tcBorders>
              <w:top w:val="nil"/>
              <w:left w:val="single" w:sz="8" w:space="0" w:color="auto"/>
              <w:bottom w:val="nil"/>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100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595" w:type="pct"/>
            <w:tcBorders>
              <w:top w:val="nil"/>
              <w:left w:val="nil"/>
              <w:bottom w:val="nil"/>
              <w:right w:val="nil"/>
            </w:tcBorders>
            <w:shd w:val="clear" w:color="000000" w:fill="FFFFFF"/>
            <w:noWrap/>
            <w:vAlign w:val="bottom"/>
            <w:hideMark/>
          </w:tcPr>
          <w:p w:rsidR="009D6806" w:rsidRPr="00940599" w:rsidRDefault="009D6806" w:rsidP="002F7512">
            <w:pPr>
              <w:rPr>
                <w:color w:val="000000"/>
                <w:sz w:val="18"/>
                <w:szCs w:val="18"/>
              </w:rPr>
            </w:pPr>
            <w:r w:rsidRPr="00940599">
              <w:rPr>
                <w:color w:val="000000"/>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48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961" w:type="pct"/>
            <w:gridSpan w:val="2"/>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xml:space="preserve">   OVERALL RATE OF RETURN</w:t>
            </w:r>
          </w:p>
        </w:tc>
        <w:tc>
          <w:tcPr>
            <w:tcW w:w="402" w:type="pct"/>
            <w:tcBorders>
              <w:top w:val="nil"/>
              <w:left w:val="nil"/>
              <w:bottom w:val="nil"/>
              <w:right w:val="nil"/>
            </w:tcBorders>
            <w:shd w:val="clear" w:color="000000" w:fill="FFFFFF"/>
            <w:noWrap/>
            <w:vAlign w:val="bottom"/>
            <w:hideMark/>
          </w:tcPr>
          <w:p w:rsidR="009D6806" w:rsidRPr="00940599" w:rsidRDefault="009D6806" w:rsidP="002F7512">
            <w:pPr>
              <w:jc w:val="right"/>
              <w:rPr>
                <w:sz w:val="18"/>
                <w:szCs w:val="18"/>
                <w:u w:val="double"/>
              </w:rPr>
            </w:pPr>
            <w:r w:rsidRPr="00940599">
              <w:rPr>
                <w:sz w:val="18"/>
                <w:szCs w:val="18"/>
                <w:u w:val="double"/>
              </w:rPr>
              <w:t>8.71%</w:t>
            </w:r>
          </w:p>
        </w:tc>
        <w:tc>
          <w:tcPr>
            <w:tcW w:w="336" w:type="pct"/>
            <w:tcBorders>
              <w:top w:val="nil"/>
              <w:left w:val="nil"/>
              <w:bottom w:val="nil"/>
              <w:right w:val="nil"/>
            </w:tcBorders>
            <w:shd w:val="clear" w:color="000000" w:fill="FFFFFF"/>
            <w:noWrap/>
            <w:vAlign w:val="bottom"/>
            <w:hideMark/>
          </w:tcPr>
          <w:p w:rsidR="009D6806" w:rsidRPr="00940599" w:rsidRDefault="009D6806" w:rsidP="00257939">
            <w:pPr>
              <w:jc w:val="right"/>
              <w:rPr>
                <w:sz w:val="18"/>
                <w:szCs w:val="18"/>
                <w:u w:val="double"/>
              </w:rPr>
            </w:pPr>
            <w:r w:rsidRPr="00940599">
              <w:rPr>
                <w:sz w:val="18"/>
                <w:szCs w:val="18"/>
                <w:u w:val="double"/>
              </w:rPr>
              <w:t>9.</w:t>
            </w:r>
            <w:r w:rsidR="00257939">
              <w:rPr>
                <w:sz w:val="18"/>
                <w:szCs w:val="18"/>
                <w:u w:val="double"/>
              </w:rPr>
              <w:t>68</w:t>
            </w:r>
            <w:r w:rsidRPr="00940599">
              <w:rPr>
                <w:sz w:val="18"/>
                <w:szCs w:val="18"/>
                <w:u w:val="double"/>
              </w:rPr>
              <w:t>%</w:t>
            </w:r>
          </w:p>
        </w:tc>
        <w:tc>
          <w:tcPr>
            <w:tcW w:w="441" w:type="pct"/>
            <w:tcBorders>
              <w:top w:val="nil"/>
              <w:left w:val="nil"/>
              <w:bottom w:val="nil"/>
              <w:right w:val="nil"/>
            </w:tcBorders>
            <w:shd w:val="clear" w:color="000000" w:fill="FFFFFF"/>
            <w:noWrap/>
            <w:vAlign w:val="bottom"/>
            <w:hideMark/>
          </w:tcPr>
          <w:p w:rsidR="009D6806" w:rsidRPr="00940599" w:rsidRDefault="009D6806" w:rsidP="002F7512">
            <w:pPr>
              <w:rPr>
                <w:sz w:val="18"/>
                <w:szCs w:val="18"/>
              </w:rPr>
            </w:pPr>
            <w:r w:rsidRPr="00940599">
              <w:rPr>
                <w:sz w:val="18"/>
                <w:szCs w:val="18"/>
              </w:rPr>
              <w:t> </w:t>
            </w:r>
          </w:p>
        </w:tc>
        <w:tc>
          <w:tcPr>
            <w:tcW w:w="88" w:type="pct"/>
            <w:tcBorders>
              <w:top w:val="nil"/>
              <w:left w:val="nil"/>
              <w:bottom w:val="nil"/>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r w:rsidR="009D6806" w:rsidRPr="009C6A71" w:rsidTr="002F7512">
        <w:trPr>
          <w:trHeight w:val="315"/>
        </w:trPr>
        <w:tc>
          <w:tcPr>
            <w:tcW w:w="211" w:type="pct"/>
            <w:tcBorders>
              <w:top w:val="nil"/>
              <w:left w:val="single" w:sz="8" w:space="0" w:color="auto"/>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1005"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595"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48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48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48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48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402"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336"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441" w:type="pct"/>
            <w:tcBorders>
              <w:top w:val="nil"/>
              <w:left w:val="nil"/>
              <w:bottom w:val="single" w:sz="8" w:space="0" w:color="auto"/>
              <w:right w:val="nil"/>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c>
          <w:tcPr>
            <w:tcW w:w="88" w:type="pct"/>
            <w:tcBorders>
              <w:top w:val="nil"/>
              <w:left w:val="nil"/>
              <w:bottom w:val="single" w:sz="8" w:space="0" w:color="auto"/>
              <w:right w:val="single" w:sz="8" w:space="0" w:color="auto"/>
            </w:tcBorders>
            <w:shd w:val="clear" w:color="000000" w:fill="FFFFFF"/>
            <w:noWrap/>
            <w:vAlign w:val="bottom"/>
            <w:hideMark/>
          </w:tcPr>
          <w:p w:rsidR="009D6806" w:rsidRPr="009C6A71" w:rsidRDefault="009D6806" w:rsidP="002F7512">
            <w:pPr>
              <w:rPr>
                <w:rFonts w:ascii="Arial" w:hAnsi="Arial" w:cs="Arial"/>
                <w:sz w:val="18"/>
                <w:szCs w:val="18"/>
              </w:rPr>
            </w:pPr>
            <w:r w:rsidRPr="009C6A71">
              <w:rPr>
                <w:rFonts w:ascii="Arial" w:hAnsi="Arial" w:cs="Arial"/>
                <w:sz w:val="18"/>
                <w:szCs w:val="18"/>
              </w:rPr>
              <w:t> </w:t>
            </w:r>
          </w:p>
        </w:tc>
      </w:tr>
    </w:tbl>
    <w:p w:rsidR="00474AFD" w:rsidRDefault="00474AFD" w:rsidP="0062152B">
      <w:pPr>
        <w:pStyle w:val="BodyText"/>
        <w:sectPr w:rsidR="00474AFD" w:rsidSect="00614982">
          <w:headerReference w:type="default" r:id="rId17"/>
          <w:pgSz w:w="15840" w:h="12240" w:orient="landscape" w:code="1"/>
          <w:pgMar w:top="1440" w:right="1584" w:bottom="1440" w:left="1440" w:header="720" w:footer="720" w:gutter="0"/>
          <w:cols w:space="720"/>
          <w:formProt w:val="0"/>
          <w:docGrid w:linePitch="360"/>
        </w:sectPr>
      </w:pPr>
    </w:p>
    <w:tbl>
      <w:tblPr>
        <w:tblW w:w="5238" w:type="pct"/>
        <w:tblLook w:val="04A0" w:firstRow="1" w:lastRow="0" w:firstColumn="1" w:lastColumn="0" w:noHBand="0" w:noVBand="1"/>
      </w:tblPr>
      <w:tblGrid>
        <w:gridCol w:w="499"/>
        <w:gridCol w:w="3471"/>
        <w:gridCol w:w="1263"/>
        <w:gridCol w:w="1263"/>
        <w:gridCol w:w="1883"/>
        <w:gridCol w:w="1261"/>
        <w:gridCol w:w="1261"/>
        <w:gridCol w:w="1110"/>
        <w:gridCol w:w="1641"/>
      </w:tblGrid>
      <w:tr w:rsidR="00474AFD" w:rsidRPr="009C6A71" w:rsidTr="002F7512">
        <w:trPr>
          <w:trHeight w:val="315"/>
        </w:trPr>
        <w:tc>
          <w:tcPr>
            <w:tcW w:w="187" w:type="pct"/>
            <w:tcBorders>
              <w:top w:val="single" w:sz="8" w:space="0" w:color="auto"/>
              <w:left w:val="single" w:sz="8" w:space="0" w:color="auto"/>
              <w:bottom w:val="nil"/>
              <w:right w:val="nil"/>
            </w:tcBorders>
            <w:shd w:val="clear" w:color="000000" w:fill="FFFFFF"/>
            <w:noWrap/>
            <w:vAlign w:val="bottom"/>
            <w:hideMark/>
          </w:tcPr>
          <w:p w:rsidR="00474AFD" w:rsidRPr="009C6A71" w:rsidRDefault="00474AFD" w:rsidP="002F7512">
            <w:pPr>
              <w:rPr>
                <w:color w:val="000000"/>
                <w:sz w:val="20"/>
                <w:szCs w:val="20"/>
              </w:rPr>
            </w:pPr>
            <w:bookmarkStart w:id="17" w:name="RANGE!A81:I106"/>
            <w:r w:rsidRPr="009C6A71">
              <w:rPr>
                <w:color w:val="000000"/>
                <w:sz w:val="20"/>
                <w:szCs w:val="20"/>
              </w:rPr>
              <w:lastRenderedPageBreak/>
              <w:t> </w:t>
            </w:r>
            <w:bookmarkEnd w:id="17"/>
          </w:p>
        </w:tc>
        <w:tc>
          <w:tcPr>
            <w:tcW w:w="1257" w:type="pct"/>
            <w:tcBorders>
              <w:top w:val="single" w:sz="8" w:space="0" w:color="auto"/>
              <w:left w:val="nil"/>
              <w:bottom w:val="nil"/>
              <w:right w:val="nil"/>
            </w:tcBorders>
            <w:shd w:val="clear" w:color="000000" w:fill="FFFFFF"/>
            <w:noWrap/>
            <w:vAlign w:val="bottom"/>
            <w:hideMark/>
          </w:tcPr>
          <w:p w:rsidR="00474AFD" w:rsidRPr="009C6A71" w:rsidRDefault="00474AFD" w:rsidP="002F7512">
            <w:pPr>
              <w:rPr>
                <w:rFonts w:ascii="Arial" w:hAnsi="Arial" w:cs="Arial"/>
                <w:b/>
                <w:bCs/>
              </w:rPr>
            </w:pPr>
            <w:r w:rsidRPr="009C6A71">
              <w:rPr>
                <w:rFonts w:ascii="Arial" w:hAnsi="Arial" w:cs="Arial"/>
                <w:b/>
                <w:bCs/>
              </w:rPr>
              <w:t xml:space="preserve">Utilities, Inc. of </w:t>
            </w:r>
            <w:proofErr w:type="spellStart"/>
            <w:r w:rsidRPr="009C6A71">
              <w:rPr>
                <w:rFonts w:ascii="Arial" w:hAnsi="Arial" w:cs="Arial"/>
                <w:b/>
                <w:bCs/>
              </w:rPr>
              <w:t>Sandalhaven</w:t>
            </w:r>
            <w:proofErr w:type="spellEnd"/>
          </w:p>
        </w:tc>
        <w:tc>
          <w:tcPr>
            <w:tcW w:w="467" w:type="pct"/>
            <w:tcBorders>
              <w:top w:val="single" w:sz="8" w:space="0" w:color="auto"/>
              <w:left w:val="nil"/>
              <w:bottom w:val="nil"/>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467" w:type="pct"/>
            <w:tcBorders>
              <w:top w:val="single" w:sz="8" w:space="0" w:color="auto"/>
              <w:left w:val="nil"/>
              <w:bottom w:val="nil"/>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694" w:type="pct"/>
            <w:tcBorders>
              <w:top w:val="single" w:sz="8" w:space="0" w:color="auto"/>
              <w:left w:val="nil"/>
              <w:bottom w:val="nil"/>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466" w:type="pct"/>
            <w:tcBorders>
              <w:top w:val="single" w:sz="8" w:space="0" w:color="auto"/>
              <w:left w:val="nil"/>
              <w:bottom w:val="nil"/>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466" w:type="pct"/>
            <w:tcBorders>
              <w:top w:val="single" w:sz="8" w:space="0" w:color="auto"/>
              <w:left w:val="nil"/>
              <w:bottom w:val="nil"/>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997" w:type="pct"/>
            <w:gridSpan w:val="2"/>
            <w:tcBorders>
              <w:top w:val="single" w:sz="8" w:space="0" w:color="auto"/>
              <w:left w:val="nil"/>
              <w:bottom w:val="nil"/>
              <w:right w:val="single" w:sz="8" w:space="0" w:color="000000"/>
            </w:tcBorders>
            <w:shd w:val="clear" w:color="000000" w:fill="FFFFFF"/>
            <w:noWrap/>
            <w:vAlign w:val="bottom"/>
            <w:hideMark/>
          </w:tcPr>
          <w:p w:rsidR="00474AFD" w:rsidRPr="009C6A71" w:rsidRDefault="00474AFD" w:rsidP="002F7512">
            <w:pPr>
              <w:jc w:val="right"/>
              <w:rPr>
                <w:rFonts w:ascii="Arial" w:hAnsi="Arial" w:cs="Arial"/>
                <w:b/>
                <w:bCs/>
              </w:rPr>
            </w:pPr>
            <w:r w:rsidRPr="009C6A71">
              <w:rPr>
                <w:rFonts w:ascii="Arial" w:hAnsi="Arial" w:cs="Arial"/>
                <w:b/>
                <w:bCs/>
              </w:rPr>
              <w:t>Schedule No. 3-A</w:t>
            </w:r>
          </w:p>
        </w:tc>
      </w:tr>
      <w:tr w:rsidR="00474AFD" w:rsidRPr="009C6A71" w:rsidTr="002F7512">
        <w:trPr>
          <w:trHeight w:val="315"/>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rPr>
                <w:color w:val="000000"/>
                <w:sz w:val="20"/>
                <w:szCs w:val="20"/>
              </w:rPr>
            </w:pPr>
            <w:r w:rsidRPr="009C6A71">
              <w:rPr>
                <w:color w:val="000000"/>
                <w:sz w:val="20"/>
                <w:szCs w:val="20"/>
              </w:rPr>
              <w:t> </w:t>
            </w:r>
          </w:p>
        </w:tc>
        <w:tc>
          <w:tcPr>
            <w:tcW w:w="1724" w:type="pct"/>
            <w:gridSpan w:val="2"/>
            <w:tcBorders>
              <w:top w:val="nil"/>
              <w:left w:val="nil"/>
              <w:bottom w:val="nil"/>
              <w:right w:val="nil"/>
            </w:tcBorders>
            <w:shd w:val="clear" w:color="000000" w:fill="FFFFFF"/>
            <w:noWrap/>
            <w:vAlign w:val="bottom"/>
            <w:hideMark/>
          </w:tcPr>
          <w:p w:rsidR="00474AFD" w:rsidRPr="009C6A71" w:rsidRDefault="00474AFD" w:rsidP="002F7512">
            <w:pPr>
              <w:rPr>
                <w:rFonts w:ascii="Arial" w:hAnsi="Arial" w:cs="Arial"/>
                <w:b/>
                <w:bCs/>
              </w:rPr>
            </w:pPr>
            <w:r w:rsidRPr="009C6A71">
              <w:rPr>
                <w:rFonts w:ascii="Arial" w:hAnsi="Arial" w:cs="Arial"/>
                <w:b/>
                <w:bCs/>
              </w:rPr>
              <w:t>Statement of Wastewater Operations</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997" w:type="pct"/>
            <w:gridSpan w:val="2"/>
            <w:tcBorders>
              <w:top w:val="nil"/>
              <w:left w:val="nil"/>
              <w:bottom w:val="nil"/>
              <w:right w:val="single" w:sz="8" w:space="0" w:color="000000"/>
            </w:tcBorders>
            <w:shd w:val="clear" w:color="000000" w:fill="FFFFFF"/>
            <w:noWrap/>
            <w:vAlign w:val="bottom"/>
            <w:hideMark/>
          </w:tcPr>
          <w:p w:rsidR="00474AFD" w:rsidRPr="009C6A71" w:rsidRDefault="00474AFD" w:rsidP="002F7512">
            <w:pPr>
              <w:jc w:val="right"/>
              <w:rPr>
                <w:rFonts w:ascii="Arial" w:hAnsi="Arial" w:cs="Arial"/>
                <w:b/>
                <w:bCs/>
              </w:rPr>
            </w:pPr>
            <w:r w:rsidRPr="009C6A71">
              <w:rPr>
                <w:rFonts w:ascii="Arial" w:hAnsi="Arial" w:cs="Arial"/>
                <w:b/>
                <w:bCs/>
              </w:rPr>
              <w:t>Docket No. 150102-SU</w:t>
            </w:r>
          </w:p>
        </w:tc>
      </w:tr>
      <w:tr w:rsidR="00474AFD" w:rsidRPr="009C6A71" w:rsidTr="002F7512">
        <w:trPr>
          <w:trHeight w:val="330"/>
        </w:trPr>
        <w:tc>
          <w:tcPr>
            <w:tcW w:w="187" w:type="pct"/>
            <w:tcBorders>
              <w:top w:val="nil"/>
              <w:left w:val="single" w:sz="8" w:space="0" w:color="auto"/>
              <w:bottom w:val="single" w:sz="8" w:space="0" w:color="auto"/>
              <w:right w:val="nil"/>
            </w:tcBorders>
            <w:shd w:val="clear" w:color="000000" w:fill="FFFFFF"/>
            <w:noWrap/>
            <w:vAlign w:val="bottom"/>
            <w:hideMark/>
          </w:tcPr>
          <w:p w:rsidR="00474AFD" w:rsidRPr="009C6A71" w:rsidRDefault="00474AFD" w:rsidP="002F7512">
            <w:pPr>
              <w:rPr>
                <w:color w:val="000000"/>
                <w:sz w:val="20"/>
                <w:szCs w:val="20"/>
              </w:rPr>
            </w:pPr>
            <w:r w:rsidRPr="009C6A71">
              <w:rPr>
                <w:color w:val="000000"/>
                <w:sz w:val="20"/>
                <w:szCs w:val="20"/>
              </w:rPr>
              <w:t> </w:t>
            </w:r>
          </w:p>
        </w:tc>
        <w:tc>
          <w:tcPr>
            <w:tcW w:w="1257"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rFonts w:ascii="Arial" w:hAnsi="Arial" w:cs="Arial"/>
                <w:b/>
                <w:bCs/>
              </w:rPr>
            </w:pPr>
            <w:r w:rsidRPr="009C6A71">
              <w:rPr>
                <w:rFonts w:ascii="Arial" w:hAnsi="Arial" w:cs="Arial"/>
                <w:b/>
                <w:bCs/>
              </w:rPr>
              <w:t>Test Year Ended 12/31/14</w:t>
            </w:r>
          </w:p>
        </w:tc>
        <w:tc>
          <w:tcPr>
            <w:tcW w:w="467"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467"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694"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466"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466"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rFonts w:ascii="Arial" w:hAnsi="Arial" w:cs="Arial"/>
              </w:rPr>
            </w:pPr>
            <w:r w:rsidRPr="009C6A71">
              <w:rPr>
                <w:rFonts w:ascii="Arial" w:hAnsi="Arial" w:cs="Arial"/>
              </w:rPr>
              <w:t> </w:t>
            </w:r>
          </w:p>
        </w:tc>
        <w:tc>
          <w:tcPr>
            <w:tcW w:w="402"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rFonts w:ascii="Arial" w:hAnsi="Arial" w:cs="Arial"/>
                <w:b/>
                <w:bCs/>
              </w:rPr>
            </w:pPr>
            <w:r w:rsidRPr="009C6A71">
              <w:rPr>
                <w:rFonts w:ascii="Arial" w:hAnsi="Arial" w:cs="Arial"/>
                <w:b/>
                <w:bCs/>
              </w:rPr>
              <w:t> </w:t>
            </w:r>
          </w:p>
        </w:tc>
        <w:tc>
          <w:tcPr>
            <w:tcW w:w="594" w:type="pct"/>
            <w:tcBorders>
              <w:top w:val="nil"/>
              <w:left w:val="nil"/>
              <w:bottom w:val="single" w:sz="8" w:space="0" w:color="auto"/>
              <w:right w:val="single" w:sz="8" w:space="0" w:color="auto"/>
            </w:tcBorders>
            <w:shd w:val="clear" w:color="000000" w:fill="FFFFFF"/>
            <w:noWrap/>
            <w:vAlign w:val="bottom"/>
            <w:hideMark/>
          </w:tcPr>
          <w:p w:rsidR="00474AFD" w:rsidRPr="009C6A71" w:rsidRDefault="00474AFD" w:rsidP="002F7512">
            <w:pPr>
              <w:rPr>
                <w:rFonts w:ascii="Arial" w:hAnsi="Arial" w:cs="Arial"/>
                <w:b/>
                <w:bCs/>
              </w:rPr>
            </w:pPr>
            <w:r w:rsidRPr="009C6A71">
              <w:rPr>
                <w:rFonts w:ascii="Arial" w:hAnsi="Arial" w:cs="Arial"/>
                <w:b/>
                <w:bCs/>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Test Year</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Utility</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Adjusted</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Staff</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Staff</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Per</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Adjust-</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Test Year</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Adjust-</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Adjusted</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Revenue</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Revenue</w:t>
            </w:r>
          </w:p>
        </w:tc>
      </w:tr>
      <w:tr w:rsidR="00474AFD" w:rsidRPr="009C6A71" w:rsidTr="002F7512">
        <w:trPr>
          <w:trHeight w:val="315"/>
        </w:trPr>
        <w:tc>
          <w:tcPr>
            <w:tcW w:w="187" w:type="pct"/>
            <w:tcBorders>
              <w:top w:val="nil"/>
              <w:left w:val="single" w:sz="8" w:space="0" w:color="auto"/>
              <w:bottom w:val="single" w:sz="8" w:space="0" w:color="auto"/>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1257"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Description</w:t>
            </w:r>
          </w:p>
        </w:tc>
        <w:tc>
          <w:tcPr>
            <w:tcW w:w="467" w:type="pct"/>
            <w:tcBorders>
              <w:top w:val="nil"/>
              <w:left w:val="nil"/>
              <w:bottom w:val="single" w:sz="8" w:space="0" w:color="auto"/>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Utility</w:t>
            </w:r>
          </w:p>
        </w:tc>
        <w:tc>
          <w:tcPr>
            <w:tcW w:w="467" w:type="pct"/>
            <w:tcBorders>
              <w:top w:val="nil"/>
              <w:left w:val="nil"/>
              <w:bottom w:val="single" w:sz="8" w:space="0" w:color="auto"/>
              <w:right w:val="nil"/>
            </w:tcBorders>
            <w:shd w:val="clear" w:color="000000" w:fill="FFFFFF"/>
            <w:noWrap/>
            <w:vAlign w:val="bottom"/>
            <w:hideMark/>
          </w:tcPr>
          <w:p w:rsidR="00474AFD" w:rsidRPr="009C6A71" w:rsidRDefault="00474AFD" w:rsidP="002F7512">
            <w:pPr>
              <w:jc w:val="center"/>
              <w:rPr>
                <w:b/>
                <w:bCs/>
                <w:sz w:val="20"/>
                <w:szCs w:val="20"/>
              </w:rPr>
            </w:pPr>
            <w:proofErr w:type="spellStart"/>
            <w:r w:rsidRPr="009C6A71">
              <w:rPr>
                <w:b/>
                <w:bCs/>
                <w:sz w:val="20"/>
                <w:szCs w:val="20"/>
              </w:rPr>
              <w:t>ments</w:t>
            </w:r>
            <w:proofErr w:type="spellEnd"/>
          </w:p>
        </w:tc>
        <w:tc>
          <w:tcPr>
            <w:tcW w:w="694" w:type="pct"/>
            <w:tcBorders>
              <w:top w:val="nil"/>
              <w:left w:val="nil"/>
              <w:bottom w:val="single" w:sz="8" w:space="0" w:color="auto"/>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Per Utility</w:t>
            </w:r>
          </w:p>
        </w:tc>
        <w:tc>
          <w:tcPr>
            <w:tcW w:w="466" w:type="pct"/>
            <w:tcBorders>
              <w:top w:val="nil"/>
              <w:left w:val="nil"/>
              <w:bottom w:val="single" w:sz="8" w:space="0" w:color="auto"/>
              <w:right w:val="nil"/>
            </w:tcBorders>
            <w:shd w:val="clear" w:color="000000" w:fill="FFFFFF"/>
            <w:noWrap/>
            <w:vAlign w:val="bottom"/>
            <w:hideMark/>
          </w:tcPr>
          <w:p w:rsidR="00474AFD" w:rsidRPr="009C6A71" w:rsidRDefault="00474AFD" w:rsidP="002F7512">
            <w:pPr>
              <w:jc w:val="center"/>
              <w:rPr>
                <w:b/>
                <w:bCs/>
                <w:sz w:val="20"/>
                <w:szCs w:val="20"/>
              </w:rPr>
            </w:pPr>
            <w:proofErr w:type="spellStart"/>
            <w:r w:rsidRPr="009C6A71">
              <w:rPr>
                <w:b/>
                <w:bCs/>
                <w:sz w:val="20"/>
                <w:szCs w:val="20"/>
              </w:rPr>
              <w:t>ments</w:t>
            </w:r>
            <w:proofErr w:type="spellEnd"/>
          </w:p>
        </w:tc>
        <w:tc>
          <w:tcPr>
            <w:tcW w:w="466" w:type="pct"/>
            <w:tcBorders>
              <w:top w:val="nil"/>
              <w:left w:val="nil"/>
              <w:bottom w:val="single" w:sz="8" w:space="0" w:color="auto"/>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Test Year</w:t>
            </w:r>
          </w:p>
        </w:tc>
        <w:tc>
          <w:tcPr>
            <w:tcW w:w="402" w:type="pct"/>
            <w:tcBorders>
              <w:top w:val="nil"/>
              <w:left w:val="nil"/>
              <w:bottom w:val="single" w:sz="8" w:space="0" w:color="auto"/>
              <w:right w:val="nil"/>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Increase</w:t>
            </w:r>
          </w:p>
        </w:tc>
        <w:tc>
          <w:tcPr>
            <w:tcW w:w="594" w:type="pct"/>
            <w:tcBorders>
              <w:top w:val="nil"/>
              <w:left w:val="nil"/>
              <w:bottom w:val="single" w:sz="8" w:space="0" w:color="auto"/>
              <w:right w:val="single" w:sz="8" w:space="0" w:color="auto"/>
            </w:tcBorders>
            <w:shd w:val="clear" w:color="000000" w:fill="FFFFFF"/>
            <w:noWrap/>
            <w:vAlign w:val="bottom"/>
            <w:hideMark/>
          </w:tcPr>
          <w:p w:rsidR="00474AFD" w:rsidRPr="009C6A71" w:rsidRDefault="00474AFD" w:rsidP="002F7512">
            <w:pPr>
              <w:jc w:val="center"/>
              <w:rPr>
                <w:b/>
                <w:bCs/>
                <w:sz w:val="20"/>
                <w:szCs w:val="20"/>
              </w:rPr>
            </w:pPr>
            <w:r w:rsidRPr="009C6A71">
              <w:rPr>
                <w:b/>
                <w:bCs/>
                <w:sz w:val="20"/>
                <w:szCs w:val="20"/>
              </w:rPr>
              <w:t>Requirement</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1</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Operating Revenues:</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$668,757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$736,541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$1,405,298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($736,261)</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$669,037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$611,174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$1,280,211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91.35%</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Operating Expenses</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2</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xml:space="preserve">    Operation &amp; Maintenance</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$581,100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$5,646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$586,746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($40,787)</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$545,959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$0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$545,959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3</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xml:space="preserve">    Depreciation</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264,739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(87,157)</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177,582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0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177,582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0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177,582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5</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xml:space="preserve">    Taxes Other Than Income</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113,952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48,580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162,532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(33,132)</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129,400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27,503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xml:space="preserve">156,903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6</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xml:space="preserve">    Income Taxes</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(118,083)</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248,359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130,276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(240,613)</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(110,337)</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219,636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109,299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7</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Total Operating Expense</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841,708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215,428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1,057,136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(314,531)</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742,605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247,138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u w:val="single"/>
              </w:rPr>
            </w:pPr>
            <w:r w:rsidRPr="009C6A71">
              <w:rPr>
                <w:sz w:val="20"/>
                <w:szCs w:val="20"/>
                <w:u w:val="single"/>
              </w:rPr>
              <w:t xml:space="preserve">989,743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8</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Operating Income</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($172,951)</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 xml:space="preserve">$521,113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 xml:space="preserve">$348,162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($421,730)</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($73,568)</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 xml:space="preserve">$364,036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 xml:space="preserve">$290,468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9</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Rate Base</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 xml:space="preserve">$3,468,701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 xml:space="preserve">$3,411,723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 xml:space="preserve">$3,333,536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 xml:space="preserve">$3,333,536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 </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r>
      <w:tr w:rsidR="00474AFD" w:rsidRPr="009C6A71" w:rsidTr="002F7512">
        <w:trPr>
          <w:trHeight w:val="300"/>
        </w:trPr>
        <w:tc>
          <w:tcPr>
            <w:tcW w:w="187" w:type="pct"/>
            <w:tcBorders>
              <w:top w:val="nil"/>
              <w:left w:val="single" w:sz="8" w:space="0" w:color="auto"/>
              <w:bottom w:val="nil"/>
              <w:right w:val="nil"/>
            </w:tcBorders>
            <w:shd w:val="clear" w:color="000000" w:fill="FFFFFF"/>
            <w:noWrap/>
            <w:vAlign w:val="bottom"/>
            <w:hideMark/>
          </w:tcPr>
          <w:p w:rsidR="00474AFD" w:rsidRPr="009C6A71" w:rsidRDefault="00474AFD" w:rsidP="002F7512">
            <w:pPr>
              <w:jc w:val="center"/>
              <w:rPr>
                <w:sz w:val="20"/>
                <w:szCs w:val="20"/>
              </w:rPr>
            </w:pPr>
            <w:r w:rsidRPr="009C6A71">
              <w:rPr>
                <w:sz w:val="20"/>
                <w:szCs w:val="20"/>
              </w:rPr>
              <w:t>10</w:t>
            </w:r>
          </w:p>
        </w:tc>
        <w:tc>
          <w:tcPr>
            <w:tcW w:w="1257" w:type="pct"/>
            <w:tcBorders>
              <w:top w:val="nil"/>
              <w:left w:val="nil"/>
              <w:bottom w:val="nil"/>
              <w:right w:val="nil"/>
            </w:tcBorders>
            <w:shd w:val="clear" w:color="000000" w:fill="FFFFFF"/>
            <w:noWrap/>
            <w:vAlign w:val="bottom"/>
            <w:hideMark/>
          </w:tcPr>
          <w:p w:rsidR="00474AFD" w:rsidRPr="009C6A71" w:rsidRDefault="00474AFD" w:rsidP="002F7512">
            <w:pPr>
              <w:rPr>
                <w:b/>
                <w:bCs/>
                <w:sz w:val="20"/>
                <w:szCs w:val="20"/>
              </w:rPr>
            </w:pPr>
            <w:r w:rsidRPr="009C6A71">
              <w:rPr>
                <w:b/>
                <w:bCs/>
                <w:sz w:val="20"/>
                <w:szCs w:val="20"/>
              </w:rPr>
              <w:t>Rate of Return</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-4.99%</w:t>
            </w:r>
          </w:p>
        </w:tc>
        <w:tc>
          <w:tcPr>
            <w:tcW w:w="467"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p>
        </w:tc>
        <w:tc>
          <w:tcPr>
            <w:tcW w:w="694"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10.20%</w:t>
            </w: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p>
        </w:tc>
        <w:tc>
          <w:tcPr>
            <w:tcW w:w="466"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-2.21%</w:t>
            </w:r>
          </w:p>
        </w:tc>
        <w:tc>
          <w:tcPr>
            <w:tcW w:w="402" w:type="pct"/>
            <w:tcBorders>
              <w:top w:val="nil"/>
              <w:left w:val="nil"/>
              <w:bottom w:val="nil"/>
              <w:right w:val="nil"/>
            </w:tcBorders>
            <w:shd w:val="clear" w:color="000000" w:fill="FFFFFF"/>
            <w:noWrap/>
            <w:vAlign w:val="bottom"/>
            <w:hideMark/>
          </w:tcPr>
          <w:p w:rsidR="00474AFD" w:rsidRPr="009C6A71" w:rsidRDefault="00474AFD" w:rsidP="002F7512">
            <w:pPr>
              <w:jc w:val="right"/>
              <w:rPr>
                <w:sz w:val="20"/>
                <w:szCs w:val="20"/>
                <w:u w:val="double"/>
              </w:rPr>
            </w:pPr>
          </w:p>
        </w:tc>
        <w:tc>
          <w:tcPr>
            <w:tcW w:w="594" w:type="pct"/>
            <w:tcBorders>
              <w:top w:val="nil"/>
              <w:left w:val="nil"/>
              <w:bottom w:val="nil"/>
              <w:right w:val="single" w:sz="8" w:space="0" w:color="auto"/>
            </w:tcBorders>
            <w:shd w:val="clear" w:color="000000" w:fill="FFFFFF"/>
            <w:noWrap/>
            <w:vAlign w:val="bottom"/>
            <w:hideMark/>
          </w:tcPr>
          <w:p w:rsidR="00474AFD" w:rsidRPr="009C6A71" w:rsidRDefault="00474AFD" w:rsidP="002F7512">
            <w:pPr>
              <w:jc w:val="right"/>
              <w:rPr>
                <w:sz w:val="20"/>
                <w:szCs w:val="20"/>
                <w:u w:val="double"/>
              </w:rPr>
            </w:pPr>
            <w:r w:rsidRPr="009C6A71">
              <w:rPr>
                <w:sz w:val="20"/>
                <w:szCs w:val="20"/>
                <w:u w:val="double"/>
              </w:rPr>
              <w:t>8.71%</w:t>
            </w:r>
          </w:p>
        </w:tc>
      </w:tr>
      <w:tr w:rsidR="00474AFD" w:rsidRPr="009C6A71" w:rsidTr="002F7512">
        <w:trPr>
          <w:trHeight w:val="315"/>
        </w:trPr>
        <w:tc>
          <w:tcPr>
            <w:tcW w:w="187" w:type="pct"/>
            <w:tcBorders>
              <w:top w:val="nil"/>
              <w:left w:val="single" w:sz="8" w:space="0" w:color="auto"/>
              <w:bottom w:val="single" w:sz="8" w:space="0" w:color="auto"/>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1257"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7"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694"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66"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402" w:type="pct"/>
            <w:tcBorders>
              <w:top w:val="nil"/>
              <w:left w:val="nil"/>
              <w:bottom w:val="single" w:sz="8" w:space="0" w:color="auto"/>
              <w:right w:val="nil"/>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c>
          <w:tcPr>
            <w:tcW w:w="594" w:type="pct"/>
            <w:tcBorders>
              <w:top w:val="nil"/>
              <w:left w:val="nil"/>
              <w:bottom w:val="single" w:sz="8" w:space="0" w:color="auto"/>
              <w:right w:val="single" w:sz="8" w:space="0" w:color="auto"/>
            </w:tcBorders>
            <w:shd w:val="clear" w:color="000000" w:fill="FFFFFF"/>
            <w:noWrap/>
            <w:vAlign w:val="bottom"/>
            <w:hideMark/>
          </w:tcPr>
          <w:p w:rsidR="00474AFD" w:rsidRPr="009C6A71" w:rsidRDefault="00474AFD" w:rsidP="002F7512">
            <w:pPr>
              <w:rPr>
                <w:sz w:val="20"/>
                <w:szCs w:val="20"/>
              </w:rPr>
            </w:pPr>
            <w:r w:rsidRPr="009C6A71">
              <w:rPr>
                <w:sz w:val="20"/>
                <w:szCs w:val="20"/>
              </w:rPr>
              <w:t> </w:t>
            </w:r>
          </w:p>
        </w:tc>
      </w:tr>
    </w:tbl>
    <w:p w:rsidR="00B8031A" w:rsidRDefault="00B8031A" w:rsidP="0062152B">
      <w:pPr>
        <w:pStyle w:val="BodyText"/>
        <w:sectPr w:rsidR="00B8031A" w:rsidSect="00614982">
          <w:headerReference w:type="default" r:id="rId18"/>
          <w:pgSz w:w="15840" w:h="12240" w:orient="landscape" w:code="1"/>
          <w:pgMar w:top="1440" w:right="1584" w:bottom="1440" w:left="1440" w:header="720" w:footer="720" w:gutter="0"/>
          <w:cols w:space="720"/>
          <w:formProt w:val="0"/>
          <w:docGrid w:linePitch="360"/>
        </w:sectPr>
      </w:pPr>
    </w:p>
    <w:tbl>
      <w:tblPr>
        <w:tblW w:w="9057" w:type="dxa"/>
        <w:tblInd w:w="93" w:type="dxa"/>
        <w:tblLook w:val="04A0" w:firstRow="1" w:lastRow="0" w:firstColumn="1" w:lastColumn="0" w:noHBand="0" w:noVBand="1"/>
      </w:tblPr>
      <w:tblGrid>
        <w:gridCol w:w="640"/>
        <w:gridCol w:w="5405"/>
        <w:gridCol w:w="339"/>
        <w:gridCol w:w="2673"/>
      </w:tblGrid>
      <w:tr w:rsidR="00B8031A" w:rsidRPr="009C6A71" w:rsidTr="002F7512">
        <w:trPr>
          <w:trHeight w:val="315"/>
        </w:trPr>
        <w:tc>
          <w:tcPr>
            <w:tcW w:w="640" w:type="dxa"/>
            <w:tcBorders>
              <w:top w:val="single" w:sz="8" w:space="0" w:color="auto"/>
              <w:left w:val="single" w:sz="8" w:space="0" w:color="auto"/>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lastRenderedPageBreak/>
              <w:t> </w:t>
            </w:r>
          </w:p>
        </w:tc>
        <w:tc>
          <w:tcPr>
            <w:tcW w:w="5405" w:type="dxa"/>
            <w:tcBorders>
              <w:top w:val="single" w:sz="8" w:space="0" w:color="auto"/>
              <w:left w:val="nil"/>
              <w:bottom w:val="nil"/>
              <w:right w:val="nil"/>
            </w:tcBorders>
            <w:shd w:val="clear" w:color="auto" w:fill="auto"/>
            <w:noWrap/>
            <w:vAlign w:val="bottom"/>
            <w:hideMark/>
          </w:tcPr>
          <w:p w:rsidR="00B8031A" w:rsidRPr="009C6A71" w:rsidRDefault="00B8031A" w:rsidP="002F7512">
            <w:pPr>
              <w:rPr>
                <w:rFonts w:ascii="Arial" w:hAnsi="Arial" w:cs="Arial"/>
                <w:b/>
                <w:bCs/>
              </w:rPr>
            </w:pPr>
            <w:r w:rsidRPr="009C6A71">
              <w:rPr>
                <w:rFonts w:ascii="Arial" w:hAnsi="Arial" w:cs="Arial"/>
                <w:b/>
                <w:bCs/>
              </w:rPr>
              <w:t xml:space="preserve">Utilities, Inc. of </w:t>
            </w:r>
            <w:proofErr w:type="spellStart"/>
            <w:r w:rsidRPr="009C6A71">
              <w:rPr>
                <w:rFonts w:ascii="Arial" w:hAnsi="Arial" w:cs="Arial"/>
                <w:b/>
                <w:bCs/>
              </w:rPr>
              <w:t>Sandalhaven</w:t>
            </w:r>
            <w:proofErr w:type="spellEnd"/>
          </w:p>
        </w:tc>
        <w:tc>
          <w:tcPr>
            <w:tcW w:w="3012" w:type="dxa"/>
            <w:gridSpan w:val="2"/>
            <w:tcBorders>
              <w:top w:val="single" w:sz="8" w:space="0" w:color="auto"/>
              <w:left w:val="nil"/>
              <w:bottom w:val="nil"/>
              <w:right w:val="single" w:sz="8" w:space="0" w:color="000000"/>
            </w:tcBorders>
            <w:shd w:val="clear" w:color="000000" w:fill="FFFFFF"/>
            <w:noWrap/>
            <w:vAlign w:val="bottom"/>
            <w:hideMark/>
          </w:tcPr>
          <w:p w:rsidR="00B8031A" w:rsidRPr="009C6A71" w:rsidRDefault="00B8031A" w:rsidP="002F7512">
            <w:pPr>
              <w:jc w:val="right"/>
              <w:rPr>
                <w:rFonts w:ascii="Arial" w:hAnsi="Arial" w:cs="Arial"/>
                <w:b/>
                <w:bCs/>
              </w:rPr>
            </w:pPr>
            <w:r w:rsidRPr="009C6A71">
              <w:rPr>
                <w:rFonts w:ascii="Arial" w:hAnsi="Arial" w:cs="Arial"/>
                <w:b/>
                <w:bCs/>
              </w:rPr>
              <w:t>Schedule No. 3-B</w:t>
            </w:r>
          </w:p>
        </w:tc>
      </w:tr>
      <w:tr w:rsidR="00B8031A" w:rsidRPr="009C6A71" w:rsidTr="002F7512">
        <w:trPr>
          <w:trHeight w:val="315"/>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5405" w:type="dxa"/>
            <w:tcBorders>
              <w:top w:val="nil"/>
              <w:left w:val="nil"/>
              <w:bottom w:val="nil"/>
              <w:right w:val="nil"/>
            </w:tcBorders>
            <w:shd w:val="clear" w:color="000000" w:fill="FFFFFF"/>
            <w:noWrap/>
            <w:vAlign w:val="bottom"/>
            <w:hideMark/>
          </w:tcPr>
          <w:p w:rsidR="00B8031A" w:rsidRPr="009C6A71" w:rsidRDefault="00B8031A" w:rsidP="002F7512">
            <w:pPr>
              <w:rPr>
                <w:rFonts w:ascii="Arial" w:hAnsi="Arial" w:cs="Arial"/>
                <w:b/>
                <w:bCs/>
              </w:rPr>
            </w:pPr>
            <w:r w:rsidRPr="009C6A71">
              <w:rPr>
                <w:rFonts w:ascii="Arial" w:hAnsi="Arial" w:cs="Arial"/>
                <w:b/>
                <w:bCs/>
              </w:rPr>
              <w:t>Adjustment to Operating Income</w:t>
            </w:r>
          </w:p>
        </w:tc>
        <w:tc>
          <w:tcPr>
            <w:tcW w:w="3012" w:type="dxa"/>
            <w:gridSpan w:val="2"/>
            <w:tcBorders>
              <w:top w:val="nil"/>
              <w:left w:val="nil"/>
              <w:bottom w:val="nil"/>
              <w:right w:val="single" w:sz="8" w:space="0" w:color="000000"/>
            </w:tcBorders>
            <w:shd w:val="clear" w:color="auto" w:fill="auto"/>
            <w:noWrap/>
            <w:vAlign w:val="bottom"/>
            <w:hideMark/>
          </w:tcPr>
          <w:p w:rsidR="00B8031A" w:rsidRPr="009C6A71" w:rsidRDefault="00B8031A" w:rsidP="002F7512">
            <w:pPr>
              <w:jc w:val="right"/>
              <w:rPr>
                <w:rFonts w:ascii="Arial" w:hAnsi="Arial" w:cs="Arial"/>
                <w:b/>
                <w:bCs/>
              </w:rPr>
            </w:pPr>
            <w:r w:rsidRPr="009C6A71">
              <w:rPr>
                <w:rFonts w:ascii="Arial" w:hAnsi="Arial" w:cs="Arial"/>
                <w:b/>
                <w:bCs/>
              </w:rPr>
              <w:t>Docket No. 150102-SU</w:t>
            </w:r>
          </w:p>
        </w:tc>
      </w:tr>
      <w:tr w:rsidR="00B8031A" w:rsidRPr="009C6A71" w:rsidTr="00772AAA">
        <w:trPr>
          <w:trHeight w:val="330"/>
        </w:trPr>
        <w:tc>
          <w:tcPr>
            <w:tcW w:w="640" w:type="dxa"/>
            <w:tcBorders>
              <w:top w:val="nil"/>
              <w:left w:val="single" w:sz="8" w:space="0" w:color="auto"/>
              <w:bottom w:val="single" w:sz="8" w:space="0" w:color="auto"/>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5405" w:type="dxa"/>
            <w:tcBorders>
              <w:top w:val="nil"/>
              <w:left w:val="nil"/>
              <w:bottom w:val="single" w:sz="8" w:space="0" w:color="auto"/>
              <w:right w:val="nil"/>
            </w:tcBorders>
            <w:shd w:val="clear" w:color="000000" w:fill="FFFFFF"/>
            <w:noWrap/>
            <w:vAlign w:val="bottom"/>
            <w:hideMark/>
          </w:tcPr>
          <w:p w:rsidR="00B8031A" w:rsidRPr="009C6A71" w:rsidRDefault="00B8031A" w:rsidP="002F7512">
            <w:pPr>
              <w:rPr>
                <w:rFonts w:ascii="Arial" w:hAnsi="Arial" w:cs="Arial"/>
                <w:b/>
                <w:bCs/>
              </w:rPr>
            </w:pPr>
            <w:r w:rsidRPr="009C6A71">
              <w:rPr>
                <w:rFonts w:ascii="Arial" w:hAnsi="Arial" w:cs="Arial"/>
                <w:b/>
                <w:bCs/>
              </w:rPr>
              <w:t>Test Year Ended 12/31/14</w:t>
            </w:r>
          </w:p>
        </w:tc>
        <w:tc>
          <w:tcPr>
            <w:tcW w:w="339" w:type="dxa"/>
            <w:tcBorders>
              <w:top w:val="nil"/>
              <w:left w:val="nil"/>
              <w:bottom w:val="single" w:sz="8" w:space="0" w:color="auto"/>
              <w:right w:val="nil"/>
            </w:tcBorders>
            <w:shd w:val="clear" w:color="000000" w:fill="FFFFFF"/>
            <w:noWrap/>
            <w:vAlign w:val="bottom"/>
            <w:hideMark/>
          </w:tcPr>
          <w:p w:rsidR="00B8031A" w:rsidRPr="009C6A71" w:rsidRDefault="00B8031A" w:rsidP="002F7512">
            <w:pPr>
              <w:jc w:val="right"/>
              <w:rPr>
                <w:rFonts w:ascii="Arial" w:hAnsi="Arial" w:cs="Arial"/>
                <w:b/>
                <w:bCs/>
              </w:rPr>
            </w:pPr>
            <w:r w:rsidRPr="009C6A71">
              <w:rPr>
                <w:rFonts w:ascii="Arial" w:hAnsi="Arial" w:cs="Arial"/>
                <w:b/>
                <w:bCs/>
              </w:rPr>
              <w:t> </w:t>
            </w:r>
          </w:p>
        </w:tc>
        <w:tc>
          <w:tcPr>
            <w:tcW w:w="2673" w:type="dxa"/>
            <w:tcBorders>
              <w:top w:val="nil"/>
              <w:left w:val="nil"/>
              <w:bottom w:val="single" w:sz="8" w:space="0" w:color="auto"/>
              <w:right w:val="single" w:sz="8" w:space="0" w:color="auto"/>
            </w:tcBorders>
            <w:shd w:val="clear" w:color="000000" w:fill="FFFFFF"/>
            <w:noWrap/>
            <w:vAlign w:val="bottom"/>
            <w:hideMark/>
          </w:tcPr>
          <w:p w:rsidR="00B8031A" w:rsidRPr="009C6A71" w:rsidRDefault="00B8031A" w:rsidP="002F7512">
            <w:pPr>
              <w:rPr>
                <w:rFonts w:ascii="Arial" w:hAnsi="Arial" w:cs="Arial"/>
                <w:b/>
                <w:bCs/>
              </w:rPr>
            </w:pPr>
            <w:r w:rsidRPr="009C6A71">
              <w:rPr>
                <w:rFonts w:ascii="Arial" w:hAnsi="Arial" w:cs="Arial"/>
                <w:b/>
                <w:bCs/>
              </w:rPr>
              <w:t> </w:t>
            </w:r>
          </w:p>
        </w:tc>
      </w:tr>
      <w:tr w:rsidR="00B8031A" w:rsidRPr="009C6A71" w:rsidTr="00772AAA">
        <w:trPr>
          <w:trHeight w:val="300"/>
        </w:trPr>
        <w:tc>
          <w:tcPr>
            <w:tcW w:w="640" w:type="dxa"/>
            <w:tcBorders>
              <w:top w:val="single" w:sz="8" w:space="0" w:color="auto"/>
              <w:left w:val="single" w:sz="8" w:space="0" w:color="auto"/>
              <w:bottom w:val="nil"/>
              <w:right w:val="nil"/>
            </w:tcBorders>
            <w:shd w:val="clear" w:color="000000" w:fill="auto"/>
            <w:noWrap/>
            <w:vAlign w:val="bottom"/>
            <w:hideMark/>
          </w:tcPr>
          <w:p w:rsidR="00B8031A" w:rsidRPr="009C6A71" w:rsidRDefault="00B8031A" w:rsidP="002F7512">
            <w:pPr>
              <w:rPr>
                <w:sz w:val="20"/>
                <w:szCs w:val="20"/>
              </w:rPr>
            </w:pPr>
            <w:r w:rsidRPr="009C6A71">
              <w:rPr>
                <w:sz w:val="20"/>
                <w:szCs w:val="20"/>
              </w:rPr>
              <w:t> </w:t>
            </w:r>
          </w:p>
        </w:tc>
        <w:tc>
          <w:tcPr>
            <w:tcW w:w="5405" w:type="dxa"/>
            <w:tcBorders>
              <w:top w:val="single" w:sz="8" w:space="0" w:color="auto"/>
              <w:left w:val="nil"/>
              <w:bottom w:val="nil"/>
              <w:right w:val="nil"/>
            </w:tcBorders>
            <w:shd w:val="clear" w:color="000000" w:fill="auto"/>
            <w:noWrap/>
            <w:vAlign w:val="bottom"/>
            <w:hideMark/>
          </w:tcPr>
          <w:p w:rsidR="00B8031A" w:rsidRPr="009C6A71" w:rsidRDefault="00B8031A" w:rsidP="002F7512">
            <w:pPr>
              <w:rPr>
                <w:sz w:val="20"/>
                <w:szCs w:val="20"/>
              </w:rPr>
            </w:pPr>
            <w:r w:rsidRPr="009C6A71">
              <w:rPr>
                <w:sz w:val="20"/>
                <w:szCs w:val="20"/>
              </w:rPr>
              <w:t> </w:t>
            </w:r>
          </w:p>
        </w:tc>
        <w:tc>
          <w:tcPr>
            <w:tcW w:w="339" w:type="dxa"/>
            <w:tcBorders>
              <w:top w:val="single" w:sz="8" w:space="0" w:color="auto"/>
              <w:left w:val="nil"/>
              <w:bottom w:val="nil"/>
              <w:right w:val="nil"/>
            </w:tcBorders>
            <w:shd w:val="clear" w:color="000000" w:fill="auto"/>
            <w:noWrap/>
            <w:vAlign w:val="bottom"/>
            <w:hideMark/>
          </w:tcPr>
          <w:p w:rsidR="00B8031A" w:rsidRPr="009C6A71" w:rsidRDefault="00B8031A" w:rsidP="002F7512">
            <w:pPr>
              <w:rPr>
                <w:sz w:val="20"/>
                <w:szCs w:val="20"/>
              </w:rPr>
            </w:pPr>
            <w:r w:rsidRPr="009C6A71">
              <w:rPr>
                <w:sz w:val="20"/>
                <w:szCs w:val="20"/>
              </w:rPr>
              <w:t> </w:t>
            </w:r>
          </w:p>
        </w:tc>
        <w:tc>
          <w:tcPr>
            <w:tcW w:w="2673" w:type="dxa"/>
            <w:tcBorders>
              <w:top w:val="single" w:sz="8" w:space="0" w:color="auto"/>
              <w:left w:val="nil"/>
              <w:bottom w:val="nil"/>
              <w:right w:val="single" w:sz="8" w:space="0" w:color="auto"/>
            </w:tcBorders>
            <w:shd w:val="clear" w:color="000000" w:fill="auto"/>
            <w:noWrap/>
            <w:vAlign w:val="bottom"/>
            <w:hideMark/>
          </w:tcPr>
          <w:p w:rsidR="00B8031A" w:rsidRPr="009C6A71" w:rsidRDefault="00B8031A" w:rsidP="002F7512">
            <w:pPr>
              <w:rPr>
                <w:sz w:val="20"/>
                <w:szCs w:val="20"/>
              </w:rPr>
            </w:pPr>
            <w:r w:rsidRPr="009C6A71">
              <w:rPr>
                <w:sz w:val="20"/>
                <w:szCs w:val="20"/>
              </w:rPr>
              <w:t> </w:t>
            </w:r>
          </w:p>
        </w:tc>
      </w:tr>
      <w:tr w:rsidR="00B8031A" w:rsidRPr="009C6A71" w:rsidTr="00772AAA">
        <w:trPr>
          <w:trHeight w:val="300"/>
        </w:trPr>
        <w:tc>
          <w:tcPr>
            <w:tcW w:w="640" w:type="dxa"/>
            <w:tcBorders>
              <w:top w:val="nil"/>
              <w:left w:val="single" w:sz="8" w:space="0" w:color="auto"/>
              <w:bottom w:val="nil"/>
              <w:right w:val="nil"/>
            </w:tcBorders>
            <w:shd w:val="clear" w:color="000000" w:fill="auto"/>
            <w:noWrap/>
            <w:vAlign w:val="bottom"/>
            <w:hideMark/>
          </w:tcPr>
          <w:p w:rsidR="00B8031A" w:rsidRPr="009C6A71" w:rsidRDefault="00B8031A" w:rsidP="002F7512">
            <w:pPr>
              <w:rPr>
                <w:sz w:val="20"/>
                <w:szCs w:val="20"/>
              </w:rPr>
            </w:pPr>
            <w:r w:rsidRPr="009C6A71">
              <w:rPr>
                <w:sz w:val="20"/>
                <w:szCs w:val="20"/>
              </w:rPr>
              <w:t> </w:t>
            </w:r>
          </w:p>
        </w:tc>
        <w:tc>
          <w:tcPr>
            <w:tcW w:w="5405" w:type="dxa"/>
            <w:tcBorders>
              <w:top w:val="nil"/>
              <w:left w:val="nil"/>
              <w:bottom w:val="nil"/>
              <w:right w:val="nil"/>
            </w:tcBorders>
            <w:shd w:val="clear" w:color="000000" w:fill="auto"/>
            <w:noWrap/>
            <w:vAlign w:val="bottom"/>
            <w:hideMark/>
          </w:tcPr>
          <w:p w:rsidR="00B8031A" w:rsidRPr="009C6A71" w:rsidRDefault="00B8031A" w:rsidP="002F7512">
            <w:pPr>
              <w:rPr>
                <w:b/>
                <w:bCs/>
                <w:sz w:val="20"/>
                <w:szCs w:val="20"/>
              </w:rPr>
            </w:pPr>
            <w:r w:rsidRPr="009C6A71">
              <w:rPr>
                <w:b/>
                <w:bCs/>
                <w:sz w:val="20"/>
                <w:szCs w:val="20"/>
              </w:rPr>
              <w:t>Explanation</w:t>
            </w:r>
          </w:p>
        </w:tc>
        <w:tc>
          <w:tcPr>
            <w:tcW w:w="339" w:type="dxa"/>
            <w:tcBorders>
              <w:top w:val="nil"/>
              <w:left w:val="nil"/>
              <w:bottom w:val="nil"/>
              <w:right w:val="nil"/>
            </w:tcBorders>
            <w:shd w:val="clear" w:color="000000" w:fill="auto"/>
            <w:noWrap/>
            <w:vAlign w:val="bottom"/>
            <w:hideMark/>
          </w:tcPr>
          <w:p w:rsidR="00B8031A" w:rsidRPr="009C6A71" w:rsidRDefault="00B8031A" w:rsidP="002F7512">
            <w:pPr>
              <w:jc w:val="center"/>
              <w:rPr>
                <w:b/>
                <w:bCs/>
                <w:sz w:val="20"/>
                <w:szCs w:val="20"/>
              </w:rPr>
            </w:pPr>
            <w:r w:rsidRPr="009C6A71">
              <w:rPr>
                <w:b/>
                <w:bCs/>
                <w:sz w:val="20"/>
                <w:szCs w:val="20"/>
              </w:rPr>
              <w:t> </w:t>
            </w:r>
          </w:p>
        </w:tc>
        <w:tc>
          <w:tcPr>
            <w:tcW w:w="2673" w:type="dxa"/>
            <w:tcBorders>
              <w:top w:val="nil"/>
              <w:left w:val="nil"/>
              <w:bottom w:val="nil"/>
              <w:right w:val="single" w:sz="8" w:space="0" w:color="auto"/>
            </w:tcBorders>
            <w:shd w:val="clear" w:color="000000" w:fill="auto"/>
            <w:noWrap/>
            <w:vAlign w:val="bottom"/>
            <w:hideMark/>
          </w:tcPr>
          <w:p w:rsidR="00B8031A" w:rsidRPr="009C6A71" w:rsidRDefault="00B8031A" w:rsidP="002F7512">
            <w:pPr>
              <w:jc w:val="center"/>
              <w:rPr>
                <w:b/>
                <w:bCs/>
                <w:sz w:val="20"/>
                <w:szCs w:val="20"/>
              </w:rPr>
            </w:pPr>
            <w:r w:rsidRPr="009C6A71">
              <w:rPr>
                <w:b/>
                <w:bCs/>
                <w:sz w:val="20"/>
                <w:szCs w:val="20"/>
              </w:rPr>
              <w:t>Wastewater</w:t>
            </w:r>
          </w:p>
        </w:tc>
      </w:tr>
      <w:tr w:rsidR="00B8031A" w:rsidRPr="009C6A71" w:rsidTr="00772AAA">
        <w:trPr>
          <w:trHeight w:val="315"/>
        </w:trPr>
        <w:tc>
          <w:tcPr>
            <w:tcW w:w="640" w:type="dxa"/>
            <w:tcBorders>
              <w:top w:val="nil"/>
              <w:left w:val="single" w:sz="8" w:space="0" w:color="auto"/>
              <w:bottom w:val="single" w:sz="8" w:space="0" w:color="000000"/>
              <w:right w:val="nil"/>
            </w:tcBorders>
            <w:shd w:val="clear" w:color="000000" w:fill="auto"/>
            <w:noWrap/>
            <w:vAlign w:val="bottom"/>
            <w:hideMark/>
          </w:tcPr>
          <w:p w:rsidR="00B8031A" w:rsidRPr="009C6A71" w:rsidRDefault="00B8031A" w:rsidP="002F7512">
            <w:pPr>
              <w:rPr>
                <w:sz w:val="20"/>
                <w:szCs w:val="20"/>
              </w:rPr>
            </w:pPr>
            <w:r w:rsidRPr="009C6A71">
              <w:rPr>
                <w:sz w:val="20"/>
                <w:szCs w:val="20"/>
              </w:rPr>
              <w:t> </w:t>
            </w:r>
          </w:p>
        </w:tc>
        <w:tc>
          <w:tcPr>
            <w:tcW w:w="5405" w:type="dxa"/>
            <w:tcBorders>
              <w:top w:val="nil"/>
              <w:left w:val="nil"/>
              <w:bottom w:val="single" w:sz="8" w:space="0" w:color="000000"/>
              <w:right w:val="nil"/>
            </w:tcBorders>
            <w:shd w:val="clear" w:color="000000" w:fill="auto"/>
            <w:noWrap/>
            <w:vAlign w:val="bottom"/>
            <w:hideMark/>
          </w:tcPr>
          <w:p w:rsidR="00B8031A" w:rsidRPr="009C6A71" w:rsidRDefault="00B8031A" w:rsidP="002F7512">
            <w:pPr>
              <w:rPr>
                <w:sz w:val="20"/>
                <w:szCs w:val="20"/>
              </w:rPr>
            </w:pPr>
            <w:r w:rsidRPr="009C6A71">
              <w:rPr>
                <w:sz w:val="20"/>
                <w:szCs w:val="20"/>
              </w:rPr>
              <w:t> </w:t>
            </w:r>
          </w:p>
        </w:tc>
        <w:tc>
          <w:tcPr>
            <w:tcW w:w="339" w:type="dxa"/>
            <w:tcBorders>
              <w:top w:val="nil"/>
              <w:left w:val="nil"/>
              <w:bottom w:val="single" w:sz="8" w:space="0" w:color="000000"/>
              <w:right w:val="nil"/>
            </w:tcBorders>
            <w:shd w:val="clear" w:color="000000" w:fill="auto"/>
            <w:noWrap/>
            <w:vAlign w:val="bottom"/>
            <w:hideMark/>
          </w:tcPr>
          <w:p w:rsidR="00B8031A" w:rsidRPr="009C6A71" w:rsidRDefault="00B8031A" w:rsidP="002F7512">
            <w:pPr>
              <w:rPr>
                <w:sz w:val="20"/>
                <w:szCs w:val="20"/>
              </w:rPr>
            </w:pPr>
            <w:r w:rsidRPr="009C6A71">
              <w:rPr>
                <w:sz w:val="20"/>
                <w:szCs w:val="20"/>
              </w:rPr>
              <w:t> </w:t>
            </w:r>
          </w:p>
        </w:tc>
        <w:tc>
          <w:tcPr>
            <w:tcW w:w="2673" w:type="dxa"/>
            <w:tcBorders>
              <w:top w:val="nil"/>
              <w:left w:val="nil"/>
              <w:bottom w:val="single" w:sz="8" w:space="0" w:color="000000"/>
              <w:right w:val="single" w:sz="8" w:space="0" w:color="auto"/>
            </w:tcBorders>
            <w:shd w:val="clear" w:color="000000" w:fill="auto"/>
            <w:noWrap/>
            <w:vAlign w:val="bottom"/>
            <w:hideMark/>
          </w:tcPr>
          <w:p w:rsidR="00B8031A" w:rsidRPr="009C6A71" w:rsidRDefault="00B8031A" w:rsidP="002F7512">
            <w:pPr>
              <w:rPr>
                <w:sz w:val="20"/>
                <w:szCs w:val="20"/>
              </w:rPr>
            </w:pPr>
            <w:r w:rsidRPr="009C6A71">
              <w:rPr>
                <w:sz w:val="20"/>
                <w:szCs w:val="20"/>
              </w:rPr>
              <w:t> </w:t>
            </w:r>
          </w:p>
        </w:tc>
      </w:tr>
      <w:tr w:rsidR="00B8031A" w:rsidRPr="009C6A71" w:rsidTr="00772AAA">
        <w:trPr>
          <w:trHeight w:val="300"/>
        </w:trPr>
        <w:tc>
          <w:tcPr>
            <w:tcW w:w="640" w:type="dxa"/>
            <w:tcBorders>
              <w:top w:val="single" w:sz="8" w:space="0" w:color="000000"/>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405" w:type="dxa"/>
            <w:tcBorders>
              <w:top w:val="single" w:sz="8" w:space="0" w:color="000000"/>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339" w:type="dxa"/>
            <w:tcBorders>
              <w:top w:val="single" w:sz="8" w:space="0" w:color="000000"/>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2673" w:type="dxa"/>
            <w:tcBorders>
              <w:top w:val="single" w:sz="8" w:space="0" w:color="000000"/>
              <w:left w:val="nil"/>
              <w:bottom w:val="nil"/>
              <w:right w:val="single" w:sz="8" w:space="0" w:color="auto"/>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405"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u w:val="single"/>
              </w:rPr>
            </w:pPr>
            <w:r w:rsidRPr="009C6A71">
              <w:rPr>
                <w:sz w:val="20"/>
                <w:szCs w:val="20"/>
                <w:u w:val="single"/>
              </w:rPr>
              <w:t>Operating Revenues</w:t>
            </w:r>
          </w:p>
        </w:tc>
        <w:tc>
          <w:tcPr>
            <w:tcW w:w="339"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1</w:t>
            </w:r>
          </w:p>
        </w:tc>
        <w:tc>
          <w:tcPr>
            <w:tcW w:w="5744" w:type="dxa"/>
            <w:gridSpan w:val="2"/>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Remove requested final revenue increase. (Issue 2)</w:t>
            </w: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jc w:val="right"/>
              <w:rPr>
                <w:sz w:val="20"/>
                <w:szCs w:val="20"/>
              </w:rPr>
            </w:pPr>
            <w:r w:rsidRPr="009C6A71">
              <w:rPr>
                <w:sz w:val="20"/>
                <w:szCs w:val="20"/>
              </w:rPr>
              <w:t>($724,062)</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2</w:t>
            </w:r>
          </w:p>
        </w:tc>
        <w:tc>
          <w:tcPr>
            <w:tcW w:w="5744" w:type="dxa"/>
            <w:gridSpan w:val="2"/>
            <w:tcBorders>
              <w:top w:val="nil"/>
              <w:left w:val="nil"/>
              <w:bottom w:val="nil"/>
              <w:right w:val="nil"/>
            </w:tcBorders>
            <w:shd w:val="clear" w:color="000000" w:fill="FFFFFF"/>
            <w:noWrap/>
            <w:vAlign w:val="bottom"/>
            <w:hideMark/>
          </w:tcPr>
          <w:p w:rsidR="00B8031A" w:rsidRPr="009C6A71" w:rsidRDefault="00AA5724" w:rsidP="00AA5724">
            <w:pPr>
              <w:rPr>
                <w:sz w:val="20"/>
                <w:szCs w:val="20"/>
              </w:rPr>
            </w:pPr>
            <w:r w:rsidRPr="002826F1">
              <w:rPr>
                <w:sz w:val="20"/>
                <w:szCs w:val="20"/>
              </w:rPr>
              <w:t xml:space="preserve">To reflect the revenues based on appropriate </w:t>
            </w:r>
            <w:proofErr w:type="spellStart"/>
            <w:r w:rsidRPr="002826F1">
              <w:rPr>
                <w:sz w:val="20"/>
                <w:szCs w:val="20"/>
              </w:rPr>
              <w:t>gallonage</w:t>
            </w:r>
            <w:proofErr w:type="spellEnd"/>
            <w:r w:rsidRPr="002826F1">
              <w:rPr>
                <w:sz w:val="20"/>
                <w:szCs w:val="20"/>
              </w:rPr>
              <w:t xml:space="preserve"> cap</w:t>
            </w:r>
            <w:r w:rsidR="00B8031A" w:rsidRPr="00292335">
              <w:rPr>
                <w:sz w:val="20"/>
                <w:szCs w:val="20"/>
              </w:rPr>
              <w:t>.</w:t>
            </w:r>
            <w:r w:rsidR="00B8031A" w:rsidRPr="009C6A71">
              <w:rPr>
                <w:sz w:val="20"/>
                <w:szCs w:val="20"/>
              </w:rPr>
              <w:t xml:space="preserve"> (Issue 2)</w:t>
            </w: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jc w:val="right"/>
              <w:rPr>
                <w:sz w:val="20"/>
                <w:szCs w:val="20"/>
                <w:u w:val="single"/>
              </w:rPr>
            </w:pPr>
            <w:r w:rsidRPr="009C6A71">
              <w:rPr>
                <w:sz w:val="20"/>
                <w:szCs w:val="20"/>
                <w:u w:val="single"/>
              </w:rPr>
              <w:t>(12,199)</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405"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xml:space="preserve">    Total</w:t>
            </w:r>
          </w:p>
        </w:tc>
        <w:tc>
          <w:tcPr>
            <w:tcW w:w="339" w:type="dxa"/>
            <w:tcBorders>
              <w:top w:val="nil"/>
              <w:left w:val="nil"/>
              <w:bottom w:val="nil"/>
              <w:right w:val="nil"/>
            </w:tcBorders>
            <w:shd w:val="clear" w:color="000000" w:fill="FFFFFF"/>
            <w:noWrap/>
            <w:vAlign w:val="bottom"/>
            <w:hideMark/>
          </w:tcPr>
          <w:p w:rsidR="00B8031A" w:rsidRPr="009C6A71" w:rsidRDefault="00B8031A" w:rsidP="002F7512">
            <w:pPr>
              <w:jc w:val="right"/>
              <w:rPr>
                <w:sz w:val="20"/>
                <w:szCs w:val="20"/>
                <w:u w:val="double"/>
              </w:rPr>
            </w:pP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jc w:val="right"/>
              <w:rPr>
                <w:sz w:val="20"/>
                <w:szCs w:val="20"/>
                <w:u w:val="double"/>
              </w:rPr>
            </w:pPr>
            <w:r w:rsidRPr="009C6A71">
              <w:rPr>
                <w:sz w:val="20"/>
                <w:szCs w:val="20"/>
                <w:u w:val="double"/>
              </w:rPr>
              <w:t>($736,261)</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405"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339"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405"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u w:val="single"/>
              </w:rPr>
            </w:pPr>
            <w:r w:rsidRPr="009C6A71">
              <w:rPr>
                <w:sz w:val="20"/>
                <w:szCs w:val="20"/>
                <w:u w:val="single"/>
              </w:rPr>
              <w:t>Operation and Maintenance Expense</w:t>
            </w:r>
          </w:p>
        </w:tc>
        <w:tc>
          <w:tcPr>
            <w:tcW w:w="339"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1</w:t>
            </w:r>
          </w:p>
        </w:tc>
        <w:tc>
          <w:tcPr>
            <w:tcW w:w="5744" w:type="dxa"/>
            <w:gridSpan w:val="2"/>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xml:space="preserve">Remove </w:t>
            </w:r>
            <w:proofErr w:type="spellStart"/>
            <w:r w:rsidRPr="009C6A71">
              <w:rPr>
                <w:sz w:val="20"/>
                <w:szCs w:val="20"/>
              </w:rPr>
              <w:t>annualization</w:t>
            </w:r>
            <w:proofErr w:type="spellEnd"/>
            <w:r w:rsidRPr="009C6A71">
              <w:rPr>
                <w:sz w:val="20"/>
                <w:szCs w:val="20"/>
              </w:rPr>
              <w:t xml:space="preserve"> of amortization of deferred charges. (Issue 2)</w:t>
            </w: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jc w:val="right"/>
              <w:rPr>
                <w:sz w:val="20"/>
                <w:szCs w:val="20"/>
              </w:rPr>
            </w:pPr>
            <w:r w:rsidRPr="009C6A71">
              <w:rPr>
                <w:sz w:val="20"/>
                <w:szCs w:val="20"/>
              </w:rPr>
              <w:t>($1,798)</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2</w:t>
            </w:r>
          </w:p>
        </w:tc>
        <w:tc>
          <w:tcPr>
            <w:tcW w:w="5405" w:type="dxa"/>
            <w:tcBorders>
              <w:top w:val="nil"/>
              <w:left w:val="nil"/>
              <w:bottom w:val="nil"/>
              <w:right w:val="nil"/>
            </w:tcBorders>
            <w:shd w:val="clear" w:color="000000" w:fill="FFFFFF"/>
            <w:noWrap/>
            <w:vAlign w:val="bottom"/>
            <w:hideMark/>
          </w:tcPr>
          <w:p w:rsidR="00B8031A" w:rsidRPr="009C6A71" w:rsidRDefault="00370B7A" w:rsidP="002F7512">
            <w:pPr>
              <w:rPr>
                <w:sz w:val="20"/>
                <w:szCs w:val="20"/>
              </w:rPr>
            </w:pPr>
            <w:r w:rsidRPr="009C6A71">
              <w:rPr>
                <w:sz w:val="20"/>
                <w:szCs w:val="20"/>
              </w:rPr>
              <w:t>Excessive</w:t>
            </w:r>
            <w:r w:rsidR="00B8031A" w:rsidRPr="009C6A71">
              <w:rPr>
                <w:sz w:val="20"/>
                <w:szCs w:val="20"/>
              </w:rPr>
              <w:t xml:space="preserve"> I&amp;I adjustment. (Issue 2)</w:t>
            </w:r>
          </w:p>
        </w:tc>
        <w:tc>
          <w:tcPr>
            <w:tcW w:w="339" w:type="dxa"/>
            <w:tcBorders>
              <w:top w:val="nil"/>
              <w:left w:val="nil"/>
              <w:bottom w:val="nil"/>
              <w:right w:val="nil"/>
            </w:tcBorders>
            <w:shd w:val="clear" w:color="000000" w:fill="FFFFFF"/>
            <w:noWrap/>
            <w:vAlign w:val="bottom"/>
            <w:hideMark/>
          </w:tcPr>
          <w:p w:rsidR="00B8031A" w:rsidRPr="009C6A71" w:rsidRDefault="00B8031A" w:rsidP="002F7512">
            <w:pPr>
              <w:jc w:val="right"/>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B8031A" w:rsidRPr="00940599" w:rsidRDefault="00B8031A" w:rsidP="002F7512">
            <w:pPr>
              <w:jc w:val="right"/>
              <w:rPr>
                <w:sz w:val="20"/>
                <w:szCs w:val="20"/>
                <w:u w:val="single"/>
              </w:rPr>
            </w:pPr>
            <w:r w:rsidRPr="00940599">
              <w:rPr>
                <w:sz w:val="20"/>
                <w:szCs w:val="20"/>
                <w:u w:val="single"/>
              </w:rPr>
              <w:t>(38,989)</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405"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xml:space="preserve">    Total</w:t>
            </w:r>
          </w:p>
        </w:tc>
        <w:tc>
          <w:tcPr>
            <w:tcW w:w="339" w:type="dxa"/>
            <w:tcBorders>
              <w:top w:val="nil"/>
              <w:left w:val="nil"/>
              <w:bottom w:val="nil"/>
              <w:right w:val="nil"/>
            </w:tcBorders>
            <w:shd w:val="clear" w:color="000000" w:fill="FFFFFF"/>
            <w:noWrap/>
            <w:vAlign w:val="bottom"/>
            <w:hideMark/>
          </w:tcPr>
          <w:p w:rsidR="00B8031A" w:rsidRPr="009C6A71" w:rsidRDefault="00B8031A" w:rsidP="002F7512">
            <w:pPr>
              <w:jc w:val="right"/>
              <w:rPr>
                <w:sz w:val="20"/>
                <w:szCs w:val="20"/>
                <w:u w:val="double"/>
              </w:rPr>
            </w:pP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jc w:val="right"/>
              <w:rPr>
                <w:sz w:val="20"/>
                <w:szCs w:val="20"/>
                <w:u w:val="double"/>
              </w:rPr>
            </w:pPr>
            <w:r w:rsidRPr="009C6A71">
              <w:rPr>
                <w:sz w:val="20"/>
                <w:szCs w:val="20"/>
                <w:u w:val="double"/>
              </w:rPr>
              <w:t>($40,787)</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405"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339"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405"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u w:val="single"/>
              </w:rPr>
            </w:pPr>
            <w:r w:rsidRPr="009C6A71">
              <w:rPr>
                <w:sz w:val="20"/>
                <w:szCs w:val="20"/>
                <w:u w:val="single"/>
              </w:rPr>
              <w:t>Taxes Other Than Income</w:t>
            </w:r>
          </w:p>
        </w:tc>
        <w:tc>
          <w:tcPr>
            <w:tcW w:w="339" w:type="dxa"/>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r>
      <w:tr w:rsidR="00B8031A" w:rsidRPr="009C6A71" w:rsidTr="002F7512">
        <w:trPr>
          <w:trHeight w:val="300"/>
        </w:trPr>
        <w:tc>
          <w:tcPr>
            <w:tcW w:w="640" w:type="dxa"/>
            <w:tcBorders>
              <w:top w:val="nil"/>
              <w:left w:val="single" w:sz="8" w:space="0" w:color="auto"/>
              <w:bottom w:val="nil"/>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744" w:type="dxa"/>
            <w:gridSpan w:val="2"/>
            <w:tcBorders>
              <w:top w:val="nil"/>
              <w:left w:val="nil"/>
              <w:bottom w:val="nil"/>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RAFs on revenue adjustments above. (Issue 2)</w:t>
            </w:r>
          </w:p>
        </w:tc>
        <w:tc>
          <w:tcPr>
            <w:tcW w:w="2673" w:type="dxa"/>
            <w:tcBorders>
              <w:top w:val="nil"/>
              <w:left w:val="nil"/>
              <w:bottom w:val="nil"/>
              <w:right w:val="single" w:sz="8" w:space="0" w:color="auto"/>
            </w:tcBorders>
            <w:shd w:val="clear" w:color="000000" w:fill="FFFFFF"/>
            <w:noWrap/>
            <w:vAlign w:val="bottom"/>
            <w:hideMark/>
          </w:tcPr>
          <w:p w:rsidR="00B8031A" w:rsidRPr="009C6A71" w:rsidRDefault="00B8031A" w:rsidP="002F7512">
            <w:pPr>
              <w:jc w:val="right"/>
              <w:rPr>
                <w:sz w:val="20"/>
                <w:szCs w:val="20"/>
                <w:u w:val="double"/>
              </w:rPr>
            </w:pPr>
            <w:r w:rsidRPr="009C6A71">
              <w:rPr>
                <w:sz w:val="20"/>
                <w:szCs w:val="20"/>
                <w:u w:val="double"/>
              </w:rPr>
              <w:t>($33,132)</w:t>
            </w:r>
          </w:p>
        </w:tc>
      </w:tr>
      <w:tr w:rsidR="00B8031A" w:rsidRPr="009C6A71" w:rsidTr="002F7512">
        <w:trPr>
          <w:trHeight w:val="315"/>
        </w:trPr>
        <w:tc>
          <w:tcPr>
            <w:tcW w:w="640" w:type="dxa"/>
            <w:tcBorders>
              <w:top w:val="nil"/>
              <w:left w:val="single" w:sz="8" w:space="0" w:color="auto"/>
              <w:bottom w:val="single" w:sz="8" w:space="0" w:color="auto"/>
              <w:right w:val="nil"/>
            </w:tcBorders>
            <w:shd w:val="clear" w:color="000000" w:fill="FFFFFF"/>
            <w:noWrap/>
            <w:vAlign w:val="bottom"/>
            <w:hideMark/>
          </w:tcPr>
          <w:p w:rsidR="00B8031A" w:rsidRPr="009C6A71" w:rsidRDefault="00B8031A" w:rsidP="002F7512">
            <w:pPr>
              <w:jc w:val="center"/>
              <w:rPr>
                <w:sz w:val="20"/>
                <w:szCs w:val="20"/>
              </w:rPr>
            </w:pPr>
            <w:r w:rsidRPr="009C6A71">
              <w:rPr>
                <w:sz w:val="20"/>
                <w:szCs w:val="20"/>
              </w:rPr>
              <w:t> </w:t>
            </w:r>
          </w:p>
        </w:tc>
        <w:tc>
          <w:tcPr>
            <w:tcW w:w="5405" w:type="dxa"/>
            <w:tcBorders>
              <w:top w:val="nil"/>
              <w:left w:val="nil"/>
              <w:bottom w:val="single" w:sz="8" w:space="0" w:color="auto"/>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339" w:type="dxa"/>
            <w:tcBorders>
              <w:top w:val="nil"/>
              <w:left w:val="nil"/>
              <w:bottom w:val="single" w:sz="8" w:space="0" w:color="auto"/>
              <w:right w:val="nil"/>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c>
          <w:tcPr>
            <w:tcW w:w="2673" w:type="dxa"/>
            <w:tcBorders>
              <w:top w:val="nil"/>
              <w:left w:val="nil"/>
              <w:bottom w:val="single" w:sz="8" w:space="0" w:color="auto"/>
              <w:right w:val="single" w:sz="8" w:space="0" w:color="auto"/>
            </w:tcBorders>
            <w:shd w:val="clear" w:color="000000" w:fill="FFFFFF"/>
            <w:noWrap/>
            <w:vAlign w:val="bottom"/>
            <w:hideMark/>
          </w:tcPr>
          <w:p w:rsidR="00B8031A" w:rsidRPr="009C6A71" w:rsidRDefault="00B8031A" w:rsidP="002F7512">
            <w:pPr>
              <w:rPr>
                <w:sz w:val="20"/>
                <w:szCs w:val="20"/>
              </w:rPr>
            </w:pPr>
            <w:r w:rsidRPr="009C6A71">
              <w:rPr>
                <w:sz w:val="20"/>
                <w:szCs w:val="20"/>
              </w:rPr>
              <w:t> </w:t>
            </w:r>
          </w:p>
        </w:tc>
      </w:tr>
    </w:tbl>
    <w:p w:rsidR="00590C8A" w:rsidRDefault="00590C8A" w:rsidP="0062152B">
      <w:pPr>
        <w:pStyle w:val="BodyText"/>
        <w:sectPr w:rsidR="00590C8A" w:rsidSect="00B8031A">
          <w:headerReference w:type="default" r:id="rId19"/>
          <w:pgSz w:w="12240" w:h="15840" w:code="1"/>
          <w:pgMar w:top="1584" w:right="1440" w:bottom="1440" w:left="1440" w:header="720" w:footer="720" w:gutter="0"/>
          <w:cols w:space="720"/>
          <w:formProt w:val="0"/>
          <w:docGrid w:linePitch="360"/>
        </w:sectPr>
      </w:pPr>
    </w:p>
    <w:tbl>
      <w:tblPr>
        <w:tblW w:w="10015" w:type="dxa"/>
        <w:tblInd w:w="93" w:type="dxa"/>
        <w:tblLook w:val="04A0" w:firstRow="1" w:lastRow="0" w:firstColumn="1" w:lastColumn="0" w:noHBand="0" w:noVBand="1"/>
      </w:tblPr>
      <w:tblGrid>
        <w:gridCol w:w="261"/>
        <w:gridCol w:w="3524"/>
        <w:gridCol w:w="190"/>
        <w:gridCol w:w="1260"/>
        <w:gridCol w:w="1350"/>
        <w:gridCol w:w="1151"/>
        <w:gridCol w:w="559"/>
        <w:gridCol w:w="1720"/>
      </w:tblGrid>
      <w:tr w:rsidR="00370B7A" w:rsidTr="00370B7A">
        <w:trPr>
          <w:trHeight w:val="300"/>
        </w:trPr>
        <w:tc>
          <w:tcPr>
            <w:tcW w:w="261" w:type="dxa"/>
            <w:tcBorders>
              <w:top w:val="single" w:sz="8" w:space="0" w:color="000000"/>
              <w:left w:val="single" w:sz="8" w:space="0" w:color="000000"/>
              <w:right w:val="nil"/>
            </w:tcBorders>
            <w:shd w:val="clear" w:color="000000" w:fill="FFFFFF" w:themeFill="background1"/>
            <w:noWrap/>
            <w:vAlign w:val="bottom"/>
          </w:tcPr>
          <w:p w:rsidR="00370B7A" w:rsidRDefault="00370B7A">
            <w:pPr>
              <w:rPr>
                <w:rFonts w:ascii="SWISS" w:hAnsi="SWISS" w:cs="Arial"/>
                <w:sz w:val="18"/>
                <w:szCs w:val="18"/>
              </w:rPr>
            </w:pPr>
          </w:p>
        </w:tc>
        <w:tc>
          <w:tcPr>
            <w:tcW w:w="3714" w:type="dxa"/>
            <w:gridSpan w:val="2"/>
            <w:tcBorders>
              <w:top w:val="single" w:sz="8" w:space="0" w:color="000000"/>
              <w:left w:val="nil"/>
              <w:right w:val="nil"/>
            </w:tcBorders>
            <w:shd w:val="clear" w:color="000000" w:fill="FFFFFF" w:themeFill="background1"/>
            <w:noWrap/>
            <w:vAlign w:val="bottom"/>
          </w:tcPr>
          <w:p w:rsidR="00370B7A" w:rsidRDefault="00370B7A">
            <w:pPr>
              <w:rPr>
                <w:rFonts w:ascii="SWISS" w:hAnsi="SWISS" w:cs="Arial"/>
                <w:b/>
                <w:bCs/>
                <w:sz w:val="18"/>
                <w:szCs w:val="18"/>
              </w:rPr>
            </w:pPr>
            <w:r w:rsidRPr="009C6A71">
              <w:rPr>
                <w:rFonts w:ascii="Arial" w:hAnsi="Arial" w:cs="Arial"/>
                <w:b/>
                <w:bCs/>
              </w:rPr>
              <w:t xml:space="preserve">Utilities, Inc. of </w:t>
            </w:r>
            <w:proofErr w:type="spellStart"/>
            <w:r w:rsidRPr="009C6A71">
              <w:rPr>
                <w:rFonts w:ascii="Arial" w:hAnsi="Arial" w:cs="Arial"/>
                <w:b/>
                <w:bCs/>
              </w:rPr>
              <w:t>Sandalhaven</w:t>
            </w:r>
            <w:proofErr w:type="spellEnd"/>
          </w:p>
        </w:tc>
        <w:tc>
          <w:tcPr>
            <w:tcW w:w="1260" w:type="dxa"/>
            <w:tcBorders>
              <w:top w:val="single" w:sz="8" w:space="0" w:color="000000"/>
              <w:left w:val="nil"/>
              <w:right w:val="nil"/>
            </w:tcBorders>
            <w:shd w:val="clear" w:color="000000" w:fill="FFFFFF" w:themeFill="background1"/>
            <w:noWrap/>
            <w:vAlign w:val="bottom"/>
          </w:tcPr>
          <w:p w:rsidR="00370B7A" w:rsidRDefault="00370B7A">
            <w:pPr>
              <w:jc w:val="center"/>
              <w:rPr>
                <w:rFonts w:ascii="SWISS" w:hAnsi="SWISS" w:cs="Arial"/>
                <w:b/>
                <w:bCs/>
                <w:sz w:val="18"/>
                <w:szCs w:val="18"/>
              </w:rPr>
            </w:pPr>
          </w:p>
        </w:tc>
        <w:tc>
          <w:tcPr>
            <w:tcW w:w="1350" w:type="dxa"/>
            <w:tcBorders>
              <w:top w:val="single" w:sz="8" w:space="0" w:color="000000"/>
              <w:left w:val="nil"/>
              <w:right w:val="nil"/>
            </w:tcBorders>
            <w:shd w:val="clear" w:color="000000" w:fill="FFFFFF" w:themeFill="background1"/>
            <w:noWrap/>
            <w:vAlign w:val="bottom"/>
          </w:tcPr>
          <w:p w:rsidR="00370B7A" w:rsidRDefault="00370B7A">
            <w:pPr>
              <w:jc w:val="center"/>
              <w:rPr>
                <w:rFonts w:ascii="SWISS" w:hAnsi="SWISS" w:cs="Arial"/>
                <w:b/>
                <w:bCs/>
                <w:sz w:val="18"/>
                <w:szCs w:val="18"/>
              </w:rPr>
            </w:pPr>
          </w:p>
        </w:tc>
        <w:tc>
          <w:tcPr>
            <w:tcW w:w="1151" w:type="dxa"/>
            <w:tcBorders>
              <w:top w:val="single" w:sz="8" w:space="0" w:color="000000"/>
              <w:left w:val="nil"/>
              <w:right w:val="nil"/>
            </w:tcBorders>
            <w:shd w:val="clear" w:color="000000" w:fill="FFFFFF" w:themeFill="background1"/>
            <w:noWrap/>
            <w:vAlign w:val="bottom"/>
          </w:tcPr>
          <w:p w:rsidR="00370B7A" w:rsidRDefault="00370B7A">
            <w:pPr>
              <w:jc w:val="center"/>
              <w:rPr>
                <w:rFonts w:ascii="SWISS" w:hAnsi="SWISS" w:cs="Arial"/>
                <w:b/>
                <w:bCs/>
                <w:sz w:val="18"/>
                <w:szCs w:val="18"/>
              </w:rPr>
            </w:pPr>
          </w:p>
        </w:tc>
        <w:tc>
          <w:tcPr>
            <w:tcW w:w="2279" w:type="dxa"/>
            <w:gridSpan w:val="2"/>
            <w:tcBorders>
              <w:top w:val="single" w:sz="8" w:space="0" w:color="000000"/>
              <w:left w:val="nil"/>
              <w:right w:val="single" w:sz="8" w:space="0" w:color="000000"/>
            </w:tcBorders>
            <w:shd w:val="clear" w:color="000000" w:fill="FFFFFF" w:themeFill="background1"/>
            <w:noWrap/>
            <w:vAlign w:val="bottom"/>
          </w:tcPr>
          <w:p w:rsidR="00370B7A" w:rsidRPr="00370B7A" w:rsidRDefault="00370B7A" w:rsidP="00370B7A">
            <w:pPr>
              <w:jc w:val="right"/>
              <w:rPr>
                <w:rFonts w:ascii="Arial" w:hAnsi="Arial" w:cs="Arial"/>
                <w:b/>
                <w:bCs/>
              </w:rPr>
            </w:pPr>
            <w:r w:rsidRPr="00370B7A">
              <w:rPr>
                <w:rFonts w:ascii="Arial" w:hAnsi="Arial" w:cs="Arial"/>
                <w:b/>
                <w:bCs/>
              </w:rPr>
              <w:t>Schedule No. 4</w:t>
            </w:r>
          </w:p>
        </w:tc>
      </w:tr>
      <w:tr w:rsidR="00370B7A" w:rsidTr="00370B7A">
        <w:trPr>
          <w:trHeight w:val="300"/>
        </w:trPr>
        <w:tc>
          <w:tcPr>
            <w:tcW w:w="261" w:type="dxa"/>
            <w:tcBorders>
              <w:left w:val="single" w:sz="8" w:space="0" w:color="000000"/>
              <w:bottom w:val="nil"/>
              <w:right w:val="nil"/>
            </w:tcBorders>
            <w:shd w:val="clear" w:color="000000" w:fill="FFFFFF" w:themeFill="background1"/>
            <w:noWrap/>
            <w:vAlign w:val="bottom"/>
          </w:tcPr>
          <w:p w:rsidR="00370B7A" w:rsidRDefault="00370B7A">
            <w:pPr>
              <w:rPr>
                <w:rFonts w:ascii="SWISS" w:hAnsi="SWISS" w:cs="Arial"/>
                <w:sz w:val="18"/>
                <w:szCs w:val="18"/>
              </w:rPr>
            </w:pPr>
          </w:p>
        </w:tc>
        <w:tc>
          <w:tcPr>
            <w:tcW w:w="3714" w:type="dxa"/>
            <w:gridSpan w:val="2"/>
            <w:tcBorders>
              <w:left w:val="nil"/>
              <w:bottom w:val="nil"/>
              <w:right w:val="nil"/>
            </w:tcBorders>
            <w:shd w:val="clear" w:color="000000" w:fill="FFFFFF" w:themeFill="background1"/>
            <w:noWrap/>
            <w:vAlign w:val="bottom"/>
          </w:tcPr>
          <w:p w:rsidR="00370B7A" w:rsidRDefault="00370B7A">
            <w:pPr>
              <w:rPr>
                <w:rFonts w:ascii="SWISS" w:hAnsi="SWISS" w:cs="Arial"/>
                <w:b/>
                <w:bCs/>
                <w:sz w:val="18"/>
                <w:szCs w:val="18"/>
              </w:rPr>
            </w:pPr>
            <w:r w:rsidRPr="00370B7A">
              <w:rPr>
                <w:rFonts w:ascii="Arial" w:hAnsi="Arial" w:cs="Arial"/>
                <w:b/>
                <w:bCs/>
              </w:rPr>
              <w:t>Monthly Wastewater Rates</w:t>
            </w:r>
          </w:p>
        </w:tc>
        <w:tc>
          <w:tcPr>
            <w:tcW w:w="1260" w:type="dxa"/>
            <w:tcBorders>
              <w:left w:val="nil"/>
              <w:bottom w:val="nil"/>
              <w:right w:val="nil"/>
            </w:tcBorders>
            <w:shd w:val="clear" w:color="000000" w:fill="FFFFFF" w:themeFill="background1"/>
            <w:noWrap/>
            <w:vAlign w:val="bottom"/>
          </w:tcPr>
          <w:p w:rsidR="00370B7A" w:rsidRDefault="00370B7A">
            <w:pPr>
              <w:jc w:val="center"/>
              <w:rPr>
                <w:rFonts w:ascii="SWISS" w:hAnsi="SWISS" w:cs="Arial"/>
                <w:b/>
                <w:bCs/>
                <w:sz w:val="18"/>
                <w:szCs w:val="18"/>
              </w:rPr>
            </w:pPr>
          </w:p>
        </w:tc>
        <w:tc>
          <w:tcPr>
            <w:tcW w:w="1350" w:type="dxa"/>
            <w:tcBorders>
              <w:left w:val="nil"/>
              <w:bottom w:val="nil"/>
              <w:right w:val="nil"/>
            </w:tcBorders>
            <w:shd w:val="clear" w:color="000000" w:fill="FFFFFF" w:themeFill="background1"/>
            <w:noWrap/>
            <w:vAlign w:val="bottom"/>
          </w:tcPr>
          <w:p w:rsidR="00370B7A" w:rsidRDefault="00370B7A">
            <w:pPr>
              <w:jc w:val="center"/>
              <w:rPr>
                <w:rFonts w:ascii="SWISS" w:hAnsi="SWISS" w:cs="Arial"/>
                <w:b/>
                <w:bCs/>
                <w:sz w:val="18"/>
                <w:szCs w:val="18"/>
              </w:rPr>
            </w:pPr>
          </w:p>
        </w:tc>
        <w:tc>
          <w:tcPr>
            <w:tcW w:w="3430" w:type="dxa"/>
            <w:gridSpan w:val="3"/>
            <w:tcBorders>
              <w:left w:val="nil"/>
              <w:bottom w:val="nil"/>
              <w:right w:val="single" w:sz="8" w:space="0" w:color="000000"/>
            </w:tcBorders>
            <w:shd w:val="clear" w:color="000000" w:fill="FFFFFF" w:themeFill="background1"/>
            <w:noWrap/>
            <w:vAlign w:val="bottom"/>
          </w:tcPr>
          <w:p w:rsidR="00370B7A" w:rsidRDefault="00370B7A" w:rsidP="00370B7A">
            <w:pPr>
              <w:jc w:val="right"/>
              <w:rPr>
                <w:rFonts w:ascii="SWISS" w:hAnsi="SWISS" w:cs="Arial"/>
                <w:b/>
                <w:bCs/>
                <w:sz w:val="18"/>
                <w:szCs w:val="18"/>
              </w:rPr>
            </w:pPr>
            <w:r w:rsidRPr="009C6A71">
              <w:rPr>
                <w:rFonts w:ascii="Arial" w:hAnsi="Arial" w:cs="Arial"/>
                <w:b/>
                <w:bCs/>
              </w:rPr>
              <w:t>Docket No. 150102-SU</w:t>
            </w:r>
          </w:p>
        </w:tc>
      </w:tr>
      <w:tr w:rsidR="00370B7A" w:rsidTr="003212C1">
        <w:trPr>
          <w:trHeight w:val="300"/>
        </w:trPr>
        <w:tc>
          <w:tcPr>
            <w:tcW w:w="261" w:type="dxa"/>
            <w:tcBorders>
              <w:left w:val="single" w:sz="8" w:space="0" w:color="000000"/>
              <w:bottom w:val="single" w:sz="8" w:space="0" w:color="000000"/>
              <w:right w:val="nil"/>
            </w:tcBorders>
            <w:shd w:val="clear" w:color="000000" w:fill="FFFFFF" w:themeFill="background1"/>
            <w:noWrap/>
            <w:vAlign w:val="bottom"/>
          </w:tcPr>
          <w:p w:rsidR="00370B7A" w:rsidRDefault="00370B7A">
            <w:pPr>
              <w:rPr>
                <w:rFonts w:ascii="SWISS" w:hAnsi="SWISS" w:cs="Arial"/>
                <w:sz w:val="18"/>
                <w:szCs w:val="18"/>
              </w:rPr>
            </w:pPr>
          </w:p>
        </w:tc>
        <w:tc>
          <w:tcPr>
            <w:tcW w:w="3714" w:type="dxa"/>
            <w:gridSpan w:val="2"/>
            <w:tcBorders>
              <w:left w:val="nil"/>
              <w:bottom w:val="single" w:sz="8" w:space="0" w:color="000000"/>
              <w:right w:val="nil"/>
            </w:tcBorders>
            <w:shd w:val="clear" w:color="000000" w:fill="FFFFFF" w:themeFill="background1"/>
            <w:noWrap/>
            <w:vAlign w:val="bottom"/>
          </w:tcPr>
          <w:p w:rsidR="00370B7A" w:rsidRPr="00370B7A" w:rsidRDefault="00370B7A">
            <w:pPr>
              <w:rPr>
                <w:rFonts w:ascii="Arial" w:hAnsi="Arial" w:cs="Arial"/>
                <w:b/>
                <w:bCs/>
              </w:rPr>
            </w:pPr>
            <w:r>
              <w:rPr>
                <w:rFonts w:ascii="Arial" w:hAnsi="Arial" w:cs="Arial"/>
                <w:b/>
                <w:bCs/>
              </w:rPr>
              <w:t>Test Year Ended 12/31/14</w:t>
            </w:r>
          </w:p>
        </w:tc>
        <w:tc>
          <w:tcPr>
            <w:tcW w:w="1260" w:type="dxa"/>
            <w:tcBorders>
              <w:left w:val="nil"/>
              <w:bottom w:val="single" w:sz="8" w:space="0" w:color="000000"/>
              <w:right w:val="nil"/>
            </w:tcBorders>
            <w:shd w:val="clear" w:color="000000" w:fill="FFFFFF" w:themeFill="background1"/>
            <w:noWrap/>
            <w:vAlign w:val="bottom"/>
          </w:tcPr>
          <w:p w:rsidR="00370B7A" w:rsidRDefault="00370B7A">
            <w:pPr>
              <w:jc w:val="center"/>
              <w:rPr>
                <w:rFonts w:ascii="SWISS" w:hAnsi="SWISS" w:cs="Arial"/>
                <w:b/>
                <w:bCs/>
                <w:sz w:val="18"/>
                <w:szCs w:val="18"/>
              </w:rPr>
            </w:pPr>
          </w:p>
        </w:tc>
        <w:tc>
          <w:tcPr>
            <w:tcW w:w="1350" w:type="dxa"/>
            <w:tcBorders>
              <w:left w:val="nil"/>
              <w:bottom w:val="single" w:sz="8" w:space="0" w:color="000000"/>
              <w:right w:val="nil"/>
            </w:tcBorders>
            <w:shd w:val="clear" w:color="000000" w:fill="FFFFFF" w:themeFill="background1"/>
            <w:noWrap/>
            <w:vAlign w:val="bottom"/>
          </w:tcPr>
          <w:p w:rsidR="00370B7A" w:rsidRDefault="00370B7A">
            <w:pPr>
              <w:jc w:val="center"/>
              <w:rPr>
                <w:rFonts w:ascii="SWISS" w:hAnsi="SWISS" w:cs="Arial"/>
                <w:b/>
                <w:bCs/>
                <w:sz w:val="18"/>
                <w:szCs w:val="18"/>
              </w:rPr>
            </w:pPr>
          </w:p>
        </w:tc>
        <w:tc>
          <w:tcPr>
            <w:tcW w:w="1710" w:type="dxa"/>
            <w:gridSpan w:val="2"/>
            <w:tcBorders>
              <w:left w:val="nil"/>
              <w:bottom w:val="single" w:sz="8" w:space="0" w:color="000000"/>
              <w:right w:val="nil"/>
            </w:tcBorders>
            <w:shd w:val="clear" w:color="000000" w:fill="FFFFFF" w:themeFill="background1"/>
            <w:noWrap/>
            <w:vAlign w:val="bottom"/>
          </w:tcPr>
          <w:p w:rsidR="00370B7A" w:rsidRDefault="00370B7A">
            <w:pPr>
              <w:jc w:val="center"/>
              <w:rPr>
                <w:rFonts w:ascii="SWISS" w:hAnsi="SWISS" w:cs="Arial"/>
                <w:b/>
                <w:bCs/>
                <w:sz w:val="18"/>
                <w:szCs w:val="18"/>
              </w:rPr>
            </w:pPr>
          </w:p>
        </w:tc>
        <w:tc>
          <w:tcPr>
            <w:tcW w:w="1720" w:type="dxa"/>
            <w:tcBorders>
              <w:left w:val="nil"/>
              <w:bottom w:val="single" w:sz="8" w:space="0" w:color="000000"/>
              <w:right w:val="single" w:sz="8" w:space="0" w:color="000000"/>
            </w:tcBorders>
            <w:shd w:val="clear" w:color="000000" w:fill="FFFFFF" w:themeFill="background1"/>
            <w:noWrap/>
            <w:vAlign w:val="bottom"/>
          </w:tcPr>
          <w:p w:rsidR="00370B7A" w:rsidRDefault="00370B7A">
            <w:pPr>
              <w:jc w:val="center"/>
              <w:rPr>
                <w:rFonts w:ascii="SWISS" w:hAnsi="SWISS" w:cs="Arial"/>
                <w:b/>
                <w:bCs/>
                <w:sz w:val="18"/>
                <w:szCs w:val="18"/>
              </w:rPr>
            </w:pPr>
          </w:p>
        </w:tc>
      </w:tr>
      <w:tr w:rsidR="00F40FB7" w:rsidTr="003212C1">
        <w:trPr>
          <w:trHeight w:val="300"/>
        </w:trPr>
        <w:tc>
          <w:tcPr>
            <w:tcW w:w="261" w:type="dxa"/>
            <w:tcBorders>
              <w:top w:val="single" w:sz="8" w:space="0" w:color="000000"/>
              <w:left w:val="single" w:sz="8" w:space="0" w:color="000000"/>
              <w:bottom w:val="nil"/>
              <w:right w:val="nil"/>
            </w:tcBorders>
            <w:shd w:val="clear" w:color="000000"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single" w:sz="8" w:space="0" w:color="000000"/>
              <w:left w:val="nil"/>
              <w:bottom w:val="nil"/>
              <w:right w:val="nil"/>
            </w:tcBorders>
            <w:shd w:val="clear" w:color="000000" w:fill="auto"/>
            <w:noWrap/>
            <w:vAlign w:val="bottom"/>
            <w:hideMark/>
          </w:tcPr>
          <w:p w:rsidR="00F40FB7" w:rsidRDefault="00F40FB7">
            <w:pPr>
              <w:rPr>
                <w:rFonts w:ascii="SWISS" w:hAnsi="SWISS" w:cs="Arial"/>
                <w:b/>
                <w:bCs/>
                <w:sz w:val="18"/>
                <w:szCs w:val="18"/>
              </w:rPr>
            </w:pPr>
            <w:r>
              <w:rPr>
                <w:rFonts w:ascii="SWISS" w:hAnsi="SWISS" w:cs="Arial"/>
                <w:b/>
                <w:bCs/>
                <w:sz w:val="18"/>
                <w:szCs w:val="18"/>
              </w:rPr>
              <w:t> </w:t>
            </w:r>
          </w:p>
        </w:tc>
        <w:tc>
          <w:tcPr>
            <w:tcW w:w="1260" w:type="dxa"/>
            <w:tcBorders>
              <w:top w:val="single" w:sz="8" w:space="0" w:color="000000"/>
              <w:left w:val="nil"/>
              <w:bottom w:val="nil"/>
              <w:right w:val="nil"/>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 </w:t>
            </w:r>
          </w:p>
        </w:tc>
        <w:tc>
          <w:tcPr>
            <w:tcW w:w="1350" w:type="dxa"/>
            <w:tcBorders>
              <w:top w:val="single" w:sz="8" w:space="0" w:color="000000"/>
              <w:left w:val="nil"/>
              <w:bottom w:val="nil"/>
              <w:right w:val="nil"/>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 xml:space="preserve">UTILITY </w:t>
            </w:r>
          </w:p>
        </w:tc>
        <w:tc>
          <w:tcPr>
            <w:tcW w:w="1710" w:type="dxa"/>
            <w:gridSpan w:val="2"/>
            <w:tcBorders>
              <w:top w:val="single" w:sz="8" w:space="0" w:color="000000"/>
              <w:left w:val="nil"/>
              <w:bottom w:val="nil"/>
              <w:right w:val="nil"/>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 xml:space="preserve">UTILITY </w:t>
            </w:r>
          </w:p>
        </w:tc>
        <w:tc>
          <w:tcPr>
            <w:tcW w:w="1720" w:type="dxa"/>
            <w:tcBorders>
              <w:top w:val="single" w:sz="8" w:space="0" w:color="000000"/>
              <w:left w:val="nil"/>
              <w:bottom w:val="nil"/>
              <w:right w:val="single" w:sz="8" w:space="0" w:color="000000"/>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STAFF</w:t>
            </w:r>
          </w:p>
        </w:tc>
      </w:tr>
      <w:tr w:rsidR="00F40FB7" w:rsidTr="003212C1">
        <w:trPr>
          <w:trHeight w:val="300"/>
        </w:trPr>
        <w:tc>
          <w:tcPr>
            <w:tcW w:w="261" w:type="dxa"/>
            <w:tcBorders>
              <w:top w:val="nil"/>
              <w:left w:val="single" w:sz="8" w:space="0" w:color="000000"/>
              <w:bottom w:val="nil"/>
              <w:right w:val="nil"/>
            </w:tcBorders>
            <w:shd w:val="clear" w:color="000000"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000000" w:fill="auto"/>
            <w:noWrap/>
            <w:vAlign w:val="bottom"/>
            <w:hideMark/>
          </w:tcPr>
          <w:p w:rsidR="00F40FB7" w:rsidRDefault="00F40FB7">
            <w:pPr>
              <w:rPr>
                <w:rFonts w:ascii="SWISS" w:hAnsi="SWISS" w:cs="Arial"/>
                <w:b/>
                <w:bCs/>
                <w:sz w:val="18"/>
                <w:szCs w:val="18"/>
                <w:u w:val="single"/>
              </w:rPr>
            </w:pPr>
          </w:p>
        </w:tc>
        <w:tc>
          <w:tcPr>
            <w:tcW w:w="1260" w:type="dxa"/>
            <w:tcBorders>
              <w:top w:val="nil"/>
              <w:left w:val="nil"/>
              <w:bottom w:val="nil"/>
              <w:right w:val="nil"/>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CURRENT</w:t>
            </w:r>
          </w:p>
        </w:tc>
        <w:tc>
          <w:tcPr>
            <w:tcW w:w="1350" w:type="dxa"/>
            <w:tcBorders>
              <w:top w:val="nil"/>
              <w:left w:val="nil"/>
              <w:bottom w:val="nil"/>
              <w:right w:val="nil"/>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 xml:space="preserve">REQUESTED </w:t>
            </w:r>
          </w:p>
        </w:tc>
        <w:tc>
          <w:tcPr>
            <w:tcW w:w="1710" w:type="dxa"/>
            <w:gridSpan w:val="2"/>
            <w:tcBorders>
              <w:top w:val="nil"/>
              <w:left w:val="nil"/>
              <w:bottom w:val="nil"/>
              <w:right w:val="nil"/>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REQUESTED</w:t>
            </w:r>
          </w:p>
        </w:tc>
        <w:tc>
          <w:tcPr>
            <w:tcW w:w="1720" w:type="dxa"/>
            <w:tcBorders>
              <w:top w:val="nil"/>
              <w:left w:val="nil"/>
              <w:bottom w:val="nil"/>
              <w:right w:val="single" w:sz="8" w:space="0" w:color="000000"/>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RECOMMENDED</w:t>
            </w:r>
          </w:p>
        </w:tc>
      </w:tr>
      <w:tr w:rsidR="00F40FB7" w:rsidTr="003212C1">
        <w:trPr>
          <w:trHeight w:val="315"/>
        </w:trPr>
        <w:tc>
          <w:tcPr>
            <w:tcW w:w="261" w:type="dxa"/>
            <w:tcBorders>
              <w:top w:val="nil"/>
              <w:left w:val="single" w:sz="8" w:space="0" w:color="000000"/>
              <w:bottom w:val="single" w:sz="8" w:space="0" w:color="000000"/>
              <w:right w:val="nil"/>
            </w:tcBorders>
            <w:shd w:val="clear" w:color="000000"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single" w:sz="8" w:space="0" w:color="000000"/>
              <w:right w:val="nil"/>
            </w:tcBorders>
            <w:shd w:val="clear" w:color="000000" w:fill="auto"/>
            <w:noWrap/>
            <w:vAlign w:val="bottom"/>
            <w:hideMark/>
          </w:tcPr>
          <w:p w:rsidR="00F40FB7" w:rsidRDefault="00F40FB7">
            <w:pPr>
              <w:rPr>
                <w:rFonts w:ascii="SWISS" w:hAnsi="SWISS" w:cs="Arial"/>
                <w:b/>
                <w:bCs/>
                <w:sz w:val="18"/>
                <w:szCs w:val="18"/>
                <w:u w:val="single"/>
              </w:rPr>
            </w:pPr>
          </w:p>
        </w:tc>
        <w:tc>
          <w:tcPr>
            <w:tcW w:w="1260" w:type="dxa"/>
            <w:tcBorders>
              <w:top w:val="nil"/>
              <w:left w:val="nil"/>
              <w:bottom w:val="single" w:sz="8" w:space="0" w:color="000000"/>
              <w:right w:val="nil"/>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RATES</w:t>
            </w:r>
          </w:p>
        </w:tc>
        <w:tc>
          <w:tcPr>
            <w:tcW w:w="1350" w:type="dxa"/>
            <w:tcBorders>
              <w:top w:val="nil"/>
              <w:left w:val="nil"/>
              <w:bottom w:val="single" w:sz="8" w:space="0" w:color="000000"/>
              <w:right w:val="nil"/>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INTERIM</w:t>
            </w:r>
          </w:p>
        </w:tc>
        <w:tc>
          <w:tcPr>
            <w:tcW w:w="1710" w:type="dxa"/>
            <w:gridSpan w:val="2"/>
            <w:tcBorders>
              <w:top w:val="nil"/>
              <w:left w:val="nil"/>
              <w:bottom w:val="single" w:sz="8" w:space="0" w:color="000000"/>
              <w:right w:val="nil"/>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FINAL</w:t>
            </w:r>
          </w:p>
        </w:tc>
        <w:tc>
          <w:tcPr>
            <w:tcW w:w="1720" w:type="dxa"/>
            <w:tcBorders>
              <w:top w:val="nil"/>
              <w:left w:val="nil"/>
              <w:bottom w:val="single" w:sz="8" w:space="0" w:color="000000"/>
              <w:right w:val="single" w:sz="8" w:space="0" w:color="000000"/>
            </w:tcBorders>
            <w:shd w:val="clear" w:color="000000"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INTERIM</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b/>
                <w:bCs/>
                <w:sz w:val="18"/>
                <w:szCs w:val="18"/>
                <w:u w:val="single"/>
              </w:rPr>
            </w:pPr>
            <w:r>
              <w:rPr>
                <w:rFonts w:ascii="SWISS" w:hAnsi="SWISS" w:cs="Arial"/>
                <w:b/>
                <w:bCs/>
                <w:sz w:val="18"/>
                <w:szCs w:val="18"/>
                <w:u w:val="single"/>
              </w:rPr>
              <w:t>Residential</w:t>
            </w:r>
          </w:p>
        </w:tc>
        <w:tc>
          <w:tcPr>
            <w:tcW w:w="1260" w:type="dxa"/>
            <w:tcBorders>
              <w:top w:val="nil"/>
              <w:left w:val="nil"/>
              <w:bottom w:val="nil"/>
              <w:right w:val="nil"/>
            </w:tcBorders>
            <w:shd w:val="clear" w:color="auto" w:fill="auto"/>
            <w:noWrap/>
            <w:vAlign w:val="bottom"/>
            <w:hideMark/>
          </w:tcPr>
          <w:p w:rsidR="00F40FB7" w:rsidRDefault="00F40FB7">
            <w:pPr>
              <w:rPr>
                <w:rFonts w:ascii="SWISS" w:hAnsi="SWISS" w:cs="Arial"/>
                <w:b/>
                <w:bCs/>
                <w:sz w:val="18"/>
                <w:szCs w:val="18"/>
                <w:u w:val="single"/>
              </w:rPr>
            </w:pPr>
          </w:p>
        </w:tc>
        <w:tc>
          <w:tcPr>
            <w:tcW w:w="1350" w:type="dxa"/>
            <w:tcBorders>
              <w:top w:val="nil"/>
              <w:left w:val="nil"/>
              <w:bottom w:val="nil"/>
              <w:right w:val="nil"/>
            </w:tcBorders>
            <w:shd w:val="clear" w:color="auto" w:fill="auto"/>
            <w:noWrap/>
            <w:vAlign w:val="bottom"/>
            <w:hideMark/>
          </w:tcPr>
          <w:p w:rsidR="00F40FB7" w:rsidRDefault="00F40FB7">
            <w:pPr>
              <w:jc w:val="center"/>
              <w:rPr>
                <w:rFonts w:ascii="SWISS" w:hAnsi="SWISS" w:cs="Arial"/>
                <w:b/>
                <w:bCs/>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center"/>
              <w:rPr>
                <w:rFonts w:ascii="SWISS" w:hAnsi="SWISS" w:cs="Arial"/>
                <w:b/>
                <w:bCs/>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center"/>
              <w:rPr>
                <w:rFonts w:ascii="SWISS" w:hAnsi="SWISS" w:cs="Arial"/>
                <w:b/>
                <w:bCs/>
                <w:sz w:val="18"/>
                <w:szCs w:val="18"/>
              </w:rPr>
            </w:pPr>
            <w:r>
              <w:rPr>
                <w:rFonts w:ascii="SWISS" w:hAnsi="SWISS" w:cs="Arial"/>
                <w:b/>
                <w:bCs/>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Base Facility Charge - All Meter Sizes</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$29.34</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$60.69</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$70.12</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$56.22</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Charge per 1,000 Gallons- Residential</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$6.59</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$13.63</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$15.75</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$12.63</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8,000 gallon cap</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b/>
                <w:bCs/>
                <w:sz w:val="18"/>
                <w:szCs w:val="18"/>
                <w:u w:val="single"/>
              </w:rPr>
            </w:pPr>
            <w:r>
              <w:rPr>
                <w:rFonts w:ascii="SWISS" w:hAnsi="SWISS" w:cs="Arial"/>
                <w:b/>
                <w:bCs/>
                <w:sz w:val="18"/>
                <w:szCs w:val="18"/>
                <w:u w:val="single"/>
              </w:rPr>
              <w:t>General Service and Multi-Residential</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Base Facility Charge by Meter Size</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5/8" x 3/4"</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$29.34</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$60.69</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$70.12</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$56.22</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1"</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$73.35</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$151.72</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$175.31</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$140.55</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1-1/2"</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$146.69</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$303.42</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$350.59</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$281.10</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2"</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$234.71</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$485.49</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$560.96</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$449.76</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3"</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$469.43</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$971.00</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$1,121.94</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$899.52</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4"</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$733.47</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$1,517.17</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$1,752.99</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$1,405.50</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6"</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$1,466.94</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$3,034.33</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$3,505.99</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$2,811.00</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Restaurant 1"</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xml:space="preserve">$73.35 </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xml:space="preserve">$151.72 </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xml:space="preserve">$175.31 </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$140.55</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Charge per 1,000 Gallons - General Service</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$7.92</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$16.38</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$18.93</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$15.17</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Reserved Capacity - Flat Charge per unit</w:t>
            </w: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$28.42</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$58.79</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$67.92</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$54.45</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4974" w:type="dxa"/>
            <w:gridSpan w:val="3"/>
            <w:tcBorders>
              <w:top w:val="nil"/>
              <w:left w:val="nil"/>
              <w:bottom w:val="nil"/>
              <w:right w:val="nil"/>
            </w:tcBorders>
            <w:shd w:val="clear" w:color="auto" w:fill="auto"/>
            <w:noWrap/>
            <w:vAlign w:val="bottom"/>
            <w:hideMark/>
          </w:tcPr>
          <w:p w:rsidR="00F40FB7" w:rsidRDefault="00F40FB7">
            <w:pPr>
              <w:rPr>
                <w:rFonts w:ascii="SWISS" w:hAnsi="SWISS" w:cs="Arial"/>
                <w:b/>
                <w:bCs/>
                <w:sz w:val="18"/>
                <w:szCs w:val="18"/>
                <w:u w:val="single"/>
              </w:rPr>
            </w:pPr>
            <w:r>
              <w:rPr>
                <w:rFonts w:ascii="SWISS" w:hAnsi="SWISS" w:cs="Arial"/>
                <w:b/>
                <w:bCs/>
                <w:sz w:val="18"/>
                <w:szCs w:val="18"/>
                <w:u w:val="single"/>
              </w:rPr>
              <w:t>Typical Residential 5/8" x 3/4" Meter Bill Comparison</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 </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524" w:type="dxa"/>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3,000 Gallons</w:t>
            </w:r>
          </w:p>
        </w:tc>
        <w:tc>
          <w:tcPr>
            <w:tcW w:w="145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$49.11</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$101.58</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$117.37</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$94.11</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524" w:type="dxa"/>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5,000 Gallons</w:t>
            </w:r>
          </w:p>
        </w:tc>
        <w:tc>
          <w:tcPr>
            <w:tcW w:w="145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$62.29</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$128.84</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$148.87</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$119.37</w:t>
            </w:r>
          </w:p>
        </w:tc>
      </w:tr>
      <w:tr w:rsidR="00F40FB7" w:rsidTr="00940599">
        <w:trPr>
          <w:trHeight w:val="300"/>
        </w:trPr>
        <w:tc>
          <w:tcPr>
            <w:tcW w:w="261" w:type="dxa"/>
            <w:tcBorders>
              <w:top w:val="nil"/>
              <w:left w:val="single" w:sz="8" w:space="0" w:color="000000"/>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524" w:type="dxa"/>
            <w:tcBorders>
              <w:top w:val="nil"/>
              <w:left w:val="nil"/>
              <w:bottom w:val="nil"/>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8,000 Gallons</w:t>
            </w:r>
          </w:p>
        </w:tc>
        <w:tc>
          <w:tcPr>
            <w:tcW w:w="145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$82.06</w:t>
            </w:r>
          </w:p>
        </w:tc>
        <w:tc>
          <w:tcPr>
            <w:tcW w:w="1350" w:type="dxa"/>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$169.73</w:t>
            </w:r>
          </w:p>
        </w:tc>
        <w:tc>
          <w:tcPr>
            <w:tcW w:w="1710" w:type="dxa"/>
            <w:gridSpan w:val="2"/>
            <w:tcBorders>
              <w:top w:val="nil"/>
              <w:left w:val="nil"/>
              <w:bottom w:val="nil"/>
              <w:right w:val="nil"/>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$196.12</w:t>
            </w:r>
          </w:p>
        </w:tc>
        <w:tc>
          <w:tcPr>
            <w:tcW w:w="1720" w:type="dxa"/>
            <w:tcBorders>
              <w:top w:val="nil"/>
              <w:left w:val="nil"/>
              <w:bottom w:val="nil"/>
              <w:right w:val="single" w:sz="8" w:space="0" w:color="000000"/>
            </w:tcBorders>
            <w:shd w:val="clear" w:color="auto" w:fill="auto"/>
            <w:noWrap/>
            <w:vAlign w:val="bottom"/>
            <w:hideMark/>
          </w:tcPr>
          <w:p w:rsidR="00F40FB7" w:rsidRDefault="00F40FB7">
            <w:pPr>
              <w:jc w:val="right"/>
              <w:rPr>
                <w:rFonts w:ascii="SWISS" w:hAnsi="SWISS" w:cs="Arial"/>
                <w:sz w:val="18"/>
                <w:szCs w:val="18"/>
              </w:rPr>
            </w:pPr>
            <w:r>
              <w:rPr>
                <w:rFonts w:ascii="SWISS" w:hAnsi="SWISS" w:cs="Arial"/>
                <w:sz w:val="18"/>
                <w:szCs w:val="18"/>
              </w:rPr>
              <w:t>$157.26</w:t>
            </w:r>
          </w:p>
        </w:tc>
      </w:tr>
      <w:tr w:rsidR="00F40FB7" w:rsidTr="00940599">
        <w:trPr>
          <w:trHeight w:val="315"/>
        </w:trPr>
        <w:tc>
          <w:tcPr>
            <w:tcW w:w="261" w:type="dxa"/>
            <w:tcBorders>
              <w:top w:val="nil"/>
              <w:left w:val="single" w:sz="8" w:space="0" w:color="000000"/>
              <w:bottom w:val="single" w:sz="8" w:space="0" w:color="000000"/>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3524" w:type="dxa"/>
            <w:tcBorders>
              <w:top w:val="nil"/>
              <w:left w:val="nil"/>
              <w:bottom w:val="single" w:sz="8" w:space="0" w:color="000000"/>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1450" w:type="dxa"/>
            <w:gridSpan w:val="2"/>
            <w:tcBorders>
              <w:top w:val="nil"/>
              <w:left w:val="nil"/>
              <w:bottom w:val="single" w:sz="8" w:space="0" w:color="000000"/>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1350" w:type="dxa"/>
            <w:tcBorders>
              <w:top w:val="nil"/>
              <w:left w:val="nil"/>
              <w:bottom w:val="single" w:sz="8" w:space="0" w:color="000000"/>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1710" w:type="dxa"/>
            <w:gridSpan w:val="2"/>
            <w:tcBorders>
              <w:top w:val="nil"/>
              <w:left w:val="nil"/>
              <w:bottom w:val="single" w:sz="8" w:space="0" w:color="000000"/>
              <w:right w:val="nil"/>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c>
          <w:tcPr>
            <w:tcW w:w="1720" w:type="dxa"/>
            <w:tcBorders>
              <w:top w:val="nil"/>
              <w:left w:val="nil"/>
              <w:bottom w:val="single" w:sz="8" w:space="0" w:color="000000"/>
              <w:right w:val="single" w:sz="8" w:space="0" w:color="000000"/>
            </w:tcBorders>
            <w:shd w:val="clear" w:color="auto" w:fill="auto"/>
            <w:noWrap/>
            <w:vAlign w:val="bottom"/>
            <w:hideMark/>
          </w:tcPr>
          <w:p w:rsidR="00F40FB7" w:rsidRDefault="00F40FB7">
            <w:pPr>
              <w:rPr>
                <w:rFonts w:ascii="SWISS" w:hAnsi="SWISS" w:cs="Arial"/>
                <w:sz w:val="18"/>
                <w:szCs w:val="18"/>
              </w:rPr>
            </w:pPr>
            <w:r>
              <w:rPr>
                <w:rFonts w:ascii="SWISS" w:hAnsi="SWISS" w:cs="Arial"/>
                <w:sz w:val="18"/>
                <w:szCs w:val="18"/>
              </w:rPr>
              <w:t> </w:t>
            </w:r>
          </w:p>
        </w:tc>
      </w:tr>
    </w:tbl>
    <w:p w:rsidR="003A1D91" w:rsidRDefault="003A1D91">
      <w:pPr>
        <w:pStyle w:val="BodyText"/>
      </w:pPr>
    </w:p>
    <w:p w:rsidR="003A1D91" w:rsidRDefault="003A1D91" w:rsidP="003A1D91"/>
    <w:p w:rsidR="00E06484" w:rsidRDefault="00E06484">
      <w:pPr>
        <w:pStyle w:val="BodyText"/>
      </w:pPr>
    </w:p>
    <w:sectPr w:rsidR="00E06484"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CC" w:rsidRDefault="00B002CC">
      <w:r>
        <w:separator/>
      </w:r>
    </w:p>
  </w:endnote>
  <w:endnote w:type="continuationSeparator" w:id="0">
    <w:p w:rsidR="00B002CC" w:rsidRDefault="00B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36FA8">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CC" w:rsidRDefault="00B002CC">
      <w:r>
        <w:separator/>
      </w:r>
    </w:p>
  </w:footnote>
  <w:footnote w:type="continuationSeparator" w:id="0">
    <w:p w:rsidR="00B002CC" w:rsidRDefault="00B002CC">
      <w:r>
        <w:continuationSeparator/>
      </w:r>
    </w:p>
  </w:footnote>
  <w:footnote w:id="1">
    <w:p w:rsidR="00B002CC" w:rsidRPr="004A415E" w:rsidRDefault="00B002CC" w:rsidP="00DA0319">
      <w:pPr>
        <w:pStyle w:val="FootnoteText"/>
        <w:rPr>
          <w:i/>
        </w:rPr>
      </w:pPr>
      <w:r>
        <w:rPr>
          <w:rStyle w:val="FootnoteReference"/>
        </w:rPr>
        <w:footnoteRef/>
      </w:r>
      <w:proofErr w:type="gramStart"/>
      <w:r>
        <w:t>Order No.</w:t>
      </w:r>
      <w:proofErr w:type="gramEnd"/>
      <w:r>
        <w:t xml:space="preserve"> PSC-95-0478-FOF-SU, issued April 13, 1995, in Docket No. 941341-SU, In re: </w:t>
      </w:r>
      <w:r w:rsidRPr="004A415E">
        <w:rPr>
          <w:i/>
        </w:rPr>
        <w:t xml:space="preserve">Application for certificate to provide wastewater service in Charlotte County by </w:t>
      </w:r>
      <w:proofErr w:type="spellStart"/>
      <w:r w:rsidRPr="004A415E">
        <w:rPr>
          <w:i/>
        </w:rPr>
        <w:t>Sandalhaven</w:t>
      </w:r>
      <w:proofErr w:type="spellEnd"/>
      <w:r w:rsidRPr="004A415E">
        <w:rPr>
          <w:i/>
        </w:rPr>
        <w:t xml:space="preserve"> Utility, Inc.</w:t>
      </w:r>
    </w:p>
  </w:footnote>
  <w:footnote w:id="2">
    <w:p w:rsidR="00B002CC" w:rsidRPr="00121D0A" w:rsidRDefault="00B002CC" w:rsidP="00DA0319">
      <w:pPr>
        <w:pStyle w:val="FootnoteText"/>
      </w:pPr>
      <w:r>
        <w:rPr>
          <w:rStyle w:val="FootnoteReference"/>
        </w:rPr>
        <w:footnoteRef/>
      </w:r>
      <w:proofErr w:type="gramStart"/>
      <w:r>
        <w:t>Order No.</w:t>
      </w:r>
      <w:proofErr w:type="gramEnd"/>
      <w:r>
        <w:t xml:space="preserve"> PSC-07-0984-FOF-WS, issued December 10, 2007, in Docket No. 070643-WS, In re:</w:t>
      </w:r>
      <w:r w:rsidRPr="004A415E">
        <w:rPr>
          <w:i/>
        </w:rPr>
        <w:t xml:space="preserve"> Resolution No. 2007-143 by Charlotte County Board of Commissioners, in accordance with Section 367.171, F.S., rescinding Florida Public Service Commission jurisdiction over private water and wastewater systems in Charlotte County</w:t>
      </w:r>
      <w:r w:rsidRPr="00121D0A">
        <w:t xml:space="preserve">. </w:t>
      </w:r>
    </w:p>
  </w:footnote>
  <w:footnote w:id="3">
    <w:p w:rsidR="00B002CC" w:rsidRPr="00121D0A" w:rsidRDefault="00B002CC" w:rsidP="00DA0319">
      <w:pPr>
        <w:pStyle w:val="FootnoteText"/>
      </w:pPr>
      <w:r w:rsidRPr="00121D0A">
        <w:rPr>
          <w:rStyle w:val="FootnoteReference"/>
        </w:rPr>
        <w:footnoteRef/>
      </w:r>
      <w:proofErr w:type="gramStart"/>
      <w:r w:rsidRPr="00121D0A">
        <w:t>Order No.</w:t>
      </w:r>
      <w:proofErr w:type="gramEnd"/>
      <w:r w:rsidRPr="00121D0A">
        <w:t xml:space="preserve"> PSC-13-0178-FOF-SU, issued April 29, 2013, in Docket No. 130053-SU, In re: </w:t>
      </w:r>
      <w:r w:rsidRPr="004A415E">
        <w:rPr>
          <w:i/>
        </w:rPr>
        <w:t xml:space="preserve">Application for grandfather certificate to operate wastewater utility in Charlotte County by Utilities, Inc. of </w:t>
      </w:r>
      <w:proofErr w:type="spellStart"/>
      <w:r w:rsidRPr="004A415E">
        <w:rPr>
          <w:i/>
        </w:rPr>
        <w:t>Sandalhaven</w:t>
      </w:r>
      <w:proofErr w:type="spellEnd"/>
      <w:r w:rsidRPr="004A415E">
        <w:rPr>
          <w:i/>
        </w:rPr>
        <w:t>.</w:t>
      </w:r>
    </w:p>
  </w:footnote>
  <w:footnote w:id="4">
    <w:p w:rsidR="00B002CC" w:rsidRPr="004A415E" w:rsidRDefault="00B002CC" w:rsidP="00DA0319">
      <w:pPr>
        <w:pStyle w:val="FootnoteText"/>
        <w:rPr>
          <w:i/>
        </w:rPr>
      </w:pPr>
      <w:r w:rsidRPr="00121D0A">
        <w:rPr>
          <w:rStyle w:val="FootnoteReference"/>
        </w:rPr>
        <w:footnoteRef/>
      </w:r>
      <w:proofErr w:type="gramStart"/>
      <w:r w:rsidRPr="00121D0A">
        <w:t>Order No.</w:t>
      </w:r>
      <w:proofErr w:type="gramEnd"/>
      <w:r w:rsidRPr="00121D0A">
        <w:t xml:space="preserve"> PSC-07-0865-PAA-SU, issued October 29, 2007, in Docket No. 060285-SU, In re: </w:t>
      </w:r>
      <w:r w:rsidRPr="004A415E">
        <w:rPr>
          <w:i/>
        </w:rPr>
        <w:t xml:space="preserve">Application for rates in Charlotte County by Utilities, Inc. of </w:t>
      </w:r>
      <w:proofErr w:type="spellStart"/>
      <w:r w:rsidRPr="004A415E">
        <w:rPr>
          <w:i/>
        </w:rPr>
        <w:t>Sandalhaven</w:t>
      </w:r>
      <w:proofErr w:type="spellEnd"/>
      <w:r w:rsidRPr="004A415E">
        <w:rPr>
          <w:i/>
        </w:rPr>
        <w:t>.</w:t>
      </w:r>
    </w:p>
  </w:footnote>
  <w:footnote w:id="5">
    <w:p w:rsidR="00B002CC" w:rsidRDefault="00B002CC" w:rsidP="005B4E74">
      <w:pPr>
        <w:pStyle w:val="FootnoteText"/>
      </w:pPr>
      <w:r>
        <w:rPr>
          <w:rStyle w:val="FootnoteReference"/>
        </w:rPr>
        <w:footnoteRef/>
      </w:r>
      <w:r>
        <w:t>Id</w:t>
      </w:r>
      <w:r w:rsidRPr="006A68C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rsidP="00220732">
    <w:pPr>
      <w:pStyle w:val="Header"/>
      <w:tabs>
        <w:tab w:val="clear" w:pos="4320"/>
        <w:tab w:val="clear" w:pos="8640"/>
        <w:tab w:val="right" w:pos="9360"/>
      </w:tabs>
    </w:pPr>
    <w:bookmarkStart w:id="14" w:name="DocketLabel"/>
    <w:r>
      <w:t>Docket No.</w:t>
    </w:r>
    <w:bookmarkEnd w:id="14"/>
    <w:r>
      <w:t xml:space="preserve"> </w:t>
    </w:r>
    <w:bookmarkStart w:id="15" w:name="DocketList"/>
    <w:r>
      <w:t>150102-SU</w:t>
    </w:r>
    <w:bookmarkEnd w:id="15"/>
  </w:p>
  <w:p w:rsidR="00B002CC" w:rsidRDefault="00B002CC">
    <w:pPr>
      <w:pStyle w:val="Header"/>
    </w:pPr>
    <w:r>
      <w:t xml:space="preserve">Date: </w:t>
    </w:r>
    <w:r w:rsidR="00946152">
      <w:fldChar w:fldCharType="begin"/>
    </w:r>
    <w:r w:rsidR="00946152">
      <w:instrText xml:space="preserve"> REF FilingDate </w:instrText>
    </w:r>
    <w:r w:rsidR="00946152">
      <w:fldChar w:fldCharType="separate"/>
    </w:r>
    <w:r w:rsidR="003F6E3F">
      <w:t>July 9, 2015</w:t>
    </w:r>
    <w:r w:rsidR="0094615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rsidP="00220732">
    <w:pPr>
      <w:pStyle w:val="Header"/>
      <w:tabs>
        <w:tab w:val="clear" w:pos="4320"/>
        <w:tab w:val="clear" w:pos="8640"/>
        <w:tab w:val="right" w:pos="9360"/>
      </w:tabs>
    </w:pPr>
    <w:r>
      <w:fldChar w:fldCharType="begin"/>
    </w:r>
    <w:r>
      <w:instrText xml:space="preserve"> REF DocketLabel</w:instrText>
    </w:r>
    <w:r>
      <w:fldChar w:fldCharType="separate"/>
    </w:r>
    <w:r w:rsidR="003F6E3F">
      <w:t>Docket No.</w:t>
    </w:r>
    <w:r>
      <w:fldChar w:fldCharType="end"/>
    </w:r>
    <w:r>
      <w:t xml:space="preserve"> </w:t>
    </w:r>
    <w:r>
      <w:fldChar w:fldCharType="begin"/>
    </w:r>
    <w:r>
      <w:instrText xml:space="preserve"> REF DocketList</w:instrText>
    </w:r>
    <w:r>
      <w:fldChar w:fldCharType="separate"/>
    </w:r>
    <w:r w:rsidR="003F6E3F">
      <w:t>150102-SU</w:t>
    </w:r>
    <w:r>
      <w:fldChar w:fldCharType="end"/>
    </w:r>
    <w:r>
      <w:tab/>
      <w:t xml:space="preserve">Issue </w:t>
    </w:r>
    <w:r w:rsidR="00946152">
      <w:fldChar w:fldCharType="begin"/>
    </w:r>
    <w:r w:rsidR="00946152">
      <w:instrText xml:space="preserve"> Seq Issue \c \* Arabic </w:instrText>
    </w:r>
    <w:r w:rsidR="00946152">
      <w:fldChar w:fldCharType="separate"/>
    </w:r>
    <w:r w:rsidR="00B36FA8">
      <w:rPr>
        <w:noProof/>
      </w:rPr>
      <w:t>5</w:t>
    </w:r>
    <w:r w:rsidR="00946152">
      <w:rPr>
        <w:noProof/>
      </w:rPr>
      <w:fldChar w:fldCharType="end"/>
    </w:r>
  </w:p>
  <w:p w:rsidR="00B002CC" w:rsidRDefault="00B002CC">
    <w:pPr>
      <w:pStyle w:val="Header"/>
    </w:pPr>
    <w:r>
      <w:t xml:space="preserve">Date: </w:t>
    </w:r>
    <w:r w:rsidR="00946152">
      <w:fldChar w:fldCharType="begin"/>
    </w:r>
    <w:r w:rsidR="00946152">
      <w:instrText xml:space="preserve"> REF FilingDate </w:instrText>
    </w:r>
    <w:r w:rsidR="00946152">
      <w:fldChar w:fldCharType="separate"/>
    </w:r>
    <w:r w:rsidR="003F6E3F">
      <w:t>July 9, 2015</w:t>
    </w:r>
    <w:r w:rsidR="0094615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rsidP="00220732">
    <w:pPr>
      <w:pStyle w:val="Header"/>
      <w:tabs>
        <w:tab w:val="clear" w:pos="4320"/>
        <w:tab w:val="clear" w:pos="8640"/>
        <w:tab w:val="right" w:pos="9360"/>
      </w:tabs>
    </w:pPr>
    <w:r>
      <w:fldChar w:fldCharType="begin"/>
    </w:r>
    <w:r>
      <w:instrText xml:space="preserve"> REF DocketLabel</w:instrText>
    </w:r>
    <w:r>
      <w:fldChar w:fldCharType="separate"/>
    </w:r>
    <w:r w:rsidR="003F6E3F">
      <w:t>Docket No.</w:t>
    </w:r>
    <w:r>
      <w:fldChar w:fldCharType="end"/>
    </w:r>
    <w:r>
      <w:t xml:space="preserve"> </w:t>
    </w:r>
    <w:r>
      <w:fldChar w:fldCharType="begin"/>
    </w:r>
    <w:r>
      <w:instrText xml:space="preserve"> REF DocketList</w:instrText>
    </w:r>
    <w:r>
      <w:fldChar w:fldCharType="separate"/>
    </w:r>
    <w:r w:rsidR="003F6E3F">
      <w:t>150102-SU</w:t>
    </w:r>
    <w:r>
      <w:fldChar w:fldCharType="end"/>
    </w:r>
    <w:r>
      <w:tab/>
      <w:t>Schedule No. 1-A</w:t>
    </w:r>
  </w:p>
  <w:p w:rsidR="00B002CC" w:rsidRDefault="00B002CC">
    <w:pPr>
      <w:pStyle w:val="Header"/>
    </w:pPr>
    <w:r>
      <w:t xml:space="preserve">Date: </w:t>
    </w:r>
    <w:r w:rsidR="00946152">
      <w:fldChar w:fldCharType="begin"/>
    </w:r>
    <w:r w:rsidR="00946152">
      <w:instrText xml:space="preserve"> REF FilingDate </w:instrText>
    </w:r>
    <w:r w:rsidR="00946152">
      <w:fldChar w:fldCharType="separate"/>
    </w:r>
    <w:r w:rsidR="003F6E3F">
      <w:t>July 9, 2015</w:t>
    </w:r>
    <w:r w:rsidR="0094615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rsidP="00220732">
    <w:pPr>
      <w:pStyle w:val="Header"/>
      <w:tabs>
        <w:tab w:val="clear" w:pos="4320"/>
        <w:tab w:val="clear" w:pos="8640"/>
        <w:tab w:val="right" w:pos="9360"/>
      </w:tabs>
    </w:pPr>
    <w:r>
      <w:fldChar w:fldCharType="begin"/>
    </w:r>
    <w:r>
      <w:instrText xml:space="preserve"> REF DocketLabel</w:instrText>
    </w:r>
    <w:r>
      <w:fldChar w:fldCharType="separate"/>
    </w:r>
    <w:r w:rsidR="003F6E3F">
      <w:t>Docket No.</w:t>
    </w:r>
    <w:r>
      <w:fldChar w:fldCharType="end"/>
    </w:r>
    <w:r>
      <w:t xml:space="preserve"> </w:t>
    </w:r>
    <w:r>
      <w:fldChar w:fldCharType="begin"/>
    </w:r>
    <w:r>
      <w:instrText xml:space="preserve"> REF DocketList</w:instrText>
    </w:r>
    <w:r>
      <w:fldChar w:fldCharType="separate"/>
    </w:r>
    <w:r w:rsidR="003F6E3F">
      <w:t>150102-SU</w:t>
    </w:r>
    <w:r>
      <w:fldChar w:fldCharType="end"/>
    </w:r>
    <w:r>
      <w:tab/>
      <w:t>Schedule No 1-B</w:t>
    </w:r>
  </w:p>
  <w:p w:rsidR="00B002CC" w:rsidRDefault="00B002CC">
    <w:pPr>
      <w:pStyle w:val="Header"/>
    </w:pPr>
    <w:r>
      <w:t xml:space="preserve">Date: </w:t>
    </w:r>
    <w:r w:rsidR="00946152">
      <w:fldChar w:fldCharType="begin"/>
    </w:r>
    <w:r w:rsidR="00946152">
      <w:instrText xml:space="preserve"> REF FilingDate </w:instrText>
    </w:r>
    <w:r w:rsidR="00946152">
      <w:fldChar w:fldCharType="separate"/>
    </w:r>
    <w:r w:rsidR="003F6E3F">
      <w:t>July 9, 2015</w:t>
    </w:r>
    <w:r w:rsidR="00946152">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rsidP="00220732">
    <w:pPr>
      <w:pStyle w:val="Header"/>
      <w:tabs>
        <w:tab w:val="clear" w:pos="4320"/>
        <w:tab w:val="clear" w:pos="8640"/>
        <w:tab w:val="right" w:pos="9360"/>
      </w:tabs>
    </w:pPr>
    <w:r>
      <w:fldChar w:fldCharType="begin"/>
    </w:r>
    <w:r>
      <w:instrText xml:space="preserve"> REF DocketLabel</w:instrText>
    </w:r>
    <w:r>
      <w:fldChar w:fldCharType="separate"/>
    </w:r>
    <w:r w:rsidR="003F6E3F">
      <w:t>Docket No.</w:t>
    </w:r>
    <w:r>
      <w:fldChar w:fldCharType="end"/>
    </w:r>
    <w:r>
      <w:t xml:space="preserve"> </w:t>
    </w:r>
    <w:r>
      <w:fldChar w:fldCharType="begin"/>
    </w:r>
    <w:r>
      <w:instrText xml:space="preserve"> REF DocketList</w:instrText>
    </w:r>
    <w:r>
      <w:fldChar w:fldCharType="separate"/>
    </w:r>
    <w:r w:rsidR="003F6E3F">
      <w:t>150102-SU</w:t>
    </w:r>
    <w:r>
      <w:fldChar w:fldCharType="end"/>
    </w:r>
    <w:r>
      <w:tab/>
    </w:r>
    <w:r>
      <w:tab/>
    </w:r>
    <w:r>
      <w:tab/>
      <w:t>Schedule No. 2</w:t>
    </w:r>
  </w:p>
  <w:p w:rsidR="00B002CC" w:rsidRDefault="00B002CC">
    <w:pPr>
      <w:pStyle w:val="Header"/>
    </w:pPr>
    <w:r>
      <w:t xml:space="preserve">Date: </w:t>
    </w:r>
    <w:r w:rsidR="00946152">
      <w:fldChar w:fldCharType="begin"/>
    </w:r>
    <w:r w:rsidR="00946152">
      <w:instrText xml:space="preserve"> REF FilingDate </w:instrText>
    </w:r>
    <w:r w:rsidR="00946152">
      <w:fldChar w:fldCharType="separate"/>
    </w:r>
    <w:r w:rsidR="003F6E3F">
      <w:t>July 9, 2015</w:t>
    </w:r>
    <w:r w:rsidR="00946152">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rsidP="00220732">
    <w:pPr>
      <w:pStyle w:val="Header"/>
      <w:tabs>
        <w:tab w:val="clear" w:pos="4320"/>
        <w:tab w:val="clear" w:pos="8640"/>
        <w:tab w:val="right" w:pos="9360"/>
      </w:tabs>
    </w:pPr>
    <w:r>
      <w:fldChar w:fldCharType="begin"/>
    </w:r>
    <w:r>
      <w:instrText xml:space="preserve"> REF DocketLabel</w:instrText>
    </w:r>
    <w:r>
      <w:fldChar w:fldCharType="separate"/>
    </w:r>
    <w:r w:rsidR="003F6E3F">
      <w:t>Docket No.</w:t>
    </w:r>
    <w:r>
      <w:fldChar w:fldCharType="end"/>
    </w:r>
    <w:r>
      <w:t xml:space="preserve"> </w:t>
    </w:r>
    <w:r>
      <w:fldChar w:fldCharType="begin"/>
    </w:r>
    <w:r>
      <w:instrText xml:space="preserve"> REF DocketList</w:instrText>
    </w:r>
    <w:r>
      <w:fldChar w:fldCharType="separate"/>
    </w:r>
    <w:r w:rsidR="003F6E3F">
      <w:t>150102-SU</w:t>
    </w:r>
    <w:r>
      <w:fldChar w:fldCharType="end"/>
    </w:r>
    <w:r>
      <w:tab/>
    </w:r>
    <w:r>
      <w:tab/>
    </w:r>
    <w:r>
      <w:tab/>
      <w:t>Schedule No. 3-A</w:t>
    </w:r>
  </w:p>
  <w:p w:rsidR="00B002CC" w:rsidRDefault="00B002CC">
    <w:pPr>
      <w:pStyle w:val="Header"/>
    </w:pPr>
    <w:r>
      <w:t xml:space="preserve">Date: </w:t>
    </w:r>
    <w:r w:rsidR="00946152">
      <w:fldChar w:fldCharType="begin"/>
    </w:r>
    <w:r w:rsidR="00946152">
      <w:instrText xml:space="preserve"> REF FilingDate </w:instrText>
    </w:r>
    <w:r w:rsidR="00946152">
      <w:fldChar w:fldCharType="separate"/>
    </w:r>
    <w:r w:rsidR="003F6E3F">
      <w:t>July 9, 2015</w:t>
    </w:r>
    <w:r w:rsidR="00946152">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rsidP="00220732">
    <w:pPr>
      <w:pStyle w:val="Header"/>
      <w:tabs>
        <w:tab w:val="clear" w:pos="4320"/>
        <w:tab w:val="clear" w:pos="8640"/>
        <w:tab w:val="right" w:pos="9360"/>
      </w:tabs>
    </w:pPr>
    <w:r>
      <w:fldChar w:fldCharType="begin"/>
    </w:r>
    <w:r>
      <w:instrText xml:space="preserve"> REF DocketLabel</w:instrText>
    </w:r>
    <w:r>
      <w:fldChar w:fldCharType="separate"/>
    </w:r>
    <w:r w:rsidR="003F6E3F">
      <w:t>Docket No.</w:t>
    </w:r>
    <w:r>
      <w:fldChar w:fldCharType="end"/>
    </w:r>
    <w:r>
      <w:t xml:space="preserve"> </w:t>
    </w:r>
    <w:r>
      <w:fldChar w:fldCharType="begin"/>
    </w:r>
    <w:r>
      <w:instrText xml:space="preserve"> REF DocketList</w:instrText>
    </w:r>
    <w:r>
      <w:fldChar w:fldCharType="separate"/>
    </w:r>
    <w:r w:rsidR="003F6E3F">
      <w:t>150102-SU</w:t>
    </w:r>
    <w:r>
      <w:fldChar w:fldCharType="end"/>
    </w:r>
    <w:r>
      <w:tab/>
      <w:t>Schedule No. 3-B</w:t>
    </w:r>
    <w:r>
      <w:tab/>
    </w:r>
    <w:r>
      <w:tab/>
      <w:t>Schedule No. 3-A</w:t>
    </w:r>
  </w:p>
  <w:p w:rsidR="00B002CC" w:rsidRDefault="00B002CC">
    <w:pPr>
      <w:pStyle w:val="Header"/>
    </w:pPr>
    <w:r>
      <w:t xml:space="preserve">Date: </w:t>
    </w:r>
    <w:r w:rsidR="00946152">
      <w:fldChar w:fldCharType="begin"/>
    </w:r>
    <w:r w:rsidR="00946152">
      <w:instrText xml:space="preserve"> REF FilingDate </w:instrText>
    </w:r>
    <w:r w:rsidR="00946152">
      <w:fldChar w:fldCharType="separate"/>
    </w:r>
    <w:r w:rsidR="003F6E3F">
      <w:t>July 9, 2015</w:t>
    </w:r>
    <w:r w:rsidR="00946152">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2CC" w:rsidRDefault="00B002CC" w:rsidP="00220732">
    <w:pPr>
      <w:pStyle w:val="Header"/>
      <w:tabs>
        <w:tab w:val="clear" w:pos="4320"/>
        <w:tab w:val="clear" w:pos="8640"/>
        <w:tab w:val="right" w:pos="9360"/>
      </w:tabs>
    </w:pPr>
    <w:r>
      <w:fldChar w:fldCharType="begin"/>
    </w:r>
    <w:r>
      <w:instrText xml:space="preserve"> REF DocketLabel</w:instrText>
    </w:r>
    <w:r>
      <w:fldChar w:fldCharType="separate"/>
    </w:r>
    <w:r w:rsidR="003F6E3F">
      <w:t>Docket No.</w:t>
    </w:r>
    <w:r>
      <w:fldChar w:fldCharType="end"/>
    </w:r>
    <w:r>
      <w:t xml:space="preserve"> </w:t>
    </w:r>
    <w:r>
      <w:fldChar w:fldCharType="begin"/>
    </w:r>
    <w:r>
      <w:instrText xml:space="preserve"> REF DocketList</w:instrText>
    </w:r>
    <w:r>
      <w:fldChar w:fldCharType="separate"/>
    </w:r>
    <w:r w:rsidR="003F6E3F">
      <w:t>150102-SU</w:t>
    </w:r>
    <w:r>
      <w:fldChar w:fldCharType="end"/>
    </w:r>
    <w:r>
      <w:tab/>
      <w:t>Schedule No. 4</w:t>
    </w:r>
  </w:p>
  <w:p w:rsidR="00B002CC" w:rsidRDefault="00B002CC">
    <w:pPr>
      <w:pStyle w:val="Header"/>
    </w:pPr>
    <w:r>
      <w:t xml:space="preserve">Date: </w:t>
    </w:r>
    <w:r w:rsidR="00946152">
      <w:fldChar w:fldCharType="begin"/>
    </w:r>
    <w:r w:rsidR="00946152">
      <w:instrText xml:space="preserve"> REF FilingDate </w:instrText>
    </w:r>
    <w:r w:rsidR="00946152">
      <w:fldChar w:fldCharType="separate"/>
    </w:r>
    <w:r w:rsidR="003F6E3F">
      <w:t>July 9, 2015</w:t>
    </w:r>
    <w:r w:rsidR="0094615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6B782A05"/>
    <w:multiLevelType w:val="hybridMultilevel"/>
    <w:tmpl w:val="C446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8F1A1F"/>
    <w:rsid w:val="0000145C"/>
    <w:rsid w:val="00010E37"/>
    <w:rsid w:val="000219FA"/>
    <w:rsid w:val="000277C2"/>
    <w:rsid w:val="00035B48"/>
    <w:rsid w:val="00036CE2"/>
    <w:rsid w:val="00041F00"/>
    <w:rsid w:val="000437FE"/>
    <w:rsid w:val="00053B2B"/>
    <w:rsid w:val="0005573F"/>
    <w:rsid w:val="00055963"/>
    <w:rsid w:val="00055A21"/>
    <w:rsid w:val="0006008A"/>
    <w:rsid w:val="00065A06"/>
    <w:rsid w:val="000666F3"/>
    <w:rsid w:val="00070DCB"/>
    <w:rsid w:val="00073120"/>
    <w:rsid w:val="000828D3"/>
    <w:rsid w:val="000864BA"/>
    <w:rsid w:val="000A2B57"/>
    <w:rsid w:val="000A418B"/>
    <w:rsid w:val="000C4431"/>
    <w:rsid w:val="000D4319"/>
    <w:rsid w:val="000F3A00"/>
    <w:rsid w:val="001151ED"/>
    <w:rsid w:val="00117C8C"/>
    <w:rsid w:val="00121D0A"/>
    <w:rsid w:val="00124E2E"/>
    <w:rsid w:val="00125ED4"/>
    <w:rsid w:val="001305E9"/>
    <w:rsid w:val="001307AF"/>
    <w:rsid w:val="00130CDE"/>
    <w:rsid w:val="00135687"/>
    <w:rsid w:val="00160069"/>
    <w:rsid w:val="00160FA2"/>
    <w:rsid w:val="00166DDF"/>
    <w:rsid w:val="001777F8"/>
    <w:rsid w:val="00180254"/>
    <w:rsid w:val="00191E1F"/>
    <w:rsid w:val="00192943"/>
    <w:rsid w:val="001B4FEE"/>
    <w:rsid w:val="001B51C5"/>
    <w:rsid w:val="001B6F3F"/>
    <w:rsid w:val="001C52B5"/>
    <w:rsid w:val="001C7DB2"/>
    <w:rsid w:val="001D0D3E"/>
    <w:rsid w:val="001F72C9"/>
    <w:rsid w:val="002044E6"/>
    <w:rsid w:val="00205C82"/>
    <w:rsid w:val="00205DC2"/>
    <w:rsid w:val="002163B6"/>
    <w:rsid w:val="00220732"/>
    <w:rsid w:val="002226CD"/>
    <w:rsid w:val="00222A71"/>
    <w:rsid w:val="00225C3F"/>
    <w:rsid w:val="00231E46"/>
    <w:rsid w:val="00247B63"/>
    <w:rsid w:val="00255AC2"/>
    <w:rsid w:val="00257939"/>
    <w:rsid w:val="002826F1"/>
    <w:rsid w:val="00292335"/>
    <w:rsid w:val="00292D82"/>
    <w:rsid w:val="002963CB"/>
    <w:rsid w:val="002D226D"/>
    <w:rsid w:val="002F5C78"/>
    <w:rsid w:val="002F7512"/>
    <w:rsid w:val="003037E1"/>
    <w:rsid w:val="003103EC"/>
    <w:rsid w:val="00312DCA"/>
    <w:rsid w:val="003144EF"/>
    <w:rsid w:val="00316187"/>
    <w:rsid w:val="003212C1"/>
    <w:rsid w:val="00322F74"/>
    <w:rsid w:val="00331592"/>
    <w:rsid w:val="00340073"/>
    <w:rsid w:val="00370B7A"/>
    <w:rsid w:val="00372805"/>
    <w:rsid w:val="00373180"/>
    <w:rsid w:val="00373B99"/>
    <w:rsid w:val="003821A0"/>
    <w:rsid w:val="00385B04"/>
    <w:rsid w:val="003A1D91"/>
    <w:rsid w:val="003A5494"/>
    <w:rsid w:val="003B2510"/>
    <w:rsid w:val="003B68FF"/>
    <w:rsid w:val="003C2CC4"/>
    <w:rsid w:val="003C5D55"/>
    <w:rsid w:val="003D126B"/>
    <w:rsid w:val="003E0EFC"/>
    <w:rsid w:val="003E4A2B"/>
    <w:rsid w:val="003E76C2"/>
    <w:rsid w:val="003F1679"/>
    <w:rsid w:val="003F4A35"/>
    <w:rsid w:val="003F6E3F"/>
    <w:rsid w:val="003F7FDD"/>
    <w:rsid w:val="00402481"/>
    <w:rsid w:val="004042B4"/>
    <w:rsid w:val="00412DAE"/>
    <w:rsid w:val="00431598"/>
    <w:rsid w:val="00436E90"/>
    <w:rsid w:val="00444432"/>
    <w:rsid w:val="00447F29"/>
    <w:rsid w:val="00464CE0"/>
    <w:rsid w:val="00467254"/>
    <w:rsid w:val="00471860"/>
    <w:rsid w:val="00474AFD"/>
    <w:rsid w:val="004A197A"/>
    <w:rsid w:val="004A415E"/>
    <w:rsid w:val="004B1AC2"/>
    <w:rsid w:val="004C3150"/>
    <w:rsid w:val="004C4390"/>
    <w:rsid w:val="004C4AF7"/>
    <w:rsid w:val="004D2881"/>
    <w:rsid w:val="004D385F"/>
    <w:rsid w:val="004D5B39"/>
    <w:rsid w:val="004E5147"/>
    <w:rsid w:val="00506C03"/>
    <w:rsid w:val="00516141"/>
    <w:rsid w:val="00516D7C"/>
    <w:rsid w:val="0052572A"/>
    <w:rsid w:val="0054323D"/>
    <w:rsid w:val="00544F40"/>
    <w:rsid w:val="005579E3"/>
    <w:rsid w:val="00557C3D"/>
    <w:rsid w:val="005614BD"/>
    <w:rsid w:val="00562472"/>
    <w:rsid w:val="0057154F"/>
    <w:rsid w:val="0057390D"/>
    <w:rsid w:val="00576FC8"/>
    <w:rsid w:val="00581CA3"/>
    <w:rsid w:val="00590C8A"/>
    <w:rsid w:val="005940BF"/>
    <w:rsid w:val="00597730"/>
    <w:rsid w:val="00597DE7"/>
    <w:rsid w:val="005A4AA2"/>
    <w:rsid w:val="005B34B6"/>
    <w:rsid w:val="005B4E74"/>
    <w:rsid w:val="005B6C8F"/>
    <w:rsid w:val="005D2E7D"/>
    <w:rsid w:val="005D4A8F"/>
    <w:rsid w:val="005D4C0E"/>
    <w:rsid w:val="005D561B"/>
    <w:rsid w:val="005E5B71"/>
    <w:rsid w:val="005F468D"/>
    <w:rsid w:val="005F6747"/>
    <w:rsid w:val="00614982"/>
    <w:rsid w:val="00615423"/>
    <w:rsid w:val="006165B2"/>
    <w:rsid w:val="00617276"/>
    <w:rsid w:val="0061748A"/>
    <w:rsid w:val="0062152B"/>
    <w:rsid w:val="00625D97"/>
    <w:rsid w:val="00625F1C"/>
    <w:rsid w:val="00630CEB"/>
    <w:rsid w:val="00632264"/>
    <w:rsid w:val="006470BC"/>
    <w:rsid w:val="006542E5"/>
    <w:rsid w:val="00655F1E"/>
    <w:rsid w:val="00662C6C"/>
    <w:rsid w:val="0066540A"/>
    <w:rsid w:val="00667036"/>
    <w:rsid w:val="006771B8"/>
    <w:rsid w:val="00677415"/>
    <w:rsid w:val="00677DAE"/>
    <w:rsid w:val="0068481F"/>
    <w:rsid w:val="00692ED6"/>
    <w:rsid w:val="00694578"/>
    <w:rsid w:val="00696F5D"/>
    <w:rsid w:val="00697249"/>
    <w:rsid w:val="006A0CDA"/>
    <w:rsid w:val="006B4293"/>
    <w:rsid w:val="006C31E3"/>
    <w:rsid w:val="00705B04"/>
    <w:rsid w:val="007149F8"/>
    <w:rsid w:val="0071530B"/>
    <w:rsid w:val="007303EB"/>
    <w:rsid w:val="007349DC"/>
    <w:rsid w:val="0074365E"/>
    <w:rsid w:val="007515FD"/>
    <w:rsid w:val="00760D80"/>
    <w:rsid w:val="007617DC"/>
    <w:rsid w:val="00763567"/>
    <w:rsid w:val="007669BF"/>
    <w:rsid w:val="00772AAA"/>
    <w:rsid w:val="00774B95"/>
    <w:rsid w:val="00780C09"/>
    <w:rsid w:val="00780DDF"/>
    <w:rsid w:val="00787DBC"/>
    <w:rsid w:val="00792D15"/>
    <w:rsid w:val="00797C11"/>
    <w:rsid w:val="007A04A1"/>
    <w:rsid w:val="007A1840"/>
    <w:rsid w:val="007B242A"/>
    <w:rsid w:val="007C0528"/>
    <w:rsid w:val="007C3D38"/>
    <w:rsid w:val="007D0F35"/>
    <w:rsid w:val="007D2D53"/>
    <w:rsid w:val="007D3BC9"/>
    <w:rsid w:val="007D4FEB"/>
    <w:rsid w:val="007D6146"/>
    <w:rsid w:val="007E0CE7"/>
    <w:rsid w:val="007E3CBC"/>
    <w:rsid w:val="007F137C"/>
    <w:rsid w:val="007F417F"/>
    <w:rsid w:val="00810976"/>
    <w:rsid w:val="00812890"/>
    <w:rsid w:val="00816624"/>
    <w:rsid w:val="00822562"/>
    <w:rsid w:val="00823663"/>
    <w:rsid w:val="00823B06"/>
    <w:rsid w:val="008278E4"/>
    <w:rsid w:val="00832DDC"/>
    <w:rsid w:val="00850BAC"/>
    <w:rsid w:val="00854A3E"/>
    <w:rsid w:val="00855D08"/>
    <w:rsid w:val="00872E34"/>
    <w:rsid w:val="00874344"/>
    <w:rsid w:val="00882155"/>
    <w:rsid w:val="0088233B"/>
    <w:rsid w:val="00884FEB"/>
    <w:rsid w:val="00886C37"/>
    <w:rsid w:val="00894242"/>
    <w:rsid w:val="008A0678"/>
    <w:rsid w:val="008B57B6"/>
    <w:rsid w:val="008B62AE"/>
    <w:rsid w:val="008C04B5"/>
    <w:rsid w:val="008C14FA"/>
    <w:rsid w:val="008D0214"/>
    <w:rsid w:val="008F1A1F"/>
    <w:rsid w:val="008F2262"/>
    <w:rsid w:val="008F7736"/>
    <w:rsid w:val="0090019E"/>
    <w:rsid w:val="00901086"/>
    <w:rsid w:val="00901C8A"/>
    <w:rsid w:val="00905886"/>
    <w:rsid w:val="009070D6"/>
    <w:rsid w:val="009076C6"/>
    <w:rsid w:val="009106F1"/>
    <w:rsid w:val="00912739"/>
    <w:rsid w:val="009145D6"/>
    <w:rsid w:val="00922002"/>
    <w:rsid w:val="00923540"/>
    <w:rsid w:val="00924020"/>
    <w:rsid w:val="0092511D"/>
    <w:rsid w:val="009271A7"/>
    <w:rsid w:val="0093658B"/>
    <w:rsid w:val="00940599"/>
    <w:rsid w:val="009429FF"/>
    <w:rsid w:val="00945BD6"/>
    <w:rsid w:val="009479FB"/>
    <w:rsid w:val="00951C45"/>
    <w:rsid w:val="00954BA4"/>
    <w:rsid w:val="009634A9"/>
    <w:rsid w:val="00966A08"/>
    <w:rsid w:val="009679A1"/>
    <w:rsid w:val="00971207"/>
    <w:rsid w:val="0097124C"/>
    <w:rsid w:val="00975CB4"/>
    <w:rsid w:val="009863B0"/>
    <w:rsid w:val="00987DE1"/>
    <w:rsid w:val="00990571"/>
    <w:rsid w:val="00994E53"/>
    <w:rsid w:val="00995F89"/>
    <w:rsid w:val="0099673A"/>
    <w:rsid w:val="009A3330"/>
    <w:rsid w:val="009A3866"/>
    <w:rsid w:val="009A4207"/>
    <w:rsid w:val="009A7C96"/>
    <w:rsid w:val="009C3DB9"/>
    <w:rsid w:val="009D46E5"/>
    <w:rsid w:val="009D568A"/>
    <w:rsid w:val="009D6806"/>
    <w:rsid w:val="009F04EC"/>
    <w:rsid w:val="00A019B9"/>
    <w:rsid w:val="00A12508"/>
    <w:rsid w:val="00A1282B"/>
    <w:rsid w:val="00A175B6"/>
    <w:rsid w:val="00A17C1D"/>
    <w:rsid w:val="00A21835"/>
    <w:rsid w:val="00A23B20"/>
    <w:rsid w:val="00A3048D"/>
    <w:rsid w:val="00A328EC"/>
    <w:rsid w:val="00A33A51"/>
    <w:rsid w:val="00A41CA6"/>
    <w:rsid w:val="00A47927"/>
    <w:rsid w:val="00A47FFC"/>
    <w:rsid w:val="00A54FF9"/>
    <w:rsid w:val="00A56765"/>
    <w:rsid w:val="00A754D0"/>
    <w:rsid w:val="00A92FB1"/>
    <w:rsid w:val="00A95A0C"/>
    <w:rsid w:val="00AA1A0D"/>
    <w:rsid w:val="00AA2765"/>
    <w:rsid w:val="00AA5724"/>
    <w:rsid w:val="00AA77B5"/>
    <w:rsid w:val="00AB6C5D"/>
    <w:rsid w:val="00AC1E62"/>
    <w:rsid w:val="00AC51A7"/>
    <w:rsid w:val="00AD7FCB"/>
    <w:rsid w:val="00AE6992"/>
    <w:rsid w:val="00AF5F89"/>
    <w:rsid w:val="00AF73CB"/>
    <w:rsid w:val="00B002CC"/>
    <w:rsid w:val="00B002D6"/>
    <w:rsid w:val="00B05B51"/>
    <w:rsid w:val="00B07A8C"/>
    <w:rsid w:val="00B15370"/>
    <w:rsid w:val="00B15540"/>
    <w:rsid w:val="00B17BEB"/>
    <w:rsid w:val="00B21A3C"/>
    <w:rsid w:val="00B223C0"/>
    <w:rsid w:val="00B234ED"/>
    <w:rsid w:val="00B25CA3"/>
    <w:rsid w:val="00B36FA8"/>
    <w:rsid w:val="00B555F0"/>
    <w:rsid w:val="00B75505"/>
    <w:rsid w:val="00B760F1"/>
    <w:rsid w:val="00B7669E"/>
    <w:rsid w:val="00B8031A"/>
    <w:rsid w:val="00B80388"/>
    <w:rsid w:val="00B913BF"/>
    <w:rsid w:val="00BA0D55"/>
    <w:rsid w:val="00BA37B3"/>
    <w:rsid w:val="00BA4CC6"/>
    <w:rsid w:val="00BA52FB"/>
    <w:rsid w:val="00BB3493"/>
    <w:rsid w:val="00BC188A"/>
    <w:rsid w:val="00BD6005"/>
    <w:rsid w:val="00BF121C"/>
    <w:rsid w:val="00BF5010"/>
    <w:rsid w:val="00C25DAF"/>
    <w:rsid w:val="00C31BB3"/>
    <w:rsid w:val="00C36977"/>
    <w:rsid w:val="00C50F9C"/>
    <w:rsid w:val="00C529D6"/>
    <w:rsid w:val="00C60BA3"/>
    <w:rsid w:val="00C623F7"/>
    <w:rsid w:val="00C81773"/>
    <w:rsid w:val="00C866E7"/>
    <w:rsid w:val="00C86896"/>
    <w:rsid w:val="00C907A8"/>
    <w:rsid w:val="00C93211"/>
    <w:rsid w:val="00C942EC"/>
    <w:rsid w:val="00C96047"/>
    <w:rsid w:val="00C9732C"/>
    <w:rsid w:val="00C979D0"/>
    <w:rsid w:val="00CA0818"/>
    <w:rsid w:val="00CA2C8F"/>
    <w:rsid w:val="00CA30DA"/>
    <w:rsid w:val="00CA3A24"/>
    <w:rsid w:val="00CB1777"/>
    <w:rsid w:val="00CB33E9"/>
    <w:rsid w:val="00CC10A9"/>
    <w:rsid w:val="00CC3180"/>
    <w:rsid w:val="00CC52CD"/>
    <w:rsid w:val="00CE26F6"/>
    <w:rsid w:val="00CE2BF8"/>
    <w:rsid w:val="00CF0DA8"/>
    <w:rsid w:val="00CF2E25"/>
    <w:rsid w:val="00CF4453"/>
    <w:rsid w:val="00D034D7"/>
    <w:rsid w:val="00D04BE4"/>
    <w:rsid w:val="00D04F72"/>
    <w:rsid w:val="00D14127"/>
    <w:rsid w:val="00D1440E"/>
    <w:rsid w:val="00D173CF"/>
    <w:rsid w:val="00D2797F"/>
    <w:rsid w:val="00D60F02"/>
    <w:rsid w:val="00D66E49"/>
    <w:rsid w:val="00D71FB0"/>
    <w:rsid w:val="00D72F74"/>
    <w:rsid w:val="00D731E3"/>
    <w:rsid w:val="00D76733"/>
    <w:rsid w:val="00D81563"/>
    <w:rsid w:val="00D9073E"/>
    <w:rsid w:val="00D9221D"/>
    <w:rsid w:val="00D958DF"/>
    <w:rsid w:val="00D95ABE"/>
    <w:rsid w:val="00D96DA1"/>
    <w:rsid w:val="00DA0319"/>
    <w:rsid w:val="00DA3273"/>
    <w:rsid w:val="00DA51E7"/>
    <w:rsid w:val="00DB1C78"/>
    <w:rsid w:val="00DB4E3F"/>
    <w:rsid w:val="00DB7D96"/>
    <w:rsid w:val="00DC23FE"/>
    <w:rsid w:val="00DC59E6"/>
    <w:rsid w:val="00DD150B"/>
    <w:rsid w:val="00DD4CD1"/>
    <w:rsid w:val="00DF18A4"/>
    <w:rsid w:val="00E06484"/>
    <w:rsid w:val="00E10C33"/>
    <w:rsid w:val="00E20A7D"/>
    <w:rsid w:val="00E375CA"/>
    <w:rsid w:val="00E410E3"/>
    <w:rsid w:val="00E567E8"/>
    <w:rsid w:val="00E65EBC"/>
    <w:rsid w:val="00E73432"/>
    <w:rsid w:val="00E737F5"/>
    <w:rsid w:val="00E77B0C"/>
    <w:rsid w:val="00E77FB8"/>
    <w:rsid w:val="00E838B0"/>
    <w:rsid w:val="00E86A7C"/>
    <w:rsid w:val="00E878E1"/>
    <w:rsid w:val="00E95278"/>
    <w:rsid w:val="00EA2273"/>
    <w:rsid w:val="00EA504E"/>
    <w:rsid w:val="00EB2DB3"/>
    <w:rsid w:val="00EB426D"/>
    <w:rsid w:val="00EC3FBB"/>
    <w:rsid w:val="00EC6B7A"/>
    <w:rsid w:val="00ED1B62"/>
    <w:rsid w:val="00ED3A87"/>
    <w:rsid w:val="00ED5B67"/>
    <w:rsid w:val="00EF3FEE"/>
    <w:rsid w:val="00F04B59"/>
    <w:rsid w:val="00F0538A"/>
    <w:rsid w:val="00F07359"/>
    <w:rsid w:val="00F12B1C"/>
    <w:rsid w:val="00F13CF8"/>
    <w:rsid w:val="00F15855"/>
    <w:rsid w:val="00F32978"/>
    <w:rsid w:val="00F40FB7"/>
    <w:rsid w:val="00F45CB2"/>
    <w:rsid w:val="00F544C0"/>
    <w:rsid w:val="00F55332"/>
    <w:rsid w:val="00F65519"/>
    <w:rsid w:val="00F713C0"/>
    <w:rsid w:val="00F75DDC"/>
    <w:rsid w:val="00F853E1"/>
    <w:rsid w:val="00F858AC"/>
    <w:rsid w:val="00F96E1E"/>
    <w:rsid w:val="00FA32DE"/>
    <w:rsid w:val="00FA3382"/>
    <w:rsid w:val="00FA4E0F"/>
    <w:rsid w:val="00FA59CD"/>
    <w:rsid w:val="00FA689E"/>
    <w:rsid w:val="00FB1740"/>
    <w:rsid w:val="00FB4236"/>
    <w:rsid w:val="00FB7C3F"/>
    <w:rsid w:val="00FC4D50"/>
    <w:rsid w:val="00FC6D7D"/>
    <w:rsid w:val="00FD16B0"/>
    <w:rsid w:val="00FD4FED"/>
    <w:rsid w:val="00FE59EC"/>
    <w:rsid w:val="00FF1E02"/>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numbering" w:styleId="111111">
    <w:name w:val="Outline List 2"/>
    <w:basedOn w:val="NoList"/>
    <w:rsid w:val="00DA0319"/>
    <w:pPr>
      <w:numPr>
        <w:numId w:val="11"/>
      </w:numPr>
    </w:pPr>
  </w:style>
  <w:style w:type="character" w:styleId="FootnoteReference">
    <w:name w:val="footnote reference"/>
    <w:unhideWhenUsed/>
    <w:rsid w:val="00DA0319"/>
    <w:rPr>
      <w:vertAlign w:val="superscript"/>
    </w:rPr>
  </w:style>
  <w:style w:type="character" w:customStyle="1" w:styleId="FootnoteTextChar">
    <w:name w:val="Footnote Text Char"/>
    <w:basedOn w:val="DefaultParagraphFont"/>
    <w:link w:val="FootnoteText"/>
    <w:rsid w:val="005B4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numbering" w:styleId="111111">
    <w:name w:val="Outline List 2"/>
    <w:basedOn w:val="NoList"/>
    <w:rsid w:val="00DA0319"/>
    <w:pPr>
      <w:numPr>
        <w:numId w:val="11"/>
      </w:numPr>
    </w:pPr>
  </w:style>
  <w:style w:type="character" w:styleId="FootnoteReference">
    <w:name w:val="footnote reference"/>
    <w:unhideWhenUsed/>
    <w:rsid w:val="00DA0319"/>
    <w:rPr>
      <w:vertAlign w:val="superscript"/>
    </w:rPr>
  </w:style>
  <w:style w:type="character" w:customStyle="1" w:styleId="FootnoteTextChar">
    <w:name w:val="Footnote Text Char"/>
    <w:basedOn w:val="DefaultParagraphFont"/>
    <w:link w:val="FootnoteText"/>
    <w:rsid w:val="005B4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2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9BB02-64D6-4484-9D4E-4454A4F1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16</Pages>
  <Words>3716</Words>
  <Characters>23124</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Jackie Colson</cp:lastModifiedBy>
  <cp:revision>2</cp:revision>
  <cp:lastPrinted>2015-07-08T19:23:00Z</cp:lastPrinted>
  <dcterms:created xsi:type="dcterms:W3CDTF">2015-07-09T15:01:00Z</dcterms:created>
  <dcterms:modified xsi:type="dcterms:W3CDTF">2015-07-09T15:01:00Z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150102-SU</vt:lpwstr>
  </property>
  <property fmtid="{D5CDD505-2E9C-101B-9397-08002B2CF9AE}" pid="3" name="MasterDocument">
    <vt:bool>false</vt:bool>
  </property>
</Properties>
</file>