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3D77C8" w:rsidTr="00FF3A0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3D77C8" w:rsidRDefault="003D77C8" w:rsidP="00FF3A07">
            <w:pPr>
              <w:pStyle w:val="MastHeadState"/>
            </w:pPr>
            <w:bookmarkStart w:id="0" w:name="_GoBack"/>
            <w:bookmarkEnd w:id="0"/>
            <w:r>
              <w:t>State of Florida</w:t>
            </w:r>
          </w:p>
          <w:p w:rsidR="003D77C8" w:rsidRDefault="003D77C8" w:rsidP="00FF3A07">
            <w:pPr>
              <w:jc w:val="center"/>
            </w:pPr>
            <w:r>
              <w:rPr>
                <w:noProof/>
              </w:rPr>
              <w:drawing>
                <wp:inline distT="0" distB="0" distL="0" distR="0">
                  <wp:extent cx="923925" cy="914400"/>
                  <wp:effectExtent l="0" t="0" r="9525" b="0"/>
                  <wp:docPr id="2" name="Picture 2"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3D77C8" w:rsidRDefault="003D77C8" w:rsidP="00FF3A07"/>
        </w:tc>
        <w:tc>
          <w:tcPr>
            <w:tcW w:w="7273" w:type="dxa"/>
            <w:gridSpan w:val="2"/>
            <w:tcBorders>
              <w:top w:val="nil"/>
              <w:left w:val="nil"/>
              <w:bottom w:val="single" w:sz="24" w:space="0" w:color="auto"/>
              <w:right w:val="nil"/>
            </w:tcBorders>
            <w:shd w:val="clear" w:color="auto" w:fill="auto"/>
            <w:vAlign w:val="bottom"/>
          </w:tcPr>
          <w:p w:rsidR="003D77C8" w:rsidRDefault="003D77C8" w:rsidP="00FF3A07">
            <w:pPr>
              <w:pStyle w:val="MastHeadPSC"/>
            </w:pPr>
            <w:r>
              <w:t>Public Service Commission</w:t>
            </w:r>
          </w:p>
          <w:p w:rsidR="003D77C8" w:rsidRDefault="003D77C8" w:rsidP="00FF3A07">
            <w:pPr>
              <w:pStyle w:val="MastHeadAddress"/>
            </w:pPr>
            <w:r>
              <w:t>Capital Circle Office Center ● 2540 Shumard Oak Boulevard</w:t>
            </w:r>
            <w:r>
              <w:br/>
              <w:t>Tallahassee, Florida 32399-0850</w:t>
            </w:r>
          </w:p>
          <w:p w:rsidR="003D77C8" w:rsidRDefault="003D77C8" w:rsidP="00FF3A07">
            <w:pPr>
              <w:pStyle w:val="MastHeadMemorandum"/>
            </w:pPr>
            <w:r>
              <w:t>-M-E-M-O-R-A-N-D-U-M-</w:t>
            </w:r>
          </w:p>
          <w:p w:rsidR="003D77C8" w:rsidRDefault="003D77C8" w:rsidP="00FF3A07">
            <w:pPr>
              <w:pStyle w:val="MemoHeading"/>
            </w:pPr>
          </w:p>
        </w:tc>
      </w:tr>
      <w:tr w:rsidR="003D77C8" w:rsidTr="00FF3A07">
        <w:tc>
          <w:tcPr>
            <w:tcW w:w="1254" w:type="dxa"/>
            <w:tcBorders>
              <w:top w:val="single" w:sz="24" w:space="0" w:color="auto"/>
              <w:left w:val="nil"/>
              <w:bottom w:val="nil"/>
              <w:right w:val="nil"/>
            </w:tcBorders>
            <w:shd w:val="clear" w:color="auto" w:fill="auto"/>
            <w:tcMar>
              <w:top w:w="288" w:type="dxa"/>
              <w:bottom w:w="0" w:type="dxa"/>
              <w:right w:w="0" w:type="dxa"/>
            </w:tcMar>
          </w:tcPr>
          <w:p w:rsidR="003D77C8" w:rsidRDefault="003D77C8" w:rsidP="00FF3A07">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3D77C8" w:rsidRDefault="003D77C8" w:rsidP="00FF3A07">
            <w:pPr>
              <w:pStyle w:val="MemoHeading"/>
            </w:pPr>
            <w:bookmarkStart w:id="1" w:name="FilingDate"/>
            <w:r>
              <w:t>October 1, 2015</w:t>
            </w:r>
            <w:bookmarkEnd w:id="1"/>
          </w:p>
        </w:tc>
      </w:tr>
      <w:tr w:rsidR="003D77C8" w:rsidTr="00FF3A07">
        <w:tc>
          <w:tcPr>
            <w:tcW w:w="1254" w:type="dxa"/>
            <w:tcBorders>
              <w:top w:val="nil"/>
              <w:left w:val="nil"/>
              <w:bottom w:val="nil"/>
              <w:right w:val="nil"/>
            </w:tcBorders>
            <w:shd w:val="clear" w:color="auto" w:fill="auto"/>
            <w:tcMar>
              <w:top w:w="288" w:type="dxa"/>
              <w:bottom w:w="0" w:type="dxa"/>
              <w:right w:w="0" w:type="dxa"/>
            </w:tcMar>
          </w:tcPr>
          <w:p w:rsidR="003D77C8" w:rsidRDefault="003D77C8" w:rsidP="00FF3A07">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3D77C8" w:rsidRDefault="003D77C8" w:rsidP="00FF3A07">
            <w:pPr>
              <w:pStyle w:val="MemoHeading"/>
            </w:pPr>
            <w:r>
              <w:t>Office of Commission Clerk (Stauffer)</w:t>
            </w:r>
          </w:p>
        </w:tc>
      </w:tr>
      <w:tr w:rsidR="003D77C8" w:rsidTr="00FF3A07">
        <w:tc>
          <w:tcPr>
            <w:tcW w:w="1254" w:type="dxa"/>
            <w:tcBorders>
              <w:top w:val="nil"/>
              <w:left w:val="nil"/>
              <w:bottom w:val="nil"/>
              <w:right w:val="nil"/>
            </w:tcBorders>
            <w:shd w:val="clear" w:color="auto" w:fill="auto"/>
            <w:tcMar>
              <w:top w:w="288" w:type="dxa"/>
              <w:right w:w="0" w:type="dxa"/>
            </w:tcMar>
          </w:tcPr>
          <w:p w:rsidR="003D77C8" w:rsidRDefault="003D77C8" w:rsidP="00FF3A07">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D77C8" w:rsidRDefault="003D77C8" w:rsidP="00FF3A07">
            <w:pPr>
              <w:pStyle w:val="MemoHeading"/>
            </w:pPr>
            <w:bookmarkStart w:id="2" w:name="From"/>
            <w:r>
              <w:t>Division of Accounting and Finan</w:t>
            </w:r>
            <w:r w:rsidR="00546661">
              <w:t>ce (Galloway, Fletcher, Smith</w:t>
            </w:r>
            <w:r>
              <w:t>)</w:t>
            </w:r>
          </w:p>
          <w:p w:rsidR="003D77C8" w:rsidRDefault="003D77C8" w:rsidP="00FF3A07">
            <w:pPr>
              <w:pStyle w:val="MemoHeading"/>
            </w:pPr>
            <w:r>
              <w:t>Division of Economics (Hudson, Thompson)</w:t>
            </w:r>
          </w:p>
          <w:p w:rsidR="003D77C8" w:rsidRDefault="003D77C8" w:rsidP="00FF3A07">
            <w:pPr>
              <w:pStyle w:val="MemoHeading"/>
            </w:pPr>
            <w:r>
              <w:t>Division of Engineering (Mtenga, Vickery)</w:t>
            </w:r>
          </w:p>
          <w:p w:rsidR="003D77C8" w:rsidRDefault="003D77C8" w:rsidP="00FF3A07">
            <w:pPr>
              <w:pStyle w:val="MemoHeading"/>
            </w:pPr>
            <w:r>
              <w:t>Office of the General Counsel (Ames, Corbari)</w:t>
            </w:r>
            <w:bookmarkEnd w:id="2"/>
          </w:p>
        </w:tc>
      </w:tr>
      <w:tr w:rsidR="003D77C8" w:rsidTr="00FF3A07">
        <w:tc>
          <w:tcPr>
            <w:tcW w:w="1254" w:type="dxa"/>
            <w:tcBorders>
              <w:top w:val="nil"/>
              <w:left w:val="nil"/>
              <w:bottom w:val="nil"/>
              <w:right w:val="nil"/>
            </w:tcBorders>
            <w:shd w:val="clear" w:color="auto" w:fill="auto"/>
            <w:tcMar>
              <w:top w:w="288" w:type="dxa"/>
              <w:right w:w="0" w:type="dxa"/>
            </w:tcMar>
          </w:tcPr>
          <w:p w:rsidR="003D77C8" w:rsidRDefault="003D77C8" w:rsidP="00FF3A07">
            <w:pPr>
              <w:pStyle w:val="MemoHeadingLabel"/>
            </w:pPr>
            <w:r>
              <w:t>RE:</w:t>
            </w:r>
          </w:p>
        </w:tc>
        <w:tc>
          <w:tcPr>
            <w:tcW w:w="8221" w:type="dxa"/>
            <w:gridSpan w:val="3"/>
            <w:tcBorders>
              <w:top w:val="nil"/>
              <w:left w:val="nil"/>
              <w:bottom w:val="nil"/>
              <w:right w:val="nil"/>
            </w:tcBorders>
            <w:shd w:val="clear" w:color="auto" w:fill="auto"/>
            <w:tcMar>
              <w:top w:w="288" w:type="dxa"/>
            </w:tcMar>
          </w:tcPr>
          <w:p w:rsidR="003D77C8" w:rsidRDefault="003D77C8" w:rsidP="00FF3A07">
            <w:pPr>
              <w:pStyle w:val="MemoHeadingRe"/>
            </w:pPr>
            <w:bookmarkStart w:id="3" w:name="Re"/>
            <w:r>
              <w:t>Docket No. 140217-WU – Application for staff-assisted rate case in Sumter County by Cedar Acres, Inc.</w:t>
            </w:r>
            <w:bookmarkEnd w:id="3"/>
          </w:p>
        </w:tc>
      </w:tr>
      <w:tr w:rsidR="003D77C8" w:rsidTr="00FF3A07">
        <w:tc>
          <w:tcPr>
            <w:tcW w:w="1254" w:type="dxa"/>
            <w:tcBorders>
              <w:top w:val="nil"/>
              <w:left w:val="nil"/>
              <w:bottom w:val="nil"/>
              <w:right w:val="nil"/>
            </w:tcBorders>
            <w:shd w:val="clear" w:color="auto" w:fill="auto"/>
            <w:tcMar>
              <w:top w:w="288" w:type="dxa"/>
              <w:bottom w:w="0" w:type="dxa"/>
              <w:right w:w="0" w:type="dxa"/>
            </w:tcMar>
          </w:tcPr>
          <w:p w:rsidR="003D77C8" w:rsidRDefault="003D77C8" w:rsidP="00FF3A07">
            <w:pPr>
              <w:pStyle w:val="MemoHeadingLabel"/>
            </w:pPr>
            <w:r>
              <w:t>AGENDA:</w:t>
            </w:r>
          </w:p>
        </w:tc>
        <w:tc>
          <w:tcPr>
            <w:tcW w:w="8221" w:type="dxa"/>
            <w:gridSpan w:val="3"/>
            <w:tcBorders>
              <w:top w:val="nil"/>
              <w:left w:val="nil"/>
              <w:bottom w:val="nil"/>
              <w:right w:val="nil"/>
            </w:tcBorders>
            <w:shd w:val="clear" w:color="auto" w:fill="auto"/>
            <w:tcMar>
              <w:top w:w="288" w:type="dxa"/>
            </w:tcMar>
          </w:tcPr>
          <w:p w:rsidR="003D77C8" w:rsidRDefault="003D77C8" w:rsidP="00030009">
            <w:pPr>
              <w:pStyle w:val="MemoHeading"/>
            </w:pPr>
            <w:bookmarkStart w:id="4" w:name="AgendaDate"/>
            <w:r>
              <w:t>10/13/15</w:t>
            </w:r>
            <w:bookmarkEnd w:id="4"/>
            <w:r>
              <w:t xml:space="preserve"> – </w:t>
            </w:r>
            <w:bookmarkStart w:id="5" w:name="PermittedStatus"/>
            <w:r>
              <w:t xml:space="preserve">Regular Agenda – </w:t>
            </w:r>
            <w:r w:rsidR="001E70F3">
              <w:t>Proposed Agency Action Except for Issues Nos. 1</w:t>
            </w:r>
            <w:r w:rsidR="00E82D67">
              <w:t>0</w:t>
            </w:r>
            <w:r w:rsidR="00030009">
              <w:t>,</w:t>
            </w:r>
            <w:r w:rsidR="00E82D67">
              <w:t xml:space="preserve"> </w:t>
            </w:r>
            <w:r w:rsidR="00030009">
              <w:t xml:space="preserve"> </w:t>
            </w:r>
            <w:r w:rsidR="001E70F3">
              <w:t>1</w:t>
            </w:r>
            <w:r w:rsidR="00E82D67">
              <w:t>2</w:t>
            </w:r>
            <w:r w:rsidR="00030009">
              <w:t>, and 17</w:t>
            </w:r>
            <w:r w:rsidR="001E70F3">
              <w:t xml:space="preserve"> - </w:t>
            </w:r>
            <w:r>
              <w:t>Interested Persons May Participate</w:t>
            </w:r>
            <w:bookmarkEnd w:id="5"/>
          </w:p>
        </w:tc>
      </w:tr>
      <w:tr w:rsidR="003D77C8" w:rsidTr="00FF3A07">
        <w:tc>
          <w:tcPr>
            <w:tcW w:w="3690" w:type="dxa"/>
            <w:gridSpan w:val="3"/>
            <w:tcBorders>
              <w:top w:val="nil"/>
              <w:left w:val="nil"/>
              <w:bottom w:val="nil"/>
              <w:right w:val="nil"/>
            </w:tcBorders>
            <w:shd w:val="clear" w:color="auto" w:fill="auto"/>
            <w:tcMar>
              <w:top w:w="288" w:type="dxa"/>
              <w:bottom w:w="0" w:type="dxa"/>
              <w:right w:w="0" w:type="dxa"/>
            </w:tcMar>
          </w:tcPr>
          <w:p w:rsidR="003D77C8" w:rsidRDefault="003D77C8" w:rsidP="00FF3A07">
            <w:pPr>
              <w:pStyle w:val="MemoHeadingLabel"/>
            </w:pPr>
            <w:r>
              <w:t>COMMISSIONERS ASSIGNED:</w:t>
            </w:r>
          </w:p>
        </w:tc>
        <w:tc>
          <w:tcPr>
            <w:tcW w:w="5785" w:type="dxa"/>
            <w:tcBorders>
              <w:top w:val="nil"/>
              <w:left w:val="nil"/>
              <w:bottom w:val="nil"/>
              <w:right w:val="nil"/>
            </w:tcBorders>
            <w:shd w:val="clear" w:color="auto" w:fill="auto"/>
          </w:tcPr>
          <w:p w:rsidR="003D77C8" w:rsidRDefault="003D77C8" w:rsidP="00FF3A07">
            <w:pPr>
              <w:pStyle w:val="MemoHeading"/>
            </w:pPr>
            <w:bookmarkStart w:id="6" w:name="CommissionersAssigned"/>
            <w:r>
              <w:t>All Commissioners</w:t>
            </w:r>
            <w:bookmarkEnd w:id="6"/>
          </w:p>
        </w:tc>
      </w:tr>
      <w:tr w:rsidR="003D77C8" w:rsidTr="00FF3A07">
        <w:tc>
          <w:tcPr>
            <w:tcW w:w="3690" w:type="dxa"/>
            <w:gridSpan w:val="3"/>
            <w:tcBorders>
              <w:top w:val="nil"/>
              <w:left w:val="nil"/>
              <w:bottom w:val="nil"/>
              <w:right w:val="nil"/>
            </w:tcBorders>
            <w:shd w:val="clear" w:color="auto" w:fill="auto"/>
            <w:tcMar>
              <w:top w:w="288" w:type="dxa"/>
              <w:bottom w:w="0" w:type="dxa"/>
              <w:right w:w="0" w:type="dxa"/>
            </w:tcMar>
          </w:tcPr>
          <w:p w:rsidR="003D77C8" w:rsidRDefault="003D77C8" w:rsidP="00FF3A07">
            <w:pPr>
              <w:pStyle w:val="MemoHeadingLabel"/>
            </w:pPr>
            <w:r>
              <w:t>PREHEARING OFFICER:</w:t>
            </w:r>
          </w:p>
        </w:tc>
        <w:tc>
          <w:tcPr>
            <w:tcW w:w="5785" w:type="dxa"/>
            <w:tcBorders>
              <w:top w:val="nil"/>
              <w:left w:val="nil"/>
              <w:bottom w:val="nil"/>
              <w:right w:val="nil"/>
            </w:tcBorders>
            <w:shd w:val="clear" w:color="auto" w:fill="auto"/>
          </w:tcPr>
          <w:p w:rsidR="003D77C8" w:rsidRDefault="003D77C8" w:rsidP="00FF3A07">
            <w:pPr>
              <w:pStyle w:val="MemoHeading"/>
            </w:pPr>
            <w:bookmarkStart w:id="7" w:name="PrehearingOfficer"/>
            <w:r>
              <w:t>Edgar</w:t>
            </w:r>
            <w:bookmarkEnd w:id="7"/>
          </w:p>
        </w:tc>
      </w:tr>
      <w:tr w:rsidR="003D77C8" w:rsidTr="00FF3A07">
        <w:tc>
          <w:tcPr>
            <w:tcW w:w="3690" w:type="dxa"/>
            <w:gridSpan w:val="3"/>
            <w:tcBorders>
              <w:top w:val="nil"/>
              <w:left w:val="nil"/>
              <w:bottom w:val="nil"/>
              <w:right w:val="nil"/>
            </w:tcBorders>
            <w:shd w:val="clear" w:color="auto" w:fill="auto"/>
            <w:tcMar>
              <w:top w:w="288" w:type="dxa"/>
              <w:bottom w:w="0" w:type="dxa"/>
              <w:right w:w="0" w:type="dxa"/>
            </w:tcMar>
          </w:tcPr>
          <w:p w:rsidR="003D77C8" w:rsidRDefault="003D77C8" w:rsidP="00FF3A07">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3D77C8" w:rsidRDefault="003D77C8" w:rsidP="00FF3A07">
            <w:pPr>
              <w:pStyle w:val="MemoHeading"/>
            </w:pPr>
            <w:bookmarkStart w:id="9" w:name="CriticalDates"/>
            <w:r>
              <w:t>04/18/16 (15-Month Effective Date (SARC))</w:t>
            </w:r>
            <w:bookmarkEnd w:id="9"/>
          </w:p>
        </w:tc>
      </w:tr>
      <w:tr w:rsidR="003D77C8" w:rsidTr="00FF3A07">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3D77C8" w:rsidRDefault="003D77C8" w:rsidP="00FF3A07">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3D77C8" w:rsidRDefault="003D77C8" w:rsidP="00FF3A07">
            <w:pPr>
              <w:pStyle w:val="MemoHeading"/>
            </w:pPr>
            <w:bookmarkStart w:id="10" w:name="SpecialInstructions"/>
            <w:r>
              <w:t>None</w:t>
            </w:r>
            <w:bookmarkEnd w:id="10"/>
          </w:p>
        </w:tc>
      </w:tr>
    </w:tbl>
    <w:p w:rsidR="007C0528" w:rsidRDefault="007C0528">
      <w:pPr>
        <w:pStyle w:val="BodyText"/>
      </w:pPr>
    </w:p>
    <w:p w:rsidR="00D05C23" w:rsidRDefault="00D05C23" w:rsidP="00F671C1">
      <w:pPr>
        <w:pStyle w:val="RecommendationHeading"/>
      </w:pPr>
      <w:bookmarkStart w:id="11" w:name="RecToC"/>
      <w:bookmarkEnd w:id="11"/>
      <w:r>
        <w:br w:type="page"/>
      </w:r>
      <w:r>
        <w:lastRenderedPageBreak/>
        <w:t>Table of Contents</w:t>
      </w:r>
    </w:p>
    <w:p w:rsidR="00D05C23" w:rsidRDefault="00D05C23">
      <w:pPr>
        <w:pStyle w:val="TOCColumnHeadings"/>
      </w:pPr>
      <w:r>
        <w:t>Issue</w:t>
      </w:r>
      <w:r>
        <w:tab/>
        <w:t>Description</w:t>
      </w:r>
      <w:r>
        <w:tab/>
        <w:t>Page</w:t>
      </w:r>
    </w:p>
    <w:p w:rsidR="003A64EC" w:rsidRDefault="00D05C23">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431459572" w:history="1">
        <w:r w:rsidR="003A64EC" w:rsidRPr="00FD21C9">
          <w:rPr>
            <w:rStyle w:val="Hyperlink"/>
            <w:noProof/>
          </w:rPr>
          <w:tab/>
          <w:t>Case Background</w:t>
        </w:r>
        <w:r w:rsidR="003A64EC">
          <w:rPr>
            <w:noProof/>
            <w:webHidden/>
          </w:rPr>
          <w:tab/>
        </w:r>
        <w:r w:rsidR="003A64EC">
          <w:rPr>
            <w:noProof/>
            <w:webHidden/>
          </w:rPr>
          <w:fldChar w:fldCharType="begin"/>
        </w:r>
        <w:r w:rsidR="003A64EC">
          <w:rPr>
            <w:noProof/>
            <w:webHidden/>
          </w:rPr>
          <w:instrText xml:space="preserve"> PAGEREF _Toc431459572 \h </w:instrText>
        </w:r>
        <w:r w:rsidR="003A64EC">
          <w:rPr>
            <w:noProof/>
            <w:webHidden/>
          </w:rPr>
        </w:r>
        <w:r w:rsidR="003A64EC">
          <w:rPr>
            <w:noProof/>
            <w:webHidden/>
          </w:rPr>
          <w:fldChar w:fldCharType="separate"/>
        </w:r>
        <w:r w:rsidR="000C12D8">
          <w:rPr>
            <w:noProof/>
            <w:webHidden/>
          </w:rPr>
          <w:t>3</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73" w:history="1">
        <w:r w:rsidR="003A64EC" w:rsidRPr="00FD21C9">
          <w:rPr>
            <w:rStyle w:val="Hyperlink"/>
            <w:noProof/>
          </w:rPr>
          <w:t>1</w:t>
        </w:r>
        <w:r w:rsidR="003A64EC" w:rsidRPr="00FD21C9">
          <w:rPr>
            <w:rStyle w:val="Hyperlink"/>
            <w:noProof/>
          </w:rPr>
          <w:tab/>
          <w:t>Quality of Service (Mtenga)</w:t>
        </w:r>
        <w:r w:rsidR="003A64EC">
          <w:rPr>
            <w:noProof/>
            <w:webHidden/>
          </w:rPr>
          <w:tab/>
        </w:r>
        <w:r w:rsidR="003A64EC">
          <w:rPr>
            <w:noProof/>
            <w:webHidden/>
          </w:rPr>
          <w:fldChar w:fldCharType="begin"/>
        </w:r>
        <w:r w:rsidR="003A64EC">
          <w:rPr>
            <w:noProof/>
            <w:webHidden/>
          </w:rPr>
          <w:instrText xml:space="preserve"> PAGEREF _Toc431459573 \h </w:instrText>
        </w:r>
        <w:r w:rsidR="003A64EC">
          <w:rPr>
            <w:noProof/>
            <w:webHidden/>
          </w:rPr>
        </w:r>
        <w:r w:rsidR="003A64EC">
          <w:rPr>
            <w:noProof/>
            <w:webHidden/>
          </w:rPr>
          <w:fldChar w:fldCharType="separate"/>
        </w:r>
        <w:r w:rsidR="000C12D8">
          <w:rPr>
            <w:noProof/>
            <w:webHidden/>
          </w:rPr>
          <w:t>4</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74" w:history="1">
        <w:r w:rsidR="003A64EC" w:rsidRPr="00FD21C9">
          <w:rPr>
            <w:rStyle w:val="Hyperlink"/>
            <w:noProof/>
          </w:rPr>
          <w:t>2</w:t>
        </w:r>
        <w:r w:rsidR="003A64EC" w:rsidRPr="00FD21C9">
          <w:rPr>
            <w:rStyle w:val="Hyperlink"/>
            <w:noProof/>
          </w:rPr>
          <w:tab/>
          <w:t>Used and Useful (Mtenga)</w:t>
        </w:r>
        <w:r w:rsidR="003A64EC">
          <w:rPr>
            <w:noProof/>
            <w:webHidden/>
          </w:rPr>
          <w:tab/>
        </w:r>
        <w:r w:rsidR="003A64EC">
          <w:rPr>
            <w:noProof/>
            <w:webHidden/>
          </w:rPr>
          <w:fldChar w:fldCharType="begin"/>
        </w:r>
        <w:r w:rsidR="003A64EC">
          <w:rPr>
            <w:noProof/>
            <w:webHidden/>
          </w:rPr>
          <w:instrText xml:space="preserve"> PAGEREF _Toc431459574 \h </w:instrText>
        </w:r>
        <w:r w:rsidR="003A64EC">
          <w:rPr>
            <w:noProof/>
            <w:webHidden/>
          </w:rPr>
        </w:r>
        <w:r w:rsidR="003A64EC">
          <w:rPr>
            <w:noProof/>
            <w:webHidden/>
          </w:rPr>
          <w:fldChar w:fldCharType="separate"/>
        </w:r>
        <w:r w:rsidR="000C12D8">
          <w:rPr>
            <w:noProof/>
            <w:webHidden/>
          </w:rPr>
          <w:t>6</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75" w:history="1">
        <w:r w:rsidR="003A64EC" w:rsidRPr="00FD21C9">
          <w:rPr>
            <w:rStyle w:val="Hyperlink"/>
            <w:noProof/>
          </w:rPr>
          <w:t>3</w:t>
        </w:r>
        <w:r w:rsidR="003A64EC" w:rsidRPr="00FD21C9">
          <w:rPr>
            <w:rStyle w:val="Hyperlink"/>
            <w:noProof/>
          </w:rPr>
          <w:tab/>
          <w:t>Rate Base (Galloway)</w:t>
        </w:r>
        <w:r w:rsidR="003A64EC">
          <w:rPr>
            <w:noProof/>
            <w:webHidden/>
          </w:rPr>
          <w:tab/>
        </w:r>
        <w:r w:rsidR="003A64EC">
          <w:rPr>
            <w:noProof/>
            <w:webHidden/>
          </w:rPr>
          <w:fldChar w:fldCharType="begin"/>
        </w:r>
        <w:r w:rsidR="003A64EC">
          <w:rPr>
            <w:noProof/>
            <w:webHidden/>
          </w:rPr>
          <w:instrText xml:space="preserve"> PAGEREF _Toc431459575 \h </w:instrText>
        </w:r>
        <w:r w:rsidR="003A64EC">
          <w:rPr>
            <w:noProof/>
            <w:webHidden/>
          </w:rPr>
        </w:r>
        <w:r w:rsidR="003A64EC">
          <w:rPr>
            <w:noProof/>
            <w:webHidden/>
          </w:rPr>
          <w:fldChar w:fldCharType="separate"/>
        </w:r>
        <w:r w:rsidR="000C12D8">
          <w:rPr>
            <w:noProof/>
            <w:webHidden/>
          </w:rPr>
          <w:t>8</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76" w:history="1">
        <w:r w:rsidR="003A64EC" w:rsidRPr="00FD21C9">
          <w:rPr>
            <w:rStyle w:val="Hyperlink"/>
            <w:noProof/>
          </w:rPr>
          <w:t>4</w:t>
        </w:r>
        <w:r w:rsidR="003A64EC" w:rsidRPr="00FD21C9">
          <w:rPr>
            <w:rStyle w:val="Hyperlink"/>
            <w:noProof/>
          </w:rPr>
          <w:tab/>
          <w:t>Rate of Return (Galloway, Smith)</w:t>
        </w:r>
        <w:r w:rsidR="003A64EC">
          <w:rPr>
            <w:noProof/>
            <w:webHidden/>
          </w:rPr>
          <w:tab/>
        </w:r>
        <w:r w:rsidR="003A64EC">
          <w:rPr>
            <w:noProof/>
            <w:webHidden/>
          </w:rPr>
          <w:fldChar w:fldCharType="begin"/>
        </w:r>
        <w:r w:rsidR="003A64EC">
          <w:rPr>
            <w:noProof/>
            <w:webHidden/>
          </w:rPr>
          <w:instrText xml:space="preserve"> PAGEREF _Toc431459576 \h </w:instrText>
        </w:r>
        <w:r w:rsidR="003A64EC">
          <w:rPr>
            <w:noProof/>
            <w:webHidden/>
          </w:rPr>
        </w:r>
        <w:r w:rsidR="003A64EC">
          <w:rPr>
            <w:noProof/>
            <w:webHidden/>
          </w:rPr>
          <w:fldChar w:fldCharType="separate"/>
        </w:r>
        <w:r w:rsidR="000C12D8">
          <w:rPr>
            <w:noProof/>
            <w:webHidden/>
          </w:rPr>
          <w:t>10</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77" w:history="1">
        <w:r w:rsidR="003A64EC" w:rsidRPr="00FD21C9">
          <w:rPr>
            <w:rStyle w:val="Hyperlink"/>
            <w:noProof/>
          </w:rPr>
          <w:t>5</w:t>
        </w:r>
        <w:r w:rsidR="003A64EC" w:rsidRPr="00FD21C9">
          <w:rPr>
            <w:rStyle w:val="Hyperlink"/>
            <w:noProof/>
          </w:rPr>
          <w:tab/>
          <w:t>Test Year Revenue (Thompson)</w:t>
        </w:r>
        <w:r w:rsidR="003A64EC">
          <w:rPr>
            <w:noProof/>
            <w:webHidden/>
          </w:rPr>
          <w:tab/>
        </w:r>
        <w:r w:rsidR="003A64EC">
          <w:rPr>
            <w:noProof/>
            <w:webHidden/>
          </w:rPr>
          <w:fldChar w:fldCharType="begin"/>
        </w:r>
        <w:r w:rsidR="003A64EC">
          <w:rPr>
            <w:noProof/>
            <w:webHidden/>
          </w:rPr>
          <w:instrText xml:space="preserve"> PAGEREF _Toc431459577 \h </w:instrText>
        </w:r>
        <w:r w:rsidR="003A64EC">
          <w:rPr>
            <w:noProof/>
            <w:webHidden/>
          </w:rPr>
        </w:r>
        <w:r w:rsidR="003A64EC">
          <w:rPr>
            <w:noProof/>
            <w:webHidden/>
          </w:rPr>
          <w:fldChar w:fldCharType="separate"/>
        </w:r>
        <w:r w:rsidR="000C12D8">
          <w:rPr>
            <w:noProof/>
            <w:webHidden/>
          </w:rPr>
          <w:t>11</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78" w:history="1">
        <w:r w:rsidR="003A64EC" w:rsidRPr="00FD21C9">
          <w:rPr>
            <w:rStyle w:val="Hyperlink"/>
            <w:noProof/>
          </w:rPr>
          <w:t>6</w:t>
        </w:r>
        <w:r w:rsidR="003A64EC" w:rsidRPr="00FD21C9">
          <w:rPr>
            <w:rStyle w:val="Hyperlink"/>
            <w:noProof/>
          </w:rPr>
          <w:tab/>
          <w:t>Operating Expense (Smith)</w:t>
        </w:r>
        <w:r w:rsidR="003A64EC">
          <w:rPr>
            <w:noProof/>
            <w:webHidden/>
          </w:rPr>
          <w:tab/>
        </w:r>
        <w:r w:rsidR="003A64EC">
          <w:rPr>
            <w:noProof/>
            <w:webHidden/>
          </w:rPr>
          <w:fldChar w:fldCharType="begin"/>
        </w:r>
        <w:r w:rsidR="003A64EC">
          <w:rPr>
            <w:noProof/>
            <w:webHidden/>
          </w:rPr>
          <w:instrText xml:space="preserve"> PAGEREF _Toc431459578 \h </w:instrText>
        </w:r>
        <w:r w:rsidR="003A64EC">
          <w:rPr>
            <w:noProof/>
            <w:webHidden/>
          </w:rPr>
        </w:r>
        <w:r w:rsidR="003A64EC">
          <w:rPr>
            <w:noProof/>
            <w:webHidden/>
          </w:rPr>
          <w:fldChar w:fldCharType="separate"/>
        </w:r>
        <w:r w:rsidR="000C12D8">
          <w:rPr>
            <w:noProof/>
            <w:webHidden/>
          </w:rPr>
          <w:t>12</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79" w:history="1">
        <w:r w:rsidR="003A64EC" w:rsidRPr="00FD21C9">
          <w:rPr>
            <w:rStyle w:val="Hyperlink"/>
            <w:noProof/>
          </w:rPr>
          <w:t>7</w:t>
        </w:r>
        <w:r w:rsidR="003A64EC" w:rsidRPr="00FD21C9">
          <w:rPr>
            <w:rStyle w:val="Hyperlink"/>
            <w:noProof/>
          </w:rPr>
          <w:tab/>
          <w:t>Operating Ratio (Galloway)</w:t>
        </w:r>
        <w:r w:rsidR="003A64EC">
          <w:rPr>
            <w:noProof/>
            <w:webHidden/>
          </w:rPr>
          <w:tab/>
        </w:r>
        <w:r w:rsidR="003A64EC">
          <w:rPr>
            <w:noProof/>
            <w:webHidden/>
          </w:rPr>
          <w:fldChar w:fldCharType="begin"/>
        </w:r>
        <w:r w:rsidR="003A64EC">
          <w:rPr>
            <w:noProof/>
            <w:webHidden/>
          </w:rPr>
          <w:instrText xml:space="preserve"> PAGEREF _Toc431459579 \h </w:instrText>
        </w:r>
        <w:r w:rsidR="003A64EC">
          <w:rPr>
            <w:noProof/>
            <w:webHidden/>
          </w:rPr>
        </w:r>
        <w:r w:rsidR="003A64EC">
          <w:rPr>
            <w:noProof/>
            <w:webHidden/>
          </w:rPr>
          <w:fldChar w:fldCharType="separate"/>
        </w:r>
        <w:r w:rsidR="000C12D8">
          <w:rPr>
            <w:noProof/>
            <w:webHidden/>
          </w:rPr>
          <w:t>17</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80" w:history="1">
        <w:r w:rsidR="003A64EC" w:rsidRPr="00FD21C9">
          <w:rPr>
            <w:rStyle w:val="Hyperlink"/>
            <w:noProof/>
          </w:rPr>
          <w:t>8</w:t>
        </w:r>
        <w:r w:rsidR="003A64EC" w:rsidRPr="00FD21C9">
          <w:rPr>
            <w:rStyle w:val="Hyperlink"/>
            <w:noProof/>
          </w:rPr>
          <w:tab/>
          <w:t>Revenue Requirement (Galloway, Smith)</w:t>
        </w:r>
        <w:r w:rsidR="003A64EC">
          <w:rPr>
            <w:noProof/>
            <w:webHidden/>
          </w:rPr>
          <w:tab/>
        </w:r>
        <w:r w:rsidR="003A64EC">
          <w:rPr>
            <w:noProof/>
            <w:webHidden/>
          </w:rPr>
          <w:fldChar w:fldCharType="begin"/>
        </w:r>
        <w:r w:rsidR="003A64EC">
          <w:rPr>
            <w:noProof/>
            <w:webHidden/>
          </w:rPr>
          <w:instrText xml:space="preserve"> PAGEREF _Toc431459580 \h </w:instrText>
        </w:r>
        <w:r w:rsidR="003A64EC">
          <w:rPr>
            <w:noProof/>
            <w:webHidden/>
          </w:rPr>
        </w:r>
        <w:r w:rsidR="003A64EC">
          <w:rPr>
            <w:noProof/>
            <w:webHidden/>
          </w:rPr>
          <w:fldChar w:fldCharType="separate"/>
        </w:r>
        <w:r w:rsidR="000C12D8">
          <w:rPr>
            <w:noProof/>
            <w:webHidden/>
          </w:rPr>
          <w:t>20</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81" w:history="1">
        <w:r w:rsidR="003A64EC" w:rsidRPr="00FD21C9">
          <w:rPr>
            <w:rStyle w:val="Hyperlink"/>
            <w:noProof/>
          </w:rPr>
          <w:t>9</w:t>
        </w:r>
        <w:r w:rsidR="003A64EC" w:rsidRPr="00FD21C9">
          <w:rPr>
            <w:rStyle w:val="Hyperlink"/>
            <w:noProof/>
          </w:rPr>
          <w:tab/>
          <w:t>Rates and Rate Structure (Thompson)</w:t>
        </w:r>
        <w:r w:rsidR="003A64EC">
          <w:rPr>
            <w:noProof/>
            <w:webHidden/>
          </w:rPr>
          <w:tab/>
        </w:r>
        <w:r w:rsidR="003A64EC">
          <w:rPr>
            <w:noProof/>
            <w:webHidden/>
          </w:rPr>
          <w:fldChar w:fldCharType="begin"/>
        </w:r>
        <w:r w:rsidR="003A64EC">
          <w:rPr>
            <w:noProof/>
            <w:webHidden/>
          </w:rPr>
          <w:instrText xml:space="preserve"> PAGEREF _Toc431459581 \h </w:instrText>
        </w:r>
        <w:r w:rsidR="003A64EC">
          <w:rPr>
            <w:noProof/>
            <w:webHidden/>
          </w:rPr>
        </w:r>
        <w:r w:rsidR="003A64EC">
          <w:rPr>
            <w:noProof/>
            <w:webHidden/>
          </w:rPr>
          <w:fldChar w:fldCharType="separate"/>
        </w:r>
        <w:r w:rsidR="000C12D8">
          <w:rPr>
            <w:noProof/>
            <w:webHidden/>
          </w:rPr>
          <w:t>21</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82" w:history="1">
        <w:r w:rsidR="003A64EC" w:rsidRPr="00FD21C9">
          <w:rPr>
            <w:rStyle w:val="Hyperlink"/>
            <w:noProof/>
          </w:rPr>
          <w:t>10</w:t>
        </w:r>
        <w:r w:rsidR="003A64EC" w:rsidRPr="00FD21C9">
          <w:rPr>
            <w:rStyle w:val="Hyperlink"/>
            <w:noProof/>
          </w:rPr>
          <w:tab/>
          <w:t>Four-Year Rate Reduction (Thompson, Smith)</w:t>
        </w:r>
        <w:r w:rsidR="003A64EC">
          <w:rPr>
            <w:noProof/>
            <w:webHidden/>
          </w:rPr>
          <w:tab/>
        </w:r>
        <w:r w:rsidR="003A64EC">
          <w:rPr>
            <w:noProof/>
            <w:webHidden/>
          </w:rPr>
          <w:fldChar w:fldCharType="begin"/>
        </w:r>
        <w:r w:rsidR="003A64EC">
          <w:rPr>
            <w:noProof/>
            <w:webHidden/>
          </w:rPr>
          <w:instrText xml:space="preserve"> PAGEREF _Toc431459582 \h </w:instrText>
        </w:r>
        <w:r w:rsidR="003A64EC">
          <w:rPr>
            <w:noProof/>
            <w:webHidden/>
          </w:rPr>
        </w:r>
        <w:r w:rsidR="003A64EC">
          <w:rPr>
            <w:noProof/>
            <w:webHidden/>
          </w:rPr>
          <w:fldChar w:fldCharType="separate"/>
        </w:r>
        <w:r w:rsidR="000C12D8">
          <w:rPr>
            <w:noProof/>
            <w:webHidden/>
          </w:rPr>
          <w:t>23</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83" w:history="1">
        <w:r w:rsidR="003A64EC" w:rsidRPr="00FD21C9">
          <w:rPr>
            <w:rStyle w:val="Hyperlink"/>
            <w:noProof/>
          </w:rPr>
          <w:t>11</w:t>
        </w:r>
        <w:r w:rsidR="003A64EC" w:rsidRPr="00FD21C9">
          <w:rPr>
            <w:rStyle w:val="Hyperlink"/>
            <w:noProof/>
          </w:rPr>
          <w:tab/>
          <w:t>Escrow (Galloway, Smith, Ames)</w:t>
        </w:r>
        <w:r w:rsidR="003A64EC">
          <w:rPr>
            <w:noProof/>
            <w:webHidden/>
          </w:rPr>
          <w:tab/>
        </w:r>
        <w:r w:rsidR="003A64EC">
          <w:rPr>
            <w:noProof/>
            <w:webHidden/>
          </w:rPr>
          <w:fldChar w:fldCharType="begin"/>
        </w:r>
        <w:r w:rsidR="003A64EC">
          <w:rPr>
            <w:noProof/>
            <w:webHidden/>
          </w:rPr>
          <w:instrText xml:space="preserve"> PAGEREF _Toc431459583 \h </w:instrText>
        </w:r>
        <w:r w:rsidR="003A64EC">
          <w:rPr>
            <w:noProof/>
            <w:webHidden/>
          </w:rPr>
        </w:r>
        <w:r w:rsidR="003A64EC">
          <w:rPr>
            <w:noProof/>
            <w:webHidden/>
          </w:rPr>
          <w:fldChar w:fldCharType="separate"/>
        </w:r>
        <w:r w:rsidR="000C12D8">
          <w:rPr>
            <w:noProof/>
            <w:webHidden/>
          </w:rPr>
          <w:t>24</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84" w:history="1">
        <w:r w:rsidR="003A64EC" w:rsidRPr="00FD21C9">
          <w:rPr>
            <w:rStyle w:val="Hyperlink"/>
            <w:noProof/>
          </w:rPr>
          <w:t>12</w:t>
        </w:r>
        <w:r w:rsidR="003A64EC" w:rsidRPr="00FD21C9">
          <w:rPr>
            <w:rStyle w:val="Hyperlink"/>
            <w:noProof/>
          </w:rPr>
          <w:tab/>
          <w:t>Rates in Event of Protest (Smith, Thompson, Ames)</w:t>
        </w:r>
        <w:r w:rsidR="003A64EC">
          <w:rPr>
            <w:noProof/>
            <w:webHidden/>
          </w:rPr>
          <w:tab/>
        </w:r>
        <w:r w:rsidR="003A64EC">
          <w:rPr>
            <w:noProof/>
            <w:webHidden/>
          </w:rPr>
          <w:fldChar w:fldCharType="begin"/>
        </w:r>
        <w:r w:rsidR="003A64EC">
          <w:rPr>
            <w:noProof/>
            <w:webHidden/>
          </w:rPr>
          <w:instrText xml:space="preserve"> PAGEREF _Toc431459584 \h </w:instrText>
        </w:r>
        <w:r w:rsidR="003A64EC">
          <w:rPr>
            <w:noProof/>
            <w:webHidden/>
          </w:rPr>
        </w:r>
        <w:r w:rsidR="003A64EC">
          <w:rPr>
            <w:noProof/>
            <w:webHidden/>
          </w:rPr>
          <w:fldChar w:fldCharType="separate"/>
        </w:r>
        <w:r w:rsidR="000C12D8">
          <w:rPr>
            <w:noProof/>
            <w:webHidden/>
          </w:rPr>
          <w:t>26</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85" w:history="1">
        <w:r w:rsidR="003A64EC" w:rsidRPr="00FD21C9">
          <w:rPr>
            <w:rStyle w:val="Hyperlink"/>
            <w:noProof/>
          </w:rPr>
          <w:t>13</w:t>
        </w:r>
        <w:r w:rsidR="003A64EC" w:rsidRPr="00FD21C9">
          <w:rPr>
            <w:rStyle w:val="Hyperlink"/>
            <w:noProof/>
          </w:rPr>
          <w:tab/>
          <w:t>Late Payment Fees (Thompson)</w:t>
        </w:r>
        <w:r w:rsidR="003A64EC">
          <w:rPr>
            <w:noProof/>
            <w:webHidden/>
          </w:rPr>
          <w:tab/>
        </w:r>
        <w:r w:rsidR="003A64EC">
          <w:rPr>
            <w:noProof/>
            <w:webHidden/>
          </w:rPr>
          <w:fldChar w:fldCharType="begin"/>
        </w:r>
        <w:r w:rsidR="003A64EC">
          <w:rPr>
            <w:noProof/>
            <w:webHidden/>
          </w:rPr>
          <w:instrText xml:space="preserve"> PAGEREF _Toc431459585 \h </w:instrText>
        </w:r>
        <w:r w:rsidR="003A64EC">
          <w:rPr>
            <w:noProof/>
            <w:webHidden/>
          </w:rPr>
        </w:r>
        <w:r w:rsidR="003A64EC">
          <w:rPr>
            <w:noProof/>
            <w:webHidden/>
          </w:rPr>
          <w:fldChar w:fldCharType="separate"/>
        </w:r>
        <w:r w:rsidR="000C12D8">
          <w:rPr>
            <w:noProof/>
            <w:webHidden/>
          </w:rPr>
          <w:t>29</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86" w:history="1">
        <w:r w:rsidR="003A64EC" w:rsidRPr="00FD21C9">
          <w:rPr>
            <w:rStyle w:val="Hyperlink"/>
            <w:noProof/>
          </w:rPr>
          <w:t>14</w:t>
        </w:r>
        <w:r w:rsidR="003A64EC" w:rsidRPr="00FD21C9">
          <w:rPr>
            <w:rStyle w:val="Hyperlink"/>
            <w:noProof/>
          </w:rPr>
          <w:tab/>
          <w:t>Customer Deposits (Thompson)</w:t>
        </w:r>
        <w:r w:rsidR="003A64EC">
          <w:rPr>
            <w:noProof/>
            <w:webHidden/>
          </w:rPr>
          <w:tab/>
        </w:r>
        <w:r w:rsidR="003A64EC">
          <w:rPr>
            <w:noProof/>
            <w:webHidden/>
          </w:rPr>
          <w:fldChar w:fldCharType="begin"/>
        </w:r>
        <w:r w:rsidR="003A64EC">
          <w:rPr>
            <w:noProof/>
            <w:webHidden/>
          </w:rPr>
          <w:instrText xml:space="preserve"> PAGEREF _Toc431459586 \h </w:instrText>
        </w:r>
        <w:r w:rsidR="003A64EC">
          <w:rPr>
            <w:noProof/>
            <w:webHidden/>
          </w:rPr>
        </w:r>
        <w:r w:rsidR="003A64EC">
          <w:rPr>
            <w:noProof/>
            <w:webHidden/>
          </w:rPr>
          <w:fldChar w:fldCharType="separate"/>
        </w:r>
        <w:r w:rsidR="000C12D8">
          <w:rPr>
            <w:noProof/>
            <w:webHidden/>
          </w:rPr>
          <w:t>31</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87" w:history="1">
        <w:r w:rsidR="003A64EC" w:rsidRPr="00FD21C9">
          <w:rPr>
            <w:rStyle w:val="Hyperlink"/>
            <w:noProof/>
          </w:rPr>
          <w:t>15</w:t>
        </w:r>
        <w:r w:rsidR="003A64EC" w:rsidRPr="00FD21C9">
          <w:rPr>
            <w:rStyle w:val="Hyperlink"/>
            <w:noProof/>
          </w:rPr>
          <w:tab/>
          <w:t>Violation Reconnection Charge (Thompson)</w:t>
        </w:r>
        <w:r w:rsidR="003A64EC">
          <w:rPr>
            <w:noProof/>
            <w:webHidden/>
          </w:rPr>
          <w:tab/>
        </w:r>
        <w:r w:rsidR="003A64EC">
          <w:rPr>
            <w:noProof/>
            <w:webHidden/>
          </w:rPr>
          <w:fldChar w:fldCharType="begin"/>
        </w:r>
        <w:r w:rsidR="003A64EC">
          <w:rPr>
            <w:noProof/>
            <w:webHidden/>
          </w:rPr>
          <w:instrText xml:space="preserve"> PAGEREF _Toc431459587 \h </w:instrText>
        </w:r>
        <w:r w:rsidR="003A64EC">
          <w:rPr>
            <w:noProof/>
            <w:webHidden/>
          </w:rPr>
        </w:r>
        <w:r w:rsidR="003A64EC">
          <w:rPr>
            <w:noProof/>
            <w:webHidden/>
          </w:rPr>
          <w:fldChar w:fldCharType="separate"/>
        </w:r>
        <w:r w:rsidR="000C12D8">
          <w:rPr>
            <w:noProof/>
            <w:webHidden/>
          </w:rPr>
          <w:t>32</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88" w:history="1">
        <w:r w:rsidR="003A64EC" w:rsidRPr="00FD21C9">
          <w:rPr>
            <w:rStyle w:val="Hyperlink"/>
            <w:noProof/>
          </w:rPr>
          <w:t>16</w:t>
        </w:r>
        <w:r w:rsidR="003A64EC" w:rsidRPr="00FD21C9">
          <w:rPr>
            <w:rStyle w:val="Hyperlink"/>
            <w:noProof/>
          </w:rPr>
          <w:tab/>
          <w:t>Non-Sufficient Funds Charges (Thompson)</w:t>
        </w:r>
        <w:r w:rsidR="003A64EC">
          <w:rPr>
            <w:noProof/>
            <w:webHidden/>
          </w:rPr>
          <w:tab/>
        </w:r>
        <w:r w:rsidR="003A64EC">
          <w:rPr>
            <w:noProof/>
            <w:webHidden/>
          </w:rPr>
          <w:fldChar w:fldCharType="begin"/>
        </w:r>
        <w:r w:rsidR="003A64EC">
          <w:rPr>
            <w:noProof/>
            <w:webHidden/>
          </w:rPr>
          <w:instrText xml:space="preserve"> PAGEREF _Toc431459588 \h </w:instrText>
        </w:r>
        <w:r w:rsidR="003A64EC">
          <w:rPr>
            <w:noProof/>
            <w:webHidden/>
          </w:rPr>
        </w:r>
        <w:r w:rsidR="003A64EC">
          <w:rPr>
            <w:noProof/>
            <w:webHidden/>
          </w:rPr>
          <w:fldChar w:fldCharType="separate"/>
        </w:r>
        <w:r w:rsidR="000C12D8">
          <w:rPr>
            <w:noProof/>
            <w:webHidden/>
          </w:rPr>
          <w:t>34</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89" w:history="1">
        <w:r w:rsidR="003A64EC" w:rsidRPr="00FD21C9">
          <w:rPr>
            <w:rStyle w:val="Hyperlink"/>
            <w:noProof/>
          </w:rPr>
          <w:t>17</w:t>
        </w:r>
        <w:r w:rsidR="003A64EC" w:rsidRPr="00FD21C9">
          <w:rPr>
            <w:rStyle w:val="Hyperlink"/>
            <w:noProof/>
          </w:rPr>
          <w:tab/>
          <w:t>Proof of Adjustments (Galloway, Smith)</w:t>
        </w:r>
        <w:r w:rsidR="003A64EC">
          <w:rPr>
            <w:noProof/>
            <w:webHidden/>
          </w:rPr>
          <w:tab/>
        </w:r>
        <w:r w:rsidR="003A64EC">
          <w:rPr>
            <w:noProof/>
            <w:webHidden/>
          </w:rPr>
          <w:fldChar w:fldCharType="begin"/>
        </w:r>
        <w:r w:rsidR="003A64EC">
          <w:rPr>
            <w:noProof/>
            <w:webHidden/>
          </w:rPr>
          <w:instrText xml:space="preserve"> PAGEREF _Toc431459589 \h </w:instrText>
        </w:r>
        <w:r w:rsidR="003A64EC">
          <w:rPr>
            <w:noProof/>
            <w:webHidden/>
          </w:rPr>
        </w:r>
        <w:r w:rsidR="003A64EC">
          <w:rPr>
            <w:noProof/>
            <w:webHidden/>
          </w:rPr>
          <w:fldChar w:fldCharType="separate"/>
        </w:r>
        <w:r w:rsidR="000C12D8">
          <w:rPr>
            <w:noProof/>
            <w:webHidden/>
          </w:rPr>
          <w:t>35</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90" w:history="1">
        <w:r w:rsidR="003A64EC" w:rsidRPr="00FD21C9">
          <w:rPr>
            <w:rStyle w:val="Hyperlink"/>
            <w:noProof/>
          </w:rPr>
          <w:t>18</w:t>
        </w:r>
        <w:r w:rsidR="003A64EC" w:rsidRPr="00FD21C9">
          <w:rPr>
            <w:rStyle w:val="Hyperlink"/>
            <w:noProof/>
          </w:rPr>
          <w:tab/>
          <w:t>Close the Docket (Ames, Galloway, Smith)</w:t>
        </w:r>
        <w:r w:rsidR="003A64EC">
          <w:rPr>
            <w:noProof/>
            <w:webHidden/>
          </w:rPr>
          <w:tab/>
        </w:r>
        <w:r w:rsidR="003A64EC">
          <w:rPr>
            <w:noProof/>
            <w:webHidden/>
          </w:rPr>
          <w:fldChar w:fldCharType="begin"/>
        </w:r>
        <w:r w:rsidR="003A64EC">
          <w:rPr>
            <w:noProof/>
            <w:webHidden/>
          </w:rPr>
          <w:instrText xml:space="preserve"> PAGEREF _Toc431459590 \h </w:instrText>
        </w:r>
        <w:r w:rsidR="003A64EC">
          <w:rPr>
            <w:noProof/>
            <w:webHidden/>
          </w:rPr>
        </w:r>
        <w:r w:rsidR="003A64EC">
          <w:rPr>
            <w:noProof/>
            <w:webHidden/>
          </w:rPr>
          <w:fldChar w:fldCharType="separate"/>
        </w:r>
        <w:r w:rsidR="000C12D8">
          <w:rPr>
            <w:noProof/>
            <w:webHidden/>
          </w:rPr>
          <w:t>36</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91" w:history="1">
        <w:r w:rsidR="003A64EC" w:rsidRPr="00FD21C9">
          <w:rPr>
            <w:rStyle w:val="Hyperlink"/>
            <w:noProof/>
          </w:rPr>
          <w:tab/>
          <w:t>Schedule 1-A</w:t>
        </w:r>
        <w:r w:rsidR="003A64EC">
          <w:rPr>
            <w:noProof/>
            <w:webHidden/>
          </w:rPr>
          <w:tab/>
        </w:r>
        <w:r w:rsidR="003A64EC">
          <w:rPr>
            <w:noProof/>
            <w:webHidden/>
          </w:rPr>
          <w:fldChar w:fldCharType="begin"/>
        </w:r>
        <w:r w:rsidR="003A64EC">
          <w:rPr>
            <w:noProof/>
            <w:webHidden/>
          </w:rPr>
          <w:instrText xml:space="preserve"> PAGEREF _Toc431459591 \h </w:instrText>
        </w:r>
        <w:r w:rsidR="003A64EC">
          <w:rPr>
            <w:noProof/>
            <w:webHidden/>
          </w:rPr>
        </w:r>
        <w:r w:rsidR="003A64EC">
          <w:rPr>
            <w:noProof/>
            <w:webHidden/>
          </w:rPr>
          <w:fldChar w:fldCharType="separate"/>
        </w:r>
        <w:r w:rsidR="000C12D8">
          <w:rPr>
            <w:noProof/>
            <w:webHidden/>
          </w:rPr>
          <w:t>37</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92" w:history="1">
        <w:r w:rsidR="003A64EC" w:rsidRPr="00FD21C9">
          <w:rPr>
            <w:rStyle w:val="Hyperlink"/>
            <w:noProof/>
          </w:rPr>
          <w:tab/>
          <w:t>Schedule 1-B</w:t>
        </w:r>
        <w:r w:rsidR="003A64EC">
          <w:rPr>
            <w:noProof/>
            <w:webHidden/>
          </w:rPr>
          <w:tab/>
        </w:r>
        <w:r w:rsidR="003A64EC">
          <w:rPr>
            <w:noProof/>
            <w:webHidden/>
          </w:rPr>
          <w:fldChar w:fldCharType="begin"/>
        </w:r>
        <w:r w:rsidR="003A64EC">
          <w:rPr>
            <w:noProof/>
            <w:webHidden/>
          </w:rPr>
          <w:instrText xml:space="preserve"> PAGEREF _Toc431459592 \h </w:instrText>
        </w:r>
        <w:r w:rsidR="003A64EC">
          <w:rPr>
            <w:noProof/>
            <w:webHidden/>
          </w:rPr>
        </w:r>
        <w:r w:rsidR="003A64EC">
          <w:rPr>
            <w:noProof/>
            <w:webHidden/>
          </w:rPr>
          <w:fldChar w:fldCharType="separate"/>
        </w:r>
        <w:r w:rsidR="000C12D8">
          <w:rPr>
            <w:noProof/>
            <w:webHidden/>
          </w:rPr>
          <w:t>38</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93" w:history="1">
        <w:r w:rsidR="003A64EC" w:rsidRPr="00FD21C9">
          <w:rPr>
            <w:rStyle w:val="Hyperlink"/>
            <w:noProof/>
          </w:rPr>
          <w:tab/>
          <w:t>Schedule 2</w:t>
        </w:r>
        <w:r w:rsidR="003A64EC">
          <w:rPr>
            <w:noProof/>
            <w:webHidden/>
          </w:rPr>
          <w:tab/>
        </w:r>
        <w:r w:rsidR="003A64EC">
          <w:rPr>
            <w:noProof/>
            <w:webHidden/>
          </w:rPr>
          <w:fldChar w:fldCharType="begin"/>
        </w:r>
        <w:r w:rsidR="003A64EC">
          <w:rPr>
            <w:noProof/>
            <w:webHidden/>
          </w:rPr>
          <w:instrText xml:space="preserve"> PAGEREF _Toc431459593 \h </w:instrText>
        </w:r>
        <w:r w:rsidR="003A64EC">
          <w:rPr>
            <w:noProof/>
            <w:webHidden/>
          </w:rPr>
        </w:r>
        <w:r w:rsidR="003A64EC">
          <w:rPr>
            <w:noProof/>
            <w:webHidden/>
          </w:rPr>
          <w:fldChar w:fldCharType="separate"/>
        </w:r>
        <w:r w:rsidR="000C12D8">
          <w:rPr>
            <w:noProof/>
            <w:webHidden/>
          </w:rPr>
          <w:t>39</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94" w:history="1">
        <w:r w:rsidR="003A64EC" w:rsidRPr="00FD21C9">
          <w:rPr>
            <w:rStyle w:val="Hyperlink"/>
            <w:noProof/>
          </w:rPr>
          <w:tab/>
          <w:t>Schedule 3-A</w:t>
        </w:r>
        <w:r w:rsidR="003A64EC">
          <w:rPr>
            <w:noProof/>
            <w:webHidden/>
          </w:rPr>
          <w:tab/>
        </w:r>
        <w:r w:rsidR="003A64EC">
          <w:rPr>
            <w:noProof/>
            <w:webHidden/>
          </w:rPr>
          <w:fldChar w:fldCharType="begin"/>
        </w:r>
        <w:r w:rsidR="003A64EC">
          <w:rPr>
            <w:noProof/>
            <w:webHidden/>
          </w:rPr>
          <w:instrText xml:space="preserve"> PAGEREF _Toc431459594 \h </w:instrText>
        </w:r>
        <w:r w:rsidR="003A64EC">
          <w:rPr>
            <w:noProof/>
            <w:webHidden/>
          </w:rPr>
        </w:r>
        <w:r w:rsidR="003A64EC">
          <w:rPr>
            <w:noProof/>
            <w:webHidden/>
          </w:rPr>
          <w:fldChar w:fldCharType="separate"/>
        </w:r>
        <w:r w:rsidR="000C12D8">
          <w:rPr>
            <w:noProof/>
            <w:webHidden/>
          </w:rPr>
          <w:t>40</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95" w:history="1">
        <w:r w:rsidR="003A64EC" w:rsidRPr="00FD21C9">
          <w:rPr>
            <w:rStyle w:val="Hyperlink"/>
            <w:noProof/>
          </w:rPr>
          <w:tab/>
          <w:t>Schedule 3-B</w:t>
        </w:r>
        <w:r w:rsidR="003A64EC">
          <w:rPr>
            <w:noProof/>
            <w:webHidden/>
          </w:rPr>
          <w:tab/>
        </w:r>
        <w:r w:rsidR="003A64EC">
          <w:rPr>
            <w:noProof/>
            <w:webHidden/>
          </w:rPr>
          <w:fldChar w:fldCharType="begin"/>
        </w:r>
        <w:r w:rsidR="003A64EC">
          <w:rPr>
            <w:noProof/>
            <w:webHidden/>
          </w:rPr>
          <w:instrText xml:space="preserve"> PAGEREF _Toc431459595 \h </w:instrText>
        </w:r>
        <w:r w:rsidR="003A64EC">
          <w:rPr>
            <w:noProof/>
            <w:webHidden/>
          </w:rPr>
        </w:r>
        <w:r w:rsidR="003A64EC">
          <w:rPr>
            <w:noProof/>
            <w:webHidden/>
          </w:rPr>
          <w:fldChar w:fldCharType="separate"/>
        </w:r>
        <w:r w:rsidR="000C12D8">
          <w:rPr>
            <w:noProof/>
            <w:webHidden/>
          </w:rPr>
          <w:t>41</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96" w:history="1">
        <w:r w:rsidR="003A64EC" w:rsidRPr="00FD21C9">
          <w:rPr>
            <w:rStyle w:val="Hyperlink"/>
            <w:noProof/>
          </w:rPr>
          <w:tab/>
          <w:t>Schedule 3-C</w:t>
        </w:r>
        <w:r w:rsidR="003A64EC">
          <w:rPr>
            <w:noProof/>
            <w:webHidden/>
          </w:rPr>
          <w:tab/>
        </w:r>
        <w:r w:rsidR="003A64EC">
          <w:rPr>
            <w:noProof/>
            <w:webHidden/>
          </w:rPr>
          <w:fldChar w:fldCharType="begin"/>
        </w:r>
        <w:r w:rsidR="003A64EC">
          <w:rPr>
            <w:noProof/>
            <w:webHidden/>
          </w:rPr>
          <w:instrText xml:space="preserve"> PAGEREF _Toc431459596 \h </w:instrText>
        </w:r>
        <w:r w:rsidR="003A64EC">
          <w:rPr>
            <w:noProof/>
            <w:webHidden/>
          </w:rPr>
        </w:r>
        <w:r w:rsidR="003A64EC">
          <w:rPr>
            <w:noProof/>
            <w:webHidden/>
          </w:rPr>
          <w:fldChar w:fldCharType="separate"/>
        </w:r>
        <w:r w:rsidR="000C12D8">
          <w:rPr>
            <w:noProof/>
            <w:webHidden/>
          </w:rPr>
          <w:t>43</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97" w:history="1">
        <w:r w:rsidR="003A64EC" w:rsidRPr="00FD21C9">
          <w:rPr>
            <w:rStyle w:val="Hyperlink"/>
            <w:noProof/>
          </w:rPr>
          <w:tab/>
          <w:t>Schedule 4-A</w:t>
        </w:r>
        <w:r w:rsidR="003A64EC">
          <w:rPr>
            <w:noProof/>
            <w:webHidden/>
          </w:rPr>
          <w:tab/>
        </w:r>
        <w:r w:rsidR="003A64EC">
          <w:rPr>
            <w:noProof/>
            <w:webHidden/>
          </w:rPr>
          <w:fldChar w:fldCharType="begin"/>
        </w:r>
        <w:r w:rsidR="003A64EC">
          <w:rPr>
            <w:noProof/>
            <w:webHidden/>
          </w:rPr>
          <w:instrText xml:space="preserve"> PAGEREF _Toc431459597 \h </w:instrText>
        </w:r>
        <w:r w:rsidR="003A64EC">
          <w:rPr>
            <w:noProof/>
            <w:webHidden/>
          </w:rPr>
        </w:r>
        <w:r w:rsidR="003A64EC">
          <w:rPr>
            <w:noProof/>
            <w:webHidden/>
          </w:rPr>
          <w:fldChar w:fldCharType="separate"/>
        </w:r>
        <w:r w:rsidR="000C12D8">
          <w:rPr>
            <w:noProof/>
            <w:webHidden/>
          </w:rPr>
          <w:t>44</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98" w:history="1">
        <w:r w:rsidR="003A64EC" w:rsidRPr="00FD21C9">
          <w:rPr>
            <w:rStyle w:val="Hyperlink"/>
            <w:noProof/>
          </w:rPr>
          <w:tab/>
          <w:t>Schedule 4-B</w:t>
        </w:r>
        <w:r w:rsidR="003A64EC">
          <w:rPr>
            <w:noProof/>
            <w:webHidden/>
          </w:rPr>
          <w:tab/>
        </w:r>
        <w:r w:rsidR="003A64EC">
          <w:rPr>
            <w:noProof/>
            <w:webHidden/>
          </w:rPr>
          <w:fldChar w:fldCharType="begin"/>
        </w:r>
        <w:r w:rsidR="003A64EC">
          <w:rPr>
            <w:noProof/>
            <w:webHidden/>
          </w:rPr>
          <w:instrText xml:space="preserve"> PAGEREF _Toc431459598 \h </w:instrText>
        </w:r>
        <w:r w:rsidR="003A64EC">
          <w:rPr>
            <w:noProof/>
            <w:webHidden/>
          </w:rPr>
        </w:r>
        <w:r w:rsidR="003A64EC">
          <w:rPr>
            <w:noProof/>
            <w:webHidden/>
          </w:rPr>
          <w:fldChar w:fldCharType="separate"/>
        </w:r>
        <w:r w:rsidR="000C12D8">
          <w:rPr>
            <w:noProof/>
            <w:webHidden/>
          </w:rPr>
          <w:t>45</w:t>
        </w:r>
        <w:r w:rsidR="003A64EC">
          <w:rPr>
            <w:noProof/>
            <w:webHidden/>
          </w:rPr>
          <w:fldChar w:fldCharType="end"/>
        </w:r>
      </w:hyperlink>
    </w:p>
    <w:p w:rsidR="003A64EC" w:rsidRDefault="00BC3D1A">
      <w:pPr>
        <w:pStyle w:val="TOC1"/>
        <w:rPr>
          <w:rFonts w:asciiTheme="minorHAnsi" w:eastAsiaTheme="minorEastAsia" w:hAnsiTheme="minorHAnsi" w:cstheme="minorBidi"/>
          <w:noProof/>
          <w:sz w:val="22"/>
          <w:szCs w:val="22"/>
        </w:rPr>
      </w:pPr>
      <w:hyperlink w:anchor="_Toc431459599" w:history="1">
        <w:r w:rsidR="003A64EC" w:rsidRPr="00FD21C9">
          <w:rPr>
            <w:rStyle w:val="Hyperlink"/>
            <w:noProof/>
          </w:rPr>
          <w:tab/>
          <w:t>Attachment A</w:t>
        </w:r>
        <w:r w:rsidR="003A64EC">
          <w:rPr>
            <w:noProof/>
            <w:webHidden/>
          </w:rPr>
          <w:tab/>
        </w:r>
        <w:r w:rsidR="003A64EC">
          <w:rPr>
            <w:noProof/>
            <w:webHidden/>
          </w:rPr>
          <w:fldChar w:fldCharType="begin"/>
        </w:r>
        <w:r w:rsidR="003A64EC">
          <w:rPr>
            <w:noProof/>
            <w:webHidden/>
          </w:rPr>
          <w:instrText xml:space="preserve"> PAGEREF _Toc431459599 \h </w:instrText>
        </w:r>
        <w:r w:rsidR="003A64EC">
          <w:rPr>
            <w:noProof/>
            <w:webHidden/>
          </w:rPr>
        </w:r>
        <w:r w:rsidR="003A64EC">
          <w:rPr>
            <w:noProof/>
            <w:webHidden/>
          </w:rPr>
          <w:fldChar w:fldCharType="separate"/>
        </w:r>
        <w:r w:rsidR="000C12D8">
          <w:rPr>
            <w:noProof/>
            <w:webHidden/>
          </w:rPr>
          <w:t>46</w:t>
        </w:r>
        <w:r w:rsidR="003A64EC">
          <w:rPr>
            <w:noProof/>
            <w:webHidden/>
          </w:rPr>
          <w:fldChar w:fldCharType="end"/>
        </w:r>
      </w:hyperlink>
    </w:p>
    <w:p w:rsidR="00D05C23" w:rsidRDefault="00D05C23">
      <w:pPr>
        <w:pStyle w:val="TOCColumnHeadings"/>
      </w:pPr>
      <w:r>
        <w:fldChar w:fldCharType="end"/>
      </w:r>
    </w:p>
    <w:p w:rsidR="007C0528" w:rsidRDefault="00D05C23">
      <w:pPr>
        <w:pStyle w:val="RecommendationMajorSectionHeading"/>
      </w:pPr>
      <w:r>
        <w:br w:type="page"/>
      </w:r>
      <w:r w:rsidR="007C0528">
        <w:lastRenderedPageBreak/>
        <w:t xml:space="preserve"> </w:t>
      </w:r>
      <w:bookmarkStart w:id="12" w:name="CaseBackground"/>
      <w:r w:rsidR="007C0528">
        <w:t>Case Background</w:t>
      </w:r>
      <w:r w:rsidR="007C0528">
        <w:fldChar w:fldCharType="begin"/>
      </w:r>
      <w:r w:rsidR="007C0528">
        <w:instrText xml:space="preserve"> TC  "</w:instrText>
      </w:r>
      <w:bookmarkStart w:id="13" w:name="_Toc431459572"/>
      <w:r w:rsidR="007C0528">
        <w:tab/>
        <w:instrText>Case Background</w:instrText>
      </w:r>
      <w:bookmarkEnd w:id="13"/>
      <w:r w:rsidR="007C0528">
        <w:instrText xml:space="preserve">" \l 1 </w:instrText>
      </w:r>
      <w:r w:rsidR="007C0528">
        <w:fldChar w:fldCharType="end"/>
      </w:r>
    </w:p>
    <w:p w:rsidR="0068481F" w:rsidRDefault="00D221BE" w:rsidP="00D11B49">
      <w:pPr>
        <w:pStyle w:val="BodyText"/>
      </w:pPr>
      <w:r>
        <w:t xml:space="preserve">Cedar Acres, Inc. (Cedar Acres or utility) is a Class C water utility serving approximately 319 customers in the Oakland Hills </w:t>
      </w:r>
      <w:r w:rsidR="00744A77">
        <w:t>s</w:t>
      </w:r>
      <w:r>
        <w:t>ubdivision located in Sumter County</w:t>
      </w:r>
      <w:r w:rsidR="001D1B47">
        <w:t xml:space="preserve">. </w:t>
      </w:r>
      <w:r>
        <w:t>The area is in the Southwest Florida Water Management District (SWFWMD)</w:t>
      </w:r>
      <w:r w:rsidR="001D1B47">
        <w:t xml:space="preserve">. </w:t>
      </w:r>
      <w:r>
        <w:t>Wastewater treatment is provided by septic tanks</w:t>
      </w:r>
      <w:r w:rsidR="001D1B47">
        <w:t xml:space="preserve">. </w:t>
      </w:r>
      <w:r>
        <w:t xml:space="preserve">According to the </w:t>
      </w:r>
      <w:r w:rsidR="0073059C">
        <w:t>u</w:t>
      </w:r>
      <w:r>
        <w:t>tility’s 201</w:t>
      </w:r>
      <w:r w:rsidR="002E5D6B">
        <w:t>4</w:t>
      </w:r>
      <w:r>
        <w:t xml:space="preserve"> Annual Report, total gross revenues were $35,</w:t>
      </w:r>
      <w:r w:rsidR="002E5D6B">
        <w:t>353</w:t>
      </w:r>
      <w:r>
        <w:t xml:space="preserve"> and total operating expenses were $</w:t>
      </w:r>
      <w:r w:rsidR="002E5D6B">
        <w:t>105</w:t>
      </w:r>
      <w:r>
        <w:t>,</w:t>
      </w:r>
      <w:r w:rsidR="002E5D6B">
        <w:t>130</w:t>
      </w:r>
      <w:r>
        <w:t xml:space="preserve">, resulting in a net </w:t>
      </w:r>
      <w:r w:rsidR="002E5D6B">
        <w:t xml:space="preserve">operating </w:t>
      </w:r>
      <w:r>
        <w:t>loss of $</w:t>
      </w:r>
      <w:r w:rsidR="002E5D6B">
        <w:t>69</w:t>
      </w:r>
      <w:r>
        <w:t>,</w:t>
      </w:r>
      <w:r w:rsidR="002E5D6B">
        <w:t>777</w:t>
      </w:r>
      <w:r w:rsidR="001D1B47">
        <w:t>.</w:t>
      </w:r>
    </w:p>
    <w:p w:rsidR="00D221BE" w:rsidRDefault="00D221BE" w:rsidP="00D11B49">
      <w:pPr>
        <w:pStyle w:val="BodyText"/>
      </w:pPr>
      <w:r>
        <w:t>The utility was subject to Sumter County jurisdiction when the development was designed, and Cedar Acres was established</w:t>
      </w:r>
      <w:r w:rsidR="001D1B47">
        <w:t xml:space="preserve">. </w:t>
      </w:r>
      <w:r>
        <w:t xml:space="preserve">The </w:t>
      </w:r>
      <w:r w:rsidR="001D1B47">
        <w:t>County</w:t>
      </w:r>
      <w:r>
        <w:t xml:space="preserve"> turned over jurisdiction to the Florida Public Service Commission (Commission) in 1987</w:t>
      </w:r>
      <w:r w:rsidR="001D1B47">
        <w:t xml:space="preserve">. </w:t>
      </w:r>
      <w:r>
        <w:t xml:space="preserve">Unaware of the change in </w:t>
      </w:r>
      <w:r w:rsidR="001D1B47">
        <w:t>jurisdiction,</w:t>
      </w:r>
      <w:r>
        <w:t xml:space="preserve"> the utility did not apply for an original certificate with the Commission until 2008</w:t>
      </w:r>
      <w:r w:rsidR="001D1B47">
        <w:t xml:space="preserve">. </w:t>
      </w:r>
      <w:r w:rsidR="003F28FF">
        <w:t>T</w:t>
      </w:r>
      <w:r>
        <w:t>he Commission granted an original certificate and approved the existing rates and charges.</w:t>
      </w:r>
      <w:r>
        <w:rPr>
          <w:rStyle w:val="FootnoteReference"/>
        </w:rPr>
        <w:footnoteReference w:id="1"/>
      </w:r>
    </w:p>
    <w:p w:rsidR="00D11B49" w:rsidRDefault="00D221BE" w:rsidP="00D11B49">
      <w:pPr>
        <w:jc w:val="both"/>
      </w:pPr>
      <w:r>
        <w:t>On November 17, 2014, the Commission received Cedar Acres’ application for a staff-assisted rate case</w:t>
      </w:r>
      <w:r w:rsidR="001D1B47">
        <w:t xml:space="preserve">. </w:t>
      </w:r>
      <w:r>
        <w:t xml:space="preserve">The instant docket is the </w:t>
      </w:r>
      <w:r w:rsidR="0003092E">
        <w:t>u</w:t>
      </w:r>
      <w:r>
        <w:t>tility’s first rate case</w:t>
      </w:r>
      <w:r w:rsidR="001D1B47">
        <w:t xml:space="preserve">. </w:t>
      </w:r>
      <w:r>
        <w:t>Rate base has never been established for Cedar Acres</w:t>
      </w:r>
      <w:r w:rsidR="001D1B47">
        <w:t xml:space="preserve">. </w:t>
      </w:r>
      <w:r w:rsidR="00F1099B">
        <w:t xml:space="preserve">Likewise, rates </w:t>
      </w:r>
      <w:r w:rsidR="0003092E">
        <w:t>ha</w:t>
      </w:r>
      <w:r w:rsidR="00F1099B">
        <w:t xml:space="preserve">ve not changed </w:t>
      </w:r>
      <w:r w:rsidR="00D11B49">
        <w:t xml:space="preserve">in almost 30 years, </w:t>
      </w:r>
      <w:r w:rsidR="0003092E">
        <w:t xml:space="preserve">since </w:t>
      </w:r>
      <w:r w:rsidR="00D11B49">
        <w:t xml:space="preserve">the utility’s </w:t>
      </w:r>
      <w:r w:rsidR="0073059C">
        <w:t>inception</w:t>
      </w:r>
      <w:r w:rsidR="00D11B49">
        <w:t>.</w:t>
      </w:r>
    </w:p>
    <w:p w:rsidR="00D11B49" w:rsidRDefault="00D11B49" w:rsidP="00D11B49">
      <w:pPr>
        <w:jc w:val="both"/>
      </w:pPr>
    </w:p>
    <w:p w:rsidR="007C0528" w:rsidRDefault="00D221BE" w:rsidP="00D11B49">
      <w:pPr>
        <w:jc w:val="both"/>
      </w:pPr>
      <w:r>
        <w:t>The</w:t>
      </w:r>
      <w:r w:rsidR="00F1099B">
        <w:t xml:space="preserve"> </w:t>
      </w:r>
      <w:r>
        <w:t>Commission has the authority to consider this rate case pursuant to Section 367.0814, Florida Statutes (F.S.).</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5400AE" w:rsidRDefault="005400AE">
      <w:pPr>
        <w:rPr>
          <w:rFonts w:ascii="Arial" w:hAnsi="Arial" w:cs="Arial"/>
          <w:b/>
          <w:bCs/>
          <w:i/>
          <w:kern w:val="32"/>
          <w:szCs w:val="32"/>
        </w:rPr>
      </w:pPr>
    </w:p>
    <w:p w:rsidR="00035306" w:rsidRDefault="00035306">
      <w:pPr>
        <w:rPr>
          <w:rFonts w:ascii="Arial" w:hAnsi="Arial" w:cs="Arial"/>
          <w:b/>
          <w:bCs/>
          <w:i/>
          <w:kern w:val="32"/>
          <w:szCs w:val="32"/>
        </w:rPr>
      </w:pPr>
    </w:p>
    <w:p w:rsidR="00D05C23" w:rsidRPr="000D060F" w:rsidRDefault="00D05C23" w:rsidP="00AD299A">
      <w:pPr>
        <w:pStyle w:val="IssueHeading"/>
        <w:rPr>
          <w:vanish/>
          <w:specVanish/>
        </w:rPr>
      </w:pPr>
      <w:r w:rsidRPr="000D060F">
        <w:t xml:space="preserve">Issue </w:t>
      </w:r>
      <w:r w:rsidR="00BC3D1A">
        <w:fldChar w:fldCharType="begin"/>
      </w:r>
      <w:r w:rsidR="00BC3D1A">
        <w:instrText xml:space="preserve"> SEQ Issue \* MERGEFORMAT </w:instrText>
      </w:r>
      <w:r w:rsidR="00BC3D1A">
        <w:fldChar w:fldCharType="separate"/>
      </w:r>
      <w:r w:rsidR="000C12D8">
        <w:rPr>
          <w:noProof/>
        </w:rPr>
        <w:t>1</w:t>
      </w:r>
      <w:r w:rsidR="00BC3D1A">
        <w:rPr>
          <w:noProof/>
        </w:rPr>
        <w:fldChar w:fldCharType="end"/>
      </w:r>
      <w:r w:rsidRPr="000D060F">
        <w:t>:</w:t>
      </w:r>
      <w:r w:rsidRPr="000D060F">
        <w:fldChar w:fldCharType="begin"/>
      </w:r>
      <w:r w:rsidRPr="000D060F">
        <w:instrText xml:space="preserve"> TC "</w:instrText>
      </w:r>
      <w:r w:rsidRPr="000D060F">
        <w:fldChar w:fldCharType="begin"/>
      </w:r>
      <w:r w:rsidRPr="000D060F">
        <w:instrText xml:space="preserve"> SEQ issue \c </w:instrText>
      </w:r>
      <w:r w:rsidRPr="000D060F">
        <w:fldChar w:fldCharType="separate"/>
      </w:r>
      <w:bookmarkStart w:id="17" w:name="_Toc431459573"/>
      <w:r w:rsidR="000C12D8">
        <w:rPr>
          <w:noProof/>
        </w:rPr>
        <w:instrText>1</w:instrText>
      </w:r>
      <w:r w:rsidRPr="000D060F">
        <w:fldChar w:fldCharType="end"/>
      </w:r>
      <w:r w:rsidRPr="000D060F">
        <w:tab/>
      </w:r>
      <w:r w:rsidR="00572991" w:rsidRPr="000D060F">
        <w:instrText>Quality of Service (Mtenga)</w:instrText>
      </w:r>
      <w:bookmarkEnd w:id="17"/>
      <w:r w:rsidRPr="000D060F">
        <w:instrText xml:space="preserve">" \l 1 </w:instrText>
      </w:r>
      <w:r w:rsidRPr="000D060F">
        <w:fldChar w:fldCharType="end"/>
      </w:r>
      <w:r w:rsidRPr="000D060F">
        <w:t> </w:t>
      </w:r>
    </w:p>
    <w:p w:rsidR="00D05C23" w:rsidRPr="00AD299A" w:rsidRDefault="00D05C23" w:rsidP="00AD299A">
      <w:pPr>
        <w:pStyle w:val="IssueHeading"/>
        <w:rPr>
          <w:rFonts w:ascii="Times New Roman" w:hAnsi="Times New Roman" w:cs="Times New Roman"/>
          <w:b w:val="0"/>
          <w:i w:val="0"/>
        </w:rPr>
      </w:pPr>
      <w:r w:rsidRPr="000D060F">
        <w:t> </w:t>
      </w:r>
      <w:r w:rsidR="00CC505A" w:rsidRPr="00CC505A">
        <w:rPr>
          <w:rFonts w:ascii="Times New Roman" w:hAnsi="Times New Roman" w:cs="Times New Roman"/>
          <w:b w:val="0"/>
          <w:i w:val="0"/>
        </w:rPr>
        <w:t>Is the quality of service provided by the Utility satisfactory?</w:t>
      </w:r>
    </w:p>
    <w:p w:rsidR="00D05C23" w:rsidRPr="004C3641" w:rsidRDefault="00D05C23">
      <w:pPr>
        <w:pStyle w:val="IssueSubsectionHeading"/>
        <w:rPr>
          <w:vanish/>
          <w:specVanish/>
        </w:rPr>
      </w:pPr>
      <w:r w:rsidRPr="004C3641">
        <w:t>Recommendation: </w:t>
      </w:r>
    </w:p>
    <w:p w:rsidR="00D05C23" w:rsidRDefault="00D05C23">
      <w:pPr>
        <w:pStyle w:val="BodyText"/>
      </w:pPr>
      <w:r>
        <w:t> </w:t>
      </w:r>
      <w:r w:rsidR="00CC505A" w:rsidRPr="00CC505A">
        <w:t>No. Due to the improper issuance of boil water notices and the same vi</w:t>
      </w:r>
      <w:r w:rsidR="00CC505A" w:rsidRPr="00200B86">
        <w:t>olations in both the 2012 and 2015 DEP sanitary surveys</w:t>
      </w:r>
      <w:r w:rsidR="00AB606D" w:rsidRPr="00200B86">
        <w:t>, staff</w:t>
      </w:r>
      <w:r w:rsidR="00CC505A" w:rsidRPr="00200B86">
        <w:t xml:space="preserve"> recommends that the overall quality of service for the Cedar Acres water system in Sumter County is unsatisfactory. </w:t>
      </w:r>
      <w:r w:rsidR="001E70F3" w:rsidRPr="00200B86">
        <w:t>In addition, staff recommends a</w:t>
      </w:r>
      <w:r w:rsidR="00CC505A" w:rsidRPr="00200B86">
        <w:t xml:space="preserve"> decrease to the </w:t>
      </w:r>
      <w:r w:rsidR="006F27CC" w:rsidRPr="00200B86">
        <w:t>P</w:t>
      </w:r>
      <w:r w:rsidR="00CC505A" w:rsidRPr="00200B86">
        <w:t>resident</w:t>
      </w:r>
      <w:r w:rsidR="006F27CC" w:rsidRPr="00200B86">
        <w:t>’</w:t>
      </w:r>
      <w:r w:rsidR="00CC505A" w:rsidRPr="00200B86">
        <w:t xml:space="preserve">s salary as discussed in </w:t>
      </w:r>
      <w:r w:rsidR="006F27CC" w:rsidRPr="00200B86">
        <w:t>I</w:t>
      </w:r>
      <w:r w:rsidR="00CC505A" w:rsidRPr="00200B86">
        <w:t>ssue 6 of this recommendation.</w:t>
      </w:r>
      <w:r w:rsidRPr="00200B86">
        <w:t xml:space="preserve"> (Mtenga)</w:t>
      </w:r>
    </w:p>
    <w:p w:rsidR="00D05C23" w:rsidRPr="004C3641" w:rsidRDefault="00D05C23">
      <w:pPr>
        <w:pStyle w:val="IssueSubsectionHeading"/>
        <w:rPr>
          <w:vanish/>
          <w:specVanish/>
        </w:rPr>
      </w:pPr>
      <w:r w:rsidRPr="004C3641">
        <w:t>Staff Analysis: </w:t>
      </w:r>
    </w:p>
    <w:p w:rsidR="00CC505A" w:rsidRPr="00CC505A" w:rsidRDefault="00D05C23" w:rsidP="00CC505A">
      <w:pPr>
        <w:pStyle w:val="BodyText"/>
      </w:pPr>
      <w:r>
        <w:t> </w:t>
      </w:r>
      <w:r w:rsidR="00CC505A" w:rsidRPr="00CC505A">
        <w:t>Pursuant to Rule 25-30.433(1), F.A.C., in water and wastewater rate cases, the Commission shall determine the overall quality of service provided by the utility. This is derived from an evaluation of three separate compon</w:t>
      </w:r>
      <w:r w:rsidR="00CC505A" w:rsidRPr="00200B86">
        <w:t xml:space="preserve">ents of the </w:t>
      </w:r>
      <w:r w:rsidR="006F27CC" w:rsidRPr="00200B86">
        <w:t>u</w:t>
      </w:r>
      <w:r w:rsidR="00CC505A" w:rsidRPr="00200B86">
        <w:t xml:space="preserve">tility operations. These components are the quality of the </w:t>
      </w:r>
      <w:r w:rsidR="006F27CC" w:rsidRPr="00200B86">
        <w:t>u</w:t>
      </w:r>
      <w:r w:rsidR="00CC505A" w:rsidRPr="00200B86">
        <w:t>tility’s product, the operatin</w:t>
      </w:r>
      <w:r w:rsidR="001E70F3" w:rsidRPr="00200B86">
        <w:t>g</w:t>
      </w:r>
      <w:r w:rsidR="00CC505A" w:rsidRPr="00200B86">
        <w:t xml:space="preserve"> conditions of the </w:t>
      </w:r>
      <w:r w:rsidR="006F27CC" w:rsidRPr="00200B86">
        <w:t>u</w:t>
      </w:r>
      <w:r w:rsidR="00CC505A" w:rsidRPr="00200B86">
        <w:t xml:space="preserve">tility’s plant and facilities, and the </w:t>
      </w:r>
      <w:r w:rsidR="006F27CC" w:rsidRPr="00200B86">
        <w:t>u</w:t>
      </w:r>
      <w:r w:rsidR="00CC505A" w:rsidRPr="00200B86">
        <w:t>tility’s attempt to address customer satisfaction. The</w:t>
      </w:r>
      <w:r w:rsidR="00CC505A" w:rsidRPr="00CC505A">
        <w:t xml:space="preserve"> rule further states that sanitary surveys, outstanding citations, violations, and consent orders on file with the Department of Environmental Protection (DEP) and the county health department over the precedin</w:t>
      </w:r>
      <w:r w:rsidR="00CC505A" w:rsidRPr="00200B86">
        <w:t xml:space="preserve">g </w:t>
      </w:r>
      <w:r w:rsidR="00040648" w:rsidRPr="00200B86">
        <w:t>three</w:t>
      </w:r>
      <w:r w:rsidR="00CC505A" w:rsidRPr="00200B86">
        <w:t>-year period shall be considered. In addition, input from the DEP and health department officials and customer comments or complaints</w:t>
      </w:r>
      <w:r w:rsidR="00040648" w:rsidRPr="00200B86">
        <w:t xml:space="preserve"> over the preceding five-year period</w:t>
      </w:r>
      <w:r w:rsidR="00CC505A" w:rsidRPr="00200B86">
        <w:t xml:space="preserve"> </w:t>
      </w:r>
      <w:r w:rsidR="00040648" w:rsidRPr="00200B86">
        <w:t>shall</w:t>
      </w:r>
      <w:r w:rsidR="00CC505A" w:rsidRPr="00200B86">
        <w:t xml:space="preserve"> be considered</w:t>
      </w:r>
      <w:r w:rsidR="00040648" w:rsidRPr="00200B86">
        <w:t xml:space="preserve"> pursuant to Section 367.0812(1</w:t>
      </w:r>
      <w:proofErr w:type="gramStart"/>
      <w:r w:rsidR="00040648" w:rsidRPr="00200B86">
        <w:t>)(</w:t>
      </w:r>
      <w:proofErr w:type="gramEnd"/>
      <w:r w:rsidR="00040648" w:rsidRPr="00200B86">
        <w:t>c), F.S</w:t>
      </w:r>
      <w:r w:rsidR="00CC505A" w:rsidRPr="00200B86">
        <w:t>.</w:t>
      </w:r>
      <w:r w:rsidR="00CC505A" w:rsidRPr="00CC505A">
        <w:t xml:space="preserve"> </w:t>
      </w:r>
    </w:p>
    <w:p w:rsidR="00CC505A" w:rsidRPr="00CC505A" w:rsidRDefault="00CC505A" w:rsidP="00253373">
      <w:pPr>
        <w:pStyle w:val="First-LevelSubheading"/>
      </w:pPr>
      <w:proofErr w:type="gramStart"/>
      <w:r w:rsidRPr="00CC505A">
        <w:t>Quality of Utility’s Product and Operating Conditions of the Utility’s Plant and Facilities.</w:t>
      </w:r>
      <w:proofErr w:type="gramEnd"/>
      <w:r w:rsidRPr="00CC505A">
        <w:t xml:space="preserve"> </w:t>
      </w:r>
    </w:p>
    <w:p w:rsidR="00CC505A" w:rsidRPr="00CC505A" w:rsidRDefault="00CC505A" w:rsidP="00CC505A">
      <w:pPr>
        <w:pStyle w:val="BodyText"/>
      </w:pPr>
      <w:r w:rsidRPr="00CC505A">
        <w:t xml:space="preserve">Cedar Acres is located in the Oakland Hills subdivision in Lady Lake, Florida. The raw source water is ground water which is obtained from two wells in the service area and is treated. The processing sequence for the water treatment system is to pump raw water from the aquifer, inject liquid chlorine, store in a tank and then distribute. </w:t>
      </w:r>
    </w:p>
    <w:p w:rsidR="00CC505A" w:rsidRPr="00200B86" w:rsidRDefault="00CC505A" w:rsidP="00CC505A">
      <w:pPr>
        <w:pStyle w:val="BodyText"/>
      </w:pPr>
      <w:r w:rsidRPr="00CC505A">
        <w:t xml:space="preserve">The last Sanitary Survey Report by DEP was dated July 14, 2015. </w:t>
      </w:r>
      <w:r w:rsidR="00EB5870">
        <w:t>F</w:t>
      </w:r>
      <w:r w:rsidRPr="00CC505A">
        <w:t>ive deficiencies were noted by DEP. There was no signed and sealed report documenting a tank inspection for the 5</w:t>
      </w:r>
      <w:r w:rsidR="00FC392D">
        <w:t>,</w:t>
      </w:r>
      <w:r w:rsidRPr="00CC505A">
        <w:t>000 gallon hydro</w:t>
      </w:r>
      <w:r w:rsidR="00FC392D">
        <w:t>-</w:t>
      </w:r>
      <w:r w:rsidRPr="00CC505A">
        <w:t xml:space="preserve">pneumatic tank; no emergency preparedness/response plan available for review; no cross connection control panel plan on file; no record that the calibration of the finished drinking water flow meter had been checked and the well pedestal was damaged. </w:t>
      </w:r>
      <w:r w:rsidR="00EB5870">
        <w:t>A</w:t>
      </w:r>
      <w:r w:rsidRPr="00CC505A">
        <w:t xml:space="preserve">ll of </w:t>
      </w:r>
      <w:r w:rsidRPr="00200B86">
        <w:t xml:space="preserve">these deficiencies were also found in the previous sanitary survey conducted by </w:t>
      </w:r>
      <w:r w:rsidR="001E70F3" w:rsidRPr="00200B86">
        <w:t>DEP in</w:t>
      </w:r>
      <w:r w:rsidRPr="00200B86">
        <w:t xml:space="preserve"> 2012. </w:t>
      </w:r>
      <w:r w:rsidR="001E70F3" w:rsidRPr="00200B86">
        <w:t>Besides a documented tank inspection, the utility has not corrected the other deficiencies according to DEP.</w:t>
      </w:r>
      <w:r w:rsidRPr="00200B86">
        <w:t xml:space="preserve"> </w:t>
      </w:r>
    </w:p>
    <w:p w:rsidR="00CC505A" w:rsidRPr="00CC505A" w:rsidRDefault="00CC505A" w:rsidP="00CC505A">
      <w:pPr>
        <w:pStyle w:val="BodyText"/>
      </w:pPr>
      <w:r w:rsidRPr="00200B86">
        <w:t xml:space="preserve">A recent incident with the utility in July of 2015 has called into question the operations of Cedar Acres. The </w:t>
      </w:r>
      <w:r w:rsidR="006F27CC" w:rsidRPr="00200B86">
        <w:t>u</w:t>
      </w:r>
      <w:r w:rsidRPr="00200B86">
        <w:t xml:space="preserve">tility experienced a power failure as a result of non-payment of </w:t>
      </w:r>
      <w:r w:rsidR="00BC26B1" w:rsidRPr="00200B86">
        <w:t xml:space="preserve">its </w:t>
      </w:r>
      <w:r w:rsidRPr="00200B86">
        <w:t xml:space="preserve">electric bills. The </w:t>
      </w:r>
      <w:r w:rsidR="006F27CC" w:rsidRPr="00200B86">
        <w:t>u</w:t>
      </w:r>
      <w:r w:rsidRPr="00200B86">
        <w:t xml:space="preserve">tility had switched from </w:t>
      </w:r>
      <w:r w:rsidR="00BC26B1" w:rsidRPr="00200B86">
        <w:t xml:space="preserve">receiving </w:t>
      </w:r>
      <w:r w:rsidRPr="00200B86">
        <w:t>paper to electronic billing and had missed the notices for disconnection. As a result of the disconnection the backup generator turned on but did not al</w:t>
      </w:r>
      <w:r w:rsidR="00420898" w:rsidRPr="00200B86">
        <w:t>ert</w:t>
      </w:r>
      <w:r w:rsidRPr="00200B86">
        <w:t xml:space="preserve"> the operator that it </w:t>
      </w:r>
      <w:r w:rsidR="001E70F3" w:rsidRPr="00200B86">
        <w:t>was operating</w:t>
      </w:r>
      <w:r w:rsidRPr="00200B86">
        <w:t>. As a result</w:t>
      </w:r>
      <w:r w:rsidR="007C4088" w:rsidRPr="00200B86">
        <w:t>,</w:t>
      </w:r>
      <w:r w:rsidRPr="00200B86">
        <w:t xml:space="preserve"> the generator ran out of fuel and the</w:t>
      </w:r>
      <w:r w:rsidRPr="00CC505A">
        <w:t xml:space="preserve"> water pressure decreased, resulting in the issuance of a boil water notice to the community. In staff’s investigation of the event</w:t>
      </w:r>
      <w:r w:rsidR="007C4088">
        <w:t>,</w:t>
      </w:r>
      <w:r w:rsidRPr="00CC505A">
        <w:t xml:space="preserve"> we found that the utility is not in compliance with Department of Health and DEP standards for the issuances of boil water notices. Some customers had noted that </w:t>
      </w:r>
      <w:r w:rsidRPr="00CC505A">
        <w:lastRenderedPageBreak/>
        <w:t xml:space="preserve">they had not received boil water notices and in fact never receive boil water notices from the utility. The utility </w:t>
      </w:r>
      <w:r w:rsidRPr="00200B86">
        <w:t xml:space="preserve">has a practice of posting one sign at the entrance of the community. </w:t>
      </w:r>
      <w:r w:rsidR="0021038B" w:rsidRPr="00200B86">
        <w:t xml:space="preserve">The Department of Health requires boil </w:t>
      </w:r>
      <w:r w:rsidRPr="00200B86">
        <w:t>water notice</w:t>
      </w:r>
      <w:r w:rsidR="0021038B" w:rsidRPr="00200B86">
        <w:t>s to be issued either</w:t>
      </w:r>
      <w:r w:rsidRPr="00200B86">
        <w:t xml:space="preserve"> through radio</w:t>
      </w:r>
      <w:r w:rsidR="0021038B" w:rsidRPr="00200B86">
        <w:t xml:space="preserve"> or</w:t>
      </w:r>
      <w:r w:rsidRPr="00200B86">
        <w:t xml:space="preserve"> television</w:t>
      </w:r>
      <w:r w:rsidR="0021038B" w:rsidRPr="00200B86">
        <w:t xml:space="preserve"> stations that broadcast in the area</w:t>
      </w:r>
      <w:r w:rsidR="00E446E6" w:rsidRPr="00200B86">
        <w:t>,</w:t>
      </w:r>
      <w:r w:rsidRPr="00200B86">
        <w:t xml:space="preserve"> </w:t>
      </w:r>
      <w:r w:rsidR="0021038B" w:rsidRPr="00200B86">
        <w:t>consistent with Rule 62-560.410(1)(</w:t>
      </w:r>
      <w:r w:rsidR="00040648" w:rsidRPr="00200B86">
        <w:t>a</w:t>
      </w:r>
      <w:r w:rsidR="0021038B" w:rsidRPr="00200B86">
        <w:t xml:space="preserve">)(1), F.A.C., telephoned, such as </w:t>
      </w:r>
      <w:r w:rsidRPr="00200B86">
        <w:t>reverse 911</w:t>
      </w:r>
      <w:r w:rsidR="0021038B" w:rsidRPr="00200B86">
        <w:t>, or hand-delivered to all affected residents and businesses as soon as possible.</w:t>
      </w:r>
      <w:r w:rsidRPr="00200B86">
        <w:t xml:space="preserve"> The utility has been informed of </w:t>
      </w:r>
      <w:r w:rsidR="00040648" w:rsidRPr="00200B86">
        <w:t>its</w:t>
      </w:r>
      <w:r w:rsidRPr="00200B86">
        <w:t xml:space="preserve"> improper practice and </w:t>
      </w:r>
      <w:r w:rsidR="00BC26B1" w:rsidRPr="00200B86">
        <w:t xml:space="preserve">stated it </w:t>
      </w:r>
      <w:r w:rsidRPr="00200B86">
        <w:t xml:space="preserve">will change </w:t>
      </w:r>
      <w:r w:rsidR="00420898" w:rsidRPr="00200B86">
        <w:t xml:space="preserve">the </w:t>
      </w:r>
      <w:r w:rsidRPr="00200B86">
        <w:t>protocol in future incidences. DEP was notified of the incident and inspected the facilities again in mid-August 2015. They gave notice to the utility to fix the issues with the generator by August 27, 2015</w:t>
      </w:r>
      <w:r w:rsidR="00420898" w:rsidRPr="00200B86">
        <w:t>,</w:t>
      </w:r>
      <w:r w:rsidRPr="00200B86">
        <w:t xml:space="preserve"> which the utility has </w:t>
      </w:r>
      <w:r w:rsidR="001E70F3" w:rsidRPr="00200B86">
        <w:t xml:space="preserve">not </w:t>
      </w:r>
      <w:r w:rsidRPr="00200B86">
        <w:t>fixed</w:t>
      </w:r>
      <w:r w:rsidR="001E70F3" w:rsidRPr="00200B86">
        <w:t xml:space="preserve"> to date</w:t>
      </w:r>
      <w:r w:rsidRPr="00200B86">
        <w:t>.</w:t>
      </w:r>
      <w:r w:rsidRPr="00CC505A">
        <w:t xml:space="preserve"> </w:t>
      </w:r>
    </w:p>
    <w:p w:rsidR="00CC505A" w:rsidRPr="00CC505A" w:rsidRDefault="00CC505A" w:rsidP="00253373">
      <w:pPr>
        <w:pStyle w:val="First-LevelSubheading"/>
      </w:pPr>
      <w:proofErr w:type="gramStart"/>
      <w:r w:rsidRPr="00CC505A">
        <w:t>The Utility’s Attempt to Address Customer Satisfaction.</w:t>
      </w:r>
      <w:proofErr w:type="gramEnd"/>
      <w:r w:rsidRPr="00CC505A">
        <w:t xml:space="preserve"> </w:t>
      </w:r>
    </w:p>
    <w:p w:rsidR="00CC505A" w:rsidRPr="00CC505A" w:rsidRDefault="00CC505A" w:rsidP="00CC505A">
      <w:pPr>
        <w:pStyle w:val="BodyText"/>
      </w:pPr>
      <w:r w:rsidRPr="00CC505A">
        <w:t xml:space="preserve">Staff reviewed the Commission’s complaint records and there were four complaints recorded in the last five years. All four complaints identified improper billing and stated no billing details appeared on the bill. The </w:t>
      </w:r>
      <w:r w:rsidR="00420898">
        <w:t>u</w:t>
      </w:r>
      <w:r w:rsidRPr="00CC505A">
        <w:t>tility has since changed the company that handles</w:t>
      </w:r>
      <w:r w:rsidR="00815DC9">
        <w:t xml:space="preserve"> its</w:t>
      </w:r>
      <w:r w:rsidRPr="00CC505A">
        <w:t xml:space="preserve"> billing and those issues have been resolved</w:t>
      </w:r>
      <w:r w:rsidR="00AB606D" w:rsidRPr="00CC505A">
        <w:t xml:space="preserve">. </w:t>
      </w:r>
      <w:r w:rsidRPr="00CC505A">
        <w:t>Staff asked the Utility for a copy of its in</w:t>
      </w:r>
      <w:r w:rsidR="00B240E4">
        <w:t>-</w:t>
      </w:r>
      <w:r w:rsidRPr="00CC505A">
        <w:t xml:space="preserve">house complaints during the test year and the </w:t>
      </w:r>
      <w:r w:rsidR="00420898">
        <w:t>u</w:t>
      </w:r>
      <w:r w:rsidRPr="00CC505A">
        <w:t xml:space="preserve">tility responded that it did not receive any complaints. </w:t>
      </w:r>
    </w:p>
    <w:p w:rsidR="00CC505A" w:rsidRPr="00CC505A" w:rsidRDefault="00CC505A" w:rsidP="00CC505A">
      <w:pPr>
        <w:pStyle w:val="BodyText"/>
      </w:pPr>
      <w:r w:rsidRPr="00CC505A">
        <w:t xml:space="preserve">Staff conducted a customer service meeting on May 14, 2015. This meeting gave the customers an opportunity to express specific concerns regarding the </w:t>
      </w:r>
      <w:r w:rsidR="00420898">
        <w:t>u</w:t>
      </w:r>
      <w:r w:rsidRPr="00CC505A">
        <w:t xml:space="preserve">tility’s attitude and responsiveness to quality of service issues. All quality of service complaints were investigated and taken into consideration during the preparation of staff’s final recommendation. </w:t>
      </w:r>
    </w:p>
    <w:p w:rsidR="00CC505A" w:rsidRPr="00CC505A" w:rsidRDefault="00CC505A" w:rsidP="00CC505A">
      <w:pPr>
        <w:pStyle w:val="BodyText"/>
      </w:pPr>
      <w:r w:rsidRPr="00CC505A">
        <w:t xml:space="preserve">The customer service meeting was held in Lady Lake, Florida. Thirty-eight customers attended the meeting and nine customers spoke. All of the customers who spoke at the meeting and who wrote letters subsequently were </w:t>
      </w:r>
      <w:r w:rsidR="00420898">
        <w:t>primarily</w:t>
      </w:r>
      <w:r w:rsidRPr="00CC505A">
        <w:t xml:space="preserve"> concerned with the rate increase </w:t>
      </w:r>
      <w:proofErr w:type="gramStart"/>
      <w:r w:rsidRPr="00CC505A">
        <w:t>itself</w:t>
      </w:r>
      <w:proofErr w:type="gramEnd"/>
      <w:r w:rsidRPr="00CC505A">
        <w:t xml:space="preserve">. There was only one customer complaint addressing secondary water quality issues such as taste and odor. The </w:t>
      </w:r>
      <w:r w:rsidR="00420898">
        <w:t>utility</w:t>
      </w:r>
      <w:r w:rsidRPr="00CC505A">
        <w:t xml:space="preserve"> is currently in compliance with all primary and secondary water standards set by the DEP. </w:t>
      </w:r>
    </w:p>
    <w:p w:rsidR="00CC505A" w:rsidRPr="00CC505A" w:rsidRDefault="00CC505A" w:rsidP="00CC505A">
      <w:pPr>
        <w:pStyle w:val="BodyText"/>
      </w:pPr>
      <w:r w:rsidRPr="00CC505A">
        <w:t>The utility’s customer complaints have been minimal and mostly in regards to improper billing which staff found to be associated with previous management. However, the incident in July 2015 showcased a major DEP compliance issue with improper boil water notice issuance. Also</w:t>
      </w:r>
      <w:r w:rsidR="00420898">
        <w:t>,</w:t>
      </w:r>
      <w:r w:rsidRPr="00CC505A">
        <w:t xml:space="preserve"> the </w:t>
      </w:r>
      <w:r w:rsidR="00420898">
        <w:t>u</w:t>
      </w:r>
      <w:r w:rsidRPr="00CC505A">
        <w:t>tility had the same violations on both the 2012 and 2015 DEP sanitary surveys. Because of these two issues</w:t>
      </w:r>
      <w:r w:rsidR="00420898">
        <w:t>,</w:t>
      </w:r>
      <w:r w:rsidRPr="00CC505A">
        <w:t xml:space="preserve"> staff r</w:t>
      </w:r>
      <w:r w:rsidRPr="00200B86">
        <w:t xml:space="preserve">ecommends that the overall quality of service for the Cedar Acres water system is unsatisfactory. </w:t>
      </w:r>
      <w:r w:rsidR="001E70F3" w:rsidRPr="00200B86">
        <w:t>In addition, staff recommends a decrease to the President’s salary as discussed in Issue 6 of this recommendation.</w:t>
      </w:r>
    </w:p>
    <w:p w:rsidR="0022721E" w:rsidRDefault="0022721E">
      <w:pPr>
        <w:rPr>
          <w:rFonts w:ascii="Arial" w:hAnsi="Arial" w:cs="Arial"/>
          <w:bCs/>
          <w:kern w:val="32"/>
          <w:szCs w:val="32"/>
        </w:rPr>
      </w:pPr>
      <w:r>
        <w:rPr>
          <w:b/>
          <w:i/>
        </w:rPr>
        <w:br w:type="page"/>
      </w:r>
    </w:p>
    <w:p w:rsidR="005A5399" w:rsidRDefault="005A5399">
      <w:pPr>
        <w:pStyle w:val="IssueHeading"/>
        <w:rPr>
          <w:vanish/>
          <w:specVanish/>
        </w:rPr>
      </w:pPr>
      <w:r w:rsidRPr="004C3641">
        <w:lastRenderedPageBreak/>
        <w:t xml:space="preserve">Issue </w:t>
      </w:r>
      <w:r w:rsidR="00BC3D1A">
        <w:fldChar w:fldCharType="begin"/>
      </w:r>
      <w:r w:rsidR="00BC3D1A">
        <w:instrText xml:space="preserve"> SEQ Issue \* MERGEFORMAT </w:instrText>
      </w:r>
      <w:r w:rsidR="00BC3D1A">
        <w:fldChar w:fldCharType="separate"/>
      </w:r>
      <w:r w:rsidR="000C12D8">
        <w:rPr>
          <w:noProof/>
        </w:rPr>
        <w:t>2</w:t>
      </w:r>
      <w:r w:rsidR="00BC3D1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431459574"/>
      <w:r w:rsidR="000C12D8">
        <w:rPr>
          <w:noProof/>
        </w:rPr>
        <w:instrText>2</w:instrText>
      </w:r>
      <w:r>
        <w:fldChar w:fldCharType="end"/>
      </w:r>
      <w:r>
        <w:tab/>
      </w:r>
      <w:r w:rsidR="00572991">
        <w:instrText>Used and Useful (Mtenga)</w:instrText>
      </w:r>
      <w:bookmarkEnd w:id="18"/>
      <w:r>
        <w:instrText xml:space="preserve">" \l 1 </w:instrText>
      </w:r>
      <w:r>
        <w:fldChar w:fldCharType="end"/>
      </w:r>
      <w:r>
        <w:t> </w:t>
      </w:r>
    </w:p>
    <w:p w:rsidR="005A5399" w:rsidRDefault="005A5399">
      <w:pPr>
        <w:pStyle w:val="BodyText"/>
      </w:pPr>
      <w:r>
        <w:t> </w:t>
      </w:r>
      <w:r w:rsidR="00CC505A" w:rsidRPr="00CC505A">
        <w:t>What is the used and useful percentage of Cedar Acres’ water treatment plant and water distribution system?</w:t>
      </w:r>
    </w:p>
    <w:p w:rsidR="005A5399" w:rsidRPr="004C3641" w:rsidRDefault="005A5399">
      <w:pPr>
        <w:pStyle w:val="IssueSubsectionHeading"/>
        <w:rPr>
          <w:vanish/>
          <w:specVanish/>
        </w:rPr>
      </w:pPr>
      <w:r w:rsidRPr="004C3641">
        <w:t>Recommendation: </w:t>
      </w:r>
    </w:p>
    <w:p w:rsidR="005A5399" w:rsidRDefault="005A5399">
      <w:pPr>
        <w:pStyle w:val="BodyText"/>
      </w:pPr>
      <w:r>
        <w:t> </w:t>
      </w:r>
      <w:r w:rsidR="00CC505A" w:rsidRPr="00CC505A">
        <w:t>Cedar Acres’ water treatment plant and water distribution system should be considered 100 percent used and useful (U&amp;U)</w:t>
      </w:r>
      <w:r w:rsidR="00AB606D" w:rsidRPr="00CC505A">
        <w:t xml:space="preserve">. </w:t>
      </w:r>
      <w:r w:rsidR="00CC505A" w:rsidRPr="00CC505A">
        <w:t>There is zero excessive unaccounted for water (EUW)</w:t>
      </w:r>
      <w:r w:rsidR="003D3988">
        <w:t>,</w:t>
      </w:r>
      <w:r w:rsidR="00CC505A" w:rsidRPr="00CC505A">
        <w:t xml:space="preserve"> therefore</w:t>
      </w:r>
      <w:r w:rsidR="00C30AB3">
        <w:t>,</w:t>
      </w:r>
      <w:r w:rsidR="00CC505A" w:rsidRPr="00CC505A">
        <w:t xml:space="preserve"> no adjustment to chemicals and purchased power </w:t>
      </w:r>
      <w:r w:rsidR="003D3988">
        <w:t xml:space="preserve">expense </w:t>
      </w:r>
      <w:r w:rsidR="00CC505A" w:rsidRPr="00CC505A">
        <w:t>is recommended.</w:t>
      </w:r>
      <w:r>
        <w:t xml:space="preserve"> (Mtenga)</w:t>
      </w:r>
    </w:p>
    <w:p w:rsidR="005A5399" w:rsidRPr="004C3641" w:rsidRDefault="005A5399">
      <w:pPr>
        <w:pStyle w:val="IssueSubsectionHeading"/>
        <w:rPr>
          <w:vanish/>
          <w:specVanish/>
        </w:rPr>
      </w:pPr>
      <w:r w:rsidRPr="004C3641">
        <w:t>Staff Analysis: </w:t>
      </w:r>
    </w:p>
    <w:p w:rsidR="00CC505A" w:rsidRPr="00CC505A" w:rsidRDefault="005A5399" w:rsidP="00CC505A">
      <w:pPr>
        <w:pStyle w:val="BodyText"/>
      </w:pPr>
      <w:r>
        <w:t> </w:t>
      </w:r>
      <w:r w:rsidR="00CC505A" w:rsidRPr="00CC505A">
        <w:t>The distribution system is a network of approximately 14,170 linear feet of 4, 6, and 8-inch pipe</w:t>
      </w:r>
      <w:r w:rsidR="00AB606D" w:rsidRPr="00CC505A">
        <w:t xml:space="preserve">. </w:t>
      </w:r>
      <w:r w:rsidR="00CC505A" w:rsidRPr="00CC505A">
        <w:t xml:space="preserve">According to the </w:t>
      </w:r>
      <w:r w:rsidR="003D3988">
        <w:t>u</w:t>
      </w:r>
      <w:r w:rsidR="00CC505A" w:rsidRPr="00CC505A">
        <w:t>tility, there are no fire hydrants in the subdivision</w:t>
      </w:r>
      <w:r w:rsidR="00AB606D" w:rsidRPr="00CC505A">
        <w:t xml:space="preserve">. </w:t>
      </w:r>
      <w:r w:rsidR="00CC505A" w:rsidRPr="00CC505A">
        <w:t xml:space="preserve">The </w:t>
      </w:r>
      <w:r w:rsidR="003D3988">
        <w:t>u</w:t>
      </w:r>
      <w:r w:rsidR="00CC505A" w:rsidRPr="00CC505A">
        <w:t>tility’s water treatment plant consists of two wells, one 8 inch well rated 300 gallons per minute (</w:t>
      </w:r>
      <w:proofErr w:type="spellStart"/>
      <w:r w:rsidR="00CC505A" w:rsidRPr="00CC505A">
        <w:t>gpm</w:t>
      </w:r>
      <w:proofErr w:type="spellEnd"/>
      <w:r w:rsidR="00CC505A" w:rsidRPr="00CC505A">
        <w:t xml:space="preserve">) and a second 5 inch well rated at 90 </w:t>
      </w:r>
      <w:proofErr w:type="spellStart"/>
      <w:r w:rsidR="00CC505A" w:rsidRPr="00CC505A">
        <w:t>gpm</w:t>
      </w:r>
      <w:proofErr w:type="spellEnd"/>
      <w:r w:rsidR="00CC505A" w:rsidRPr="00CC505A">
        <w:t xml:space="preserve"> for a total capacity of 390 </w:t>
      </w:r>
      <w:proofErr w:type="spellStart"/>
      <w:r w:rsidR="00CC505A" w:rsidRPr="00CC505A">
        <w:t>gpm</w:t>
      </w:r>
      <w:proofErr w:type="spellEnd"/>
      <w:r w:rsidR="00CC505A" w:rsidRPr="00CC505A">
        <w:t>. Each well has a 5,000-gallon hydro-pneumatic tank for pressurization and a hypo-chlorination system is used for disinfection</w:t>
      </w:r>
      <w:r w:rsidR="009E5868">
        <w:t>.</w:t>
      </w:r>
    </w:p>
    <w:p w:rsidR="00CC505A" w:rsidRPr="00CC505A" w:rsidRDefault="00CC505A" w:rsidP="00253373">
      <w:pPr>
        <w:pStyle w:val="First-LevelSubheading"/>
      </w:pPr>
      <w:r w:rsidRPr="00CC505A">
        <w:t xml:space="preserve">Excessive Unaccounted for Water </w:t>
      </w:r>
    </w:p>
    <w:p w:rsidR="00CC505A" w:rsidRPr="00CC505A" w:rsidRDefault="00CC505A" w:rsidP="00CC505A">
      <w:pPr>
        <w:pStyle w:val="BodyText"/>
      </w:pPr>
      <w:r w:rsidRPr="00CC505A">
        <w:t xml:space="preserve">Rule 25-30.4325, F.A.C., describes EUW as unaccounted for water in excess of </w:t>
      </w:r>
      <w:r w:rsidR="003D3988">
        <w:t>10</w:t>
      </w:r>
      <w:r w:rsidRPr="00CC505A">
        <w:t xml:space="preserve"> percent of the amount produced or purchased</w:t>
      </w:r>
      <w:r w:rsidR="007511F8" w:rsidRPr="00CC505A">
        <w:t xml:space="preserve">. </w:t>
      </w:r>
      <w:r w:rsidRPr="00CC505A">
        <w:t>When establishing the rule, the Commission recognized that some uses of water are readily measureable and others are not</w:t>
      </w:r>
      <w:r w:rsidR="007511F8" w:rsidRPr="00CC505A">
        <w:t xml:space="preserve">. </w:t>
      </w:r>
      <w:r w:rsidRPr="00CC505A">
        <w:t xml:space="preserve">Unaccounted for water is all </w:t>
      </w:r>
      <w:r w:rsidR="00BC26B1">
        <w:t xml:space="preserve">produced or purchased </w:t>
      </w:r>
      <w:r w:rsidRPr="00CC505A">
        <w:t>water that is not sold, metered or accounted for in the records of a utility</w:t>
      </w:r>
      <w:r w:rsidR="0032183F" w:rsidRPr="00CC505A">
        <w:t xml:space="preserve">. </w:t>
      </w:r>
      <w:r w:rsidRPr="00CC505A">
        <w:t>The rule provides that to determine whether a</w:t>
      </w:r>
      <w:r w:rsidRPr="00200B86">
        <w:t>djustments to plant and operating expenses, such as purchased power and chemicals are necessary</w:t>
      </w:r>
      <w:r w:rsidR="009E5868" w:rsidRPr="00200B86">
        <w:t>, t</w:t>
      </w:r>
      <w:r w:rsidRPr="00200B86">
        <w:t>he Commission will consider all relevant factors as to the reason for EUW</w:t>
      </w:r>
      <w:r w:rsidR="0032183F" w:rsidRPr="00200B86">
        <w:t xml:space="preserve">. The relevant factors include solutions implemented to correct the problem or whether a proposed solution is economically feasible. </w:t>
      </w:r>
      <w:r w:rsidRPr="00200B86">
        <w:t>The unaccounted for water is calculated by subtracting both the gallons used for services, such as flushing</w:t>
      </w:r>
      <w:r w:rsidRPr="00CC505A">
        <w:t xml:space="preserve">, and the gallons sold to customers from the total gallons pumped or purchased for the test year.  </w:t>
      </w:r>
    </w:p>
    <w:p w:rsidR="00CC505A" w:rsidRPr="00CC505A" w:rsidRDefault="00CC505A" w:rsidP="00CC505A">
      <w:pPr>
        <w:pStyle w:val="BodyText"/>
      </w:pPr>
      <w:r w:rsidRPr="00CC505A">
        <w:t xml:space="preserve">According to the </w:t>
      </w:r>
      <w:r w:rsidR="003D3988">
        <w:t>u</w:t>
      </w:r>
      <w:r w:rsidRPr="00CC505A">
        <w:t>tility’s application, Cedar Acres pumped 24,655,000 gallons of water and sold 22,1</w:t>
      </w:r>
      <w:r w:rsidR="00D642CB">
        <w:t>90</w:t>
      </w:r>
      <w:r w:rsidRPr="00CC505A">
        <w:t>,</w:t>
      </w:r>
      <w:r w:rsidR="00D642CB">
        <w:t>0</w:t>
      </w:r>
      <w:r w:rsidRPr="00CC505A">
        <w:t>00 gallons of w</w:t>
      </w:r>
      <w:r w:rsidR="007B3E66">
        <w:t>ater to customers</w:t>
      </w:r>
      <w:r w:rsidR="007511F8">
        <w:t xml:space="preserve">. </w:t>
      </w:r>
      <w:r w:rsidR="007B3E66">
        <w:t xml:space="preserve">The result </w:t>
      </w:r>
      <w:r w:rsidRPr="00CC505A">
        <w:t>[</w:t>
      </w:r>
      <w:r w:rsidR="007B3E66">
        <w:t>(</w:t>
      </w:r>
      <w:r w:rsidRPr="00CC505A">
        <w:t>24,655,000-22,1</w:t>
      </w:r>
      <w:r w:rsidR="00D642CB">
        <w:t>90</w:t>
      </w:r>
      <w:r w:rsidRPr="00CC505A">
        <w:t>,</w:t>
      </w:r>
      <w:r w:rsidR="00D642CB">
        <w:t>0</w:t>
      </w:r>
      <w:r w:rsidRPr="00CC505A">
        <w:t>00</w:t>
      </w:r>
      <w:proofErr w:type="gramStart"/>
      <w:r w:rsidR="007B3E66">
        <w:t>)÷</w:t>
      </w:r>
      <w:proofErr w:type="gramEnd"/>
      <w:r w:rsidRPr="00CC505A">
        <w:t>24,655,000</w:t>
      </w:r>
      <w:r w:rsidR="007B3E66">
        <w:t>]</w:t>
      </w:r>
      <w:r w:rsidRPr="00CC505A">
        <w:t xml:space="preserve"> for unaccounted for water is 10 percent, which means there is EUW of zero percent</w:t>
      </w:r>
      <w:r w:rsidR="0032183F" w:rsidRPr="00CC505A">
        <w:t xml:space="preserve">. </w:t>
      </w:r>
      <w:r w:rsidRPr="00CC505A">
        <w:t xml:space="preserve">Staff reviewed the </w:t>
      </w:r>
      <w:r w:rsidR="003D3988">
        <w:t>u</w:t>
      </w:r>
      <w:r w:rsidRPr="00CC505A">
        <w:t xml:space="preserve">tility’s 2013 Annual Report and monthly operating reports to verify what was provided in the application and recommends no adjustment </w:t>
      </w:r>
      <w:proofErr w:type="gramStart"/>
      <w:r w:rsidRPr="00CC505A">
        <w:t>be</w:t>
      </w:r>
      <w:proofErr w:type="gramEnd"/>
      <w:r w:rsidRPr="00CC505A">
        <w:t xml:space="preserve"> made to O&amp;M expenses. </w:t>
      </w:r>
    </w:p>
    <w:p w:rsidR="00CC505A" w:rsidRPr="00CC505A" w:rsidRDefault="00CC505A" w:rsidP="00253373">
      <w:pPr>
        <w:pStyle w:val="First-LevelSubheading"/>
      </w:pPr>
      <w:r w:rsidRPr="00CC505A">
        <w:t xml:space="preserve">Used and Useful (U&amp;U) </w:t>
      </w:r>
    </w:p>
    <w:p w:rsidR="00CC505A" w:rsidRPr="00CC505A" w:rsidRDefault="00CC505A" w:rsidP="00CC505A">
      <w:pPr>
        <w:pStyle w:val="BodyText"/>
      </w:pPr>
      <w:r w:rsidRPr="00CC505A">
        <w:t>Pursuant to Rule 25-30.4325, F.A.C., the U&amp;U percentage of the WTP was calculated by taking the single maximum day in the test year less the EUW times two, then adding the fire flow allowance plus the growth allowance</w:t>
      </w:r>
      <w:r w:rsidR="009E5868">
        <w:t>,</w:t>
      </w:r>
      <w:r w:rsidRPr="00CC505A">
        <w:t xml:space="preserve"> then dividing the whole amount by the firm reliable capacity (([2 x (single maximum day-EUW</w:t>
      </w:r>
      <w:r w:rsidR="00E17B18">
        <w:t>)</w:t>
      </w:r>
      <w:r w:rsidRPr="00CC505A">
        <w:t xml:space="preserve">] + fire flow + growth allowance)/ firm reliable capacity). The </w:t>
      </w:r>
      <w:r w:rsidR="003D3988">
        <w:t>u</w:t>
      </w:r>
      <w:r w:rsidRPr="00CC505A">
        <w:t xml:space="preserve">tility has </w:t>
      </w:r>
      <w:r w:rsidR="003D3988">
        <w:t>two</w:t>
      </w:r>
      <w:r w:rsidRPr="00CC505A">
        <w:t xml:space="preserve"> wells with a total capacity of 390 </w:t>
      </w:r>
      <w:proofErr w:type="spellStart"/>
      <w:r w:rsidRPr="00CC505A">
        <w:t>gpm</w:t>
      </w:r>
      <w:proofErr w:type="spellEnd"/>
      <w:r w:rsidRPr="00CC505A">
        <w:t xml:space="preserve">. If a water system has more than one well, the highest capacity well should be removed from the calculation to determine the plant’s firm reliable capacity. By taking one of the wells (300 </w:t>
      </w:r>
      <w:proofErr w:type="spellStart"/>
      <w:r w:rsidRPr="00CC505A">
        <w:t>gpm</w:t>
      </w:r>
      <w:proofErr w:type="spellEnd"/>
      <w:r w:rsidRPr="00CC505A">
        <w:t xml:space="preserve">) out of service, the </w:t>
      </w:r>
      <w:r w:rsidR="003D3988">
        <w:t>u</w:t>
      </w:r>
      <w:r w:rsidRPr="00CC505A">
        <w:t xml:space="preserve">tility reflected a firm reliable capacity of 90 </w:t>
      </w:r>
      <w:proofErr w:type="spellStart"/>
      <w:r w:rsidRPr="00CC505A">
        <w:t>gpm</w:t>
      </w:r>
      <w:proofErr w:type="spellEnd"/>
      <w:r w:rsidRPr="00CC505A">
        <w:t>. The single maximum day in the test year was 141,600 gallons</w:t>
      </w:r>
      <w:r w:rsidR="003D3988">
        <w:t xml:space="preserve"> </w:t>
      </w:r>
      <w:r w:rsidRPr="00CC505A">
        <w:t xml:space="preserve">(98 </w:t>
      </w:r>
      <w:proofErr w:type="spellStart"/>
      <w:r w:rsidRPr="00CC505A">
        <w:t>gpm</w:t>
      </w:r>
      <w:proofErr w:type="spellEnd"/>
      <w:r w:rsidRPr="00CC505A">
        <w:t xml:space="preserve">) which occurred on January 14, 2014. This does not appear to have been caused by a line break or other unusual occurrence that day. The </w:t>
      </w:r>
      <w:r w:rsidR="003D3988">
        <w:t>u</w:t>
      </w:r>
      <w:r w:rsidRPr="00CC505A">
        <w:t xml:space="preserve">tility’s records indicated unaccounted for water of 10 percent, which would mean there is </w:t>
      </w:r>
      <w:proofErr w:type="gramStart"/>
      <w:r w:rsidRPr="00CC505A">
        <w:t>a</w:t>
      </w:r>
      <w:r w:rsidR="00C30AB3">
        <w:t>n</w:t>
      </w:r>
      <w:proofErr w:type="gramEnd"/>
      <w:r w:rsidRPr="00CC505A">
        <w:t xml:space="preserve"> EUW of zero percent. The growth allowance is 5 </w:t>
      </w:r>
      <w:proofErr w:type="spellStart"/>
      <w:r w:rsidRPr="00CC505A">
        <w:t>gpm</w:t>
      </w:r>
      <w:proofErr w:type="spellEnd"/>
      <w:r w:rsidRPr="00CC505A">
        <w:t xml:space="preserve">. The fire flow </w:t>
      </w:r>
      <w:r w:rsidR="00777BAC">
        <w:t>allowance is zero. The result, [</w:t>
      </w:r>
      <w:r w:rsidR="00837C27">
        <w:t>(</w:t>
      </w:r>
      <w:r w:rsidRPr="00CC505A">
        <w:t>2</w:t>
      </w:r>
      <w:r w:rsidR="003D3988">
        <w:t>*</w:t>
      </w:r>
      <w:r w:rsidRPr="00CC505A">
        <w:t>(98-0</w:t>
      </w:r>
      <w:proofErr w:type="gramStart"/>
      <w:r w:rsidRPr="00CC505A">
        <w:t>)+</w:t>
      </w:r>
      <w:proofErr w:type="gramEnd"/>
      <w:r w:rsidRPr="00CC505A">
        <w:t>0+5</w:t>
      </w:r>
      <w:r w:rsidR="00837C27">
        <w:t>)</w:t>
      </w:r>
      <w:r w:rsidRPr="00CC505A">
        <w:t>/90= 228%</w:t>
      </w:r>
      <w:r w:rsidR="00837C27">
        <w:t>]</w:t>
      </w:r>
      <w:r w:rsidRPr="00CC505A">
        <w:t xml:space="preserve"> is greater than 100 percent U&amp;U. There has been no prior rate case for this </w:t>
      </w:r>
      <w:r w:rsidR="003D3988">
        <w:t>u</w:t>
      </w:r>
      <w:r w:rsidRPr="00CC505A">
        <w:t xml:space="preserve">tility; </w:t>
      </w:r>
      <w:r w:rsidRPr="00CC505A">
        <w:lastRenderedPageBreak/>
        <w:t>therefore</w:t>
      </w:r>
      <w:r w:rsidR="00223036">
        <w:t>,</w:t>
      </w:r>
      <w:r w:rsidRPr="00CC505A">
        <w:t xml:space="preserve"> U&amp;U has not been previously established by </w:t>
      </w:r>
      <w:r w:rsidRPr="00200B86">
        <w:t xml:space="preserve">the Commission. </w:t>
      </w:r>
      <w:r w:rsidR="00EF1E80" w:rsidRPr="00200B86">
        <w:t xml:space="preserve">The utility’s distribution system has not experienced growth over the </w:t>
      </w:r>
      <w:r w:rsidR="00E446E6" w:rsidRPr="00200B86">
        <w:t xml:space="preserve">last </w:t>
      </w:r>
      <w:r w:rsidR="00EF1E80" w:rsidRPr="00200B86">
        <w:t xml:space="preserve">several years and is fully utilized by existing customers. </w:t>
      </w:r>
      <w:r w:rsidRPr="00200B86">
        <w:t>Based on the above information, Cedar A</w:t>
      </w:r>
      <w:r w:rsidRPr="00CC505A">
        <w:t>cres’ water treatment plant and water distribution system should be considered 100 percent used and useful (U&amp;U). There is zero excessive unaccounted for water</w:t>
      </w:r>
      <w:r w:rsidR="003D3988">
        <w:t>,</w:t>
      </w:r>
      <w:r w:rsidRPr="00CC505A">
        <w:t xml:space="preserve"> therefore</w:t>
      </w:r>
      <w:r w:rsidR="00223036">
        <w:t>,</w:t>
      </w:r>
      <w:r w:rsidRPr="00CC505A">
        <w:t xml:space="preserve"> no adjustment to chemicals and purchased power</w:t>
      </w:r>
      <w:r w:rsidR="003D3988">
        <w:t xml:space="preserve"> expense</w:t>
      </w:r>
      <w:r w:rsidRPr="00CC505A">
        <w:t xml:space="preserve"> is recommended.</w:t>
      </w:r>
    </w:p>
    <w:p w:rsidR="005A5399" w:rsidRDefault="005A5399">
      <w:pPr>
        <w:pStyle w:val="IssueHeading"/>
        <w:rPr>
          <w:vanish/>
          <w:specVanish/>
        </w:rPr>
      </w:pPr>
      <w:r w:rsidRPr="004C3641">
        <w:rPr>
          <w:b w:val="0"/>
          <w:i w:val="0"/>
        </w:rPr>
        <w:br w:type="page"/>
      </w:r>
      <w:r w:rsidRPr="004C3641">
        <w:lastRenderedPageBreak/>
        <w:t xml:space="preserve">Issue </w:t>
      </w:r>
      <w:r w:rsidR="00BC3D1A">
        <w:fldChar w:fldCharType="begin"/>
      </w:r>
      <w:r w:rsidR="00BC3D1A">
        <w:instrText xml:space="preserve"> SEQ Issue \* MERGEFORMAT </w:instrText>
      </w:r>
      <w:r w:rsidR="00BC3D1A">
        <w:fldChar w:fldCharType="separate"/>
      </w:r>
      <w:r w:rsidR="000C12D8">
        <w:rPr>
          <w:noProof/>
        </w:rPr>
        <w:t>3</w:t>
      </w:r>
      <w:r w:rsidR="00BC3D1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431459575"/>
      <w:r w:rsidR="000C12D8">
        <w:rPr>
          <w:noProof/>
        </w:rPr>
        <w:instrText>3</w:instrText>
      </w:r>
      <w:r>
        <w:fldChar w:fldCharType="end"/>
      </w:r>
      <w:r>
        <w:tab/>
      </w:r>
      <w:r w:rsidR="00572991">
        <w:instrText>Rate Base (Galloway)</w:instrText>
      </w:r>
      <w:bookmarkEnd w:id="19"/>
      <w:r>
        <w:instrText xml:space="preserve">" \l 1 </w:instrText>
      </w:r>
      <w:r>
        <w:fldChar w:fldCharType="end"/>
      </w:r>
      <w:r>
        <w:t> </w:t>
      </w:r>
    </w:p>
    <w:p w:rsidR="005A5399" w:rsidRPr="000F7E60" w:rsidRDefault="005A5399">
      <w:pPr>
        <w:pStyle w:val="BodyText"/>
      </w:pPr>
      <w:r>
        <w:t> </w:t>
      </w:r>
      <w:r w:rsidR="000F7E60" w:rsidRPr="000F7E60">
        <w:t>What is the appropriate average test year rate base for Cedar Acres?</w:t>
      </w:r>
    </w:p>
    <w:p w:rsidR="005A5399" w:rsidRPr="004C3641" w:rsidRDefault="005A5399">
      <w:pPr>
        <w:pStyle w:val="IssueSubsectionHeading"/>
        <w:rPr>
          <w:vanish/>
          <w:specVanish/>
        </w:rPr>
      </w:pPr>
      <w:r w:rsidRPr="004C3641">
        <w:t>Recommendation: </w:t>
      </w:r>
    </w:p>
    <w:p w:rsidR="005A5399" w:rsidRPr="000F7E60" w:rsidRDefault="005A5399">
      <w:pPr>
        <w:pStyle w:val="BodyText"/>
      </w:pPr>
      <w:r>
        <w:t> </w:t>
      </w:r>
      <w:r w:rsidR="00CA21F1" w:rsidRPr="000F7E60">
        <w:t>The appropriate average test year rate base for Cedar Acres is $64,137</w:t>
      </w:r>
      <w:proofErr w:type="gramStart"/>
      <w:r w:rsidR="00CA21F1" w:rsidRPr="000F7E60">
        <w:t xml:space="preserve">.  </w:t>
      </w:r>
      <w:r w:rsidRPr="000F7E60">
        <w:t xml:space="preserve"> </w:t>
      </w:r>
      <w:proofErr w:type="gramEnd"/>
      <w:r w:rsidRPr="000F7E60">
        <w:t>(Galloway)</w:t>
      </w:r>
    </w:p>
    <w:p w:rsidR="005A5399" w:rsidRPr="004C3641" w:rsidRDefault="005A5399">
      <w:pPr>
        <w:pStyle w:val="IssueSubsectionHeading"/>
        <w:rPr>
          <w:vanish/>
          <w:specVanish/>
        </w:rPr>
      </w:pPr>
      <w:r w:rsidRPr="004C3641">
        <w:t>Staff Analysis: </w:t>
      </w:r>
    </w:p>
    <w:p w:rsidR="00CA21F1" w:rsidRPr="00556936" w:rsidRDefault="005A5399" w:rsidP="00CA21F1">
      <w:pPr>
        <w:spacing w:after="240"/>
        <w:ind w:firstLine="720"/>
        <w:jc w:val="both"/>
      </w:pPr>
      <w:r>
        <w:t> </w:t>
      </w:r>
      <w:r w:rsidR="00CA21F1" w:rsidRPr="00556936">
        <w:t>The appropriate components of the utility’s rate base include utility plant-in-service, land, accumulated depreciation, and working capital. Staff selected a test year ended September 30, 2014, for this rate case. A summary of each component and the adjustments follows:</w:t>
      </w:r>
    </w:p>
    <w:p w:rsidR="00CA21F1" w:rsidRPr="001E366A" w:rsidRDefault="00CA21F1" w:rsidP="00CA21F1">
      <w:pPr>
        <w:jc w:val="both"/>
        <w:rPr>
          <w:rFonts w:ascii="Arial" w:hAnsi="Arial" w:cs="Arial"/>
          <w:b/>
        </w:rPr>
      </w:pPr>
      <w:r w:rsidRPr="001E366A">
        <w:rPr>
          <w:rFonts w:ascii="Arial" w:hAnsi="Arial" w:cs="Arial"/>
          <w:b/>
        </w:rPr>
        <w:t>Utility Plant-in-Service (UPIS)</w:t>
      </w:r>
    </w:p>
    <w:p w:rsidR="00CA21F1" w:rsidRDefault="00CA21F1" w:rsidP="00CA21F1">
      <w:pPr>
        <w:jc w:val="both"/>
      </w:pPr>
      <w:r w:rsidRPr="00DE31F1">
        <w:t xml:space="preserve">The </w:t>
      </w:r>
      <w:r>
        <w:t>u</w:t>
      </w:r>
      <w:r w:rsidRPr="00DE31F1">
        <w:t>ti</w:t>
      </w:r>
      <w:r>
        <w:t xml:space="preserve">lity recorded $364,356 in UPIS. The utility was not able to provide supporting documentation for this amount. </w:t>
      </w:r>
      <w:r w:rsidRPr="00DE31F1">
        <w:t xml:space="preserve">Staff </w:t>
      </w:r>
      <w:r>
        <w:t>reviewed</w:t>
      </w:r>
      <w:r w:rsidRPr="00DE31F1">
        <w:t xml:space="preserve"> Cedar Acres’ general ledger, </w:t>
      </w:r>
      <w:r>
        <w:t xml:space="preserve">invoices, </w:t>
      </w:r>
      <w:r w:rsidRPr="00DE31F1">
        <w:t xml:space="preserve">and tax returns to </w:t>
      </w:r>
      <w:r>
        <w:t>calculate</w:t>
      </w:r>
      <w:r w:rsidRPr="00DE31F1">
        <w:t xml:space="preserve"> the balance for UPIS.</w:t>
      </w:r>
      <w:r>
        <w:t xml:space="preserve"> Based on this information, the recommended UPIS is $57,019. This represents a reduction of $307,337. </w:t>
      </w:r>
    </w:p>
    <w:p w:rsidR="00CA21F1" w:rsidRDefault="00CA21F1" w:rsidP="00CA21F1">
      <w:pPr>
        <w:jc w:val="both"/>
      </w:pPr>
    </w:p>
    <w:p w:rsidR="00CA21F1" w:rsidRPr="001E366A" w:rsidRDefault="00CA21F1" w:rsidP="00CA21F1">
      <w:pPr>
        <w:jc w:val="both"/>
        <w:rPr>
          <w:rFonts w:ascii="Arial" w:hAnsi="Arial" w:cs="Arial"/>
          <w:b/>
        </w:rPr>
      </w:pPr>
      <w:r w:rsidRPr="001E366A">
        <w:rPr>
          <w:rFonts w:ascii="Arial" w:hAnsi="Arial" w:cs="Arial"/>
          <w:b/>
        </w:rPr>
        <w:t>Land</w:t>
      </w:r>
    </w:p>
    <w:p w:rsidR="00CA21F1" w:rsidRDefault="00CA21F1" w:rsidP="00CA21F1">
      <w:pPr>
        <w:jc w:val="both"/>
      </w:pPr>
      <w:r w:rsidRPr="00DE31F1">
        <w:t xml:space="preserve">Cedar Acres recorded $47,740 in </w:t>
      </w:r>
      <w:r>
        <w:t>l</w:t>
      </w:r>
      <w:r w:rsidRPr="00DE31F1">
        <w:t xml:space="preserve">and. Cedar Acres purchased 217 acres of land on June 10, 1983, of which </w:t>
      </w:r>
      <w:r w:rsidR="00304C87">
        <w:t xml:space="preserve">two parcels, a total of </w:t>
      </w:r>
      <w:r w:rsidRPr="00DE31F1">
        <w:t>4.34 acres</w:t>
      </w:r>
      <w:r w:rsidR="00304C87">
        <w:t>,</w:t>
      </w:r>
      <w:r w:rsidRPr="00DE31F1">
        <w:t xml:space="preserve"> w</w:t>
      </w:r>
      <w:r w:rsidR="00AB10EA">
        <w:t>ere</w:t>
      </w:r>
      <w:r w:rsidRPr="00DE31F1">
        <w:t xml:space="preserve"> dedicated to public service for use by the </w:t>
      </w:r>
      <w:r>
        <w:t>u</w:t>
      </w:r>
      <w:r w:rsidRPr="00DE31F1">
        <w:t xml:space="preserve">tility. Based on documentary stamps affixed on the deed, </w:t>
      </w:r>
      <w:r>
        <w:t xml:space="preserve">the </w:t>
      </w:r>
      <w:r w:rsidRPr="00DE31F1">
        <w:t xml:space="preserve">price paid per acre </w:t>
      </w:r>
      <w:r>
        <w:t>wa</w:t>
      </w:r>
      <w:r w:rsidRPr="00DE31F1">
        <w:t>s $1,023, result</w:t>
      </w:r>
      <w:r w:rsidR="00FF3A07">
        <w:t>ing</w:t>
      </w:r>
      <w:r w:rsidRPr="00DE31F1">
        <w:t xml:space="preserve"> in a land value of $4,440 ($1,023*4.34</w:t>
      </w:r>
      <w:r>
        <w:t xml:space="preserve"> acres). </w:t>
      </w:r>
      <w:r w:rsidRPr="00DE31F1">
        <w:t xml:space="preserve">Staff reduced </w:t>
      </w:r>
      <w:r>
        <w:t>land</w:t>
      </w:r>
      <w:r w:rsidRPr="00DE31F1">
        <w:t xml:space="preserve"> by $43,300 </w:t>
      </w:r>
      <w:r>
        <w:t xml:space="preserve">($47,740-$4,440) </w:t>
      </w:r>
      <w:r w:rsidRPr="00DE31F1">
        <w:t xml:space="preserve">to reflect the </w:t>
      </w:r>
      <w:r>
        <w:t>original cost when devoted to public use. Upon further review, s</w:t>
      </w:r>
      <w:r w:rsidRPr="00DE31F1">
        <w:t xml:space="preserve">taff </w:t>
      </w:r>
      <w:r>
        <w:t xml:space="preserve">determined that one of the two parcels is no longer being used for utility purposes. Therefore, staff recommends that land be reduced by an additional $2,220 resulting in a </w:t>
      </w:r>
      <w:r w:rsidRPr="00DE31F1">
        <w:t>recommend</w:t>
      </w:r>
      <w:r>
        <w:t>ed balance of $2,220 ($4,440-$2,220)</w:t>
      </w:r>
      <w:r w:rsidRPr="00DE31F1">
        <w:t>.</w:t>
      </w:r>
    </w:p>
    <w:p w:rsidR="00CA21F1" w:rsidRPr="00DE31F1" w:rsidRDefault="00CA21F1" w:rsidP="00CA21F1">
      <w:pPr>
        <w:jc w:val="both"/>
      </w:pPr>
    </w:p>
    <w:p w:rsidR="00CA21F1" w:rsidRPr="001E366A" w:rsidRDefault="00CA21F1" w:rsidP="00CA21F1">
      <w:pPr>
        <w:jc w:val="both"/>
        <w:rPr>
          <w:rFonts w:ascii="Arial" w:hAnsi="Arial" w:cs="Arial"/>
          <w:b/>
          <w:bCs/>
        </w:rPr>
      </w:pPr>
      <w:r w:rsidRPr="001E366A">
        <w:rPr>
          <w:rFonts w:ascii="Arial" w:hAnsi="Arial" w:cs="Arial"/>
          <w:b/>
          <w:lang w:val="en-CA"/>
        </w:rPr>
        <w:fldChar w:fldCharType="begin"/>
      </w:r>
      <w:r w:rsidRPr="001E366A">
        <w:rPr>
          <w:rFonts w:ascii="Arial" w:hAnsi="Arial" w:cs="Arial"/>
          <w:b/>
          <w:lang w:val="en-CA"/>
        </w:rPr>
        <w:instrText xml:space="preserve"> SEQ CHAPTER \h \r 1</w:instrText>
      </w:r>
      <w:r w:rsidRPr="001E366A">
        <w:rPr>
          <w:rFonts w:ascii="Arial" w:hAnsi="Arial" w:cs="Arial"/>
          <w:b/>
          <w:lang w:val="en-CA"/>
        </w:rPr>
        <w:fldChar w:fldCharType="end"/>
      </w:r>
      <w:r w:rsidRPr="001E366A">
        <w:rPr>
          <w:rFonts w:ascii="Arial" w:hAnsi="Arial" w:cs="Arial"/>
          <w:b/>
          <w:bCs/>
        </w:rPr>
        <w:t>Non-Used and Useful Plant</w:t>
      </w:r>
    </w:p>
    <w:p w:rsidR="00CA21F1" w:rsidRDefault="00CA21F1" w:rsidP="00CA21F1">
      <w:pPr>
        <w:jc w:val="both"/>
      </w:pPr>
      <w:r w:rsidRPr="00DE31F1">
        <w:t>As discussed in Issue 2 of this recommendation, Cedar Acres’ water treatment plant and distribution system are 100 percent U&amp;U. Therefore, a non-U&amp;U adjustment is not necessary.</w:t>
      </w:r>
    </w:p>
    <w:p w:rsidR="00CA21F1" w:rsidRPr="00DE31F1" w:rsidRDefault="00CA21F1" w:rsidP="00CA21F1">
      <w:pPr>
        <w:jc w:val="both"/>
      </w:pPr>
    </w:p>
    <w:p w:rsidR="00CA21F1" w:rsidRPr="001E366A" w:rsidRDefault="00CA21F1" w:rsidP="00CA21F1">
      <w:pPr>
        <w:jc w:val="both"/>
        <w:rPr>
          <w:rFonts w:ascii="Arial" w:hAnsi="Arial" w:cs="Arial"/>
          <w:b/>
        </w:rPr>
      </w:pPr>
      <w:r w:rsidRPr="001E366A">
        <w:rPr>
          <w:rFonts w:ascii="Arial" w:hAnsi="Arial" w:cs="Arial"/>
          <w:b/>
        </w:rPr>
        <w:t>Accumulated Depreciation</w:t>
      </w:r>
    </w:p>
    <w:p w:rsidR="00CA21F1" w:rsidRDefault="00CA21F1" w:rsidP="00CA21F1">
      <w:pPr>
        <w:jc w:val="both"/>
      </w:pPr>
      <w:r w:rsidRPr="00DE31F1">
        <w:t>Cedar Acres recorded $275,116 for accumulated depreciation. Staff has calculated accumulated depreciation using the prescribed rates set forth in Rule 25-30.140, F.A.C</w:t>
      </w:r>
      <w:r>
        <w:t>. This resulted in a decrease of</w:t>
      </w:r>
      <w:r w:rsidRPr="00DE31F1">
        <w:t xml:space="preserve"> $</w:t>
      </w:r>
      <w:r>
        <w:t>266</w:t>
      </w:r>
      <w:r w:rsidRPr="00DE31F1">
        <w:t>,</w:t>
      </w:r>
      <w:r>
        <w:t>912</w:t>
      </w:r>
      <w:r w:rsidRPr="00DE31F1">
        <w:t xml:space="preserve"> to test year </w:t>
      </w:r>
      <w:r w:rsidR="00D9635E">
        <w:t xml:space="preserve">accumulated </w:t>
      </w:r>
      <w:r w:rsidRPr="00DE31F1">
        <w:t>depreciation. In addition, staff decreased this account by $</w:t>
      </w:r>
      <w:r>
        <w:t>1</w:t>
      </w:r>
      <w:r w:rsidRPr="00DE31F1">
        <w:t>,</w:t>
      </w:r>
      <w:r>
        <w:t>327 ($2,653</w:t>
      </w:r>
      <m:oMath>
        <m:r>
          <w:rPr>
            <w:rFonts w:ascii="Cambria Math" w:hAnsi="Cambria Math"/>
          </w:rPr>
          <m:t>÷</m:t>
        </m:r>
      </m:oMath>
      <w:r>
        <w:t>2)</w:t>
      </w:r>
      <w:r w:rsidRPr="00DE31F1">
        <w:t xml:space="preserve"> to reflect an averaging adjustment. The aforementioned adjustments result in average accumulated depreciation of $</w:t>
      </w:r>
      <w:r>
        <w:t>6</w:t>
      </w:r>
      <w:r w:rsidRPr="00DE31F1">
        <w:t>,</w:t>
      </w:r>
      <w:r>
        <w:t>877 ($275,116-$266,912-$1,327)</w:t>
      </w:r>
      <w:r w:rsidRPr="00DE31F1">
        <w:t>.</w:t>
      </w:r>
    </w:p>
    <w:p w:rsidR="00CA21F1" w:rsidRPr="00DE31F1" w:rsidRDefault="00CA21F1" w:rsidP="00CA21F1">
      <w:pPr>
        <w:jc w:val="both"/>
      </w:pPr>
    </w:p>
    <w:p w:rsidR="00CA21F1" w:rsidRPr="001E366A" w:rsidRDefault="00CA21F1" w:rsidP="00CA21F1">
      <w:pPr>
        <w:jc w:val="both"/>
        <w:rPr>
          <w:rFonts w:ascii="Arial" w:hAnsi="Arial" w:cs="Arial"/>
          <w:b/>
        </w:rPr>
      </w:pPr>
      <w:r w:rsidRPr="001E366A">
        <w:rPr>
          <w:rFonts w:ascii="Arial" w:hAnsi="Arial" w:cs="Arial"/>
          <w:b/>
        </w:rPr>
        <w:t>Contributions-in-Aid-of-Construction (CIAC)</w:t>
      </w:r>
    </w:p>
    <w:p w:rsidR="00CA21F1" w:rsidRDefault="00CA21F1" w:rsidP="00CA21F1">
      <w:pPr>
        <w:jc w:val="both"/>
      </w:pPr>
      <w:r w:rsidRPr="00DE31F1">
        <w:t>Cedar Acres did not record any CIAC.</w:t>
      </w:r>
      <w:r>
        <w:t xml:space="preserve"> The u</w:t>
      </w:r>
      <w:r w:rsidRPr="00DE31F1">
        <w:t>tility stated that there is no CIAC nor has there ever been any CIAC. The</w:t>
      </w:r>
      <w:r>
        <w:t xml:space="preserve"> tariff on file with the Commission includes no specified service availability charges. Thus, no adjustment is necessary to CIAC.</w:t>
      </w:r>
    </w:p>
    <w:p w:rsidR="00CA21F1" w:rsidRPr="00DE31F1" w:rsidRDefault="00CA21F1" w:rsidP="00CA21F1">
      <w:pPr>
        <w:jc w:val="both"/>
        <w:rPr>
          <w:b/>
        </w:rPr>
      </w:pPr>
    </w:p>
    <w:p w:rsidR="00CA21F1" w:rsidRPr="001E366A" w:rsidRDefault="00CA21F1" w:rsidP="00CA21F1">
      <w:pPr>
        <w:jc w:val="both"/>
        <w:rPr>
          <w:rFonts w:ascii="Arial" w:hAnsi="Arial" w:cs="Arial"/>
          <w:b/>
        </w:rPr>
      </w:pPr>
      <w:r w:rsidRPr="001E366A">
        <w:rPr>
          <w:rFonts w:ascii="Arial" w:hAnsi="Arial" w:cs="Arial"/>
          <w:b/>
        </w:rPr>
        <w:t>Amortization of CIAC</w:t>
      </w:r>
    </w:p>
    <w:p w:rsidR="00D9635E" w:rsidRDefault="00CA21F1" w:rsidP="00CA21F1">
      <w:pPr>
        <w:jc w:val="both"/>
      </w:pPr>
      <w:r w:rsidRPr="00DE31F1">
        <w:t xml:space="preserve">Cedar Acres did not record any amortization of CIAC. </w:t>
      </w:r>
      <w:r>
        <w:t>As stated above, the u</w:t>
      </w:r>
      <w:r w:rsidRPr="00DE31F1">
        <w:t>tility did not record any CIAC. Therefore, no adjustment is necessary to amortization of CIAC.</w:t>
      </w:r>
    </w:p>
    <w:p w:rsidR="00D9635E" w:rsidRDefault="00D9635E" w:rsidP="00D9635E">
      <w:r>
        <w:br w:type="page"/>
      </w:r>
    </w:p>
    <w:p w:rsidR="00CA21F1" w:rsidRPr="001E366A" w:rsidRDefault="00CA21F1" w:rsidP="00CA21F1">
      <w:pPr>
        <w:jc w:val="both"/>
        <w:rPr>
          <w:rFonts w:ascii="Arial" w:hAnsi="Arial" w:cs="Arial"/>
          <w:b/>
        </w:rPr>
      </w:pPr>
      <w:r w:rsidRPr="001E366A">
        <w:rPr>
          <w:rFonts w:ascii="Arial" w:hAnsi="Arial" w:cs="Arial"/>
          <w:b/>
        </w:rPr>
        <w:lastRenderedPageBreak/>
        <w:t>Working Capital Allowance</w:t>
      </w:r>
    </w:p>
    <w:p w:rsidR="00CA21F1" w:rsidRDefault="00CA21F1" w:rsidP="00CA21F1">
      <w:pPr>
        <w:jc w:val="both"/>
      </w:pPr>
      <w:r w:rsidRPr="00DE31F1">
        <w:t xml:space="preserve">Cedar Acres did not record any working capital allowance. Working capital is defined as the investor-supplied funds necessary to meet operating expenses or going-concern requirements of a utility. Consistent with Rule 25-30.433(2), F.A.C., staff recommends that the one-eighth of the operation and maintenance (O&amp;M) expense formula approach be used for calculating </w:t>
      </w:r>
      <w:r>
        <w:t xml:space="preserve">a </w:t>
      </w:r>
      <w:r w:rsidRPr="00DE31F1">
        <w:t>working capital allowance. Applying this formula, staff recommends a working capital allowance of $1</w:t>
      </w:r>
      <w:r>
        <w:t>1</w:t>
      </w:r>
      <w:r w:rsidRPr="00DE31F1">
        <w:t>,</w:t>
      </w:r>
      <w:r>
        <w:t>775</w:t>
      </w:r>
      <w:r w:rsidRPr="00DE31F1">
        <w:t xml:space="preserve"> (based on O&amp;M expense of $</w:t>
      </w:r>
      <w:r>
        <w:t>94</w:t>
      </w:r>
      <w:r w:rsidRPr="00DE31F1">
        <w:t>,</w:t>
      </w:r>
      <w:r>
        <w:t>198</w:t>
      </w:r>
      <w:r w:rsidRPr="00DE31F1">
        <w:t>).</w:t>
      </w:r>
    </w:p>
    <w:p w:rsidR="00CA21F1" w:rsidRPr="00DE31F1" w:rsidRDefault="00CA21F1" w:rsidP="00CA21F1">
      <w:pPr>
        <w:jc w:val="both"/>
      </w:pPr>
    </w:p>
    <w:p w:rsidR="00CA21F1" w:rsidRPr="001E366A" w:rsidRDefault="00CA21F1" w:rsidP="00CA21F1">
      <w:pPr>
        <w:jc w:val="both"/>
        <w:rPr>
          <w:rFonts w:ascii="Arial" w:hAnsi="Arial" w:cs="Arial"/>
          <w:b/>
        </w:rPr>
      </w:pPr>
      <w:r w:rsidRPr="001E366A">
        <w:rPr>
          <w:rFonts w:ascii="Arial" w:hAnsi="Arial" w:cs="Arial"/>
          <w:b/>
        </w:rPr>
        <w:t>Rate Base Summary</w:t>
      </w:r>
    </w:p>
    <w:p w:rsidR="00CA21F1" w:rsidRPr="00F21282" w:rsidRDefault="00CA21F1" w:rsidP="00CA21F1">
      <w:pPr>
        <w:jc w:val="both"/>
      </w:pPr>
      <w:r w:rsidRPr="00DE31F1">
        <w:t>Based on the foregoing, staff recommends that the appropriate test year average rate base is $</w:t>
      </w:r>
      <w:r>
        <w:t>64</w:t>
      </w:r>
      <w:r w:rsidRPr="00DE31F1">
        <w:t>,</w:t>
      </w:r>
      <w:r>
        <w:t>137</w:t>
      </w:r>
      <w:r w:rsidRPr="00DE31F1">
        <w:t>. Rate base is shown on Schedule No. 1-A, and staff’s adjustments are shown on Schedule No. 1-B.</w:t>
      </w:r>
    </w:p>
    <w:p w:rsidR="005A5399" w:rsidRDefault="005A5399">
      <w:pPr>
        <w:pStyle w:val="BodyText"/>
      </w:pPr>
    </w:p>
    <w:p w:rsidR="005A5399" w:rsidRDefault="005A5399">
      <w:pPr>
        <w:pStyle w:val="IssueHeading"/>
        <w:rPr>
          <w:vanish/>
          <w:specVanish/>
        </w:rPr>
      </w:pPr>
      <w:r w:rsidRPr="004C3641">
        <w:rPr>
          <w:b w:val="0"/>
          <w:i w:val="0"/>
        </w:rPr>
        <w:br w:type="page"/>
      </w:r>
      <w:r w:rsidRPr="004C3641">
        <w:lastRenderedPageBreak/>
        <w:t xml:space="preserve">Issue </w:t>
      </w:r>
      <w:r w:rsidR="00BC3D1A">
        <w:fldChar w:fldCharType="begin"/>
      </w:r>
      <w:r w:rsidR="00BC3D1A">
        <w:instrText xml:space="preserve"> SEQ Issue \* MERGEFORMAT </w:instrText>
      </w:r>
      <w:r w:rsidR="00BC3D1A">
        <w:fldChar w:fldCharType="separate"/>
      </w:r>
      <w:r w:rsidR="000C12D8">
        <w:rPr>
          <w:noProof/>
        </w:rPr>
        <w:t>4</w:t>
      </w:r>
      <w:r w:rsidR="00BC3D1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431459576"/>
      <w:r w:rsidR="000C12D8">
        <w:rPr>
          <w:noProof/>
        </w:rPr>
        <w:instrText>4</w:instrText>
      </w:r>
      <w:r>
        <w:fldChar w:fldCharType="end"/>
      </w:r>
      <w:r>
        <w:tab/>
      </w:r>
      <w:r w:rsidR="00572991">
        <w:instrText>Rate of Return (Galloway, Smith)</w:instrText>
      </w:r>
      <w:bookmarkEnd w:id="20"/>
      <w:r>
        <w:instrText xml:space="preserve">" \l 1 </w:instrText>
      </w:r>
      <w:r>
        <w:fldChar w:fldCharType="end"/>
      </w:r>
      <w:r>
        <w:t> </w:t>
      </w:r>
    </w:p>
    <w:p w:rsidR="005A5399" w:rsidRPr="007D5E18" w:rsidRDefault="005A5399">
      <w:pPr>
        <w:pStyle w:val="BodyText"/>
      </w:pPr>
      <w:r>
        <w:t> </w:t>
      </w:r>
      <w:r w:rsidR="000F7E60" w:rsidRPr="007D5E18">
        <w:t>What is the appropriate rate of return on equity and overall rate of return for Cedar Acres?</w:t>
      </w:r>
    </w:p>
    <w:p w:rsidR="005A5399" w:rsidRPr="004C3641" w:rsidRDefault="005A5399">
      <w:pPr>
        <w:pStyle w:val="IssueSubsectionHeading"/>
        <w:rPr>
          <w:vanish/>
          <w:specVanish/>
        </w:rPr>
      </w:pPr>
      <w:r w:rsidRPr="004C3641">
        <w:t>Recommendation: </w:t>
      </w:r>
    </w:p>
    <w:p w:rsidR="005A5399" w:rsidRDefault="005A5399">
      <w:pPr>
        <w:pStyle w:val="BodyText"/>
      </w:pPr>
      <w:r>
        <w:t> </w:t>
      </w:r>
      <w:r w:rsidR="000F7E60" w:rsidRPr="000F7E60">
        <w:t>The appropriate return on equity (ROE) is 8.74 percent with a range of 7.74 percent to 9.74 percent. The appropriate overall rate of return is 8.74 percent</w:t>
      </w:r>
      <w:r w:rsidR="000F7E60" w:rsidRPr="00556936">
        <w:rPr>
          <w:rFonts w:asciiTheme="minorHAnsi" w:hAnsiTheme="minorHAnsi" w:cstheme="minorHAnsi"/>
        </w:rPr>
        <w:t>.</w:t>
      </w:r>
      <w:r>
        <w:t xml:space="preserve"> (Galloway, Smith)</w:t>
      </w:r>
    </w:p>
    <w:p w:rsidR="005A5399" w:rsidRPr="004C3641" w:rsidRDefault="005A5399">
      <w:pPr>
        <w:pStyle w:val="IssueSubsectionHeading"/>
        <w:rPr>
          <w:vanish/>
          <w:specVanish/>
        </w:rPr>
      </w:pPr>
      <w:r w:rsidRPr="004C3641">
        <w:t>Staff Analysis: </w:t>
      </w:r>
    </w:p>
    <w:p w:rsidR="007D5E18" w:rsidRDefault="005A5399" w:rsidP="000F7E60">
      <w:pPr>
        <w:spacing w:after="240"/>
        <w:ind w:firstLine="720"/>
        <w:jc w:val="both"/>
      </w:pPr>
      <w:r>
        <w:t> </w:t>
      </w:r>
      <w:r w:rsidR="000F7E60" w:rsidRPr="000F7E60">
        <w:t>In its capital structure, the utility included common stock, retained earnings and related-party debt.</w:t>
      </w:r>
      <w:r w:rsidR="007D5E18">
        <w:t xml:space="preserve"> Staff could not verify the amounts of common stock and retained earnings. Therefore, the common stock balance in the amount of $9,500 and retained earnings in the amount of ($118,986)</w:t>
      </w:r>
      <w:r w:rsidR="00354578">
        <w:t xml:space="preserve"> </w:t>
      </w:r>
      <w:r w:rsidR="00D12AEF">
        <w:t>w</w:t>
      </w:r>
      <w:r w:rsidR="00FF3B76">
        <w:t>ere</w:t>
      </w:r>
      <w:r w:rsidR="00D12AEF">
        <w:t xml:space="preserve"> removed </w:t>
      </w:r>
      <w:r w:rsidR="00354578">
        <w:t>from the utility’s capital structure</w:t>
      </w:r>
      <w:r w:rsidR="007D5E18">
        <w:t>.</w:t>
      </w:r>
    </w:p>
    <w:p w:rsidR="000F7E60" w:rsidRPr="000F7E60" w:rsidRDefault="000F7E60" w:rsidP="007D5E18">
      <w:pPr>
        <w:spacing w:after="240"/>
        <w:jc w:val="both"/>
      </w:pPr>
      <w:r w:rsidRPr="000F7E60">
        <w:t>It is Commission practice that, regarding related-party debt, when no interest or scheduled payments for principal are being made, the debt is considered common equity.</w:t>
      </w:r>
      <w:r w:rsidRPr="000F7E60">
        <w:rPr>
          <w:rStyle w:val="FootnoteReference"/>
        </w:rPr>
        <w:footnoteReference w:id="2"/>
      </w:r>
      <w:r w:rsidRPr="000F7E60">
        <w:t xml:space="preserve"> Staff has adjusted the utility’s capital structure to reflect the related-party debt as common equity pursuant to Commission practice. </w:t>
      </w:r>
      <w:r w:rsidR="00354578">
        <w:t>This adjustment results in a common equity balance of $232,445.</w:t>
      </w:r>
      <w:r w:rsidRPr="000F7E60">
        <w:t xml:space="preserve">  </w:t>
      </w:r>
    </w:p>
    <w:p w:rsidR="005A5399" w:rsidRDefault="000F7E60" w:rsidP="000F7E60">
      <w:pPr>
        <w:pStyle w:val="BodyText"/>
      </w:pPr>
      <w:r w:rsidRPr="000F7E60">
        <w:t>The utility’s capital structure has been reconciled with staff’s recommended rate base. Consistent with the Commission-approved leverage formula currently in effect, the appropriate ROE is 8.74 percent.</w:t>
      </w:r>
      <w:r w:rsidRPr="000F7E60">
        <w:rPr>
          <w:vertAlign w:val="superscript"/>
        </w:rPr>
        <w:footnoteReference w:id="3"/>
      </w:r>
      <w:proofErr w:type="gramStart"/>
      <w:r w:rsidRPr="000F7E60">
        <w:t xml:space="preserve">  </w:t>
      </w:r>
      <w:proofErr w:type="gramEnd"/>
      <w:r w:rsidRPr="000F7E60">
        <w:t>Staff recommends an ROE of 8.74 percent with a range of 7.74 percent to 9.74 percent, and an overall rate of return of 8.74 percent. The ROE and overall rate of return are shown on Schedule No. 2.</w:t>
      </w:r>
    </w:p>
    <w:p w:rsidR="005A5399" w:rsidRDefault="005A5399">
      <w:pPr>
        <w:pStyle w:val="IssueHeading"/>
        <w:rPr>
          <w:vanish/>
          <w:specVanish/>
        </w:rPr>
      </w:pPr>
      <w:r w:rsidRPr="004C3641">
        <w:rPr>
          <w:b w:val="0"/>
          <w:i w:val="0"/>
        </w:rPr>
        <w:br w:type="page"/>
      </w:r>
      <w:r w:rsidRPr="004C3641">
        <w:lastRenderedPageBreak/>
        <w:t xml:space="preserve">Issue </w:t>
      </w:r>
      <w:r w:rsidR="00BC3D1A">
        <w:fldChar w:fldCharType="begin"/>
      </w:r>
      <w:r w:rsidR="00BC3D1A">
        <w:instrText xml:space="preserve"> SEQ Issue \* MERGEFORMAT </w:instrText>
      </w:r>
      <w:r w:rsidR="00BC3D1A">
        <w:fldChar w:fldCharType="separate"/>
      </w:r>
      <w:r w:rsidR="000C12D8">
        <w:rPr>
          <w:noProof/>
        </w:rPr>
        <w:t>5</w:t>
      </w:r>
      <w:r w:rsidR="00BC3D1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431459577"/>
      <w:r w:rsidR="000C12D8">
        <w:rPr>
          <w:noProof/>
        </w:rPr>
        <w:instrText>5</w:instrText>
      </w:r>
      <w:r>
        <w:fldChar w:fldCharType="end"/>
      </w:r>
      <w:r>
        <w:tab/>
      </w:r>
      <w:r w:rsidR="00572991">
        <w:instrText>Test Year Revenue (Thompson)</w:instrText>
      </w:r>
      <w:bookmarkEnd w:id="21"/>
      <w:r>
        <w:instrText xml:space="preserve">" \l 1 </w:instrText>
      </w:r>
      <w:r>
        <w:fldChar w:fldCharType="end"/>
      </w:r>
      <w:r>
        <w:t> </w:t>
      </w:r>
    </w:p>
    <w:p w:rsidR="005A5399" w:rsidRDefault="005A5399">
      <w:pPr>
        <w:pStyle w:val="BodyText"/>
      </w:pPr>
      <w:r>
        <w:t> </w:t>
      </w:r>
      <w:r w:rsidR="00EE06D3">
        <w:t>What are the appropriate test year revenues for the utility’s water system?</w:t>
      </w:r>
    </w:p>
    <w:p w:rsidR="005A5399" w:rsidRPr="004C3641" w:rsidRDefault="005A5399">
      <w:pPr>
        <w:pStyle w:val="IssueSubsectionHeading"/>
        <w:rPr>
          <w:vanish/>
          <w:specVanish/>
        </w:rPr>
      </w:pPr>
      <w:r w:rsidRPr="004C3641">
        <w:t>Recommendation: </w:t>
      </w:r>
    </w:p>
    <w:p w:rsidR="005A5399" w:rsidRDefault="005A5399">
      <w:pPr>
        <w:pStyle w:val="BodyText"/>
      </w:pPr>
      <w:r>
        <w:t> </w:t>
      </w:r>
      <w:r w:rsidR="00EE06D3" w:rsidRPr="004B24B1">
        <w:t xml:space="preserve">The appropriate test year revenues for </w:t>
      </w:r>
      <w:r w:rsidR="00EE06D3">
        <w:t xml:space="preserve">Cedar Acres’ </w:t>
      </w:r>
      <w:r w:rsidR="00EE06D3" w:rsidRPr="004B24B1">
        <w:t xml:space="preserve">water system </w:t>
      </w:r>
      <w:r w:rsidR="00EE06D3">
        <w:t>are</w:t>
      </w:r>
      <w:r w:rsidR="00EE06D3" w:rsidRPr="004B24B1">
        <w:t xml:space="preserve"> $</w:t>
      </w:r>
      <w:r w:rsidR="00EE06D3">
        <w:t>35,451</w:t>
      </w:r>
      <w:r w:rsidR="00EE06D3" w:rsidRPr="004B24B1">
        <w:t>.</w:t>
      </w:r>
      <w:r>
        <w:t xml:space="preserve"> (Thompson)</w:t>
      </w:r>
    </w:p>
    <w:p w:rsidR="005A5399" w:rsidRPr="004C3641" w:rsidRDefault="005A5399">
      <w:pPr>
        <w:pStyle w:val="IssueSubsectionHeading"/>
        <w:rPr>
          <w:vanish/>
          <w:specVanish/>
        </w:rPr>
      </w:pPr>
      <w:r w:rsidRPr="004C3641">
        <w:t>Staff Analysis: </w:t>
      </w:r>
    </w:p>
    <w:p w:rsidR="00EE06D3" w:rsidRDefault="005A5399" w:rsidP="00EE06D3">
      <w:pPr>
        <w:pStyle w:val="BodyText"/>
      </w:pPr>
      <w:r>
        <w:t> </w:t>
      </w:r>
      <w:r w:rsidR="00EE06D3">
        <w:t>The u</w:t>
      </w:r>
      <w:r w:rsidR="00EE06D3" w:rsidRPr="00543B97">
        <w:t>tility’s test year is October 201</w:t>
      </w:r>
      <w:r w:rsidR="00EE06D3">
        <w:t>3</w:t>
      </w:r>
      <w:r w:rsidR="00EE06D3" w:rsidRPr="00543B97">
        <w:t xml:space="preserve"> to September 201</w:t>
      </w:r>
      <w:r w:rsidR="00EE06D3">
        <w:t>4 and revenues are only recorded at the end of each calendar year. For that reason, Cedar Acres’ last recorded revenues were $28,638 as of December 31, 2013. Based on staff’s review of the u</w:t>
      </w:r>
      <w:r w:rsidR="00EE06D3" w:rsidRPr="00543B97">
        <w:t xml:space="preserve">tility’s </w:t>
      </w:r>
      <w:r w:rsidR="00EE06D3">
        <w:t xml:space="preserve">test year </w:t>
      </w:r>
      <w:r w:rsidR="00EE06D3" w:rsidRPr="00543B97">
        <w:t xml:space="preserve">billing determinants and the rates that were in effect during the test year, staff determined </w:t>
      </w:r>
      <w:r w:rsidR="00EE06D3">
        <w:t xml:space="preserve">that the test year revenues </w:t>
      </w:r>
      <w:r w:rsidR="00EE06D3" w:rsidRPr="00543B97">
        <w:t>should be increased by $</w:t>
      </w:r>
      <w:r w:rsidR="00EE06D3">
        <w:t xml:space="preserve">6,764. </w:t>
      </w:r>
    </w:p>
    <w:p w:rsidR="005A5399" w:rsidRDefault="00EE06D3" w:rsidP="00EE06D3">
      <w:pPr>
        <w:pStyle w:val="BodyText"/>
      </w:pPr>
      <w:r>
        <w:t xml:space="preserve">In addition, during the test year, there were numerous meters that were not read due to various issues. Therefore, the test year gallons were understated. In order to determine the appropriate gallons for </w:t>
      </w:r>
      <w:proofErr w:type="spellStart"/>
      <w:r>
        <w:t>ratesetting</w:t>
      </w:r>
      <w:proofErr w:type="spellEnd"/>
      <w:r>
        <w:t xml:space="preserve"> purposes, staff believes it is appropriate to use 90 percent of the test year water gallons pumped, which is 22,190,000 gallons. The billed test year gallons were 21,118,000, resulting in a difference of 1,072,000 gallons. Staff believes it is appropriate to impute the 1,072,000 gallons and the associated revenue of $49 due to the unread meters. It should be noted that in Issue </w:t>
      </w:r>
      <w:r w:rsidR="00235A61">
        <w:t>6</w:t>
      </w:r>
      <w:r>
        <w:t xml:space="preserve"> staff is recommending a meter replacement program as a remedy to the various meter issues. Based on the above, staff recommends that t</w:t>
      </w:r>
      <w:r w:rsidRPr="004B24B1">
        <w:t xml:space="preserve">he appropriate test year revenues for </w:t>
      </w:r>
      <w:r>
        <w:t xml:space="preserve">Cedar Acres’ </w:t>
      </w:r>
      <w:r w:rsidRPr="004B24B1">
        <w:t xml:space="preserve">water </w:t>
      </w:r>
      <w:r>
        <w:t>system</w:t>
      </w:r>
      <w:r w:rsidRPr="004B24B1">
        <w:t xml:space="preserve"> </w:t>
      </w:r>
      <w:r>
        <w:t xml:space="preserve">are </w:t>
      </w:r>
      <w:r w:rsidRPr="004B24B1">
        <w:t>$</w:t>
      </w:r>
      <w:r>
        <w:t>35,451 ($28,638+$6,764+$49)</w:t>
      </w:r>
      <w:r w:rsidRPr="004B24B1">
        <w:t>.</w:t>
      </w:r>
      <w:r>
        <w:t xml:space="preserve"> </w:t>
      </w:r>
      <w:r w:rsidRPr="00E1196C">
        <w:t>Test year revenues are shown on Schedule No. 3-A.</w:t>
      </w:r>
    </w:p>
    <w:p w:rsidR="005A5399" w:rsidRDefault="005A5399">
      <w:pPr>
        <w:pStyle w:val="IssueHeading"/>
        <w:rPr>
          <w:vanish/>
          <w:specVanish/>
        </w:rPr>
      </w:pPr>
      <w:r w:rsidRPr="004C3641">
        <w:rPr>
          <w:b w:val="0"/>
          <w:i w:val="0"/>
        </w:rPr>
        <w:br w:type="page"/>
      </w:r>
      <w:r w:rsidRPr="004C3641">
        <w:lastRenderedPageBreak/>
        <w:t xml:space="preserve">Issue </w:t>
      </w:r>
      <w:r w:rsidR="00BC3D1A">
        <w:fldChar w:fldCharType="begin"/>
      </w:r>
      <w:r w:rsidR="00BC3D1A">
        <w:instrText xml:space="preserve"> SEQ Issue \* MERGEFORMAT </w:instrText>
      </w:r>
      <w:r w:rsidR="00BC3D1A">
        <w:fldChar w:fldCharType="separate"/>
      </w:r>
      <w:r w:rsidR="000C12D8">
        <w:rPr>
          <w:noProof/>
        </w:rPr>
        <w:t>6</w:t>
      </w:r>
      <w:r w:rsidR="00BC3D1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431459578"/>
      <w:r w:rsidR="000C12D8">
        <w:rPr>
          <w:noProof/>
        </w:rPr>
        <w:instrText>6</w:instrText>
      </w:r>
      <w:r>
        <w:fldChar w:fldCharType="end"/>
      </w:r>
      <w:r>
        <w:tab/>
      </w:r>
      <w:r w:rsidR="00572991">
        <w:instrText>Operating Expense (Smith)</w:instrText>
      </w:r>
      <w:bookmarkEnd w:id="22"/>
      <w:r>
        <w:instrText xml:space="preserve">" \l 1 </w:instrText>
      </w:r>
      <w:r>
        <w:fldChar w:fldCharType="end"/>
      </w:r>
      <w:r>
        <w:t> </w:t>
      </w:r>
    </w:p>
    <w:p w:rsidR="005A5399" w:rsidRDefault="005A5399">
      <w:pPr>
        <w:pStyle w:val="BodyText"/>
      </w:pPr>
      <w:r>
        <w:t> </w:t>
      </w:r>
      <w:r w:rsidR="00F970C7">
        <w:t>What is the appropriate amount of operating expense?</w:t>
      </w:r>
    </w:p>
    <w:p w:rsidR="005A5399" w:rsidRPr="004C3641" w:rsidRDefault="005A5399">
      <w:pPr>
        <w:pStyle w:val="IssueSubsectionHeading"/>
        <w:rPr>
          <w:vanish/>
          <w:specVanish/>
        </w:rPr>
      </w:pPr>
      <w:r w:rsidRPr="004C3641">
        <w:t>Recommendation: </w:t>
      </w:r>
    </w:p>
    <w:p w:rsidR="005A5399" w:rsidRDefault="005A5399">
      <w:pPr>
        <w:pStyle w:val="BodyText"/>
      </w:pPr>
      <w:r>
        <w:t> </w:t>
      </w:r>
      <w:r w:rsidR="00F970C7">
        <w:rPr>
          <w:rFonts w:cs="Courier New"/>
        </w:rPr>
        <w:t xml:space="preserve">The appropriate amount of operating expense for Cedar Acres is </w:t>
      </w:r>
      <w:r w:rsidR="00F970C7">
        <w:t>$106,003. (Smith)</w:t>
      </w:r>
    </w:p>
    <w:p w:rsidR="005A5399" w:rsidRPr="004C3641" w:rsidRDefault="005A5399">
      <w:pPr>
        <w:pStyle w:val="IssueSubsectionHeading"/>
        <w:rPr>
          <w:vanish/>
          <w:specVanish/>
        </w:rPr>
      </w:pPr>
      <w:r w:rsidRPr="004C3641">
        <w:t>Staff Analysis: </w:t>
      </w:r>
    </w:p>
    <w:p w:rsidR="00F970C7" w:rsidRDefault="005A5399" w:rsidP="00F970C7">
      <w:pPr>
        <w:spacing w:after="240"/>
        <w:jc w:val="both"/>
      </w:pPr>
      <w:r>
        <w:t> </w:t>
      </w:r>
      <w:r w:rsidR="00F970C7">
        <w:rPr>
          <w:rFonts w:cs="Courier New"/>
        </w:rPr>
        <w:t>Cedar Acres</w:t>
      </w:r>
      <w:r w:rsidR="00F970C7">
        <w:t xml:space="preserve"> recorded operating expense of $102,803 for the test year ended September 30, 2014. The test year O&amp;M expenses have been reviewed. Invoices, canceled checks, and other supporting documentation have been examined. Staff has made several adjustments to the utility’s operating expenses as summarized below:</w:t>
      </w:r>
    </w:p>
    <w:p w:rsidR="00F970C7" w:rsidRPr="009D5E85" w:rsidRDefault="00F970C7" w:rsidP="00F970C7">
      <w:pPr>
        <w:spacing w:after="240"/>
        <w:jc w:val="both"/>
        <w:outlineLvl w:val="0"/>
        <w:rPr>
          <w:rFonts w:ascii="Arial" w:hAnsi="Arial" w:cs="Arial"/>
          <w:b/>
          <w:bCs/>
          <w:kern w:val="32"/>
          <w:szCs w:val="32"/>
        </w:rPr>
      </w:pPr>
      <w:r w:rsidRPr="009D5E85">
        <w:rPr>
          <w:rFonts w:ascii="Arial" w:hAnsi="Arial" w:cs="Arial"/>
          <w:b/>
          <w:bCs/>
          <w:kern w:val="32"/>
          <w:szCs w:val="32"/>
        </w:rPr>
        <w:t>Operation and Maintenance (O&amp;M) Expenses</w:t>
      </w:r>
    </w:p>
    <w:p w:rsidR="00F970C7" w:rsidRPr="009D5E85" w:rsidRDefault="00F970C7" w:rsidP="00F970C7">
      <w:pPr>
        <w:ind w:firstLine="720"/>
        <w:jc w:val="both"/>
        <w:outlineLvl w:val="0"/>
        <w:rPr>
          <w:rFonts w:ascii="Arial" w:hAnsi="Arial" w:cs="Arial"/>
          <w:bCs/>
          <w:i/>
          <w:kern w:val="32"/>
          <w:szCs w:val="32"/>
        </w:rPr>
      </w:pPr>
      <w:r w:rsidRPr="009D5E85">
        <w:rPr>
          <w:rFonts w:ascii="Arial" w:hAnsi="Arial" w:cs="Arial"/>
          <w:b/>
          <w:bCs/>
          <w:i/>
          <w:kern w:val="32"/>
          <w:szCs w:val="32"/>
        </w:rPr>
        <w:t>Salaries and Wages - Employees (601)</w:t>
      </w:r>
    </w:p>
    <w:p w:rsidR="00F970C7" w:rsidRDefault="00F970C7" w:rsidP="00F970C7">
      <w:pPr>
        <w:jc w:val="both"/>
        <w:outlineLvl w:val="0"/>
        <w:rPr>
          <w:rFonts w:cs="Arial"/>
          <w:bCs/>
          <w:kern w:val="32"/>
          <w:szCs w:val="32"/>
        </w:rPr>
      </w:pPr>
      <w:r>
        <w:rPr>
          <w:rFonts w:cs="Arial"/>
          <w:bCs/>
          <w:kern w:val="32"/>
          <w:szCs w:val="32"/>
        </w:rPr>
        <w:t xml:space="preserve">Cedar Acres recorded $50,837 for Salaries and Wages – Employees expense. This amount includes the salary for the utility’s Finance Manager. The Finance Manager’s duties and responsibilities include general bookkeeping and accounting for the utility along with financial reporting and ensuring compliance with utility regulations. Other duties include responding to customer inquiries and coordinating utility maintenance, as well as coordinating the meter reading and billing functions </w:t>
      </w:r>
      <w:r>
        <w:rPr>
          <w:rFonts w:cs="Courier New"/>
          <w:bCs/>
          <w:kern w:val="32"/>
          <w:szCs w:val="32"/>
        </w:rPr>
        <w:t>with the third-party company who performs this work every other month</w:t>
      </w:r>
      <w:r>
        <w:rPr>
          <w:rFonts w:cs="Arial"/>
          <w:bCs/>
          <w:kern w:val="32"/>
          <w:szCs w:val="32"/>
        </w:rPr>
        <w:t>. The utility provided recent W-2 forms for support documentation of the salaries and wages for the Finance Manage</w:t>
      </w:r>
      <w:r w:rsidRPr="00EF1E80">
        <w:rPr>
          <w:rFonts w:cs="Arial"/>
          <w:bCs/>
          <w:kern w:val="32"/>
          <w:szCs w:val="32"/>
        </w:rPr>
        <w:t>r</w:t>
      </w:r>
      <w:r w:rsidR="004C4FFD" w:rsidRPr="00EF1E80">
        <w:rPr>
          <w:rFonts w:cs="Arial"/>
          <w:bCs/>
          <w:kern w:val="32"/>
          <w:szCs w:val="32"/>
        </w:rPr>
        <w:t>. Based on that information, the Finance Manager’s salary</w:t>
      </w:r>
      <w:r w:rsidR="00235A61" w:rsidRPr="00EF1E80">
        <w:rPr>
          <w:rFonts w:cs="Arial"/>
          <w:bCs/>
          <w:kern w:val="32"/>
          <w:szCs w:val="32"/>
        </w:rPr>
        <w:t xml:space="preserve"> was increased</w:t>
      </w:r>
      <w:r w:rsidR="004C4FFD" w:rsidRPr="00EF1E80">
        <w:rPr>
          <w:rFonts w:cs="Arial"/>
          <w:bCs/>
          <w:kern w:val="32"/>
          <w:szCs w:val="32"/>
        </w:rPr>
        <w:t xml:space="preserve"> by $1,086</w:t>
      </w:r>
      <w:r w:rsidR="00235A61" w:rsidRPr="00EF1E80">
        <w:rPr>
          <w:rFonts w:cs="Arial"/>
          <w:bCs/>
          <w:kern w:val="32"/>
          <w:szCs w:val="32"/>
        </w:rPr>
        <w:t xml:space="preserve"> to reflect </w:t>
      </w:r>
      <w:r w:rsidR="008B1997" w:rsidRPr="00EF1E80">
        <w:rPr>
          <w:rFonts w:cs="Arial"/>
          <w:bCs/>
          <w:kern w:val="32"/>
          <w:szCs w:val="32"/>
        </w:rPr>
        <w:t xml:space="preserve">the </w:t>
      </w:r>
      <w:r w:rsidR="00235A61" w:rsidRPr="00EF1E80">
        <w:rPr>
          <w:rFonts w:cs="Arial"/>
          <w:bCs/>
          <w:kern w:val="32"/>
          <w:szCs w:val="32"/>
        </w:rPr>
        <w:t>appropriate test year amount</w:t>
      </w:r>
      <w:r w:rsidR="004C4FFD" w:rsidRPr="00EF1E80">
        <w:rPr>
          <w:rFonts w:cs="Arial"/>
          <w:bCs/>
          <w:kern w:val="32"/>
          <w:szCs w:val="32"/>
        </w:rPr>
        <w:t xml:space="preserve">, resulting in a salary of </w:t>
      </w:r>
      <w:r w:rsidRPr="00EF1E80">
        <w:rPr>
          <w:rFonts w:cs="Arial"/>
          <w:bCs/>
          <w:kern w:val="32"/>
          <w:szCs w:val="32"/>
        </w:rPr>
        <w:t>$51,923.</w:t>
      </w:r>
      <w:r>
        <w:rPr>
          <w:rFonts w:cs="Arial"/>
          <w:bCs/>
          <w:kern w:val="32"/>
          <w:szCs w:val="32"/>
        </w:rPr>
        <w:t xml:space="preserve">  </w:t>
      </w:r>
    </w:p>
    <w:p w:rsidR="00F970C7" w:rsidRDefault="00F970C7" w:rsidP="00F970C7">
      <w:pPr>
        <w:jc w:val="both"/>
        <w:outlineLvl w:val="0"/>
        <w:rPr>
          <w:rFonts w:cs="Arial"/>
          <w:bCs/>
          <w:kern w:val="32"/>
          <w:szCs w:val="32"/>
        </w:rPr>
      </w:pPr>
    </w:p>
    <w:p w:rsidR="00F970C7" w:rsidRDefault="00F970C7" w:rsidP="00F970C7">
      <w:pPr>
        <w:jc w:val="both"/>
        <w:outlineLvl w:val="0"/>
        <w:rPr>
          <w:rFonts w:cs="Arial"/>
          <w:bCs/>
          <w:kern w:val="32"/>
          <w:szCs w:val="32"/>
        </w:rPr>
      </w:pPr>
      <w:r>
        <w:rPr>
          <w:rFonts w:cs="Arial"/>
          <w:bCs/>
          <w:kern w:val="32"/>
          <w:szCs w:val="32"/>
        </w:rPr>
        <w:t xml:space="preserve">In the audit </w:t>
      </w:r>
      <w:proofErr w:type="spellStart"/>
      <w:r>
        <w:rPr>
          <w:rFonts w:cs="Arial"/>
          <w:bCs/>
          <w:kern w:val="32"/>
          <w:szCs w:val="32"/>
        </w:rPr>
        <w:t>workpapers</w:t>
      </w:r>
      <w:proofErr w:type="spellEnd"/>
      <w:r w:rsidR="00235A61">
        <w:rPr>
          <w:rFonts w:cs="Arial"/>
          <w:bCs/>
          <w:kern w:val="32"/>
          <w:szCs w:val="32"/>
        </w:rPr>
        <w:t xml:space="preserve"> along with responses to data requests</w:t>
      </w:r>
      <w:r>
        <w:rPr>
          <w:rFonts w:cs="Arial"/>
          <w:bCs/>
          <w:kern w:val="32"/>
          <w:szCs w:val="32"/>
        </w:rPr>
        <w:t>, the utility indicated that the Finance Manager spends 10 percent of her time on bookkeeping duties for non-utility business. It was also noted that she spends approximately one hour per week answering phones for another related</w:t>
      </w:r>
      <w:r w:rsidR="00AB10EA">
        <w:rPr>
          <w:rFonts w:cs="Arial"/>
          <w:bCs/>
          <w:kern w:val="32"/>
          <w:szCs w:val="32"/>
        </w:rPr>
        <w:t>-</w:t>
      </w:r>
      <w:r>
        <w:rPr>
          <w:rFonts w:cs="Arial"/>
          <w:bCs/>
          <w:kern w:val="32"/>
          <w:szCs w:val="32"/>
        </w:rPr>
        <w:t xml:space="preserve">party business in the same building. Staff is therefore basing her salary on a 35-hour week. </w:t>
      </w:r>
    </w:p>
    <w:p w:rsidR="00F970C7" w:rsidRDefault="00F970C7" w:rsidP="00F970C7">
      <w:pPr>
        <w:jc w:val="both"/>
        <w:outlineLvl w:val="0"/>
        <w:rPr>
          <w:rFonts w:cs="Arial"/>
          <w:bCs/>
          <w:kern w:val="32"/>
          <w:szCs w:val="32"/>
        </w:rPr>
      </w:pPr>
    </w:p>
    <w:p w:rsidR="00F970C7" w:rsidRDefault="00F970C7" w:rsidP="00F970C7">
      <w:pPr>
        <w:jc w:val="both"/>
        <w:outlineLvl w:val="0"/>
        <w:rPr>
          <w:rFonts w:cs="Arial"/>
          <w:bCs/>
          <w:kern w:val="32"/>
          <w:szCs w:val="32"/>
        </w:rPr>
      </w:pPr>
      <w:r>
        <w:rPr>
          <w:rFonts w:cs="Arial"/>
          <w:bCs/>
          <w:kern w:val="32"/>
          <w:szCs w:val="32"/>
        </w:rPr>
        <w:t xml:space="preserve">Staff used the 2012 AWWA Water Utility Compensation Survey (Survey) to develop a range of salaries that best fit the duties performed by the Finance Manager. Staff indexed these salaries to 2015 using the Commission-approved indices from 2013-2015. Since some or parts of some of the duties listed in the Survey are contracted out by Cedar Acres, staff is recommending a salary for the Finance Manager equal to the average of the minimum salaries in the survey adjusted for a 35-hour week. This results in a recommended annual salary of $38,938, which represents a </w:t>
      </w:r>
      <w:r w:rsidR="00E90AF4">
        <w:rPr>
          <w:rFonts w:cs="Arial"/>
          <w:bCs/>
          <w:kern w:val="32"/>
          <w:szCs w:val="32"/>
        </w:rPr>
        <w:t xml:space="preserve">net </w:t>
      </w:r>
      <w:r>
        <w:rPr>
          <w:rFonts w:cs="Arial"/>
          <w:bCs/>
          <w:kern w:val="32"/>
          <w:szCs w:val="32"/>
        </w:rPr>
        <w:t>reduction of $11,899 ($5</w:t>
      </w:r>
      <w:r w:rsidR="00950895">
        <w:rPr>
          <w:rFonts w:cs="Arial"/>
          <w:bCs/>
          <w:kern w:val="32"/>
          <w:szCs w:val="32"/>
        </w:rPr>
        <w:t>1</w:t>
      </w:r>
      <w:r>
        <w:rPr>
          <w:rFonts w:cs="Arial"/>
          <w:bCs/>
          <w:kern w:val="32"/>
          <w:szCs w:val="32"/>
        </w:rPr>
        <w:t>,</w:t>
      </w:r>
      <w:r w:rsidR="00950895">
        <w:rPr>
          <w:rFonts w:cs="Arial"/>
          <w:bCs/>
          <w:kern w:val="32"/>
          <w:szCs w:val="32"/>
        </w:rPr>
        <w:t>92</w:t>
      </w:r>
      <w:r>
        <w:rPr>
          <w:rFonts w:cs="Arial"/>
          <w:bCs/>
          <w:kern w:val="32"/>
          <w:szCs w:val="32"/>
        </w:rPr>
        <w:t>3-$38,938).</w:t>
      </w:r>
    </w:p>
    <w:p w:rsidR="00F970C7" w:rsidRDefault="00F970C7" w:rsidP="00F970C7">
      <w:pPr>
        <w:jc w:val="both"/>
        <w:outlineLvl w:val="0"/>
        <w:rPr>
          <w:rFonts w:cs="Arial"/>
          <w:bCs/>
          <w:kern w:val="32"/>
          <w:szCs w:val="32"/>
        </w:rPr>
      </w:pPr>
    </w:p>
    <w:p w:rsidR="00F970C7" w:rsidRPr="009D5E85" w:rsidRDefault="00F970C7" w:rsidP="00F970C7">
      <w:pPr>
        <w:ind w:firstLine="720"/>
        <w:jc w:val="both"/>
        <w:outlineLvl w:val="0"/>
        <w:rPr>
          <w:rFonts w:ascii="Arial" w:hAnsi="Arial" w:cs="Arial"/>
          <w:b/>
          <w:bCs/>
          <w:i/>
          <w:kern w:val="32"/>
          <w:szCs w:val="32"/>
        </w:rPr>
      </w:pPr>
      <w:r w:rsidRPr="009D5E85">
        <w:rPr>
          <w:rFonts w:ascii="Arial" w:hAnsi="Arial" w:cs="Arial"/>
          <w:b/>
          <w:bCs/>
          <w:i/>
          <w:kern w:val="32"/>
          <w:szCs w:val="32"/>
        </w:rPr>
        <w:t>Salaries and Wages – Officers (603)</w:t>
      </w:r>
    </w:p>
    <w:p w:rsidR="00F970C7" w:rsidRDefault="00F970C7" w:rsidP="00F970C7">
      <w:pPr>
        <w:jc w:val="both"/>
        <w:outlineLvl w:val="0"/>
        <w:rPr>
          <w:rFonts w:cs="Arial"/>
          <w:bCs/>
          <w:kern w:val="32"/>
          <w:szCs w:val="32"/>
        </w:rPr>
      </w:pPr>
      <w:r>
        <w:rPr>
          <w:rFonts w:cs="Arial"/>
          <w:bCs/>
          <w:kern w:val="32"/>
          <w:szCs w:val="32"/>
        </w:rPr>
        <w:t xml:space="preserve">The utility recorded $1,350 in this account for </w:t>
      </w:r>
      <w:r w:rsidRPr="00310568">
        <w:rPr>
          <w:rFonts w:cs="Arial"/>
          <w:bCs/>
          <w:kern w:val="32"/>
          <w:szCs w:val="32"/>
        </w:rPr>
        <w:t>director’s fees.</w:t>
      </w:r>
      <w:r>
        <w:rPr>
          <w:rFonts w:cs="Arial"/>
          <w:bCs/>
          <w:kern w:val="32"/>
          <w:szCs w:val="32"/>
        </w:rPr>
        <w:t xml:space="preserve"> Cedar Acres has a Board of Directors and an associated annual meeting to discuss utility matters. Th</w:t>
      </w:r>
      <w:r w:rsidR="00235A61">
        <w:rPr>
          <w:rFonts w:cs="Arial"/>
          <w:bCs/>
          <w:kern w:val="32"/>
          <w:szCs w:val="32"/>
        </w:rPr>
        <w:t>e</w:t>
      </w:r>
      <w:r>
        <w:rPr>
          <w:rFonts w:cs="Arial"/>
          <w:bCs/>
          <w:kern w:val="32"/>
          <w:szCs w:val="32"/>
        </w:rPr>
        <w:t xml:space="preserve"> allowance </w:t>
      </w:r>
      <w:r w:rsidR="00235A61">
        <w:rPr>
          <w:rFonts w:cs="Arial"/>
          <w:bCs/>
          <w:kern w:val="32"/>
          <w:szCs w:val="32"/>
        </w:rPr>
        <w:t xml:space="preserve">for director’s fees </w:t>
      </w:r>
      <w:r>
        <w:rPr>
          <w:rFonts w:cs="Arial"/>
          <w:bCs/>
          <w:kern w:val="32"/>
          <w:szCs w:val="32"/>
        </w:rPr>
        <w:t>is in line with prior Commission decisions. In a 2010 rate case for Lighthouse Utilities Company, the Commission allowed $18,000 for three directors.</w:t>
      </w:r>
      <w:r>
        <w:rPr>
          <w:rStyle w:val="FootnoteReference"/>
          <w:rFonts w:cs="Arial"/>
          <w:bCs/>
          <w:kern w:val="32"/>
          <w:szCs w:val="32"/>
        </w:rPr>
        <w:footnoteReference w:id="4"/>
      </w:r>
      <w:r>
        <w:rPr>
          <w:rFonts w:cs="Arial"/>
          <w:bCs/>
          <w:kern w:val="32"/>
          <w:szCs w:val="32"/>
        </w:rPr>
        <w:t xml:space="preserve"> Staff believes the recorded amount</w:t>
      </w:r>
      <w:r w:rsidR="00235A61">
        <w:rPr>
          <w:rFonts w:cs="Arial"/>
          <w:bCs/>
          <w:kern w:val="32"/>
          <w:szCs w:val="32"/>
        </w:rPr>
        <w:t xml:space="preserve"> for this utility</w:t>
      </w:r>
      <w:r>
        <w:rPr>
          <w:rFonts w:cs="Arial"/>
          <w:bCs/>
          <w:kern w:val="32"/>
          <w:szCs w:val="32"/>
        </w:rPr>
        <w:t xml:space="preserve"> is reasonable and prudent.   </w:t>
      </w:r>
    </w:p>
    <w:p w:rsidR="00F970C7" w:rsidRDefault="00F970C7" w:rsidP="00F970C7">
      <w:pPr>
        <w:jc w:val="both"/>
        <w:outlineLvl w:val="0"/>
        <w:rPr>
          <w:rFonts w:cs="Arial"/>
          <w:bCs/>
          <w:kern w:val="32"/>
          <w:szCs w:val="32"/>
        </w:rPr>
      </w:pPr>
    </w:p>
    <w:p w:rsidR="00235A61" w:rsidRDefault="00F970C7" w:rsidP="00F970C7">
      <w:pPr>
        <w:jc w:val="both"/>
        <w:outlineLvl w:val="0"/>
        <w:rPr>
          <w:rFonts w:cs="Arial"/>
          <w:bCs/>
          <w:kern w:val="32"/>
          <w:szCs w:val="32"/>
        </w:rPr>
      </w:pPr>
      <w:r>
        <w:rPr>
          <w:rFonts w:cs="Arial"/>
          <w:bCs/>
          <w:kern w:val="32"/>
          <w:szCs w:val="32"/>
        </w:rPr>
        <w:t>Additionally, the utility recorded no salaries or wages for the utility President. Because the President spends approximately five hours per week on various utility-related issues, as well as being on-call on weekends, staff believes a salary for the President is appropriate.</w:t>
      </w:r>
    </w:p>
    <w:p w:rsidR="00235A61" w:rsidRDefault="00235A61" w:rsidP="00F970C7">
      <w:pPr>
        <w:jc w:val="both"/>
        <w:outlineLvl w:val="0"/>
        <w:rPr>
          <w:rFonts w:cs="Arial"/>
          <w:bCs/>
          <w:kern w:val="32"/>
          <w:szCs w:val="32"/>
        </w:rPr>
      </w:pPr>
    </w:p>
    <w:p w:rsidR="00F970C7" w:rsidRDefault="00F970C7" w:rsidP="00F970C7">
      <w:pPr>
        <w:jc w:val="both"/>
        <w:outlineLvl w:val="0"/>
        <w:rPr>
          <w:rFonts w:cs="Arial"/>
          <w:bCs/>
          <w:kern w:val="32"/>
          <w:szCs w:val="32"/>
        </w:rPr>
      </w:pPr>
      <w:r>
        <w:rPr>
          <w:rFonts w:cs="Arial"/>
          <w:bCs/>
          <w:kern w:val="32"/>
          <w:szCs w:val="32"/>
        </w:rPr>
        <w:t xml:space="preserve">An hourly wage of $14.86 was approved in </w:t>
      </w:r>
      <w:r w:rsidRPr="00FC7319">
        <w:rPr>
          <w:rFonts w:cs="Arial"/>
          <w:bCs/>
          <w:kern w:val="32"/>
          <w:szCs w:val="32"/>
        </w:rPr>
        <w:t>Docket No. 100471</w:t>
      </w:r>
      <w:r>
        <w:rPr>
          <w:rFonts w:cs="Arial"/>
          <w:bCs/>
          <w:kern w:val="32"/>
          <w:szCs w:val="32"/>
        </w:rPr>
        <w:t>-SU.</w:t>
      </w:r>
      <w:r>
        <w:rPr>
          <w:rStyle w:val="FootnoteReference"/>
          <w:rFonts w:cs="Arial"/>
          <w:bCs/>
          <w:kern w:val="32"/>
          <w:szCs w:val="32"/>
        </w:rPr>
        <w:footnoteReference w:id="5"/>
      </w:r>
      <w:r w:rsidRPr="00FC7319">
        <w:rPr>
          <w:rFonts w:cs="Arial"/>
          <w:bCs/>
          <w:kern w:val="32"/>
          <w:szCs w:val="32"/>
        </w:rPr>
        <w:t xml:space="preserve"> </w:t>
      </w:r>
      <w:r w:rsidR="00235A61">
        <w:rPr>
          <w:rFonts w:cs="Arial"/>
          <w:bCs/>
          <w:kern w:val="32"/>
          <w:szCs w:val="32"/>
        </w:rPr>
        <w:t>Staff used t</w:t>
      </w:r>
      <w:r w:rsidRPr="00FC7319">
        <w:rPr>
          <w:rFonts w:cs="Arial"/>
          <w:bCs/>
          <w:kern w:val="32"/>
          <w:szCs w:val="32"/>
        </w:rPr>
        <w:t>hi</w:t>
      </w:r>
      <w:r>
        <w:rPr>
          <w:rFonts w:cs="Arial"/>
          <w:bCs/>
          <w:kern w:val="32"/>
          <w:szCs w:val="32"/>
        </w:rPr>
        <w:t>s hourly rate due to the similar amount of hours worked and the duties performed, which comports to a 1993 First District Court of Appeals (DCA) decision.</w:t>
      </w:r>
      <w:r>
        <w:rPr>
          <w:rStyle w:val="FootnoteReference"/>
        </w:rPr>
        <w:footnoteReference w:id="6"/>
      </w:r>
      <w:r>
        <w:t xml:space="preserve"> The First DCA stated that: "[</w:t>
      </w:r>
      <w:proofErr w:type="spellStart"/>
      <w:r>
        <w:t>i</w:t>
      </w:r>
      <w:proofErr w:type="spellEnd"/>
      <w:r>
        <w:t>]n determining whether an executive's salary is reasonable compared to salaries paid to other company executives, the comparison must, at the minimum, be based on a showing of similar duties</w:t>
      </w:r>
      <w:r w:rsidRPr="00830B53">
        <w:t>,</w:t>
      </w:r>
      <w:r>
        <w:t xml:space="preserve"> activities, and responsibilities in the person receiving the salary."</w:t>
      </w:r>
      <w:r>
        <w:rPr>
          <w:rStyle w:val="FootnoteReference"/>
        </w:rPr>
        <w:footnoteReference w:id="7"/>
      </w:r>
      <w:r>
        <w:t xml:space="preserve"> </w:t>
      </w:r>
      <w:r>
        <w:rPr>
          <w:rFonts w:cs="Arial"/>
          <w:bCs/>
          <w:kern w:val="32"/>
          <w:szCs w:val="32"/>
        </w:rPr>
        <w:t>Staff indexed this amount through 2015 ($14.86*1.072039 = $15.93)</w:t>
      </w:r>
      <w:r>
        <w:rPr>
          <w:rStyle w:val="FootnoteReference"/>
          <w:rFonts w:cs="Arial"/>
          <w:bCs/>
          <w:kern w:val="32"/>
          <w:szCs w:val="32"/>
        </w:rPr>
        <w:footnoteReference w:id="8"/>
      </w:r>
      <w:r>
        <w:rPr>
          <w:rFonts w:cs="Arial"/>
          <w:bCs/>
          <w:kern w:val="32"/>
          <w:szCs w:val="32"/>
        </w:rPr>
        <w:t xml:space="preserve"> and allowed 260 hours annually. Therefore, staff has included an annual salary of $4,142 (260*$15.93) for the President. </w:t>
      </w:r>
      <w:r w:rsidR="008E6548">
        <w:rPr>
          <w:rFonts w:cs="Arial"/>
          <w:bCs/>
          <w:kern w:val="32"/>
          <w:szCs w:val="32"/>
        </w:rPr>
        <w:t>However</w:t>
      </w:r>
      <w:r>
        <w:rPr>
          <w:rFonts w:cs="Arial"/>
          <w:bCs/>
          <w:kern w:val="32"/>
          <w:szCs w:val="32"/>
        </w:rPr>
        <w:t xml:space="preserve">, based on staff’s recommendation of unsatisfactory quality of service in Issue </w:t>
      </w:r>
      <w:r w:rsidR="00235A61">
        <w:rPr>
          <w:rFonts w:cs="Arial"/>
          <w:bCs/>
          <w:kern w:val="32"/>
          <w:szCs w:val="32"/>
        </w:rPr>
        <w:t>1</w:t>
      </w:r>
      <w:r>
        <w:rPr>
          <w:rFonts w:cs="Arial"/>
          <w:bCs/>
          <w:kern w:val="32"/>
          <w:szCs w:val="32"/>
        </w:rPr>
        <w:t xml:space="preserve">, we are reducing the amount of this salary by 25 percent or $1,036 ($4,142*.25). This </w:t>
      </w:r>
      <w:r w:rsidR="00235A61">
        <w:rPr>
          <w:rFonts w:cs="Arial"/>
          <w:bCs/>
          <w:kern w:val="32"/>
          <w:szCs w:val="32"/>
        </w:rPr>
        <w:t xml:space="preserve">reduction </w:t>
      </w:r>
      <w:r>
        <w:rPr>
          <w:rFonts w:cs="Arial"/>
          <w:bCs/>
          <w:kern w:val="32"/>
          <w:szCs w:val="32"/>
        </w:rPr>
        <w:t>results in a recommended salary for the president of $3,106</w:t>
      </w:r>
      <w:r w:rsidR="00EF1E80">
        <w:rPr>
          <w:rFonts w:cs="Arial"/>
          <w:bCs/>
          <w:kern w:val="32"/>
          <w:szCs w:val="32"/>
        </w:rPr>
        <w:t xml:space="preserve"> ($4,142-$1,036)</w:t>
      </w:r>
      <w:r>
        <w:rPr>
          <w:rFonts w:cs="Arial"/>
          <w:bCs/>
          <w:kern w:val="32"/>
          <w:szCs w:val="32"/>
        </w:rPr>
        <w:t>. Staff is recommending a total amo</w:t>
      </w:r>
      <w:r w:rsidR="00EF1E80">
        <w:rPr>
          <w:rFonts w:cs="Arial"/>
          <w:bCs/>
          <w:kern w:val="32"/>
          <w:szCs w:val="32"/>
        </w:rPr>
        <w:t>unt of $4,456 ($1,350+$</w:t>
      </w:r>
      <w:r>
        <w:rPr>
          <w:rFonts w:cs="Arial"/>
          <w:bCs/>
          <w:kern w:val="32"/>
          <w:szCs w:val="32"/>
        </w:rPr>
        <w:t>3</w:t>
      </w:r>
      <w:r w:rsidR="00EF1E80">
        <w:rPr>
          <w:rFonts w:cs="Arial"/>
          <w:bCs/>
          <w:kern w:val="32"/>
          <w:szCs w:val="32"/>
        </w:rPr>
        <w:t>,10</w:t>
      </w:r>
      <w:r>
        <w:rPr>
          <w:rFonts w:cs="Arial"/>
          <w:bCs/>
          <w:kern w:val="32"/>
          <w:szCs w:val="32"/>
        </w:rPr>
        <w:t>6) for Salaries and Wages – Officers expense.</w:t>
      </w:r>
    </w:p>
    <w:p w:rsidR="00F970C7" w:rsidRDefault="00F970C7" w:rsidP="00F970C7">
      <w:pPr>
        <w:jc w:val="both"/>
        <w:outlineLvl w:val="0"/>
        <w:rPr>
          <w:rFonts w:cs="Arial"/>
          <w:bCs/>
          <w:kern w:val="32"/>
          <w:szCs w:val="32"/>
        </w:rPr>
      </w:pPr>
    </w:p>
    <w:p w:rsidR="00F970C7" w:rsidRPr="009D5E85" w:rsidRDefault="00F970C7" w:rsidP="00F970C7">
      <w:pPr>
        <w:ind w:firstLine="720"/>
        <w:jc w:val="both"/>
        <w:outlineLvl w:val="0"/>
        <w:rPr>
          <w:rFonts w:ascii="Arial" w:hAnsi="Arial" w:cs="Arial"/>
          <w:bCs/>
          <w:i/>
          <w:kern w:val="32"/>
          <w:szCs w:val="32"/>
        </w:rPr>
      </w:pPr>
      <w:r w:rsidRPr="009D5E85">
        <w:rPr>
          <w:rFonts w:ascii="Arial" w:hAnsi="Arial" w:cs="Arial"/>
          <w:b/>
          <w:bCs/>
          <w:i/>
          <w:kern w:val="32"/>
          <w:szCs w:val="32"/>
        </w:rPr>
        <w:t>Purchased Power (615)</w:t>
      </w:r>
      <w:r w:rsidRPr="009D5E85">
        <w:rPr>
          <w:rFonts w:ascii="Arial" w:hAnsi="Arial" w:cs="Arial"/>
          <w:bCs/>
          <w:i/>
          <w:kern w:val="32"/>
          <w:szCs w:val="32"/>
        </w:rPr>
        <w:t xml:space="preserve"> </w:t>
      </w:r>
    </w:p>
    <w:p w:rsidR="00F970C7" w:rsidRDefault="00F970C7" w:rsidP="00F970C7">
      <w:pPr>
        <w:jc w:val="both"/>
        <w:outlineLvl w:val="0"/>
        <w:rPr>
          <w:rFonts w:cs="Arial"/>
          <w:bCs/>
          <w:kern w:val="32"/>
          <w:szCs w:val="32"/>
        </w:rPr>
      </w:pPr>
      <w:r>
        <w:rPr>
          <w:rFonts w:cs="Arial"/>
          <w:bCs/>
          <w:kern w:val="32"/>
          <w:szCs w:val="32"/>
        </w:rPr>
        <w:t>The utility recorded $3,449 for purchased power. Staff decreased this account by $226 for non-utility expenses related to a lighted sign for the subdivision. The utility also recorded charges for an electric meter that runs a pump at a well site that is no longer in use. The total for that meter was $148. Therefore, staff decreased this account by $374 ($226+$148) to reflect the appropriate amount for purchased power.</w:t>
      </w:r>
    </w:p>
    <w:p w:rsidR="00F970C7" w:rsidRDefault="00F970C7" w:rsidP="00F970C7">
      <w:pPr>
        <w:jc w:val="both"/>
        <w:outlineLvl w:val="0"/>
        <w:rPr>
          <w:rFonts w:cs="Arial"/>
          <w:bCs/>
          <w:kern w:val="32"/>
          <w:szCs w:val="32"/>
        </w:rPr>
      </w:pPr>
    </w:p>
    <w:p w:rsidR="00F970C7" w:rsidRPr="009D5E85" w:rsidRDefault="00F970C7" w:rsidP="00F970C7">
      <w:pPr>
        <w:ind w:firstLine="720"/>
        <w:jc w:val="both"/>
        <w:outlineLvl w:val="0"/>
        <w:rPr>
          <w:rFonts w:ascii="Arial" w:hAnsi="Arial" w:cs="Arial"/>
          <w:b/>
          <w:bCs/>
          <w:i/>
          <w:kern w:val="32"/>
          <w:szCs w:val="32"/>
        </w:rPr>
      </w:pPr>
      <w:r w:rsidRPr="009D5E85">
        <w:rPr>
          <w:rFonts w:ascii="Arial" w:hAnsi="Arial" w:cs="Arial"/>
          <w:b/>
          <w:bCs/>
          <w:i/>
          <w:kern w:val="32"/>
          <w:szCs w:val="32"/>
        </w:rPr>
        <w:t>Contractual Service – Professional (631)</w:t>
      </w:r>
    </w:p>
    <w:p w:rsidR="00F970C7" w:rsidRDefault="00F970C7" w:rsidP="00F970C7">
      <w:pPr>
        <w:jc w:val="both"/>
        <w:outlineLvl w:val="0"/>
        <w:rPr>
          <w:rFonts w:cs="Courier New"/>
          <w:bCs/>
          <w:kern w:val="32"/>
          <w:szCs w:val="32"/>
        </w:rPr>
      </w:pPr>
      <w:r w:rsidRPr="002343B6">
        <w:rPr>
          <w:rFonts w:cs="Courier New"/>
          <w:bCs/>
          <w:kern w:val="32"/>
          <w:szCs w:val="32"/>
        </w:rPr>
        <w:t xml:space="preserve">The utility recorded $15,967 in this account. Staff reduced this account by $3,488 for temporary office help. Staff also removed $985 for income tax preparation related to 2012 Income Taxes. Additionally, staff removed $2,855 ($2,100+$425+$330) related to Annual Report preparation that is non-recurring. </w:t>
      </w:r>
      <w:r w:rsidR="00223036">
        <w:rPr>
          <w:rFonts w:cs="Courier New"/>
          <w:bCs/>
          <w:kern w:val="32"/>
          <w:szCs w:val="32"/>
        </w:rPr>
        <w:t xml:space="preserve">However, </w:t>
      </w:r>
      <w:r w:rsidR="00687583">
        <w:rPr>
          <w:rFonts w:cs="Courier New"/>
          <w:bCs/>
          <w:kern w:val="32"/>
          <w:szCs w:val="32"/>
        </w:rPr>
        <w:t xml:space="preserve">staff believes </w:t>
      </w:r>
      <w:r w:rsidR="00223036">
        <w:rPr>
          <w:rFonts w:cs="Courier New"/>
          <w:bCs/>
          <w:kern w:val="32"/>
          <w:szCs w:val="32"/>
        </w:rPr>
        <w:t xml:space="preserve">these </w:t>
      </w:r>
      <w:r w:rsidR="00687583">
        <w:rPr>
          <w:rFonts w:cs="Courier New"/>
          <w:bCs/>
          <w:kern w:val="32"/>
          <w:szCs w:val="32"/>
        </w:rPr>
        <w:t xml:space="preserve">services were prudent and necessary due to the poor condition of the utility’s books and records. </w:t>
      </w:r>
      <w:r w:rsidRPr="002343B6">
        <w:rPr>
          <w:rFonts w:cs="Courier New"/>
          <w:bCs/>
          <w:kern w:val="32"/>
          <w:szCs w:val="32"/>
        </w:rPr>
        <w:t>Consistent with Commission practice, staff is recommending amortizing these amounts over five years. This results in an increase to this account of $1,466 [($3,488+$2,855+$985</w:t>
      </w:r>
      <w:proofErr w:type="gramStart"/>
      <w:r w:rsidRPr="002343B6">
        <w:rPr>
          <w:rFonts w:cs="Courier New"/>
          <w:bCs/>
          <w:kern w:val="32"/>
          <w:szCs w:val="32"/>
        </w:rPr>
        <w:t>)</w:t>
      </w:r>
      <w:r w:rsidRPr="002343B6">
        <w:rPr>
          <w:bCs/>
          <w:kern w:val="32"/>
          <w:szCs w:val="32"/>
        </w:rPr>
        <w:t>÷</w:t>
      </w:r>
      <w:proofErr w:type="gramEnd"/>
      <w:r w:rsidRPr="002343B6">
        <w:rPr>
          <w:rFonts w:cs="Courier New"/>
          <w:bCs/>
          <w:kern w:val="32"/>
          <w:szCs w:val="32"/>
        </w:rPr>
        <w:t>5].</w:t>
      </w:r>
    </w:p>
    <w:p w:rsidR="00F970C7" w:rsidRDefault="00F970C7" w:rsidP="00F970C7">
      <w:pPr>
        <w:jc w:val="both"/>
        <w:outlineLvl w:val="0"/>
        <w:rPr>
          <w:rFonts w:cs="Courier New"/>
          <w:bCs/>
          <w:kern w:val="32"/>
          <w:szCs w:val="32"/>
        </w:rPr>
      </w:pPr>
      <w:r>
        <w:rPr>
          <w:rFonts w:cs="Courier New"/>
          <w:bCs/>
          <w:kern w:val="32"/>
          <w:szCs w:val="32"/>
        </w:rPr>
        <w:t xml:space="preserve"> </w:t>
      </w:r>
    </w:p>
    <w:p w:rsidR="00F970C7" w:rsidRDefault="004F5E1B" w:rsidP="008B7D7A">
      <w:pPr>
        <w:jc w:val="both"/>
      </w:pPr>
      <w:r w:rsidRPr="00EF1E80">
        <w:t>The u</w:t>
      </w:r>
      <w:r w:rsidR="008B7D7A" w:rsidRPr="00EF1E80">
        <w:t xml:space="preserve">tility was found to have </w:t>
      </w:r>
      <w:r w:rsidR="00E90AF4" w:rsidRPr="00EF1E80">
        <w:t>approximately</w:t>
      </w:r>
      <w:r w:rsidR="008B7D7A" w:rsidRPr="00EF1E80">
        <w:t xml:space="preserve"> 30 meters that require</w:t>
      </w:r>
      <w:r w:rsidRPr="00EF1E80">
        <w:t xml:space="preserve"> immediate </w:t>
      </w:r>
      <w:r w:rsidR="008B7D7A" w:rsidRPr="00EF1E80">
        <w:t xml:space="preserve">replacement. Staff recommends the implementation of a meter replacement program. The meters will </w:t>
      </w:r>
      <w:proofErr w:type="gramStart"/>
      <w:r w:rsidR="008B7D7A" w:rsidRPr="00EF1E80">
        <w:t>cost  $</w:t>
      </w:r>
      <w:proofErr w:type="gramEnd"/>
      <w:r w:rsidR="008B7D7A" w:rsidRPr="00EF1E80">
        <w:t xml:space="preserve">180/meter to replace. The </w:t>
      </w:r>
      <w:r w:rsidRPr="00EF1E80">
        <w:t>u</w:t>
      </w:r>
      <w:r w:rsidR="008B7D7A" w:rsidRPr="00EF1E80">
        <w:t>tility will replace 32 meters a year for a total of 320 meters in ten years. Staff recommends that funds for the meter replacement program need to be collected in an escrow account at the rate of $5,760 a year</w:t>
      </w:r>
      <w:r w:rsidR="00E90AF4" w:rsidRPr="00EF1E80">
        <w:t xml:space="preserve">. </w:t>
      </w:r>
      <w:r w:rsidR="008B7D7A" w:rsidRPr="00EF1E80">
        <w:t xml:space="preserve">Staff believes the implementation of such an escrow </w:t>
      </w:r>
      <w:r w:rsidR="008B7D7A" w:rsidRPr="00EF1E80">
        <w:lastRenderedPageBreak/>
        <w:t xml:space="preserve">program will provide extra protections to the customers and ensure the completion of the meter replacement program by the </w:t>
      </w:r>
      <w:r w:rsidR="00BA4FA0" w:rsidRPr="00EF1E80">
        <w:t>u</w:t>
      </w:r>
      <w:r w:rsidR="008B7D7A" w:rsidRPr="00EF1E80">
        <w:t>tility.</w:t>
      </w:r>
      <w:r w:rsidR="008B7D7A">
        <w:t xml:space="preserve"> </w:t>
      </w:r>
    </w:p>
    <w:p w:rsidR="00235A61" w:rsidRDefault="00235A61" w:rsidP="00F970C7">
      <w:pPr>
        <w:jc w:val="both"/>
        <w:outlineLvl w:val="0"/>
        <w:rPr>
          <w:rFonts w:cs="Courier New"/>
          <w:bCs/>
          <w:kern w:val="32"/>
          <w:szCs w:val="32"/>
        </w:rPr>
      </w:pPr>
    </w:p>
    <w:p w:rsidR="002343B6" w:rsidRDefault="002343B6" w:rsidP="00F970C7">
      <w:pPr>
        <w:jc w:val="both"/>
        <w:outlineLvl w:val="0"/>
        <w:rPr>
          <w:rFonts w:cs="Courier New"/>
          <w:bCs/>
          <w:kern w:val="32"/>
          <w:szCs w:val="32"/>
        </w:rPr>
      </w:pPr>
      <w:r>
        <w:rPr>
          <w:rFonts w:cs="Courier New"/>
          <w:bCs/>
          <w:kern w:val="32"/>
          <w:szCs w:val="32"/>
        </w:rPr>
        <w:t>Therefore, staff is recommending a total amount of $15,865</w:t>
      </w:r>
      <w:r w:rsidR="00324850">
        <w:rPr>
          <w:rFonts w:cs="Courier New"/>
          <w:bCs/>
          <w:kern w:val="32"/>
          <w:szCs w:val="32"/>
        </w:rPr>
        <w:t xml:space="preserve"> ($15,967-$3,488-$985-$2,855+$1,466+$5,760)</w:t>
      </w:r>
      <w:r>
        <w:rPr>
          <w:rFonts w:cs="Courier New"/>
          <w:bCs/>
          <w:kern w:val="32"/>
          <w:szCs w:val="32"/>
        </w:rPr>
        <w:t xml:space="preserve"> for Contractual Services-Professional</w:t>
      </w:r>
      <w:r w:rsidR="007511F8">
        <w:rPr>
          <w:rFonts w:cs="Courier New"/>
          <w:bCs/>
          <w:kern w:val="32"/>
          <w:szCs w:val="32"/>
        </w:rPr>
        <w:t xml:space="preserve">. </w:t>
      </w:r>
      <w:r>
        <w:rPr>
          <w:rFonts w:cs="Courier New"/>
          <w:bCs/>
          <w:kern w:val="32"/>
          <w:szCs w:val="32"/>
        </w:rPr>
        <w:t>This r</w:t>
      </w:r>
      <w:r w:rsidR="00F02BAD">
        <w:rPr>
          <w:rFonts w:cs="Courier New"/>
          <w:bCs/>
          <w:kern w:val="32"/>
          <w:szCs w:val="32"/>
        </w:rPr>
        <w:t>epresents a reduction of $102 (</w:t>
      </w:r>
      <w:r w:rsidR="00324850">
        <w:rPr>
          <w:rFonts w:cs="Courier New"/>
          <w:bCs/>
          <w:kern w:val="32"/>
          <w:szCs w:val="32"/>
        </w:rPr>
        <w:t>$15,967-$15,865)</w:t>
      </w:r>
      <w:r>
        <w:rPr>
          <w:rFonts w:cs="Courier New"/>
          <w:bCs/>
          <w:kern w:val="32"/>
          <w:szCs w:val="32"/>
        </w:rPr>
        <w:t xml:space="preserve">. </w:t>
      </w:r>
    </w:p>
    <w:p w:rsidR="002343B6" w:rsidRDefault="002343B6" w:rsidP="00F970C7">
      <w:pPr>
        <w:jc w:val="both"/>
        <w:outlineLvl w:val="0"/>
        <w:rPr>
          <w:rFonts w:cs="Courier New"/>
          <w:bCs/>
          <w:kern w:val="32"/>
          <w:szCs w:val="32"/>
        </w:rPr>
      </w:pPr>
    </w:p>
    <w:p w:rsidR="00F970C7" w:rsidRPr="009D5E85" w:rsidRDefault="00F970C7" w:rsidP="00F970C7">
      <w:pPr>
        <w:ind w:firstLine="720"/>
        <w:jc w:val="both"/>
        <w:outlineLvl w:val="0"/>
        <w:rPr>
          <w:rFonts w:ascii="Arial" w:hAnsi="Arial" w:cs="Arial"/>
          <w:b/>
          <w:bCs/>
          <w:i/>
          <w:kern w:val="32"/>
          <w:szCs w:val="32"/>
        </w:rPr>
      </w:pPr>
      <w:r w:rsidRPr="009D5E85">
        <w:rPr>
          <w:rFonts w:ascii="Arial" w:hAnsi="Arial" w:cs="Arial"/>
          <w:b/>
          <w:bCs/>
          <w:i/>
          <w:kern w:val="32"/>
          <w:szCs w:val="32"/>
        </w:rPr>
        <w:t>Contractual Service – Testing (635)</w:t>
      </w:r>
    </w:p>
    <w:p w:rsidR="00F970C7" w:rsidRDefault="00F970C7" w:rsidP="00F970C7">
      <w:pPr>
        <w:jc w:val="both"/>
        <w:outlineLvl w:val="0"/>
        <w:rPr>
          <w:rFonts w:cs="Arial"/>
          <w:bCs/>
          <w:kern w:val="32"/>
          <w:szCs w:val="32"/>
        </w:rPr>
      </w:pPr>
      <w:r>
        <w:rPr>
          <w:rFonts w:cs="Courier New"/>
          <w:bCs/>
          <w:kern w:val="32"/>
          <w:szCs w:val="32"/>
        </w:rPr>
        <w:t>Cedar Acres recorded $2,866 for Contractual Services – Testing. The utility provided invoices to support the testing costs for the test year. S</w:t>
      </w:r>
      <w:r>
        <w:rPr>
          <w:rFonts w:cs="Arial"/>
          <w:bCs/>
          <w:kern w:val="32"/>
          <w:szCs w:val="32"/>
        </w:rPr>
        <w:t xml:space="preserve">taff has decreased this account by $595 to reflect an invoice that was paid twice. Staff has increased this </w:t>
      </w:r>
      <w:r w:rsidR="00CD1395">
        <w:rPr>
          <w:rFonts w:cs="Arial"/>
          <w:bCs/>
          <w:kern w:val="32"/>
          <w:szCs w:val="32"/>
        </w:rPr>
        <w:t xml:space="preserve">account </w:t>
      </w:r>
      <w:r>
        <w:rPr>
          <w:rFonts w:cs="Arial"/>
          <w:bCs/>
          <w:kern w:val="32"/>
          <w:szCs w:val="32"/>
        </w:rPr>
        <w:t>by $885 to reflec</w:t>
      </w:r>
      <w:r w:rsidR="00EF1E80">
        <w:rPr>
          <w:rFonts w:cs="Arial"/>
          <w:bCs/>
          <w:kern w:val="32"/>
          <w:szCs w:val="32"/>
        </w:rPr>
        <w:t xml:space="preserve">t a three-year amortization of </w:t>
      </w:r>
      <w:r>
        <w:rPr>
          <w:rFonts w:cs="Arial"/>
          <w:bCs/>
          <w:kern w:val="32"/>
          <w:szCs w:val="32"/>
        </w:rPr>
        <w:t>DEP tri-annual testing ($2,655</w:t>
      </w:r>
      <w:r>
        <w:rPr>
          <w:bCs/>
          <w:kern w:val="32"/>
          <w:szCs w:val="32"/>
        </w:rPr>
        <w:t>÷</w:t>
      </w:r>
      <w:r>
        <w:rPr>
          <w:rFonts w:cs="Arial"/>
          <w:bCs/>
          <w:kern w:val="32"/>
          <w:szCs w:val="32"/>
        </w:rPr>
        <w:t>3). Therefore, staff recommends Contractual Services – Testing expense of $3,156 ($2,866-$595+$885).</w:t>
      </w:r>
    </w:p>
    <w:p w:rsidR="00F970C7" w:rsidRDefault="00F970C7" w:rsidP="00F970C7">
      <w:pPr>
        <w:jc w:val="both"/>
        <w:outlineLvl w:val="0"/>
        <w:rPr>
          <w:rFonts w:cs="Arial"/>
          <w:bCs/>
          <w:kern w:val="32"/>
          <w:szCs w:val="32"/>
        </w:rPr>
      </w:pPr>
    </w:p>
    <w:p w:rsidR="00F970C7" w:rsidRPr="009D5E85" w:rsidRDefault="00F970C7" w:rsidP="00F970C7">
      <w:pPr>
        <w:ind w:firstLine="720"/>
        <w:jc w:val="both"/>
        <w:outlineLvl w:val="0"/>
        <w:rPr>
          <w:rFonts w:ascii="Arial" w:hAnsi="Arial" w:cs="Arial"/>
          <w:b/>
          <w:bCs/>
          <w:i/>
          <w:kern w:val="32"/>
          <w:szCs w:val="32"/>
        </w:rPr>
      </w:pPr>
      <w:r w:rsidRPr="009D5E85">
        <w:rPr>
          <w:rFonts w:ascii="Arial" w:hAnsi="Arial" w:cs="Arial"/>
          <w:b/>
          <w:bCs/>
          <w:i/>
          <w:kern w:val="32"/>
          <w:szCs w:val="32"/>
        </w:rPr>
        <w:t>Rents (640)</w:t>
      </w:r>
    </w:p>
    <w:p w:rsidR="00F970C7" w:rsidRDefault="00F970C7" w:rsidP="00F970C7">
      <w:pPr>
        <w:jc w:val="both"/>
        <w:outlineLvl w:val="0"/>
        <w:rPr>
          <w:rFonts w:cs="Arial"/>
          <w:bCs/>
          <w:kern w:val="32"/>
          <w:szCs w:val="32"/>
        </w:rPr>
      </w:pPr>
      <w:r>
        <w:rPr>
          <w:rFonts w:cs="Arial"/>
          <w:bCs/>
          <w:kern w:val="32"/>
          <w:szCs w:val="32"/>
        </w:rPr>
        <w:t>The utility recorded no rent expense in the test year. However, Cedar Acres shares office space with J.S.R. Company, a related party. According to the staff audit report, Cedar Acres uses approximately 25 percent of the total office space. The total monthly rent is $3,048 resulting in the utility’s monthly rent expense of $762 ($3,048*.25). Therefore, staff is recommending an annual allowance for rent expense in the amount of $9,144 ($762*12).</w:t>
      </w:r>
    </w:p>
    <w:p w:rsidR="00F970C7" w:rsidRDefault="00F970C7" w:rsidP="00F970C7">
      <w:pPr>
        <w:jc w:val="both"/>
        <w:outlineLvl w:val="0"/>
        <w:rPr>
          <w:rFonts w:cs="Arial"/>
          <w:bCs/>
          <w:kern w:val="32"/>
          <w:szCs w:val="32"/>
        </w:rPr>
      </w:pPr>
    </w:p>
    <w:p w:rsidR="00F970C7" w:rsidRPr="009D5E85" w:rsidRDefault="00F970C7" w:rsidP="00F970C7">
      <w:pPr>
        <w:ind w:firstLine="720"/>
        <w:jc w:val="both"/>
        <w:outlineLvl w:val="0"/>
        <w:rPr>
          <w:rFonts w:ascii="Arial" w:hAnsi="Arial" w:cs="Arial"/>
          <w:b/>
          <w:bCs/>
          <w:i/>
          <w:kern w:val="32"/>
          <w:szCs w:val="32"/>
        </w:rPr>
      </w:pPr>
      <w:r w:rsidRPr="009D5E85">
        <w:rPr>
          <w:rFonts w:ascii="Arial" w:hAnsi="Arial" w:cs="Arial"/>
          <w:b/>
          <w:bCs/>
          <w:i/>
          <w:kern w:val="32"/>
          <w:szCs w:val="32"/>
        </w:rPr>
        <w:t>Regulatory Commission Expense (665)</w:t>
      </w:r>
    </w:p>
    <w:p w:rsidR="00F970C7" w:rsidRDefault="00F970C7" w:rsidP="004C4FFD">
      <w:pPr>
        <w:jc w:val="both"/>
        <w:outlineLvl w:val="0"/>
        <w:rPr>
          <w:rFonts w:cs="Arial"/>
          <w:bCs/>
          <w:kern w:val="32"/>
          <w:szCs w:val="32"/>
        </w:rPr>
      </w:pPr>
      <w:r>
        <w:rPr>
          <w:rFonts w:cs="Courier New"/>
          <w:bCs/>
          <w:kern w:val="32"/>
          <w:szCs w:val="32"/>
        </w:rPr>
        <w:t xml:space="preserve">Cedar Acres did not record any regulatory commission expenses. </w:t>
      </w:r>
      <w:r>
        <w:rPr>
          <w:rFonts w:cs="Arial"/>
          <w:bCs/>
          <w:kern w:val="32"/>
          <w:szCs w:val="32"/>
        </w:rPr>
        <w:t>By Rule 25-22.0407, F.A.C., the utility is required to mail notices of the customer meeting and notices of final rates in this case to its customers. Notices for the customer meeting were included in the customer’s bills. Therefore, the only expense associated with the customer meeting notice was $128 for copies.</w:t>
      </w:r>
      <w:r w:rsidR="004C4FFD">
        <w:rPr>
          <w:rFonts w:cs="Arial"/>
          <w:bCs/>
          <w:kern w:val="32"/>
          <w:szCs w:val="32"/>
        </w:rPr>
        <w:t xml:space="preserve"> </w:t>
      </w:r>
      <w:r>
        <w:rPr>
          <w:rFonts w:cs="Arial"/>
          <w:bCs/>
          <w:kern w:val="32"/>
          <w:szCs w:val="32"/>
        </w:rPr>
        <w:t>For the notice of final rates, staff has estimated $156 for postage expense, $64 for printing expense, and $16 for envelopes. These amounts result in $364 ($128+$156+$64+$16) for postage, copying, and envelopes. Additionally, the utility paid a $1,000 rate case filing fee. Based on the above, staff recommends that total rate case expense is $1,364 which</w:t>
      </w:r>
      <w:r w:rsidR="00744A77">
        <w:rPr>
          <w:rFonts w:cs="Arial"/>
          <w:bCs/>
          <w:kern w:val="32"/>
          <w:szCs w:val="32"/>
        </w:rPr>
        <w:t>,</w:t>
      </w:r>
      <w:r>
        <w:rPr>
          <w:rFonts w:cs="Arial"/>
          <w:bCs/>
          <w:kern w:val="32"/>
          <w:szCs w:val="32"/>
        </w:rPr>
        <w:t xml:space="preserve"> amortized over four years is $341 annually.</w:t>
      </w:r>
    </w:p>
    <w:p w:rsidR="00F970C7" w:rsidRDefault="00F970C7" w:rsidP="00F970C7">
      <w:pPr>
        <w:jc w:val="both"/>
        <w:outlineLvl w:val="0"/>
        <w:rPr>
          <w:rFonts w:cs="Arial"/>
          <w:bCs/>
          <w:kern w:val="32"/>
          <w:szCs w:val="32"/>
        </w:rPr>
      </w:pPr>
    </w:p>
    <w:p w:rsidR="00F970C7" w:rsidRPr="009D5E85" w:rsidRDefault="00F970C7" w:rsidP="00F970C7">
      <w:pPr>
        <w:ind w:firstLine="720"/>
        <w:jc w:val="both"/>
        <w:outlineLvl w:val="0"/>
        <w:rPr>
          <w:rFonts w:ascii="Arial" w:hAnsi="Arial" w:cs="Arial"/>
          <w:b/>
          <w:bCs/>
          <w:i/>
          <w:kern w:val="32"/>
          <w:szCs w:val="32"/>
        </w:rPr>
      </w:pPr>
      <w:r w:rsidRPr="009D5E85">
        <w:rPr>
          <w:rFonts w:ascii="Arial" w:hAnsi="Arial" w:cs="Arial"/>
          <w:b/>
          <w:bCs/>
          <w:i/>
          <w:kern w:val="32"/>
          <w:szCs w:val="32"/>
        </w:rPr>
        <w:t xml:space="preserve">Miscellaneous Expense (675) </w:t>
      </w:r>
    </w:p>
    <w:p w:rsidR="00F970C7" w:rsidRDefault="00F970C7" w:rsidP="00F970C7">
      <w:pPr>
        <w:jc w:val="both"/>
        <w:outlineLvl w:val="0"/>
        <w:rPr>
          <w:rFonts w:cs="Courier New"/>
          <w:bCs/>
          <w:kern w:val="32"/>
          <w:szCs w:val="32"/>
        </w:rPr>
      </w:pPr>
      <w:r>
        <w:rPr>
          <w:rFonts w:cs="Courier New"/>
          <w:bCs/>
          <w:kern w:val="32"/>
          <w:szCs w:val="32"/>
        </w:rPr>
        <w:t>Cedar Acres recorde</w:t>
      </w:r>
      <w:r w:rsidRPr="00C02934">
        <w:rPr>
          <w:rFonts w:cs="Courier New"/>
          <w:bCs/>
          <w:kern w:val="32"/>
          <w:szCs w:val="32"/>
        </w:rPr>
        <w:t xml:space="preserve">d $5,021 </w:t>
      </w:r>
      <w:r>
        <w:rPr>
          <w:rFonts w:cs="Courier New"/>
          <w:bCs/>
          <w:kern w:val="32"/>
          <w:szCs w:val="32"/>
        </w:rPr>
        <w:t>for miscellaneous expense.</w:t>
      </w:r>
      <w:r w:rsidRPr="00C02934">
        <w:rPr>
          <w:rFonts w:cs="Courier New"/>
          <w:bCs/>
          <w:kern w:val="32"/>
          <w:szCs w:val="32"/>
        </w:rPr>
        <w:t xml:space="preserve"> Th</w:t>
      </w:r>
      <w:r>
        <w:rPr>
          <w:rFonts w:cs="Courier New"/>
          <w:bCs/>
          <w:kern w:val="32"/>
          <w:szCs w:val="32"/>
        </w:rPr>
        <w:t>is account</w:t>
      </w:r>
      <w:r w:rsidRPr="00C02934">
        <w:rPr>
          <w:rFonts w:cs="Courier New"/>
          <w:bCs/>
          <w:kern w:val="32"/>
          <w:szCs w:val="32"/>
        </w:rPr>
        <w:t xml:space="preserve"> includes lawn care and maintenance, telephone, licenses and fees, along with other incidentals. Staff removed $18 from this account to reflect an u</w:t>
      </w:r>
      <w:r>
        <w:rPr>
          <w:rFonts w:cs="Courier New"/>
          <w:bCs/>
          <w:kern w:val="32"/>
          <w:szCs w:val="32"/>
        </w:rPr>
        <w:t>nsupported amount.</w:t>
      </w:r>
    </w:p>
    <w:p w:rsidR="00F970C7" w:rsidRDefault="00F970C7" w:rsidP="00F970C7">
      <w:pPr>
        <w:jc w:val="both"/>
        <w:outlineLvl w:val="0"/>
        <w:rPr>
          <w:rFonts w:cs="Courier New"/>
          <w:bCs/>
          <w:kern w:val="32"/>
          <w:szCs w:val="32"/>
        </w:rPr>
      </w:pPr>
    </w:p>
    <w:p w:rsidR="00F970C7" w:rsidRDefault="00F970C7" w:rsidP="00F970C7">
      <w:pPr>
        <w:jc w:val="both"/>
        <w:outlineLvl w:val="0"/>
        <w:rPr>
          <w:rFonts w:cs="Courier New"/>
          <w:bCs/>
          <w:kern w:val="32"/>
          <w:szCs w:val="32"/>
        </w:rPr>
      </w:pPr>
      <w:r>
        <w:rPr>
          <w:rFonts w:cs="Courier New"/>
          <w:bCs/>
          <w:kern w:val="32"/>
          <w:szCs w:val="32"/>
        </w:rPr>
        <w:t xml:space="preserve">The utility recorded $1,950 for lawn maintenance during the test year. Staff is recommending two adjustments </w:t>
      </w:r>
      <w:r w:rsidR="00235A61">
        <w:rPr>
          <w:rFonts w:cs="Courier New"/>
          <w:bCs/>
          <w:kern w:val="32"/>
          <w:szCs w:val="32"/>
        </w:rPr>
        <w:t>associated with lawn maintenance</w:t>
      </w:r>
      <w:r>
        <w:rPr>
          <w:rFonts w:cs="Courier New"/>
          <w:bCs/>
          <w:kern w:val="32"/>
          <w:szCs w:val="32"/>
        </w:rPr>
        <w:t xml:space="preserve">. The first is a reduction of </w:t>
      </w:r>
      <w:r w:rsidRPr="00C02934">
        <w:rPr>
          <w:rFonts w:cs="Courier New"/>
          <w:bCs/>
          <w:kern w:val="32"/>
          <w:szCs w:val="32"/>
        </w:rPr>
        <w:t>$150 for w</w:t>
      </w:r>
      <w:r>
        <w:rPr>
          <w:rFonts w:cs="Courier New"/>
          <w:bCs/>
          <w:kern w:val="32"/>
          <w:szCs w:val="32"/>
        </w:rPr>
        <w:t xml:space="preserve">ork done on a lot in Oakland Hills that is owned by Cedar Acres, Inc., but is not used for utility business ($1,950-$150=$1,800). The second adjustment is to remove half of the remaining expense for the well site that is no longer being used. Therefore, staff is recommending a further reduction of </w:t>
      </w:r>
      <w:r w:rsidRPr="00C02934">
        <w:rPr>
          <w:rFonts w:cs="Courier New"/>
          <w:bCs/>
          <w:kern w:val="32"/>
          <w:szCs w:val="32"/>
        </w:rPr>
        <w:t>$900 ($1,80</w:t>
      </w:r>
      <w:r>
        <w:rPr>
          <w:rFonts w:cs="Courier New"/>
          <w:bCs/>
          <w:kern w:val="32"/>
          <w:szCs w:val="32"/>
        </w:rPr>
        <w:t>0</w:t>
      </w:r>
      <w:r>
        <w:rPr>
          <w:bCs/>
          <w:kern w:val="32"/>
          <w:szCs w:val="32"/>
        </w:rPr>
        <w:t>÷</w:t>
      </w:r>
      <w:r>
        <w:rPr>
          <w:rFonts w:cs="Courier New"/>
          <w:bCs/>
          <w:kern w:val="32"/>
          <w:szCs w:val="32"/>
        </w:rPr>
        <w:t xml:space="preserve">2) to lawn maintenance expense. </w:t>
      </w:r>
    </w:p>
    <w:p w:rsidR="00F970C7" w:rsidRDefault="00F970C7" w:rsidP="00F970C7">
      <w:pPr>
        <w:jc w:val="both"/>
        <w:outlineLvl w:val="0"/>
        <w:rPr>
          <w:rFonts w:cs="Courier New"/>
          <w:bCs/>
          <w:kern w:val="32"/>
          <w:szCs w:val="32"/>
        </w:rPr>
      </w:pPr>
    </w:p>
    <w:p w:rsidR="00F970C7" w:rsidRDefault="00F970C7" w:rsidP="00F970C7">
      <w:pPr>
        <w:jc w:val="both"/>
        <w:outlineLvl w:val="0"/>
        <w:rPr>
          <w:rFonts w:cs="Courier New"/>
          <w:bCs/>
          <w:kern w:val="32"/>
          <w:szCs w:val="32"/>
        </w:rPr>
      </w:pPr>
      <w:r w:rsidRPr="00113FB2">
        <w:rPr>
          <w:rFonts w:cs="Courier New"/>
          <w:bCs/>
          <w:kern w:val="32"/>
          <w:szCs w:val="32"/>
        </w:rPr>
        <w:t xml:space="preserve">The utility did not record any expenses related to tank maintenance during the test year. However, staff has verified </w:t>
      </w:r>
      <w:r w:rsidR="005B7D84">
        <w:rPr>
          <w:rFonts w:cs="Courier New"/>
          <w:bCs/>
          <w:kern w:val="32"/>
          <w:szCs w:val="32"/>
        </w:rPr>
        <w:t xml:space="preserve">an </w:t>
      </w:r>
      <w:r w:rsidRPr="00113FB2">
        <w:rPr>
          <w:rFonts w:cs="Courier New"/>
          <w:bCs/>
          <w:kern w:val="32"/>
          <w:szCs w:val="32"/>
        </w:rPr>
        <w:t xml:space="preserve">invoice for tank maintenance dated </w:t>
      </w:r>
      <w:r w:rsidR="00113FB2">
        <w:rPr>
          <w:rFonts w:cs="Courier New"/>
          <w:bCs/>
          <w:kern w:val="32"/>
          <w:szCs w:val="32"/>
        </w:rPr>
        <w:t xml:space="preserve">July 21, </w:t>
      </w:r>
      <w:r w:rsidRPr="00113FB2">
        <w:rPr>
          <w:rFonts w:cs="Courier New"/>
          <w:bCs/>
          <w:kern w:val="32"/>
          <w:szCs w:val="32"/>
        </w:rPr>
        <w:t>2015</w:t>
      </w:r>
      <w:r w:rsidR="00744A77">
        <w:rPr>
          <w:rFonts w:cs="Courier New"/>
          <w:bCs/>
          <w:kern w:val="32"/>
          <w:szCs w:val="32"/>
        </w:rPr>
        <w:t>,</w:t>
      </w:r>
      <w:r w:rsidRPr="00113FB2">
        <w:rPr>
          <w:rFonts w:cs="Courier New"/>
          <w:bCs/>
          <w:kern w:val="32"/>
          <w:szCs w:val="32"/>
        </w:rPr>
        <w:t xml:space="preserve"> in the amount </w:t>
      </w:r>
      <w:r w:rsidRPr="00113FB2">
        <w:rPr>
          <w:rFonts w:cs="Courier New"/>
          <w:bCs/>
          <w:kern w:val="32"/>
          <w:szCs w:val="32"/>
        </w:rPr>
        <w:lastRenderedPageBreak/>
        <w:t>of $1,800</w:t>
      </w:r>
      <w:proofErr w:type="gramStart"/>
      <w:r w:rsidR="005B7D84">
        <w:rPr>
          <w:rFonts w:cs="Courier New"/>
          <w:bCs/>
          <w:kern w:val="32"/>
          <w:szCs w:val="32"/>
        </w:rPr>
        <w:t xml:space="preserve">.  </w:t>
      </w:r>
      <w:proofErr w:type="gramEnd"/>
      <w:r w:rsidR="005B7D84">
        <w:rPr>
          <w:rFonts w:cs="Courier New"/>
          <w:bCs/>
          <w:kern w:val="32"/>
          <w:szCs w:val="32"/>
        </w:rPr>
        <w:t>Staff has verified an additional invoice, dated August 12, 2015, for external tank painting in the amount of</w:t>
      </w:r>
      <w:r w:rsidR="00055AA5">
        <w:rPr>
          <w:rFonts w:cs="Courier New"/>
          <w:bCs/>
          <w:kern w:val="32"/>
          <w:szCs w:val="32"/>
        </w:rPr>
        <w:t xml:space="preserve"> $690</w:t>
      </w:r>
      <w:r w:rsidRPr="00113FB2">
        <w:rPr>
          <w:rFonts w:cs="Courier New"/>
          <w:bCs/>
          <w:kern w:val="32"/>
          <w:szCs w:val="32"/>
        </w:rPr>
        <w:t xml:space="preserve">. The utility also performed maintenance on their backup generator and water mains. These amounts were $420 and $1,463, respectively. Consistent with Commission practice of amortizing non-recurring expenses over </w:t>
      </w:r>
      <w:r w:rsidR="00113FB2">
        <w:rPr>
          <w:rFonts w:cs="Courier New"/>
          <w:bCs/>
          <w:kern w:val="32"/>
          <w:szCs w:val="32"/>
        </w:rPr>
        <w:t>five</w:t>
      </w:r>
      <w:r w:rsidRPr="00113FB2">
        <w:rPr>
          <w:rFonts w:cs="Courier New"/>
          <w:bCs/>
          <w:kern w:val="32"/>
          <w:szCs w:val="32"/>
        </w:rPr>
        <w:t xml:space="preserve"> years, staff is including </w:t>
      </w:r>
      <w:r w:rsidR="00113FB2">
        <w:rPr>
          <w:rFonts w:cs="Courier New"/>
          <w:bCs/>
          <w:kern w:val="32"/>
          <w:szCs w:val="32"/>
        </w:rPr>
        <w:t>one-fifth</w:t>
      </w:r>
      <w:r w:rsidRPr="00113FB2">
        <w:rPr>
          <w:rFonts w:cs="Courier New"/>
          <w:bCs/>
          <w:kern w:val="32"/>
          <w:szCs w:val="32"/>
        </w:rPr>
        <w:t>, or $875 [($1,800+$</w:t>
      </w:r>
      <w:r w:rsidR="00055AA5">
        <w:rPr>
          <w:rFonts w:cs="Courier New"/>
          <w:bCs/>
          <w:kern w:val="32"/>
          <w:szCs w:val="32"/>
        </w:rPr>
        <w:t>690+$</w:t>
      </w:r>
      <w:r w:rsidRPr="00113FB2">
        <w:rPr>
          <w:rFonts w:cs="Courier New"/>
          <w:bCs/>
          <w:kern w:val="32"/>
          <w:szCs w:val="32"/>
        </w:rPr>
        <w:t>420+$1,463)</w:t>
      </w:r>
      <w:r w:rsidRPr="00113FB2">
        <w:rPr>
          <w:bCs/>
          <w:kern w:val="32"/>
          <w:szCs w:val="32"/>
        </w:rPr>
        <w:t>÷</w:t>
      </w:r>
      <w:r w:rsidRPr="00113FB2">
        <w:rPr>
          <w:rFonts w:cs="Courier New"/>
          <w:bCs/>
          <w:kern w:val="32"/>
          <w:szCs w:val="32"/>
        </w:rPr>
        <w:t>5], in this account.</w:t>
      </w:r>
    </w:p>
    <w:p w:rsidR="00F970C7" w:rsidRDefault="00F970C7" w:rsidP="00F970C7">
      <w:pPr>
        <w:jc w:val="both"/>
        <w:outlineLvl w:val="0"/>
        <w:rPr>
          <w:rFonts w:cs="Courier New"/>
          <w:bCs/>
          <w:kern w:val="32"/>
          <w:szCs w:val="32"/>
        </w:rPr>
      </w:pPr>
    </w:p>
    <w:p w:rsidR="00F970C7" w:rsidRDefault="00F970C7" w:rsidP="00F970C7">
      <w:pPr>
        <w:jc w:val="both"/>
        <w:outlineLvl w:val="0"/>
        <w:rPr>
          <w:rFonts w:cs="Courier New"/>
          <w:bCs/>
          <w:kern w:val="32"/>
          <w:szCs w:val="32"/>
        </w:rPr>
      </w:pPr>
      <w:r>
        <w:rPr>
          <w:rFonts w:cs="Courier New"/>
          <w:bCs/>
          <w:kern w:val="32"/>
          <w:szCs w:val="32"/>
        </w:rPr>
        <w:t xml:space="preserve">Through a data request, staff learned that </w:t>
      </w:r>
      <w:r w:rsidRPr="00200B86">
        <w:rPr>
          <w:rFonts w:cs="Courier New"/>
          <w:bCs/>
          <w:kern w:val="32"/>
          <w:szCs w:val="32"/>
        </w:rPr>
        <w:t>the utility does not own a computer or printer</w:t>
      </w:r>
      <w:r w:rsidR="00B57E3D" w:rsidRPr="00200B86">
        <w:rPr>
          <w:rFonts w:cs="Courier New"/>
          <w:bCs/>
          <w:kern w:val="32"/>
          <w:szCs w:val="32"/>
        </w:rPr>
        <w:t xml:space="preserve"> but was borrowing one from an associated company in the same office building. Also, the</w:t>
      </w:r>
      <w:r w:rsidRPr="00200B86">
        <w:rPr>
          <w:rFonts w:cs="Courier New"/>
          <w:bCs/>
          <w:kern w:val="32"/>
          <w:szCs w:val="32"/>
        </w:rPr>
        <w:t xml:space="preserve"> software </w:t>
      </w:r>
      <w:r w:rsidR="00B240E4" w:rsidRPr="00200B86">
        <w:rPr>
          <w:rFonts w:cs="Courier New"/>
          <w:bCs/>
          <w:kern w:val="32"/>
          <w:szCs w:val="32"/>
        </w:rPr>
        <w:t xml:space="preserve">it </w:t>
      </w:r>
      <w:r w:rsidR="00AB606D" w:rsidRPr="00200B86">
        <w:rPr>
          <w:rFonts w:cs="Courier New"/>
          <w:bCs/>
          <w:kern w:val="32"/>
          <w:szCs w:val="32"/>
        </w:rPr>
        <w:t>was using</w:t>
      </w:r>
      <w:r w:rsidR="00B57E3D" w:rsidRPr="00200B86">
        <w:rPr>
          <w:rFonts w:cs="Courier New"/>
          <w:bCs/>
          <w:kern w:val="32"/>
          <w:szCs w:val="32"/>
        </w:rPr>
        <w:t xml:space="preserve"> on that computer </w:t>
      </w:r>
      <w:r w:rsidRPr="00200B86">
        <w:rPr>
          <w:rFonts w:cs="Courier New"/>
          <w:bCs/>
          <w:kern w:val="32"/>
          <w:szCs w:val="32"/>
        </w:rPr>
        <w:t>is in need of updating. Norm</w:t>
      </w:r>
      <w:r>
        <w:rPr>
          <w:rFonts w:cs="Courier New"/>
          <w:bCs/>
          <w:kern w:val="32"/>
          <w:szCs w:val="32"/>
        </w:rPr>
        <w:t xml:space="preserve">ally, these items would be capitalized into rate base. Because staff is recommending the Operating Ratio Method in this case, staff recommends expensing these items. Staff is recommending $500 for a computer and $150 for a printer/copier. Both of these items </w:t>
      </w:r>
      <w:r w:rsidR="00235A61">
        <w:rPr>
          <w:rFonts w:cs="Courier New"/>
          <w:bCs/>
          <w:kern w:val="32"/>
          <w:szCs w:val="32"/>
        </w:rPr>
        <w:t>sh</w:t>
      </w:r>
      <w:r>
        <w:rPr>
          <w:rFonts w:cs="Courier New"/>
          <w:bCs/>
          <w:kern w:val="32"/>
          <w:szCs w:val="32"/>
        </w:rPr>
        <w:t>ould be amortized over six years in keeping with Commission depreciation rates. This result</w:t>
      </w:r>
      <w:r w:rsidR="00235A61">
        <w:rPr>
          <w:rFonts w:cs="Courier New"/>
          <w:bCs/>
          <w:kern w:val="32"/>
          <w:szCs w:val="32"/>
        </w:rPr>
        <w:t>s</w:t>
      </w:r>
      <w:r>
        <w:rPr>
          <w:rFonts w:cs="Courier New"/>
          <w:bCs/>
          <w:kern w:val="32"/>
          <w:szCs w:val="32"/>
        </w:rPr>
        <w:t xml:space="preserve"> in an increase o</w:t>
      </w:r>
      <w:r w:rsidRPr="00C02934">
        <w:rPr>
          <w:rFonts w:cs="Courier New"/>
          <w:bCs/>
          <w:kern w:val="32"/>
          <w:szCs w:val="32"/>
        </w:rPr>
        <w:t xml:space="preserve">f $108 </w:t>
      </w:r>
      <w:r w:rsidR="00390146">
        <w:rPr>
          <w:rFonts w:cs="Courier New"/>
          <w:bCs/>
          <w:kern w:val="32"/>
          <w:szCs w:val="32"/>
        </w:rPr>
        <w:t>[</w:t>
      </w:r>
      <w:r w:rsidRPr="00C02934">
        <w:rPr>
          <w:rFonts w:cs="Courier New"/>
          <w:bCs/>
          <w:kern w:val="32"/>
          <w:szCs w:val="32"/>
        </w:rPr>
        <w:t>(</w:t>
      </w:r>
      <w:r w:rsidR="00390146">
        <w:rPr>
          <w:rFonts w:cs="Courier New"/>
          <w:bCs/>
          <w:kern w:val="32"/>
          <w:szCs w:val="32"/>
        </w:rPr>
        <w:t>$500+</w:t>
      </w:r>
      <w:r w:rsidRPr="00C02934">
        <w:rPr>
          <w:rFonts w:cs="Courier New"/>
          <w:bCs/>
          <w:kern w:val="32"/>
          <w:szCs w:val="32"/>
        </w:rPr>
        <w:t>$</w:t>
      </w:r>
      <w:r w:rsidR="00390146">
        <w:rPr>
          <w:rFonts w:cs="Courier New"/>
          <w:bCs/>
          <w:kern w:val="32"/>
          <w:szCs w:val="32"/>
        </w:rPr>
        <w:t>1</w:t>
      </w:r>
      <w:r w:rsidRPr="00C02934">
        <w:rPr>
          <w:rFonts w:cs="Courier New"/>
          <w:bCs/>
          <w:kern w:val="32"/>
          <w:szCs w:val="32"/>
        </w:rPr>
        <w:t>5</w:t>
      </w:r>
      <w:r>
        <w:rPr>
          <w:rFonts w:cs="Courier New"/>
          <w:bCs/>
          <w:kern w:val="32"/>
          <w:szCs w:val="32"/>
        </w:rPr>
        <w:t>0</w:t>
      </w:r>
      <w:proofErr w:type="gramStart"/>
      <w:r w:rsidR="00390146">
        <w:rPr>
          <w:rFonts w:cs="Courier New"/>
          <w:bCs/>
          <w:kern w:val="32"/>
          <w:szCs w:val="32"/>
        </w:rPr>
        <w:t>]</w:t>
      </w:r>
      <w:r>
        <w:rPr>
          <w:bCs/>
          <w:kern w:val="32"/>
          <w:szCs w:val="32"/>
        </w:rPr>
        <w:t>÷</w:t>
      </w:r>
      <w:proofErr w:type="gramEnd"/>
      <w:r>
        <w:rPr>
          <w:rFonts w:cs="Courier New"/>
          <w:bCs/>
          <w:kern w:val="32"/>
          <w:szCs w:val="32"/>
        </w:rPr>
        <w:t>6) to this account.</w:t>
      </w:r>
    </w:p>
    <w:p w:rsidR="00F970C7" w:rsidRDefault="00F970C7" w:rsidP="00F970C7">
      <w:pPr>
        <w:jc w:val="both"/>
        <w:outlineLvl w:val="0"/>
        <w:rPr>
          <w:rFonts w:cs="Courier New"/>
          <w:bCs/>
          <w:kern w:val="32"/>
          <w:szCs w:val="32"/>
        </w:rPr>
      </w:pPr>
    </w:p>
    <w:p w:rsidR="00F970C7" w:rsidRDefault="00F970C7" w:rsidP="00F970C7">
      <w:pPr>
        <w:jc w:val="both"/>
        <w:outlineLvl w:val="0"/>
        <w:rPr>
          <w:rFonts w:cs="Courier New"/>
          <w:bCs/>
          <w:kern w:val="32"/>
        </w:rPr>
      </w:pPr>
      <w:r>
        <w:rPr>
          <w:rFonts w:cs="Courier New"/>
          <w:bCs/>
          <w:kern w:val="32"/>
          <w:szCs w:val="32"/>
        </w:rPr>
        <w:t>Further, staff is recommending increasing this account by $150 to refle</w:t>
      </w:r>
      <w:r w:rsidR="00B57E3D">
        <w:rPr>
          <w:rFonts w:cs="Courier New"/>
          <w:bCs/>
          <w:kern w:val="32"/>
          <w:szCs w:val="32"/>
        </w:rPr>
        <w:t>ct the purchase of updated</w:t>
      </w:r>
      <w:r w:rsidR="00837C27">
        <w:rPr>
          <w:rFonts w:cs="Courier New"/>
          <w:bCs/>
          <w:kern w:val="32"/>
          <w:szCs w:val="32"/>
        </w:rPr>
        <w:t xml:space="preserve"> operating</w:t>
      </w:r>
      <w:r>
        <w:rPr>
          <w:rFonts w:cs="Courier New"/>
          <w:bCs/>
          <w:kern w:val="32"/>
          <w:szCs w:val="32"/>
        </w:rPr>
        <w:t xml:space="preserve"> software. This amount represents a monthly fee of $12.50. The utility is also requesting $1,416 for new accounting software. Staff believes this amount is prudent because it will aid the utility in its record keeping. Rule 25-30.433(8), F.A.C, states that</w:t>
      </w:r>
      <w:r w:rsidRPr="00A57284">
        <w:rPr>
          <w:rFonts w:cs="Courier New"/>
          <w:bCs/>
          <w:kern w:val="32"/>
        </w:rPr>
        <w:t xml:space="preserve"> “</w:t>
      </w:r>
      <w:r>
        <w:rPr>
          <w:rFonts w:cs="Courier New"/>
          <w:bCs/>
          <w:kern w:val="32"/>
        </w:rPr>
        <w:t>[n]</w:t>
      </w:r>
      <w:r w:rsidRPr="00A57284">
        <w:rPr>
          <w:noProof/>
          <w:color w:val="000000"/>
        </w:rPr>
        <w:t xml:space="preserve">on-recurring expenses shall be amortized over a </w:t>
      </w:r>
      <w:r>
        <w:rPr>
          <w:noProof/>
          <w:color w:val="000000"/>
        </w:rPr>
        <w:t>five</w:t>
      </w:r>
      <w:r w:rsidRPr="00A57284">
        <w:rPr>
          <w:noProof/>
          <w:color w:val="000000"/>
        </w:rPr>
        <w:t>-year period unless a shorter or longer period of time can be justified.”</w:t>
      </w:r>
      <w:r w:rsidRPr="00A57284">
        <w:rPr>
          <w:rFonts w:cs="Courier New"/>
          <w:bCs/>
          <w:kern w:val="32"/>
        </w:rPr>
        <w:t xml:space="preserve"> </w:t>
      </w:r>
      <w:r>
        <w:rPr>
          <w:rFonts w:cs="Courier New"/>
          <w:bCs/>
          <w:kern w:val="32"/>
        </w:rPr>
        <w:t xml:space="preserve">Staff is recommending amortizing this amount over five years, in accordance with Rule 25-30.433(8), F.A.C. The resulting increase is </w:t>
      </w:r>
      <w:r w:rsidRPr="00C02934">
        <w:rPr>
          <w:rFonts w:cs="Courier New"/>
          <w:bCs/>
          <w:kern w:val="32"/>
        </w:rPr>
        <w:t>$283 (</w:t>
      </w:r>
      <w:r>
        <w:rPr>
          <w:rFonts w:cs="Courier New"/>
          <w:bCs/>
          <w:kern w:val="32"/>
        </w:rPr>
        <w:t>$1,416</w:t>
      </w:r>
      <w:r>
        <w:rPr>
          <w:bCs/>
          <w:kern w:val="32"/>
        </w:rPr>
        <w:t>÷</w:t>
      </w:r>
      <w:r>
        <w:rPr>
          <w:rFonts w:cs="Courier New"/>
          <w:bCs/>
          <w:kern w:val="32"/>
        </w:rPr>
        <w:t>5) to this account.</w:t>
      </w:r>
    </w:p>
    <w:p w:rsidR="00F970C7" w:rsidRPr="00A57284" w:rsidRDefault="00F970C7" w:rsidP="00F970C7">
      <w:pPr>
        <w:jc w:val="both"/>
        <w:outlineLvl w:val="0"/>
        <w:rPr>
          <w:rFonts w:cs="Courier New"/>
          <w:bCs/>
          <w:kern w:val="32"/>
        </w:rPr>
      </w:pPr>
    </w:p>
    <w:p w:rsidR="00F970C7" w:rsidRDefault="00F970C7" w:rsidP="00F970C7">
      <w:pPr>
        <w:jc w:val="both"/>
        <w:outlineLvl w:val="0"/>
        <w:rPr>
          <w:rFonts w:cs="Courier New"/>
          <w:bCs/>
          <w:kern w:val="32"/>
          <w:szCs w:val="32"/>
        </w:rPr>
      </w:pPr>
      <w:r>
        <w:rPr>
          <w:rFonts w:cs="Courier New"/>
          <w:bCs/>
          <w:kern w:val="32"/>
          <w:szCs w:val="32"/>
        </w:rPr>
        <w:t xml:space="preserve">In conclusion, staff is recommending total miscellaneous expense of </w:t>
      </w:r>
      <w:r w:rsidRPr="00B25757">
        <w:rPr>
          <w:rFonts w:cs="Courier New"/>
          <w:bCs/>
          <w:kern w:val="32"/>
          <w:szCs w:val="32"/>
        </w:rPr>
        <w:t>$</w:t>
      </w:r>
      <w:r>
        <w:rPr>
          <w:rFonts w:cs="Courier New"/>
          <w:bCs/>
          <w:kern w:val="32"/>
          <w:szCs w:val="32"/>
        </w:rPr>
        <w:t>5</w:t>
      </w:r>
      <w:r w:rsidRPr="00B25757">
        <w:rPr>
          <w:rFonts w:cs="Courier New"/>
          <w:bCs/>
          <w:kern w:val="32"/>
          <w:szCs w:val="32"/>
        </w:rPr>
        <w:t>,</w:t>
      </w:r>
      <w:r>
        <w:rPr>
          <w:rFonts w:cs="Courier New"/>
          <w:bCs/>
          <w:kern w:val="32"/>
          <w:szCs w:val="32"/>
        </w:rPr>
        <w:t>369</w:t>
      </w:r>
      <w:r w:rsidRPr="00B25757">
        <w:rPr>
          <w:rFonts w:cs="Courier New"/>
          <w:bCs/>
          <w:kern w:val="32"/>
          <w:szCs w:val="32"/>
        </w:rPr>
        <w:t xml:space="preserve"> ($5,021-$18-$150-$900+$</w:t>
      </w:r>
      <w:r>
        <w:rPr>
          <w:rFonts w:cs="Courier New"/>
          <w:bCs/>
          <w:kern w:val="32"/>
          <w:szCs w:val="32"/>
        </w:rPr>
        <w:t>875</w:t>
      </w:r>
      <w:r w:rsidRPr="00B25757">
        <w:rPr>
          <w:rFonts w:cs="Courier New"/>
          <w:bCs/>
          <w:kern w:val="32"/>
          <w:szCs w:val="32"/>
        </w:rPr>
        <w:t xml:space="preserve">+$108+$150+$283). This is an overall </w:t>
      </w:r>
      <w:r w:rsidR="00AA71C8">
        <w:rPr>
          <w:rFonts w:cs="Courier New"/>
          <w:bCs/>
          <w:kern w:val="32"/>
          <w:szCs w:val="32"/>
        </w:rPr>
        <w:t>increase</w:t>
      </w:r>
      <w:r w:rsidRPr="00B25757">
        <w:rPr>
          <w:rFonts w:cs="Courier New"/>
          <w:bCs/>
          <w:kern w:val="32"/>
          <w:szCs w:val="32"/>
        </w:rPr>
        <w:t xml:space="preserve"> of $</w:t>
      </w:r>
      <w:r w:rsidR="00AA71C8">
        <w:rPr>
          <w:rFonts w:cs="Courier New"/>
          <w:bCs/>
          <w:kern w:val="32"/>
          <w:szCs w:val="32"/>
        </w:rPr>
        <w:t>348</w:t>
      </w:r>
      <w:r w:rsidRPr="00B25757">
        <w:rPr>
          <w:rFonts w:cs="Courier New"/>
          <w:bCs/>
          <w:kern w:val="32"/>
          <w:szCs w:val="32"/>
        </w:rPr>
        <w:t>.</w:t>
      </w:r>
    </w:p>
    <w:p w:rsidR="00F970C7" w:rsidRPr="00C02934" w:rsidRDefault="00F970C7" w:rsidP="00F970C7">
      <w:pPr>
        <w:jc w:val="both"/>
        <w:outlineLvl w:val="0"/>
        <w:rPr>
          <w:rFonts w:cs="Courier New"/>
          <w:bCs/>
          <w:kern w:val="32"/>
          <w:szCs w:val="32"/>
        </w:rPr>
      </w:pPr>
    </w:p>
    <w:p w:rsidR="00F970C7" w:rsidRPr="009D5E85" w:rsidRDefault="00F970C7" w:rsidP="00F970C7">
      <w:pPr>
        <w:spacing w:after="240"/>
        <w:jc w:val="both"/>
        <w:outlineLvl w:val="0"/>
        <w:rPr>
          <w:rFonts w:ascii="Arial" w:hAnsi="Arial" w:cs="Arial"/>
          <w:b/>
          <w:bCs/>
          <w:kern w:val="32"/>
          <w:szCs w:val="32"/>
        </w:rPr>
      </w:pPr>
      <w:r w:rsidRPr="009D5E85">
        <w:rPr>
          <w:rFonts w:ascii="Arial" w:hAnsi="Arial" w:cs="Arial"/>
          <w:b/>
          <w:bCs/>
          <w:kern w:val="32"/>
          <w:szCs w:val="32"/>
        </w:rPr>
        <w:t>O&amp;M Expenses Summary</w:t>
      </w:r>
    </w:p>
    <w:p w:rsidR="00F970C7" w:rsidRDefault="00F970C7" w:rsidP="00F970C7">
      <w:pPr>
        <w:spacing w:after="240"/>
        <w:jc w:val="both"/>
        <w:outlineLvl w:val="0"/>
        <w:rPr>
          <w:rFonts w:cs="Courier New"/>
          <w:bCs/>
          <w:kern w:val="32"/>
          <w:szCs w:val="32"/>
        </w:rPr>
      </w:pPr>
      <w:r w:rsidRPr="00BE36BD">
        <w:rPr>
          <w:rFonts w:cs="Courier New"/>
          <w:bCs/>
          <w:kern w:val="32"/>
          <w:szCs w:val="32"/>
        </w:rPr>
        <w:t>Total adjustments to O&amp;M expense result in an increase of $854. Staff’s recommended O&amp;M expense is $94,198. O&amp;M expenses are shown on Schedule</w:t>
      </w:r>
      <w:r w:rsidR="00235A61">
        <w:rPr>
          <w:rFonts w:cs="Courier New"/>
          <w:bCs/>
          <w:kern w:val="32"/>
          <w:szCs w:val="32"/>
        </w:rPr>
        <w:t>s</w:t>
      </w:r>
      <w:r w:rsidRPr="00BE36BD">
        <w:rPr>
          <w:rFonts w:cs="Courier New"/>
          <w:bCs/>
          <w:kern w:val="32"/>
          <w:szCs w:val="32"/>
        </w:rPr>
        <w:t xml:space="preserve"> No. 3-A</w:t>
      </w:r>
      <w:r w:rsidR="00235A61">
        <w:rPr>
          <w:rFonts w:cs="Courier New"/>
          <w:bCs/>
          <w:kern w:val="32"/>
          <w:szCs w:val="32"/>
        </w:rPr>
        <w:t xml:space="preserve"> and No. 3-C</w:t>
      </w:r>
      <w:r>
        <w:rPr>
          <w:rFonts w:cs="Courier New"/>
          <w:bCs/>
          <w:kern w:val="32"/>
          <w:szCs w:val="32"/>
        </w:rPr>
        <w:t>.</w:t>
      </w:r>
    </w:p>
    <w:p w:rsidR="00F970C7" w:rsidRPr="009D5E85" w:rsidRDefault="00F970C7" w:rsidP="00F970C7">
      <w:pPr>
        <w:ind w:firstLine="720"/>
        <w:jc w:val="both"/>
        <w:outlineLvl w:val="0"/>
        <w:rPr>
          <w:rFonts w:ascii="Arial" w:hAnsi="Arial" w:cs="Arial"/>
          <w:b/>
          <w:bCs/>
          <w:i/>
          <w:kern w:val="32"/>
          <w:szCs w:val="32"/>
        </w:rPr>
      </w:pPr>
      <w:r w:rsidRPr="009D5E85">
        <w:rPr>
          <w:rFonts w:ascii="Arial" w:hAnsi="Arial" w:cs="Arial"/>
          <w:b/>
          <w:bCs/>
          <w:i/>
          <w:kern w:val="32"/>
          <w:szCs w:val="32"/>
        </w:rPr>
        <w:t>Depreciation Expense (Net of Related Amortization of CIAC)</w:t>
      </w:r>
    </w:p>
    <w:p w:rsidR="00F970C7" w:rsidRDefault="00F970C7" w:rsidP="00F970C7">
      <w:pPr>
        <w:jc w:val="both"/>
      </w:pPr>
      <w:r>
        <w:t xml:space="preserve">Cedar Acres </w:t>
      </w:r>
      <w:r>
        <w:rPr>
          <w:rFonts w:cs="Courier New"/>
        </w:rPr>
        <w:t>recorded</w:t>
      </w:r>
      <w:r>
        <w:t xml:space="preserve"> $7,117 in its general ledger for net depreciation expense. Staff has recalculated this amount based on plant items that could be supported through proper records. Using the prescribed rates set forth in Rule 25-30.140, F.A.C., </w:t>
      </w:r>
      <w:proofErr w:type="gramStart"/>
      <w:r>
        <w:t>staff</w:t>
      </w:r>
      <w:proofErr w:type="gramEnd"/>
      <w:r>
        <w:t xml:space="preserve"> is recommending net depreciation expense of $2,653. This amount results in a reduction to net depreciation expense of $4,464 ($7,117-$2,653).</w:t>
      </w:r>
    </w:p>
    <w:p w:rsidR="00F970C7" w:rsidRDefault="00F970C7" w:rsidP="00F970C7">
      <w:pPr>
        <w:jc w:val="both"/>
      </w:pPr>
    </w:p>
    <w:p w:rsidR="00F970C7" w:rsidRPr="009D5E85" w:rsidRDefault="00F970C7" w:rsidP="00F970C7">
      <w:pPr>
        <w:ind w:firstLine="720"/>
        <w:jc w:val="both"/>
        <w:outlineLvl w:val="0"/>
        <w:rPr>
          <w:rFonts w:ascii="Arial" w:hAnsi="Arial" w:cs="Arial"/>
          <w:b/>
          <w:bCs/>
          <w:i/>
          <w:kern w:val="32"/>
          <w:szCs w:val="32"/>
        </w:rPr>
      </w:pPr>
      <w:r w:rsidRPr="009D5E85">
        <w:rPr>
          <w:rFonts w:ascii="Arial" w:hAnsi="Arial" w:cs="Arial"/>
          <w:b/>
          <w:bCs/>
          <w:i/>
          <w:kern w:val="32"/>
          <w:szCs w:val="32"/>
        </w:rPr>
        <w:t>Taxes Other Than Income (TOTI)</w:t>
      </w:r>
    </w:p>
    <w:p w:rsidR="00F970C7" w:rsidRDefault="00F970C7" w:rsidP="00F970C7">
      <w:pPr>
        <w:jc w:val="both"/>
        <w:rPr>
          <w:rFonts w:cs="Courier New"/>
        </w:rPr>
      </w:pPr>
      <w:r>
        <w:t>Cedar Acres recorded $</w:t>
      </w:r>
      <w:r w:rsidR="00113FB2">
        <w:t>2</w:t>
      </w:r>
      <w:r>
        <w:t>,</w:t>
      </w:r>
      <w:r w:rsidR="00113FB2">
        <w:t>342</w:t>
      </w:r>
      <w:r>
        <w:t xml:space="preserve"> for TOTI. Staff is reducing property taxes by $12 for the parcel of land associated with the unused well site. Cedar Acres recorded $1,030 for payroll taxes. </w:t>
      </w:r>
      <w:r>
        <w:rPr>
          <w:rFonts w:cs="Courier New"/>
        </w:rPr>
        <w:t xml:space="preserve">Based on staff’s </w:t>
      </w:r>
      <w:r>
        <w:t>recommended combined level of Salaries and Wages expense, staff has calculated payroll taxes of</w:t>
      </w:r>
      <w:r>
        <w:rPr>
          <w:rFonts w:cs="Courier New"/>
        </w:rPr>
        <w:t xml:space="preserve"> </w:t>
      </w:r>
      <w:r w:rsidRPr="00BE36BD">
        <w:rPr>
          <w:rFonts w:cs="Courier New"/>
        </w:rPr>
        <w:t>$3,946. Accordingly, staff has increased payroll taxes by $2,916.</w:t>
      </w:r>
      <w:r>
        <w:rPr>
          <w:rFonts w:cs="Courier New"/>
        </w:rPr>
        <w:t xml:space="preserve">  </w:t>
      </w:r>
    </w:p>
    <w:p w:rsidR="00F970C7" w:rsidRDefault="00F970C7" w:rsidP="00F970C7">
      <w:pPr>
        <w:jc w:val="both"/>
        <w:rPr>
          <w:rFonts w:cs="Courier New"/>
        </w:rPr>
      </w:pPr>
      <w:r>
        <w:rPr>
          <w:rFonts w:cs="Courier New"/>
        </w:rPr>
        <w:tab/>
      </w:r>
    </w:p>
    <w:p w:rsidR="00F970C7" w:rsidRDefault="00F970C7" w:rsidP="00F970C7">
      <w:pPr>
        <w:jc w:val="both"/>
      </w:pPr>
      <w:r>
        <w:rPr>
          <w:rFonts w:cs="Courier New"/>
        </w:rPr>
        <w:t xml:space="preserve">Cedar Acres recorded $1,289 for regulatory assessment fees (RAFs). </w:t>
      </w:r>
      <w:r>
        <w:t xml:space="preserve">Based on staff’s recommended test year revenues of $35,451, the utility’s RAFs should be $1,596. Staff has </w:t>
      </w:r>
      <w:r>
        <w:lastRenderedPageBreak/>
        <w:t xml:space="preserve">increased this account by $307 to reflect the appropriate RAFs. As discussed in Issue 7, revenues have been increased by </w:t>
      </w:r>
      <w:r w:rsidRPr="00A57284">
        <w:t>$79,</w:t>
      </w:r>
      <w:r w:rsidR="00235A61">
        <w:t>972</w:t>
      </w:r>
      <w:r w:rsidRPr="00A57284">
        <w:t xml:space="preserve"> to</w:t>
      </w:r>
      <w:r>
        <w:t xml:space="preserve"> reflect the change in revenue required to cover expenses and afford the utility </w:t>
      </w:r>
      <w:r w:rsidR="00E90AF4">
        <w:t>a 10 percent margin over its operating expenses</w:t>
      </w:r>
      <w:r>
        <w:t>. As a result, TOTI should be increased by $3,5</w:t>
      </w:r>
      <w:r w:rsidR="00113FB2">
        <w:t>99</w:t>
      </w:r>
      <w:r>
        <w:t xml:space="preserve"> to reflect RAFs of 4.5 percent on the recommended incremental change in revenues. Staff recommends TOTI of $9,152 ($2,342-$12+$</w:t>
      </w:r>
      <w:r w:rsidR="00113FB2">
        <w:t>2</w:t>
      </w:r>
      <w:r>
        <w:t>,</w:t>
      </w:r>
      <w:r w:rsidR="00113FB2">
        <w:t>916</w:t>
      </w:r>
      <w:r>
        <w:t>+$307+$3,5</w:t>
      </w:r>
      <w:r w:rsidR="00A076DD">
        <w:t>99</w:t>
      </w:r>
      <w:r>
        <w:t>).</w:t>
      </w:r>
    </w:p>
    <w:p w:rsidR="00CD47DC" w:rsidRDefault="00CD47DC" w:rsidP="00F970C7">
      <w:pPr>
        <w:jc w:val="both"/>
      </w:pPr>
    </w:p>
    <w:p w:rsidR="00F970C7" w:rsidRPr="009D5E85" w:rsidRDefault="00F970C7" w:rsidP="00F970C7">
      <w:pPr>
        <w:ind w:firstLine="720"/>
        <w:jc w:val="both"/>
        <w:outlineLvl w:val="0"/>
        <w:rPr>
          <w:rFonts w:ascii="Arial" w:hAnsi="Arial" w:cs="Arial"/>
          <w:b/>
          <w:bCs/>
          <w:i/>
          <w:kern w:val="32"/>
          <w:szCs w:val="32"/>
        </w:rPr>
      </w:pPr>
      <w:r w:rsidRPr="009D5E85">
        <w:rPr>
          <w:rFonts w:ascii="Arial" w:hAnsi="Arial" w:cs="Arial"/>
          <w:b/>
          <w:bCs/>
          <w:i/>
          <w:kern w:val="32"/>
          <w:szCs w:val="32"/>
        </w:rPr>
        <w:t xml:space="preserve">Income Tax </w:t>
      </w:r>
    </w:p>
    <w:p w:rsidR="00F970C7" w:rsidRDefault="00F970C7" w:rsidP="00F970C7">
      <w:pPr>
        <w:jc w:val="both"/>
      </w:pPr>
      <w:r>
        <w:t xml:space="preserve">The utility did not record any income tax expense for the test year. Cedar Acres has shown a net loss for the last several years in its Annual Reports and income tax returns. </w:t>
      </w:r>
      <w:r w:rsidRPr="00043C1A">
        <w:t>Th</w:t>
      </w:r>
      <w:r>
        <w:t>i</w:t>
      </w:r>
      <w:r w:rsidRPr="00043C1A">
        <w:t xml:space="preserve">s </w:t>
      </w:r>
      <w:r>
        <w:t xml:space="preserve">tax </w:t>
      </w:r>
      <w:r w:rsidRPr="00043C1A">
        <w:t>loss carr</w:t>
      </w:r>
      <w:r>
        <w:t>y-f</w:t>
      </w:r>
      <w:r w:rsidRPr="00043C1A">
        <w:t xml:space="preserve">orward is in excess of the </w:t>
      </w:r>
      <w:r>
        <w:t>income tax provision on a going-forward basis, and is expected to</w:t>
      </w:r>
      <w:r w:rsidRPr="00043C1A">
        <w:t xml:space="preserve"> continue to be so </w:t>
      </w:r>
      <w:r>
        <w:t>for at least</w:t>
      </w:r>
      <w:r w:rsidRPr="00043C1A">
        <w:t xml:space="preserve"> the next </w:t>
      </w:r>
      <w:r>
        <w:t>10</w:t>
      </w:r>
      <w:r w:rsidRPr="00043C1A">
        <w:t xml:space="preserve"> years. </w:t>
      </w:r>
      <w:r>
        <w:t>In this instance, it is Commission practice to allow no provision for income tax.</w:t>
      </w:r>
      <w:r>
        <w:rPr>
          <w:rStyle w:val="FootnoteReference"/>
        </w:rPr>
        <w:footnoteReference w:id="9"/>
      </w:r>
      <w:r>
        <w:t xml:space="preserve"> Therefore, staff is not recommending any income tax provision. </w:t>
      </w:r>
      <w:r>
        <w:rPr>
          <w:highlight w:val="yellow"/>
        </w:rPr>
        <w:t xml:space="preserve">  </w:t>
      </w:r>
    </w:p>
    <w:p w:rsidR="00F970C7" w:rsidRDefault="00F970C7" w:rsidP="00F970C7">
      <w:pPr>
        <w:jc w:val="both"/>
      </w:pPr>
    </w:p>
    <w:p w:rsidR="00F970C7" w:rsidRPr="009D5E85" w:rsidRDefault="00F970C7" w:rsidP="00F970C7">
      <w:pPr>
        <w:jc w:val="both"/>
        <w:outlineLvl w:val="0"/>
        <w:rPr>
          <w:rFonts w:ascii="Arial" w:hAnsi="Arial" w:cs="Arial"/>
          <w:b/>
          <w:bCs/>
          <w:kern w:val="32"/>
          <w:szCs w:val="32"/>
        </w:rPr>
      </w:pPr>
      <w:r w:rsidRPr="009D5E85">
        <w:rPr>
          <w:rFonts w:ascii="Arial" w:hAnsi="Arial" w:cs="Arial"/>
          <w:b/>
          <w:bCs/>
          <w:kern w:val="32"/>
          <w:szCs w:val="32"/>
        </w:rPr>
        <w:t>Operating Expenses Summary</w:t>
      </w:r>
    </w:p>
    <w:p w:rsidR="005A5399" w:rsidRDefault="00F970C7" w:rsidP="00F970C7">
      <w:pPr>
        <w:pStyle w:val="BodyText"/>
      </w:pPr>
      <w:r>
        <w:t>The application of staff’s recommended adjustments to Cedar Acres’ recorded test year operating expenses result in staff’s recommended operating expenses of $106,003. Operating expenses are shown on Schedule No. 3-A. The related adjustments a</w:t>
      </w:r>
      <w:r w:rsidR="00324850">
        <w:t>re shown on Schedule No. 3-B.</w:t>
      </w:r>
    </w:p>
    <w:p w:rsidR="00CD545F" w:rsidRDefault="00CD545F">
      <w:pPr>
        <w:pStyle w:val="IssueHeading"/>
        <w:rPr>
          <w:b w:val="0"/>
          <w:i w:val="0"/>
        </w:rPr>
      </w:pPr>
    </w:p>
    <w:p w:rsidR="00CD545F" w:rsidRDefault="00CD545F">
      <w:pPr>
        <w:rPr>
          <w:rFonts w:ascii="Arial" w:hAnsi="Arial" w:cs="Arial"/>
          <w:bCs/>
          <w:kern w:val="32"/>
          <w:szCs w:val="32"/>
        </w:rPr>
      </w:pPr>
      <w:r>
        <w:rPr>
          <w:b/>
          <w:i/>
        </w:rPr>
        <w:br w:type="page"/>
      </w:r>
    </w:p>
    <w:p w:rsidR="00C631B3" w:rsidRDefault="00C631B3">
      <w:pPr>
        <w:pStyle w:val="IssueHeading"/>
        <w:rPr>
          <w:vanish/>
          <w:specVanish/>
        </w:rPr>
      </w:pPr>
      <w:r w:rsidRPr="004C3641">
        <w:lastRenderedPageBreak/>
        <w:t xml:space="preserve">Issue </w:t>
      </w:r>
      <w:r w:rsidR="00E01628">
        <w:fldChar w:fldCharType="begin"/>
      </w:r>
      <w:r w:rsidR="005B0AB1">
        <w:instrText>seq issue</w:instrText>
      </w:r>
      <w:r w:rsidR="00E01628">
        <w:fldChar w:fldCharType="separate"/>
      </w:r>
      <w:r w:rsidR="000C12D8">
        <w:rPr>
          <w:noProof/>
        </w:rPr>
        <w:t>7</w:t>
      </w:r>
      <w:r w:rsidR="00E0162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431459579"/>
      <w:r w:rsidR="000C12D8">
        <w:rPr>
          <w:noProof/>
        </w:rPr>
        <w:instrText>7</w:instrText>
      </w:r>
      <w:r>
        <w:fldChar w:fldCharType="end"/>
      </w:r>
      <w:r>
        <w:tab/>
        <w:instrText>Operating Ratio (Galloway)</w:instrText>
      </w:r>
      <w:bookmarkEnd w:id="23"/>
      <w:r>
        <w:instrText xml:space="preserve">" \l 1 </w:instrText>
      </w:r>
      <w:r>
        <w:fldChar w:fldCharType="end"/>
      </w:r>
      <w:r>
        <w:t> </w:t>
      </w:r>
    </w:p>
    <w:p w:rsidR="00C631B3" w:rsidRDefault="00C631B3">
      <w:pPr>
        <w:pStyle w:val="BodyText"/>
      </w:pPr>
      <w:r>
        <w:t> </w:t>
      </w:r>
      <w:r w:rsidR="00877001" w:rsidRPr="00556936">
        <w:t>Should the Commission utilize the operating ratio methodology as an alternative means to calculate the revenue requirement for Cedar Acres, and, if so, what is the appropriate margin?</w:t>
      </w:r>
    </w:p>
    <w:p w:rsidR="00C631B3" w:rsidRPr="004C3641" w:rsidRDefault="00C631B3">
      <w:pPr>
        <w:pStyle w:val="IssueSubsectionHeading"/>
        <w:rPr>
          <w:vanish/>
          <w:specVanish/>
        </w:rPr>
      </w:pPr>
      <w:r w:rsidRPr="004C3641">
        <w:t>Recommendation: </w:t>
      </w:r>
    </w:p>
    <w:p w:rsidR="00C631B3" w:rsidRPr="00877001" w:rsidRDefault="00C631B3">
      <w:pPr>
        <w:pStyle w:val="BodyText"/>
      </w:pPr>
      <w:r>
        <w:t> </w:t>
      </w:r>
      <w:r w:rsidR="00877001" w:rsidRPr="00556936">
        <w:rPr>
          <w:rFonts w:asciiTheme="minorHAnsi" w:hAnsiTheme="minorHAnsi" w:cstheme="minorHAnsi"/>
        </w:rPr>
        <w:t>Y</w:t>
      </w:r>
      <w:r w:rsidR="00877001" w:rsidRPr="00877001">
        <w:t>es, the Commission should utilize the operating ratio methodology for calculating revenue requirement for Cedar Acres. The margin should be 10 percent of O&amp;M expenses.</w:t>
      </w:r>
      <w:r w:rsidRPr="00877001">
        <w:t xml:space="preserve"> (Galloway)</w:t>
      </w:r>
    </w:p>
    <w:p w:rsidR="00C631B3" w:rsidRPr="004C3641" w:rsidRDefault="00C631B3">
      <w:pPr>
        <w:pStyle w:val="IssueSubsectionHeading"/>
        <w:rPr>
          <w:vanish/>
          <w:specVanish/>
        </w:rPr>
      </w:pPr>
      <w:r w:rsidRPr="004C3641">
        <w:t>Staff Analysis: </w:t>
      </w:r>
    </w:p>
    <w:p w:rsidR="00877001" w:rsidRPr="00556936" w:rsidRDefault="00C631B3" w:rsidP="00877001">
      <w:pPr>
        <w:jc w:val="both"/>
        <w:rPr>
          <w:rFonts w:asciiTheme="minorHAnsi" w:hAnsiTheme="minorHAnsi" w:cstheme="minorHAnsi"/>
        </w:rPr>
      </w:pPr>
      <w:r>
        <w:t> </w:t>
      </w:r>
      <w:r w:rsidR="00877001" w:rsidRPr="00C631B3">
        <w:t xml:space="preserve">Section 367.0814(9), F.S., provides that the Commission may, by rule, establish standards and procedures for setting rates and charges of small utilities using criteria other than those set forth in Sections 367.081(1), (2)(a), and (3), F.S. </w:t>
      </w:r>
      <w:r w:rsidR="00F50C6B">
        <w:t xml:space="preserve">Further, </w:t>
      </w:r>
      <w:r w:rsidR="00877001" w:rsidRPr="00C631B3">
        <w:t>Rule 25-30.456, F.A.C., provides, in part, as an alternative to a staff-assisted rate case as described in Rule 25-30.455, F.A.C., that water utilities whose total gross annual operating revenues are less than $275,000 per system may petition the Commission for staff assistance using alternative rate setting</w:t>
      </w:r>
      <w:r w:rsidR="00877001" w:rsidRPr="00556936">
        <w:rPr>
          <w:rFonts w:asciiTheme="minorHAnsi" w:hAnsiTheme="minorHAnsi" w:cstheme="minorHAnsi"/>
        </w:rPr>
        <w:t>.</w:t>
      </w:r>
    </w:p>
    <w:p w:rsidR="00877001" w:rsidRDefault="00877001" w:rsidP="00877001">
      <w:pPr>
        <w:jc w:val="both"/>
      </w:pPr>
    </w:p>
    <w:p w:rsidR="00877001" w:rsidRDefault="00877001" w:rsidP="00877001">
      <w:pPr>
        <w:jc w:val="both"/>
      </w:pPr>
      <w:r>
        <w:t>Although the utility did not petition the Commission for alternative rate setting under the afore-mentioned rule, staff believes the Commission should exercise its discretion to employ the operating ratio methodology to set rates in this case. The operating ratio methodology is an alternative to the traditional calculation of revenue requirements. Under this methodology, instead of applying a return on the utility’s rate base, the revenue requirement is based on Cedar Acres’ O&amp;M expenses plus a margin. This methodology has been applied in cases that satisfy the qualifying criteria discussed below and cases in which the traditional calculation of the revenue requirement would not provide sufficient protection against potential variances in revenues and expenses.</w:t>
      </w:r>
    </w:p>
    <w:p w:rsidR="00877001" w:rsidRDefault="00877001" w:rsidP="00877001">
      <w:pPr>
        <w:jc w:val="both"/>
      </w:pPr>
    </w:p>
    <w:p w:rsidR="00877001" w:rsidRDefault="00877001" w:rsidP="00877001">
      <w:pPr>
        <w:jc w:val="both"/>
      </w:pPr>
      <w:proofErr w:type="gramStart"/>
      <w:r>
        <w:t>By Order No.</w:t>
      </w:r>
      <w:proofErr w:type="gramEnd"/>
      <w:r>
        <w:t xml:space="preserve"> PSC-96-0357-FOF-WU, the Commission, for the first time, utilized the operating ratio methodology as an alternative means for setting rates.</w:t>
      </w:r>
      <w:r>
        <w:rPr>
          <w:rStyle w:val="FootnoteReference"/>
        </w:rPr>
        <w:footnoteReference w:id="10"/>
      </w:r>
      <w:r>
        <w:t xml:space="preserve"> This order also established criteria to determine the use of the operating ratio methodology and a guideline margin of 10 percent of O&amp;M expenses. This criterion was applied again in Order No. </w:t>
      </w:r>
      <w:proofErr w:type="gramStart"/>
      <w:r>
        <w:t>PSC-97-0130-FOF-SU.</w:t>
      </w:r>
      <w:proofErr w:type="gramEnd"/>
      <w:r>
        <w:rPr>
          <w:rStyle w:val="FootnoteReference"/>
        </w:rPr>
        <w:footnoteReference w:id="11"/>
      </w:r>
      <w:r>
        <w:t xml:space="preserve"> Most recently, the Commission approved the operating ratio methodology for setting rates in Order No. </w:t>
      </w:r>
      <w:proofErr w:type="gramStart"/>
      <w:r>
        <w:t>PSC-13-0327-PAA-SU.</w:t>
      </w:r>
      <w:proofErr w:type="gramEnd"/>
      <w:r>
        <w:rPr>
          <w:rStyle w:val="FootnoteReference"/>
        </w:rPr>
        <w:footnoteReference w:id="12"/>
      </w:r>
    </w:p>
    <w:p w:rsidR="00877001" w:rsidRDefault="00877001" w:rsidP="00877001">
      <w:pPr>
        <w:jc w:val="both"/>
      </w:pPr>
    </w:p>
    <w:p w:rsidR="00877001" w:rsidRDefault="00877001" w:rsidP="00877001">
      <w:pPr>
        <w:jc w:val="both"/>
      </w:pPr>
      <w:proofErr w:type="gramStart"/>
      <w:r>
        <w:t>By Order No.</w:t>
      </w:r>
      <w:proofErr w:type="gramEnd"/>
      <w:r>
        <w:t xml:space="preserve"> PSC-96-0357-FOF-WU, the Commission established criteria to determine whether to utilize the operating ratio methodology for those utilities with low or non-existent rate base. The qualifying criteria established by Order No. PSC-96-0357-FOF-WU and how they apply to the utility are discussed below:</w:t>
      </w:r>
    </w:p>
    <w:p w:rsidR="00877001" w:rsidRDefault="00877001" w:rsidP="00877001">
      <w:pPr>
        <w:jc w:val="both"/>
      </w:pPr>
    </w:p>
    <w:p w:rsidR="00877001" w:rsidRDefault="00BC26B1" w:rsidP="00877001">
      <w:pPr>
        <w:jc w:val="both"/>
      </w:pPr>
      <w:r>
        <w:rPr>
          <w:b/>
        </w:rPr>
        <w:t>(</w:t>
      </w:r>
      <w:r w:rsidR="00877001" w:rsidRPr="00BC26B1">
        <w:rPr>
          <w:b/>
        </w:rPr>
        <w:t>1) Whether the utility’s O&amp;M expenses exceeds rate base</w:t>
      </w:r>
      <w:r w:rsidR="00877001" w:rsidRPr="00BC26B1">
        <w:t>.</w:t>
      </w:r>
      <w:r w:rsidR="00877001">
        <w:t xml:space="preserve"> The operating ratio method substitutes O&amp;M expenses for rate base in calculating the amount of return. A utility generally </w:t>
      </w:r>
      <w:r w:rsidR="00877001">
        <w:lastRenderedPageBreak/>
        <w:t>would not benefit from the operating ratio method if rate base exceeds O&amp;M expenses. The decision to use the operating ratio method depends</w:t>
      </w:r>
      <w:r w:rsidR="00393BF9">
        <w:t xml:space="preserve"> partly</w:t>
      </w:r>
      <w:r w:rsidR="00877001">
        <w:t xml:space="preserve"> on the determination of whether the primary risk resides in capital costs or operating expenses. In the instant case, the rate base is less than the level of O&amp;M expenses. The utility’s primary risk resides with covering its operating expense. Based on the staff’s recommendation, the adjusted rate base for the test year is $64,</w:t>
      </w:r>
      <w:r w:rsidR="00235A61">
        <w:t>137</w:t>
      </w:r>
      <w:r w:rsidR="00877001">
        <w:t>, while adjusted O&amp;M expenses are $9</w:t>
      </w:r>
      <w:r w:rsidR="00235A61">
        <w:t>4</w:t>
      </w:r>
      <w:r w:rsidR="00877001">
        <w:t>,</w:t>
      </w:r>
      <w:r w:rsidR="00235A61">
        <w:t>198</w:t>
      </w:r>
      <w:r w:rsidR="00877001">
        <w:t>.</w:t>
      </w:r>
    </w:p>
    <w:p w:rsidR="00877001" w:rsidRDefault="00877001" w:rsidP="00877001">
      <w:pPr>
        <w:pStyle w:val="ListParagraph"/>
        <w:jc w:val="both"/>
      </w:pPr>
    </w:p>
    <w:p w:rsidR="00877001" w:rsidRPr="00C40958" w:rsidRDefault="00BC26B1" w:rsidP="00877001">
      <w:pPr>
        <w:jc w:val="both"/>
      </w:pPr>
      <w:r>
        <w:rPr>
          <w:b/>
        </w:rPr>
        <w:t>(</w:t>
      </w:r>
      <w:r w:rsidR="00877001" w:rsidRPr="00BC26B1">
        <w:rPr>
          <w:b/>
        </w:rPr>
        <w:t>2)  Whether the utility is expected to become a Class B utility in the foreseeable future.</w:t>
      </w:r>
      <w:r w:rsidR="00877001" w:rsidRPr="00C40958">
        <w:t xml:space="preserve"> </w:t>
      </w:r>
      <w:r w:rsidR="00877001" w:rsidRPr="00552581">
        <w:t>Pursuant to Section 367.0814(9), F.S., the alternative form of regulation being considered in this case only applies to small utilities with gross annual revenue of $2</w:t>
      </w:r>
      <w:r w:rsidR="00877001">
        <w:t>7</w:t>
      </w:r>
      <w:r w:rsidR="00877001" w:rsidRPr="00552581">
        <w:t>5,000 or less. Cedar Acres is a Class C utility and the recommended revenue requirement of $11</w:t>
      </w:r>
      <w:r w:rsidR="00235A61">
        <w:t>5</w:t>
      </w:r>
      <w:r w:rsidR="00877001" w:rsidRPr="00552581">
        <w:t>,</w:t>
      </w:r>
      <w:r w:rsidR="00235A61">
        <w:t>423</w:t>
      </w:r>
      <w:r w:rsidR="00877001" w:rsidRPr="00552581">
        <w:t xml:space="preserve"> is substantially below the threshold level for Class B status ($200,000 per system). The utility’s service area has not had</w:t>
      </w:r>
      <w:r w:rsidR="00877001" w:rsidRPr="00C40958">
        <w:t xml:space="preserve"> any significant growth in the last five years. Therefore, </w:t>
      </w:r>
      <w:r w:rsidR="00235A61">
        <w:t xml:space="preserve">staff believes </w:t>
      </w:r>
      <w:r w:rsidR="00877001" w:rsidRPr="00C40958">
        <w:t xml:space="preserve">the </w:t>
      </w:r>
      <w:r w:rsidR="00877001">
        <w:t>utility</w:t>
      </w:r>
      <w:r w:rsidR="00877001" w:rsidRPr="00C40958">
        <w:t xml:space="preserve"> will not become a Class B utility in the foreseeable future.</w:t>
      </w:r>
    </w:p>
    <w:p w:rsidR="00877001" w:rsidRPr="00C40958" w:rsidRDefault="00877001" w:rsidP="00877001">
      <w:pPr>
        <w:jc w:val="both"/>
      </w:pPr>
    </w:p>
    <w:p w:rsidR="00877001" w:rsidRDefault="00BC26B1" w:rsidP="00877001">
      <w:pPr>
        <w:jc w:val="both"/>
      </w:pPr>
      <w:r w:rsidRPr="00BC26B1">
        <w:rPr>
          <w:b/>
        </w:rPr>
        <w:t>(</w:t>
      </w:r>
      <w:r w:rsidR="00877001" w:rsidRPr="00BC26B1">
        <w:rPr>
          <w:b/>
        </w:rPr>
        <w:t>3)  Quality of service and condition of plant.</w:t>
      </w:r>
      <w:r w:rsidR="00877001" w:rsidRPr="00340195">
        <w:t xml:space="preserve"> </w:t>
      </w:r>
      <w:r w:rsidR="00877001" w:rsidRPr="00340195">
        <w:rPr>
          <w:spacing w:val="-3"/>
        </w:rPr>
        <w:t xml:space="preserve">As discussed in Issue 1, </w:t>
      </w:r>
      <w:r w:rsidR="00877001">
        <w:rPr>
          <w:spacing w:val="-3"/>
        </w:rPr>
        <w:t>s</w:t>
      </w:r>
      <w:r w:rsidR="00877001" w:rsidRPr="00EC0E3C">
        <w:t xml:space="preserve">taff recommends that the overall quality of service for the </w:t>
      </w:r>
      <w:r w:rsidR="00877001">
        <w:t xml:space="preserve">utility </w:t>
      </w:r>
      <w:r w:rsidR="00877001" w:rsidRPr="00EC0E3C">
        <w:t xml:space="preserve">is </w:t>
      </w:r>
      <w:r w:rsidR="00235A61">
        <w:t>un</w:t>
      </w:r>
      <w:r w:rsidR="00877001" w:rsidRPr="00EC0E3C">
        <w:t>satisfactory</w:t>
      </w:r>
      <w:r w:rsidR="007511F8" w:rsidRPr="00EC0E3C">
        <w:t>.</w:t>
      </w:r>
      <w:r w:rsidR="007511F8">
        <w:t xml:space="preserve"> </w:t>
      </w:r>
      <w:r w:rsidR="00F50C6B">
        <w:t xml:space="preserve">Unsatisfactory quality contributes to staff’s belief that operating ratio methodology is appropriate for this </w:t>
      </w:r>
      <w:r w:rsidR="00393BF9">
        <w:t>utility</w:t>
      </w:r>
      <w:r w:rsidR="007511F8">
        <w:t xml:space="preserve">. </w:t>
      </w:r>
      <w:r w:rsidR="00393BF9">
        <w:t>It highlights the need for an adequate revenue stream in order to provide funds for improvements and repairs as deemed prudent and necessary.</w:t>
      </w:r>
    </w:p>
    <w:p w:rsidR="00877001" w:rsidRPr="00C40958" w:rsidRDefault="00877001" w:rsidP="00877001">
      <w:pPr>
        <w:jc w:val="both"/>
        <w:rPr>
          <w:spacing w:val="-3"/>
        </w:rPr>
      </w:pPr>
    </w:p>
    <w:p w:rsidR="00877001" w:rsidRPr="00C40958" w:rsidRDefault="00BC26B1" w:rsidP="00877001">
      <w:pPr>
        <w:jc w:val="both"/>
      </w:pPr>
      <w:r w:rsidRPr="00BC26B1">
        <w:rPr>
          <w:b/>
        </w:rPr>
        <w:t>(</w:t>
      </w:r>
      <w:r w:rsidR="00877001" w:rsidRPr="00BC26B1">
        <w:rPr>
          <w:b/>
        </w:rPr>
        <w:t>4)  Whether the utility is developer-owned</w:t>
      </w:r>
      <w:r w:rsidR="00235A61" w:rsidRPr="00BC26B1">
        <w:rPr>
          <w:b/>
        </w:rPr>
        <w:t>.</w:t>
      </w:r>
      <w:r w:rsidR="00235A61">
        <w:t xml:space="preserve"> Some of t</w:t>
      </w:r>
      <w:r w:rsidR="00877001" w:rsidRPr="00C40958">
        <w:t xml:space="preserve">he current </w:t>
      </w:r>
      <w:r w:rsidR="00877001">
        <w:t>utility</w:t>
      </w:r>
      <w:r w:rsidR="00877001" w:rsidRPr="00C40958">
        <w:t xml:space="preserve"> owner</w:t>
      </w:r>
      <w:r w:rsidR="00235A61">
        <w:t>s</w:t>
      </w:r>
      <w:r w:rsidR="00877001" w:rsidRPr="00C40958">
        <w:t xml:space="preserve"> </w:t>
      </w:r>
      <w:r w:rsidR="00235A61">
        <w:t>are</w:t>
      </w:r>
      <w:r w:rsidR="00877001" w:rsidRPr="00C40958">
        <w:t xml:space="preserve"> </w:t>
      </w:r>
      <w:r w:rsidR="00877001">
        <w:t xml:space="preserve">associated with the original </w:t>
      </w:r>
      <w:r w:rsidR="00877001" w:rsidRPr="00C40958">
        <w:t>developer.</w:t>
      </w:r>
      <w:r w:rsidR="00877001">
        <w:t xml:space="preserve"> However, as stated earlier, th</w:t>
      </w:r>
      <w:r w:rsidR="0050473B">
        <w:t>is utility was established almost 30 years ago. Th</w:t>
      </w:r>
      <w:r w:rsidR="00877001">
        <w:t>ere has been no significant growth</w:t>
      </w:r>
      <w:r w:rsidR="0050473B">
        <w:t xml:space="preserve"> in years</w:t>
      </w:r>
      <w:r w:rsidR="00877001">
        <w:t>, and the development is very close to being built out.</w:t>
      </w:r>
      <w:r w:rsidR="0050473B">
        <w:t xml:space="preserve"> </w:t>
      </w:r>
      <w:r w:rsidR="00877001">
        <w:t>Staff doesn’t anticipate any significant growth in the foreseeable future.</w:t>
      </w:r>
    </w:p>
    <w:p w:rsidR="00877001" w:rsidRPr="00C40958" w:rsidRDefault="00877001" w:rsidP="00877001">
      <w:pPr>
        <w:jc w:val="both"/>
      </w:pPr>
    </w:p>
    <w:p w:rsidR="00877001" w:rsidRPr="00C40958" w:rsidRDefault="00BC26B1" w:rsidP="00877001">
      <w:pPr>
        <w:jc w:val="both"/>
      </w:pPr>
      <w:r w:rsidRPr="00BC26B1">
        <w:rPr>
          <w:b/>
        </w:rPr>
        <w:t>(</w:t>
      </w:r>
      <w:r w:rsidR="00877001" w:rsidRPr="00BC26B1">
        <w:rPr>
          <w:b/>
        </w:rPr>
        <w:t>5)  Whether the utility operates treatment facilities or is simply a distribution and/or collection system.</w:t>
      </w:r>
      <w:r w:rsidR="00877001" w:rsidRPr="00C40958">
        <w:t xml:space="preserve"> The issue</w:t>
      </w:r>
      <w:r w:rsidR="00877001">
        <w:t xml:space="preserve"> in general</w:t>
      </w:r>
      <w:r w:rsidR="00877001" w:rsidRPr="00C40958">
        <w:t xml:space="preserve"> is whether purchased water and/or wastewater costs should be excluded in the computation of the operating margin. </w:t>
      </w:r>
      <w:r w:rsidR="00877001">
        <w:t>Cedar Acres</w:t>
      </w:r>
      <w:r w:rsidR="00877001" w:rsidRPr="00C40958">
        <w:t xml:space="preserve"> operates </w:t>
      </w:r>
      <w:r w:rsidR="00877001">
        <w:t xml:space="preserve">the </w:t>
      </w:r>
      <w:r w:rsidR="00877001" w:rsidRPr="00C40958">
        <w:t xml:space="preserve">water </w:t>
      </w:r>
      <w:r w:rsidR="00877001">
        <w:t>treatment plant</w:t>
      </w:r>
      <w:r w:rsidR="00877001" w:rsidRPr="00C40958">
        <w:t>.</w:t>
      </w:r>
      <w:r w:rsidR="0050473B">
        <w:t xml:space="preserve"> Therefore, there is no concern regarding excluding purchased water or wastewater costs.</w:t>
      </w:r>
    </w:p>
    <w:p w:rsidR="00877001" w:rsidRPr="00C40958" w:rsidRDefault="00877001" w:rsidP="00877001">
      <w:pPr>
        <w:jc w:val="both"/>
      </w:pPr>
    </w:p>
    <w:p w:rsidR="00877001" w:rsidRPr="00C40958" w:rsidRDefault="00877001" w:rsidP="00877001">
      <w:pPr>
        <w:jc w:val="both"/>
      </w:pPr>
      <w:r>
        <w:t>Based on staff’s review of the u</w:t>
      </w:r>
      <w:r w:rsidRPr="00C40958">
        <w:t xml:space="preserve">tility’s situation relative to the above criteria, staff recommends that </w:t>
      </w:r>
      <w:r>
        <w:t>Cedar Acres</w:t>
      </w:r>
      <w:r w:rsidRPr="00C40958">
        <w:t xml:space="preserve"> is a viable candidate for the operating ratio methodology.</w:t>
      </w:r>
    </w:p>
    <w:p w:rsidR="00877001" w:rsidRPr="00C40958" w:rsidRDefault="00877001" w:rsidP="00877001">
      <w:pPr>
        <w:jc w:val="both"/>
      </w:pPr>
    </w:p>
    <w:p w:rsidR="00877001" w:rsidRDefault="00877001" w:rsidP="00877001">
      <w:pPr>
        <w:spacing w:after="240"/>
        <w:jc w:val="both"/>
      </w:pPr>
      <w:proofErr w:type="gramStart"/>
      <w:r w:rsidRPr="00C40958">
        <w:t>By Order Nos.</w:t>
      </w:r>
      <w:proofErr w:type="gramEnd"/>
      <w:r w:rsidRPr="00C40958">
        <w:t xml:space="preserve"> PSC-96-0357-FOF-WS and PSC-97-0130-FOF-WU, the Commission determined that a margin of 10 percent shall be used unless unique circumstances justify the use of a greater or lesser margin. The important question is not what the percentage should be, but what level of operating margin will allow the utility to provide safe and reliable service and remain a viable entity</w:t>
      </w:r>
      <w:r w:rsidR="003F6ECE" w:rsidRPr="00C40958">
        <w:t>.</w:t>
      </w:r>
      <w:r w:rsidR="003F6ECE">
        <w:t xml:space="preserve"> </w:t>
      </w:r>
      <w:r>
        <w:t>In order to answer this question, the particular circumstances of the utility must be reviewed and considered thoroughly.</w:t>
      </w:r>
    </w:p>
    <w:p w:rsidR="00877001" w:rsidRDefault="00877001" w:rsidP="00877001">
      <w:pPr>
        <w:spacing w:after="240"/>
        <w:jc w:val="both"/>
      </w:pPr>
      <w:r w:rsidRPr="00C40958">
        <w:t>Several factors must be considered in determining the reasonableness of a margin.</w:t>
      </w:r>
      <w:r>
        <w:t xml:space="preserve"> </w:t>
      </w:r>
      <w:r w:rsidRPr="00C40958">
        <w:t>First, the margin must prov</w:t>
      </w:r>
      <w:r>
        <w:t>ide sufficient revenue for the u</w:t>
      </w:r>
      <w:r w:rsidRPr="00C40958">
        <w:t xml:space="preserve">tility to cover its interest expense. </w:t>
      </w:r>
      <w:r>
        <w:t>However, in this case, the utility is not paying</w:t>
      </w:r>
      <w:r w:rsidRPr="00C40958">
        <w:t xml:space="preserve"> interest expense.</w:t>
      </w:r>
    </w:p>
    <w:p w:rsidR="00877001" w:rsidRDefault="00877001" w:rsidP="00877001">
      <w:pPr>
        <w:spacing w:after="240"/>
        <w:jc w:val="both"/>
      </w:pPr>
      <w:r w:rsidRPr="00C40958">
        <w:lastRenderedPageBreak/>
        <w:t>Second, use of the operating ratio methodology rests on the contention that the principal risk to the utility resides in operating cost</w:t>
      </w:r>
      <w:r>
        <w:t>s</w:t>
      </w:r>
      <w:r w:rsidRPr="00C40958">
        <w:t xml:space="preserve"> rather than in cost of the plant. </w:t>
      </w:r>
      <w:r w:rsidRPr="00A43A51">
        <w:t xml:space="preserve">The fair return on a small rate base may not adequately compensate the utility owner for incurring the risk associated with covering the much larger operating cost. Therefore, </w:t>
      </w:r>
      <w:r w:rsidR="00B21108">
        <w:t xml:space="preserve">staff believes </w:t>
      </w:r>
      <w:r w:rsidRPr="00A43A51">
        <w:t>the margin should adequately compensate the utility owner for th</w:t>
      </w:r>
      <w:r w:rsidR="00B21108">
        <w:t>e principal risk which lies with the operating costs</w:t>
      </w:r>
      <w:r w:rsidRPr="00A43A51">
        <w:t>.</w:t>
      </w:r>
    </w:p>
    <w:p w:rsidR="00877001" w:rsidRDefault="00877001" w:rsidP="00877001">
      <w:pPr>
        <w:spacing w:after="240"/>
        <w:jc w:val="both"/>
      </w:pPr>
      <w:r>
        <w:t>Third, if the return on rate base method was applied, Cedar Acres could be left with insufficient funds to cover operating expenses. Therefore, the margin should provide adequate revenue to protect against potential variability in revenue and expenses. The return on rate base would provide the utility with slightly less than 6</w:t>
      </w:r>
      <w:r w:rsidR="00AB5253">
        <w:t>0</w:t>
      </w:r>
      <w:r>
        <w:t xml:space="preserve"> percent of the return provided by operating ratio methodology.</w:t>
      </w:r>
      <w:r>
        <w:rPr>
          <w:rStyle w:val="FootnoteReference"/>
        </w:rPr>
        <w:footnoteReference w:id="13"/>
      </w:r>
      <w:r>
        <w:t xml:space="preserve"> If the utility’s o</w:t>
      </w:r>
      <w:r w:rsidR="003F6ECE">
        <w:t>perating expenses increase or</w:t>
      </w:r>
      <w:r>
        <w:t xml:space="preserve"> revenue</w:t>
      </w:r>
      <w:r w:rsidR="0091161C">
        <w:t>s</w:t>
      </w:r>
      <w:r>
        <w:t xml:space="preserve"> decrease, Cedar Acres would not have the funds required for day-to-day operations.</w:t>
      </w:r>
    </w:p>
    <w:p w:rsidR="00877001" w:rsidRDefault="00877001" w:rsidP="00877001">
      <w:pPr>
        <w:spacing w:after="240"/>
        <w:jc w:val="both"/>
      </w:pPr>
      <w:r w:rsidRPr="00C40958">
        <w:t xml:space="preserve">In conclusion, staff believes the above factors show that the </w:t>
      </w:r>
      <w:r>
        <w:t>u</w:t>
      </w:r>
      <w:r w:rsidRPr="00C40958">
        <w:t xml:space="preserve">tility needs a higher margin of revenue over operating expenses than the traditional return on rate base method would allow. Therefore, in order to provide </w:t>
      </w:r>
      <w:r>
        <w:t>Cedar Acres</w:t>
      </w:r>
      <w:r w:rsidRPr="00C40958">
        <w:t xml:space="preserve"> with adequate cash flow to provide some assurance of safe and reliable service, staff recommends application of the operating ratio methodology at a margin of 10 percent of O&amp;M expense</w:t>
      </w:r>
      <w:r>
        <w:t>s</w:t>
      </w:r>
      <w:r w:rsidRPr="00C40958">
        <w:t xml:space="preserve"> for determining the revenue requirement.</w:t>
      </w:r>
    </w:p>
    <w:p w:rsidR="00CD545F" w:rsidRDefault="00CD545F"/>
    <w:p w:rsidR="00CD545F" w:rsidRDefault="00CD545F"/>
    <w:p w:rsidR="00CD545F" w:rsidRDefault="00CD545F">
      <w:r>
        <w:br w:type="page"/>
      </w:r>
    </w:p>
    <w:p w:rsidR="005B0AB1" w:rsidRDefault="005B0AB1">
      <w:pPr>
        <w:pStyle w:val="IssueHeading"/>
        <w:rPr>
          <w:vanish/>
          <w:specVanish/>
        </w:rPr>
      </w:pPr>
      <w:r w:rsidRPr="004C3641">
        <w:lastRenderedPageBreak/>
        <w:t xml:space="preserve">Issue </w:t>
      </w:r>
      <w:r w:rsidR="00BC3D1A">
        <w:fldChar w:fldCharType="begin"/>
      </w:r>
      <w:r w:rsidR="00BC3D1A">
        <w:instrText xml:space="preserve"> SEQ Issue \* ME</w:instrText>
      </w:r>
      <w:r w:rsidR="00BC3D1A">
        <w:instrText xml:space="preserve">RGEFORMAT </w:instrText>
      </w:r>
      <w:r w:rsidR="00BC3D1A">
        <w:fldChar w:fldCharType="separate"/>
      </w:r>
      <w:r w:rsidR="000C12D8">
        <w:rPr>
          <w:noProof/>
        </w:rPr>
        <w:t>8</w:t>
      </w:r>
      <w:r w:rsidR="00BC3D1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431459580"/>
      <w:r w:rsidR="000C12D8">
        <w:rPr>
          <w:noProof/>
        </w:rPr>
        <w:instrText>8</w:instrText>
      </w:r>
      <w:r>
        <w:fldChar w:fldCharType="end"/>
      </w:r>
      <w:r>
        <w:tab/>
        <w:instrText>Revenue Requirement (Galloway, Smith)</w:instrText>
      </w:r>
      <w:bookmarkEnd w:id="24"/>
      <w:r>
        <w:instrText xml:space="preserve">" \l 1 </w:instrText>
      </w:r>
      <w:r>
        <w:fldChar w:fldCharType="end"/>
      </w:r>
      <w:r>
        <w:t> </w:t>
      </w:r>
    </w:p>
    <w:p w:rsidR="005B0AB1" w:rsidRDefault="005B0AB1">
      <w:pPr>
        <w:pStyle w:val="BodyText"/>
      </w:pPr>
      <w:r>
        <w:t> </w:t>
      </w:r>
      <w:r w:rsidR="00E01628" w:rsidRPr="00556936">
        <w:t>What is the appropriate revenue requirement?</w:t>
      </w:r>
    </w:p>
    <w:p w:rsidR="005B0AB1" w:rsidRPr="004C3641" w:rsidRDefault="005B0AB1">
      <w:pPr>
        <w:pStyle w:val="IssueSubsectionHeading"/>
        <w:rPr>
          <w:vanish/>
          <w:specVanish/>
        </w:rPr>
      </w:pPr>
      <w:r w:rsidRPr="004C3641">
        <w:t>Recommendation: </w:t>
      </w:r>
    </w:p>
    <w:p w:rsidR="005B0AB1" w:rsidRDefault="005B0AB1">
      <w:pPr>
        <w:pStyle w:val="BodyText"/>
      </w:pPr>
      <w:r>
        <w:t> </w:t>
      </w:r>
      <w:r w:rsidR="00E01628" w:rsidRPr="00154259">
        <w:t>The appropriate revenue requirement is $115,423.</w:t>
      </w:r>
      <w:r>
        <w:t xml:space="preserve"> (Galloway, Smith)</w:t>
      </w:r>
    </w:p>
    <w:p w:rsidR="005B0AB1" w:rsidRPr="004C3641" w:rsidRDefault="005B0AB1" w:rsidP="00FA064F">
      <w:pPr>
        <w:pStyle w:val="IssueSubsectionHeading"/>
        <w:rPr>
          <w:vanish/>
          <w:specVanish/>
        </w:rPr>
      </w:pPr>
      <w:r w:rsidRPr="004C3641">
        <w:t>Staff Analysis: </w:t>
      </w:r>
    </w:p>
    <w:p w:rsidR="00E01628" w:rsidRDefault="005B0AB1" w:rsidP="00FA064F">
      <w:pPr>
        <w:jc w:val="both"/>
      </w:pPr>
      <w:r>
        <w:t> </w:t>
      </w:r>
      <w:r w:rsidR="00E01628" w:rsidRPr="004D035E">
        <w:t xml:space="preserve">Cedar Acres should be allowed an annual revenue increase of $79,972 (225.59 percent) for water. This will allow the utility the opportunity to recover its expenses and </w:t>
      </w:r>
      <w:r w:rsidR="003F6ECE">
        <w:t>generate</w:t>
      </w:r>
      <w:r w:rsidR="00E01628" w:rsidRPr="004D035E">
        <w:t xml:space="preserve"> a 10-percent margin as discussed in Issue 7. As noted earlier in other issues, this docket is the utility’s first rate case since its </w:t>
      </w:r>
      <w:r w:rsidR="003F6ECE">
        <w:t>inception</w:t>
      </w:r>
      <w:r w:rsidR="00E01628" w:rsidRPr="004D035E">
        <w:t xml:space="preserve">. It is the first </w:t>
      </w:r>
      <w:proofErr w:type="gramStart"/>
      <w:r w:rsidR="00E01628" w:rsidRPr="004D035E">
        <w:t>rate change</w:t>
      </w:r>
      <w:proofErr w:type="gramEnd"/>
      <w:r w:rsidR="00E01628" w:rsidRPr="004D035E">
        <w:t xml:space="preserve"> since rates were originally set</w:t>
      </w:r>
      <w:r w:rsidR="00E01628">
        <w:t xml:space="preserve"> by Sumter County</w:t>
      </w:r>
      <w:r w:rsidR="00E01628" w:rsidRPr="004D035E">
        <w:t xml:space="preserve"> in the mid 1980s, almost 30 years</w:t>
      </w:r>
      <w:r w:rsidR="00E01628">
        <w:t xml:space="preserve"> ago</w:t>
      </w:r>
      <w:r w:rsidR="003F6ECE" w:rsidRPr="004D035E">
        <w:t xml:space="preserve">. </w:t>
      </w:r>
      <w:r w:rsidR="00E01628" w:rsidRPr="004D035E">
        <w:t>Staff’s revenue requirement calculation is shown on Table 8-1 below:</w:t>
      </w:r>
    </w:p>
    <w:p w:rsidR="00E01628" w:rsidRDefault="00E01628" w:rsidP="00E01628"/>
    <w:p w:rsidR="00E01628" w:rsidRPr="004D035E" w:rsidRDefault="00E01628" w:rsidP="00E01628">
      <w:pPr>
        <w:jc w:val="center"/>
        <w:rPr>
          <w:rFonts w:ascii="Arial" w:hAnsi="Arial" w:cs="Arial"/>
          <w:sz w:val="20"/>
          <w:szCs w:val="20"/>
        </w:rPr>
      </w:pPr>
      <w:r w:rsidRPr="004D035E">
        <w:t>Table 8-1</w:t>
      </w:r>
    </w:p>
    <w:tbl>
      <w:tblPr>
        <w:tblW w:w="0" w:type="auto"/>
        <w:jc w:val="center"/>
        <w:tblCellMar>
          <w:left w:w="120" w:type="dxa"/>
          <w:right w:w="120" w:type="dxa"/>
        </w:tblCellMar>
        <w:tblLook w:val="0000" w:firstRow="0" w:lastRow="0" w:firstColumn="0" w:lastColumn="0" w:noHBand="0" w:noVBand="0"/>
      </w:tblPr>
      <w:tblGrid>
        <w:gridCol w:w="2925"/>
        <w:gridCol w:w="1440"/>
        <w:gridCol w:w="1532"/>
      </w:tblGrid>
      <w:tr w:rsidR="00E01628" w:rsidRPr="004D035E" w:rsidTr="00FF3A07">
        <w:trPr>
          <w:cantSplit/>
          <w:jc w:val="center"/>
        </w:trPr>
        <w:tc>
          <w:tcPr>
            <w:tcW w:w="0" w:type="auto"/>
            <w:tcBorders>
              <w:top w:val="single" w:sz="4" w:space="0" w:color="auto"/>
              <w:left w:val="single" w:sz="4" w:space="0" w:color="auto"/>
              <w:bottom w:val="nil"/>
              <w:right w:val="nil"/>
            </w:tcBorders>
            <w:shd w:val="clear" w:color="auto" w:fill="auto"/>
          </w:tcPr>
          <w:p w:rsidR="00E01628" w:rsidRPr="004D035E" w:rsidRDefault="00E01628" w:rsidP="00FF3A07"/>
        </w:tc>
        <w:tc>
          <w:tcPr>
            <w:tcW w:w="1440" w:type="dxa"/>
            <w:tcBorders>
              <w:top w:val="single" w:sz="4" w:space="0" w:color="auto"/>
              <w:left w:val="nil"/>
              <w:bottom w:val="nil"/>
              <w:right w:val="nil"/>
            </w:tcBorders>
          </w:tcPr>
          <w:p w:rsidR="00E01628" w:rsidRPr="004D035E" w:rsidRDefault="00E01628" w:rsidP="00FF3A07">
            <w:pPr>
              <w:spacing w:before="116" w:after="44"/>
              <w:jc w:val="center"/>
              <w:rPr>
                <w:u w:val="single"/>
              </w:rPr>
            </w:pPr>
          </w:p>
        </w:tc>
        <w:tc>
          <w:tcPr>
            <w:tcW w:w="1532" w:type="dxa"/>
            <w:tcBorders>
              <w:top w:val="single" w:sz="4" w:space="0" w:color="auto"/>
              <w:left w:val="nil"/>
              <w:bottom w:val="nil"/>
              <w:right w:val="single" w:sz="4" w:space="0" w:color="auto"/>
            </w:tcBorders>
          </w:tcPr>
          <w:p w:rsidR="00E01628" w:rsidRPr="004D035E" w:rsidRDefault="00E01628" w:rsidP="00FF3A07">
            <w:pPr>
              <w:spacing w:before="116" w:after="44"/>
              <w:jc w:val="center"/>
              <w:rPr>
                <w:u w:val="single"/>
              </w:rPr>
            </w:pPr>
            <w:r w:rsidRPr="004D035E">
              <w:rPr>
                <w:u w:val="single"/>
              </w:rPr>
              <w:t>Water</w:t>
            </w:r>
          </w:p>
        </w:tc>
      </w:tr>
      <w:tr w:rsidR="00E01628" w:rsidRPr="004D035E" w:rsidTr="00FF3A07">
        <w:trPr>
          <w:cantSplit/>
          <w:jc w:val="center"/>
        </w:trPr>
        <w:tc>
          <w:tcPr>
            <w:tcW w:w="0" w:type="auto"/>
            <w:tcBorders>
              <w:top w:val="nil"/>
              <w:left w:val="single" w:sz="4" w:space="0" w:color="auto"/>
              <w:bottom w:val="nil"/>
              <w:right w:val="nil"/>
            </w:tcBorders>
            <w:shd w:val="clear" w:color="auto" w:fill="auto"/>
          </w:tcPr>
          <w:p w:rsidR="00E01628" w:rsidRPr="004D035E" w:rsidRDefault="00E01628" w:rsidP="00FF3A07">
            <w:pPr>
              <w:spacing w:before="116" w:after="44"/>
            </w:pPr>
            <w:r w:rsidRPr="004D035E">
              <w:t>Adjusted O&amp;M expense</w:t>
            </w:r>
          </w:p>
        </w:tc>
        <w:tc>
          <w:tcPr>
            <w:tcW w:w="1440" w:type="dxa"/>
            <w:tcBorders>
              <w:top w:val="nil"/>
              <w:left w:val="nil"/>
              <w:bottom w:val="nil"/>
              <w:right w:val="nil"/>
            </w:tcBorders>
          </w:tcPr>
          <w:p w:rsidR="00E01628" w:rsidRPr="004D035E" w:rsidRDefault="00E01628" w:rsidP="00FF3A07">
            <w:pPr>
              <w:spacing w:before="116" w:after="44"/>
              <w:jc w:val="center"/>
            </w:pPr>
          </w:p>
        </w:tc>
        <w:tc>
          <w:tcPr>
            <w:tcW w:w="1532" w:type="dxa"/>
            <w:tcBorders>
              <w:top w:val="nil"/>
              <w:left w:val="nil"/>
              <w:right w:val="single" w:sz="4" w:space="0" w:color="auto"/>
            </w:tcBorders>
          </w:tcPr>
          <w:p w:rsidR="00E01628" w:rsidRPr="004D035E" w:rsidRDefault="00E01628" w:rsidP="00FF3A07">
            <w:pPr>
              <w:spacing w:before="116" w:after="44"/>
              <w:jc w:val="right"/>
            </w:pPr>
            <w:r w:rsidRPr="004D035E">
              <w:t>$94,198</w:t>
            </w:r>
          </w:p>
        </w:tc>
      </w:tr>
      <w:tr w:rsidR="00E01628" w:rsidRPr="004D035E" w:rsidTr="00FF3A07">
        <w:trPr>
          <w:cantSplit/>
          <w:jc w:val="center"/>
        </w:trPr>
        <w:tc>
          <w:tcPr>
            <w:tcW w:w="0" w:type="auto"/>
            <w:tcBorders>
              <w:top w:val="nil"/>
              <w:left w:val="single" w:sz="4" w:space="0" w:color="auto"/>
              <w:bottom w:val="nil"/>
              <w:right w:val="nil"/>
            </w:tcBorders>
            <w:shd w:val="clear" w:color="auto" w:fill="auto"/>
          </w:tcPr>
          <w:p w:rsidR="00E01628" w:rsidRPr="004D035E" w:rsidRDefault="003F6ECE" w:rsidP="003F6ECE">
            <w:pPr>
              <w:spacing w:before="116" w:after="44"/>
            </w:pPr>
            <w:r>
              <w:t>10-Percent Margin (%)</w:t>
            </w:r>
          </w:p>
        </w:tc>
        <w:tc>
          <w:tcPr>
            <w:tcW w:w="1440" w:type="dxa"/>
            <w:tcBorders>
              <w:top w:val="nil"/>
              <w:left w:val="nil"/>
              <w:bottom w:val="nil"/>
              <w:right w:val="nil"/>
            </w:tcBorders>
          </w:tcPr>
          <w:p w:rsidR="00E01628" w:rsidRPr="004D035E" w:rsidRDefault="00E01628" w:rsidP="00FF3A07">
            <w:pPr>
              <w:spacing w:before="116" w:after="44"/>
              <w:jc w:val="center"/>
            </w:pPr>
          </w:p>
        </w:tc>
        <w:tc>
          <w:tcPr>
            <w:tcW w:w="1532" w:type="dxa"/>
            <w:tcBorders>
              <w:top w:val="nil"/>
              <w:left w:val="nil"/>
              <w:bottom w:val="single" w:sz="4" w:space="0" w:color="auto"/>
              <w:right w:val="single" w:sz="4" w:space="0" w:color="auto"/>
            </w:tcBorders>
          </w:tcPr>
          <w:p w:rsidR="00E01628" w:rsidRPr="004D035E" w:rsidRDefault="00E01628" w:rsidP="003F6ECE">
            <w:pPr>
              <w:spacing w:before="116" w:after="44"/>
              <w:jc w:val="right"/>
            </w:pPr>
            <w:r w:rsidRPr="004D035E">
              <w:t>x .1</w:t>
            </w:r>
            <w:r w:rsidR="003F6ECE">
              <w:t>0</w:t>
            </w:r>
            <w:r w:rsidRPr="004D035E">
              <w:t>00</w:t>
            </w:r>
          </w:p>
        </w:tc>
      </w:tr>
      <w:tr w:rsidR="00E01628" w:rsidRPr="004D035E" w:rsidTr="00FF3A07">
        <w:trPr>
          <w:cantSplit/>
          <w:jc w:val="center"/>
        </w:trPr>
        <w:tc>
          <w:tcPr>
            <w:tcW w:w="0" w:type="auto"/>
            <w:tcBorders>
              <w:top w:val="nil"/>
              <w:left w:val="single" w:sz="4" w:space="0" w:color="auto"/>
              <w:bottom w:val="nil"/>
              <w:right w:val="nil"/>
            </w:tcBorders>
            <w:shd w:val="clear" w:color="auto" w:fill="auto"/>
          </w:tcPr>
          <w:p w:rsidR="00E01628" w:rsidRPr="004D035E" w:rsidRDefault="00E01628" w:rsidP="00FF3A07">
            <w:pPr>
              <w:spacing w:before="116" w:after="44"/>
            </w:pPr>
            <w:r w:rsidRPr="004D035E">
              <w:t>10-Percent Margin</w:t>
            </w:r>
            <w:r w:rsidR="003F6ECE">
              <w:t xml:space="preserve"> ($)</w:t>
            </w:r>
            <w:r w:rsidRPr="004D035E">
              <w:t xml:space="preserve"> </w:t>
            </w:r>
          </w:p>
        </w:tc>
        <w:tc>
          <w:tcPr>
            <w:tcW w:w="1440" w:type="dxa"/>
            <w:tcBorders>
              <w:top w:val="nil"/>
              <w:left w:val="nil"/>
              <w:bottom w:val="nil"/>
              <w:right w:val="nil"/>
            </w:tcBorders>
          </w:tcPr>
          <w:p w:rsidR="00E01628" w:rsidRPr="004D035E" w:rsidRDefault="00E01628" w:rsidP="00FF3A07">
            <w:pPr>
              <w:spacing w:before="116" w:after="44"/>
              <w:jc w:val="center"/>
            </w:pPr>
          </w:p>
        </w:tc>
        <w:tc>
          <w:tcPr>
            <w:tcW w:w="1532" w:type="dxa"/>
            <w:tcBorders>
              <w:top w:val="single" w:sz="4" w:space="0" w:color="auto"/>
              <w:left w:val="nil"/>
              <w:bottom w:val="nil"/>
              <w:right w:val="single" w:sz="4" w:space="0" w:color="auto"/>
            </w:tcBorders>
          </w:tcPr>
          <w:p w:rsidR="00E01628" w:rsidRPr="004D035E" w:rsidRDefault="00E01628" w:rsidP="00FF3A07">
            <w:pPr>
              <w:spacing w:before="116" w:after="44"/>
              <w:jc w:val="right"/>
            </w:pPr>
            <w:r w:rsidRPr="004D035E">
              <w:t>$9,420</w:t>
            </w:r>
          </w:p>
        </w:tc>
      </w:tr>
      <w:tr w:rsidR="00E01628" w:rsidRPr="004D035E" w:rsidTr="00FF3A07">
        <w:trPr>
          <w:cantSplit/>
          <w:jc w:val="center"/>
        </w:trPr>
        <w:tc>
          <w:tcPr>
            <w:tcW w:w="0" w:type="auto"/>
            <w:tcBorders>
              <w:top w:val="nil"/>
              <w:left w:val="single" w:sz="4" w:space="0" w:color="auto"/>
              <w:bottom w:val="nil"/>
              <w:right w:val="nil"/>
            </w:tcBorders>
            <w:shd w:val="clear" w:color="auto" w:fill="auto"/>
          </w:tcPr>
          <w:p w:rsidR="00E01628" w:rsidRPr="004D035E" w:rsidRDefault="00E01628" w:rsidP="00FF3A07">
            <w:pPr>
              <w:spacing w:before="116" w:after="44"/>
            </w:pPr>
            <w:r w:rsidRPr="004D035E">
              <w:t>Adjusted O&amp;M expense</w:t>
            </w:r>
          </w:p>
        </w:tc>
        <w:tc>
          <w:tcPr>
            <w:tcW w:w="1440" w:type="dxa"/>
            <w:tcBorders>
              <w:top w:val="nil"/>
              <w:left w:val="nil"/>
              <w:bottom w:val="nil"/>
              <w:right w:val="nil"/>
            </w:tcBorders>
          </w:tcPr>
          <w:p w:rsidR="00E01628" w:rsidRPr="004D035E" w:rsidRDefault="00E01628" w:rsidP="00FF3A07">
            <w:pPr>
              <w:spacing w:before="116" w:after="44"/>
              <w:jc w:val="center"/>
            </w:pPr>
          </w:p>
        </w:tc>
        <w:tc>
          <w:tcPr>
            <w:tcW w:w="1532" w:type="dxa"/>
            <w:tcBorders>
              <w:top w:val="nil"/>
              <w:left w:val="nil"/>
              <w:bottom w:val="nil"/>
              <w:right w:val="single" w:sz="4" w:space="0" w:color="auto"/>
            </w:tcBorders>
          </w:tcPr>
          <w:p w:rsidR="00E01628" w:rsidRPr="004D035E" w:rsidRDefault="00E01628" w:rsidP="00FF3A07">
            <w:pPr>
              <w:spacing w:before="116" w:after="44"/>
              <w:jc w:val="right"/>
            </w:pPr>
            <w:r w:rsidRPr="004D035E">
              <w:t>94,198</w:t>
            </w:r>
          </w:p>
        </w:tc>
      </w:tr>
      <w:tr w:rsidR="00E01628" w:rsidRPr="004D035E" w:rsidTr="00FF3A07">
        <w:trPr>
          <w:cantSplit/>
          <w:jc w:val="center"/>
        </w:trPr>
        <w:tc>
          <w:tcPr>
            <w:tcW w:w="0" w:type="auto"/>
            <w:tcBorders>
              <w:top w:val="nil"/>
              <w:left w:val="single" w:sz="4" w:space="0" w:color="auto"/>
              <w:bottom w:val="nil"/>
              <w:right w:val="nil"/>
            </w:tcBorders>
            <w:shd w:val="clear" w:color="auto" w:fill="auto"/>
          </w:tcPr>
          <w:p w:rsidR="00E01628" w:rsidRPr="004D035E" w:rsidRDefault="00E01628" w:rsidP="00FF3A07">
            <w:pPr>
              <w:spacing w:before="116" w:after="44"/>
            </w:pPr>
            <w:r w:rsidRPr="004D035E">
              <w:t>Depreciation expense (Net)</w:t>
            </w:r>
          </w:p>
        </w:tc>
        <w:tc>
          <w:tcPr>
            <w:tcW w:w="1440" w:type="dxa"/>
            <w:tcBorders>
              <w:top w:val="nil"/>
              <w:left w:val="nil"/>
              <w:bottom w:val="nil"/>
              <w:right w:val="nil"/>
            </w:tcBorders>
          </w:tcPr>
          <w:p w:rsidR="00E01628" w:rsidRPr="004D035E" w:rsidRDefault="00E01628" w:rsidP="00FF3A07">
            <w:pPr>
              <w:spacing w:before="116" w:after="44"/>
              <w:jc w:val="center"/>
            </w:pPr>
          </w:p>
        </w:tc>
        <w:tc>
          <w:tcPr>
            <w:tcW w:w="1532" w:type="dxa"/>
            <w:tcBorders>
              <w:top w:val="nil"/>
              <w:left w:val="nil"/>
              <w:bottom w:val="nil"/>
              <w:right w:val="single" w:sz="4" w:space="0" w:color="auto"/>
            </w:tcBorders>
          </w:tcPr>
          <w:p w:rsidR="00E01628" w:rsidRPr="004D035E" w:rsidRDefault="00E01628" w:rsidP="00FF3A07">
            <w:pPr>
              <w:spacing w:before="116" w:after="44"/>
              <w:jc w:val="right"/>
            </w:pPr>
            <w:r w:rsidRPr="004D035E">
              <w:t>2,653</w:t>
            </w:r>
          </w:p>
        </w:tc>
      </w:tr>
      <w:tr w:rsidR="00E01628" w:rsidRPr="004D035E" w:rsidTr="00FF3A07">
        <w:trPr>
          <w:cantSplit/>
          <w:jc w:val="center"/>
        </w:trPr>
        <w:tc>
          <w:tcPr>
            <w:tcW w:w="0" w:type="auto"/>
            <w:tcBorders>
              <w:top w:val="nil"/>
              <w:left w:val="single" w:sz="4" w:space="0" w:color="auto"/>
              <w:bottom w:val="nil"/>
              <w:right w:val="nil"/>
            </w:tcBorders>
            <w:shd w:val="clear" w:color="auto" w:fill="auto"/>
          </w:tcPr>
          <w:p w:rsidR="00E01628" w:rsidRPr="004D035E" w:rsidRDefault="00E01628" w:rsidP="00FF3A07">
            <w:pPr>
              <w:spacing w:before="116" w:after="44"/>
            </w:pPr>
            <w:r w:rsidRPr="004D035E">
              <w:t>Amortization</w:t>
            </w:r>
          </w:p>
        </w:tc>
        <w:tc>
          <w:tcPr>
            <w:tcW w:w="1440" w:type="dxa"/>
            <w:tcBorders>
              <w:top w:val="nil"/>
              <w:left w:val="nil"/>
              <w:bottom w:val="nil"/>
              <w:right w:val="nil"/>
            </w:tcBorders>
          </w:tcPr>
          <w:p w:rsidR="00E01628" w:rsidRPr="004D035E" w:rsidRDefault="00E01628" w:rsidP="00FF3A07">
            <w:pPr>
              <w:spacing w:before="116" w:after="44"/>
              <w:jc w:val="center"/>
            </w:pPr>
          </w:p>
        </w:tc>
        <w:tc>
          <w:tcPr>
            <w:tcW w:w="1532" w:type="dxa"/>
            <w:tcBorders>
              <w:top w:val="nil"/>
              <w:left w:val="nil"/>
              <w:bottom w:val="nil"/>
              <w:right w:val="single" w:sz="4" w:space="0" w:color="auto"/>
            </w:tcBorders>
          </w:tcPr>
          <w:p w:rsidR="00E01628" w:rsidRPr="004D035E" w:rsidRDefault="00E01628" w:rsidP="00FF3A07">
            <w:pPr>
              <w:spacing w:before="116" w:after="44"/>
              <w:jc w:val="right"/>
            </w:pPr>
            <w:r w:rsidRPr="004D035E">
              <w:t>0</w:t>
            </w:r>
          </w:p>
        </w:tc>
      </w:tr>
      <w:tr w:rsidR="00E01628" w:rsidRPr="004D035E" w:rsidTr="00FF3A07">
        <w:trPr>
          <w:cantSplit/>
          <w:jc w:val="center"/>
        </w:trPr>
        <w:tc>
          <w:tcPr>
            <w:tcW w:w="0" w:type="auto"/>
            <w:tcBorders>
              <w:top w:val="nil"/>
              <w:left w:val="single" w:sz="4" w:space="0" w:color="auto"/>
              <w:bottom w:val="nil"/>
              <w:right w:val="nil"/>
            </w:tcBorders>
            <w:shd w:val="clear" w:color="auto" w:fill="auto"/>
          </w:tcPr>
          <w:p w:rsidR="00E01628" w:rsidRPr="004D035E" w:rsidRDefault="00E01628" w:rsidP="00FF3A07">
            <w:pPr>
              <w:spacing w:before="116" w:after="44"/>
            </w:pPr>
            <w:r w:rsidRPr="004D035E">
              <w:t>Taxes Other Than Income</w:t>
            </w:r>
          </w:p>
        </w:tc>
        <w:tc>
          <w:tcPr>
            <w:tcW w:w="1440" w:type="dxa"/>
            <w:tcBorders>
              <w:top w:val="nil"/>
              <w:left w:val="nil"/>
              <w:bottom w:val="nil"/>
              <w:right w:val="nil"/>
            </w:tcBorders>
          </w:tcPr>
          <w:p w:rsidR="00E01628" w:rsidRPr="004D035E" w:rsidRDefault="00E01628" w:rsidP="00FF3A07">
            <w:pPr>
              <w:spacing w:before="116" w:after="44"/>
              <w:jc w:val="center"/>
            </w:pPr>
          </w:p>
        </w:tc>
        <w:tc>
          <w:tcPr>
            <w:tcW w:w="1532" w:type="dxa"/>
            <w:tcBorders>
              <w:top w:val="nil"/>
              <w:left w:val="nil"/>
              <w:right w:val="single" w:sz="4" w:space="0" w:color="auto"/>
            </w:tcBorders>
          </w:tcPr>
          <w:p w:rsidR="00E01628" w:rsidRPr="004D035E" w:rsidRDefault="00E01628" w:rsidP="00FF3A07">
            <w:pPr>
              <w:spacing w:before="116" w:after="44"/>
              <w:jc w:val="right"/>
            </w:pPr>
            <w:r w:rsidRPr="004D035E">
              <w:t>9,152</w:t>
            </w:r>
          </w:p>
        </w:tc>
      </w:tr>
      <w:tr w:rsidR="00E01628" w:rsidRPr="004D035E" w:rsidTr="00FF3A07">
        <w:trPr>
          <w:cantSplit/>
          <w:jc w:val="center"/>
        </w:trPr>
        <w:tc>
          <w:tcPr>
            <w:tcW w:w="0" w:type="auto"/>
            <w:tcBorders>
              <w:top w:val="nil"/>
              <w:left w:val="single" w:sz="4" w:space="0" w:color="auto"/>
              <w:bottom w:val="nil"/>
              <w:right w:val="nil"/>
            </w:tcBorders>
            <w:shd w:val="clear" w:color="auto" w:fill="auto"/>
          </w:tcPr>
          <w:p w:rsidR="00E01628" w:rsidRPr="004D035E" w:rsidRDefault="00E01628" w:rsidP="00FF3A07">
            <w:pPr>
              <w:spacing w:before="116" w:after="44"/>
            </w:pPr>
            <w:r w:rsidRPr="004D035E">
              <w:t>Income Taxes</w:t>
            </w:r>
          </w:p>
        </w:tc>
        <w:tc>
          <w:tcPr>
            <w:tcW w:w="1440" w:type="dxa"/>
            <w:tcBorders>
              <w:top w:val="nil"/>
              <w:left w:val="nil"/>
              <w:bottom w:val="nil"/>
              <w:right w:val="nil"/>
            </w:tcBorders>
          </w:tcPr>
          <w:p w:rsidR="00E01628" w:rsidRPr="004D035E" w:rsidRDefault="00E01628" w:rsidP="00FF3A07">
            <w:pPr>
              <w:spacing w:before="116" w:after="44"/>
              <w:jc w:val="center"/>
            </w:pPr>
          </w:p>
        </w:tc>
        <w:tc>
          <w:tcPr>
            <w:tcW w:w="1532" w:type="dxa"/>
            <w:tcBorders>
              <w:top w:val="nil"/>
              <w:left w:val="nil"/>
              <w:bottom w:val="single" w:sz="4" w:space="0" w:color="auto"/>
              <w:right w:val="single" w:sz="4" w:space="0" w:color="auto"/>
            </w:tcBorders>
          </w:tcPr>
          <w:p w:rsidR="00E01628" w:rsidRPr="004D035E" w:rsidRDefault="00E01628" w:rsidP="00FF3A07">
            <w:pPr>
              <w:spacing w:before="116" w:after="44"/>
              <w:jc w:val="right"/>
            </w:pPr>
            <w:r w:rsidRPr="004D035E">
              <w:t>0</w:t>
            </w:r>
          </w:p>
        </w:tc>
      </w:tr>
      <w:tr w:rsidR="00E01628" w:rsidRPr="004D035E" w:rsidTr="00FF3A07">
        <w:trPr>
          <w:cantSplit/>
          <w:jc w:val="center"/>
        </w:trPr>
        <w:tc>
          <w:tcPr>
            <w:tcW w:w="0" w:type="auto"/>
            <w:tcBorders>
              <w:top w:val="nil"/>
              <w:left w:val="single" w:sz="4" w:space="0" w:color="auto"/>
              <w:bottom w:val="nil"/>
              <w:right w:val="nil"/>
            </w:tcBorders>
            <w:shd w:val="clear" w:color="auto" w:fill="auto"/>
          </w:tcPr>
          <w:p w:rsidR="00E01628" w:rsidRPr="004D035E" w:rsidRDefault="00E01628" w:rsidP="00FF3A07">
            <w:pPr>
              <w:spacing w:before="116" w:after="44"/>
            </w:pPr>
            <w:r w:rsidRPr="004D035E">
              <w:t xml:space="preserve">Revenue Requirement </w:t>
            </w:r>
          </w:p>
        </w:tc>
        <w:tc>
          <w:tcPr>
            <w:tcW w:w="1440" w:type="dxa"/>
            <w:tcBorders>
              <w:top w:val="nil"/>
              <w:left w:val="nil"/>
              <w:bottom w:val="nil"/>
              <w:right w:val="nil"/>
            </w:tcBorders>
          </w:tcPr>
          <w:p w:rsidR="00E01628" w:rsidRPr="004D035E" w:rsidRDefault="00E01628" w:rsidP="00FF3A07">
            <w:pPr>
              <w:spacing w:before="116" w:after="44"/>
              <w:jc w:val="center"/>
            </w:pPr>
          </w:p>
        </w:tc>
        <w:tc>
          <w:tcPr>
            <w:tcW w:w="1532" w:type="dxa"/>
            <w:tcBorders>
              <w:top w:val="single" w:sz="4" w:space="0" w:color="auto"/>
              <w:left w:val="nil"/>
              <w:right w:val="single" w:sz="4" w:space="0" w:color="auto"/>
            </w:tcBorders>
          </w:tcPr>
          <w:p w:rsidR="00E01628" w:rsidRPr="004D035E" w:rsidRDefault="00E01628" w:rsidP="00FF3A07">
            <w:pPr>
              <w:spacing w:before="116" w:after="44"/>
              <w:jc w:val="right"/>
            </w:pPr>
            <w:r w:rsidRPr="004D035E">
              <w:t>$115,423</w:t>
            </w:r>
          </w:p>
        </w:tc>
      </w:tr>
      <w:tr w:rsidR="00E01628" w:rsidRPr="004D035E" w:rsidTr="00FF3A07">
        <w:trPr>
          <w:cantSplit/>
          <w:jc w:val="center"/>
        </w:trPr>
        <w:tc>
          <w:tcPr>
            <w:tcW w:w="0" w:type="auto"/>
            <w:tcBorders>
              <w:top w:val="nil"/>
              <w:left w:val="single" w:sz="4" w:space="0" w:color="auto"/>
              <w:bottom w:val="nil"/>
              <w:right w:val="nil"/>
            </w:tcBorders>
            <w:shd w:val="clear" w:color="auto" w:fill="auto"/>
          </w:tcPr>
          <w:p w:rsidR="00E01628" w:rsidRPr="004D035E" w:rsidRDefault="00E01628" w:rsidP="00FF3A07">
            <w:pPr>
              <w:spacing w:before="116" w:after="44"/>
            </w:pPr>
            <w:r w:rsidRPr="004D035E">
              <w:t>Less Test Year Revenues</w:t>
            </w:r>
          </w:p>
        </w:tc>
        <w:tc>
          <w:tcPr>
            <w:tcW w:w="1440" w:type="dxa"/>
            <w:tcBorders>
              <w:top w:val="nil"/>
              <w:left w:val="nil"/>
              <w:bottom w:val="nil"/>
              <w:right w:val="nil"/>
            </w:tcBorders>
          </w:tcPr>
          <w:p w:rsidR="00E01628" w:rsidRPr="004D035E" w:rsidRDefault="00E01628" w:rsidP="00FF3A07">
            <w:pPr>
              <w:spacing w:before="116" w:after="44"/>
              <w:jc w:val="center"/>
            </w:pPr>
          </w:p>
        </w:tc>
        <w:tc>
          <w:tcPr>
            <w:tcW w:w="1532" w:type="dxa"/>
            <w:tcBorders>
              <w:top w:val="nil"/>
              <w:left w:val="nil"/>
              <w:bottom w:val="single" w:sz="4" w:space="0" w:color="auto"/>
              <w:right w:val="single" w:sz="4" w:space="0" w:color="auto"/>
            </w:tcBorders>
          </w:tcPr>
          <w:p w:rsidR="00E01628" w:rsidRPr="004D035E" w:rsidRDefault="00E01628" w:rsidP="00FF3A07">
            <w:pPr>
              <w:spacing w:before="116" w:after="44"/>
              <w:jc w:val="right"/>
            </w:pPr>
            <w:r w:rsidRPr="004D035E">
              <w:t>35,451</w:t>
            </w:r>
          </w:p>
        </w:tc>
      </w:tr>
      <w:tr w:rsidR="00E01628" w:rsidRPr="004D035E" w:rsidTr="00FF3A07">
        <w:trPr>
          <w:cantSplit/>
          <w:jc w:val="center"/>
        </w:trPr>
        <w:tc>
          <w:tcPr>
            <w:tcW w:w="0" w:type="auto"/>
            <w:tcBorders>
              <w:top w:val="nil"/>
              <w:left w:val="single" w:sz="4" w:space="0" w:color="auto"/>
              <w:right w:val="nil"/>
            </w:tcBorders>
            <w:shd w:val="clear" w:color="auto" w:fill="auto"/>
          </w:tcPr>
          <w:p w:rsidR="00E01628" w:rsidRPr="004D035E" w:rsidRDefault="00E01628" w:rsidP="00FF3A07">
            <w:pPr>
              <w:spacing w:before="116" w:after="44"/>
            </w:pPr>
            <w:r w:rsidRPr="004D035E">
              <w:t>Annual Increase</w:t>
            </w:r>
          </w:p>
        </w:tc>
        <w:tc>
          <w:tcPr>
            <w:tcW w:w="1440" w:type="dxa"/>
            <w:tcBorders>
              <w:top w:val="nil"/>
              <w:left w:val="nil"/>
              <w:right w:val="nil"/>
            </w:tcBorders>
          </w:tcPr>
          <w:p w:rsidR="00E01628" w:rsidRPr="004D035E" w:rsidRDefault="00E01628" w:rsidP="00FF3A07">
            <w:pPr>
              <w:spacing w:before="116" w:after="44"/>
              <w:jc w:val="center"/>
            </w:pPr>
          </w:p>
        </w:tc>
        <w:tc>
          <w:tcPr>
            <w:tcW w:w="1532" w:type="dxa"/>
            <w:tcBorders>
              <w:top w:val="single" w:sz="4" w:space="0" w:color="auto"/>
              <w:left w:val="nil"/>
              <w:bottom w:val="double" w:sz="4" w:space="0" w:color="auto"/>
              <w:right w:val="single" w:sz="4" w:space="0" w:color="auto"/>
            </w:tcBorders>
          </w:tcPr>
          <w:p w:rsidR="00E01628" w:rsidRPr="004D035E" w:rsidRDefault="00E01628" w:rsidP="00FF3A07">
            <w:pPr>
              <w:spacing w:before="116" w:after="44"/>
              <w:jc w:val="right"/>
            </w:pPr>
            <w:r w:rsidRPr="004D035E">
              <w:t>$79,972</w:t>
            </w:r>
          </w:p>
        </w:tc>
      </w:tr>
      <w:tr w:rsidR="00E01628" w:rsidRPr="004D035E" w:rsidTr="00FF3A07">
        <w:trPr>
          <w:cantSplit/>
          <w:trHeight w:val="372"/>
          <w:jc w:val="center"/>
        </w:trPr>
        <w:tc>
          <w:tcPr>
            <w:tcW w:w="0" w:type="auto"/>
            <w:tcBorders>
              <w:left w:val="single" w:sz="4" w:space="0" w:color="auto"/>
              <w:right w:val="nil"/>
            </w:tcBorders>
            <w:shd w:val="clear" w:color="auto" w:fill="auto"/>
          </w:tcPr>
          <w:p w:rsidR="00E01628" w:rsidRPr="004D035E" w:rsidRDefault="00E01628" w:rsidP="00FF3A07">
            <w:pPr>
              <w:spacing w:before="116" w:after="44"/>
            </w:pPr>
            <w:r w:rsidRPr="004D035E">
              <w:t>Percent Increase/(Decrease)</w:t>
            </w:r>
          </w:p>
        </w:tc>
        <w:tc>
          <w:tcPr>
            <w:tcW w:w="1440" w:type="dxa"/>
            <w:tcBorders>
              <w:left w:val="nil"/>
              <w:right w:val="nil"/>
            </w:tcBorders>
          </w:tcPr>
          <w:p w:rsidR="00E01628" w:rsidRPr="004D035E" w:rsidRDefault="00E01628" w:rsidP="00FF3A07">
            <w:pPr>
              <w:spacing w:before="116" w:after="44"/>
              <w:jc w:val="center"/>
            </w:pPr>
          </w:p>
        </w:tc>
        <w:tc>
          <w:tcPr>
            <w:tcW w:w="1532" w:type="dxa"/>
            <w:tcBorders>
              <w:top w:val="double" w:sz="4" w:space="0" w:color="auto"/>
              <w:left w:val="nil"/>
              <w:bottom w:val="double" w:sz="4" w:space="0" w:color="auto"/>
              <w:right w:val="single" w:sz="4" w:space="0" w:color="auto"/>
            </w:tcBorders>
          </w:tcPr>
          <w:p w:rsidR="00E01628" w:rsidRPr="004D035E" w:rsidRDefault="00E01628" w:rsidP="00FF3A07">
            <w:pPr>
              <w:spacing w:before="116" w:after="44"/>
              <w:jc w:val="right"/>
            </w:pPr>
            <w:r w:rsidRPr="004D035E">
              <w:t>225.59%</w:t>
            </w:r>
          </w:p>
        </w:tc>
      </w:tr>
      <w:tr w:rsidR="00E01628" w:rsidRPr="004D035E" w:rsidTr="00FF3A07">
        <w:trPr>
          <w:cantSplit/>
          <w:trHeight w:val="372"/>
          <w:jc w:val="center"/>
        </w:trPr>
        <w:tc>
          <w:tcPr>
            <w:tcW w:w="0" w:type="auto"/>
            <w:tcBorders>
              <w:left w:val="single" w:sz="4" w:space="0" w:color="auto"/>
              <w:bottom w:val="single" w:sz="4" w:space="0" w:color="auto"/>
              <w:right w:val="nil"/>
            </w:tcBorders>
            <w:shd w:val="clear" w:color="auto" w:fill="auto"/>
          </w:tcPr>
          <w:p w:rsidR="00E01628" w:rsidRPr="004D035E" w:rsidRDefault="00E01628" w:rsidP="00FF3A07">
            <w:pPr>
              <w:spacing w:before="116" w:after="44"/>
            </w:pPr>
          </w:p>
        </w:tc>
        <w:tc>
          <w:tcPr>
            <w:tcW w:w="1440" w:type="dxa"/>
            <w:tcBorders>
              <w:left w:val="nil"/>
              <w:bottom w:val="single" w:sz="4" w:space="0" w:color="auto"/>
              <w:right w:val="nil"/>
            </w:tcBorders>
          </w:tcPr>
          <w:p w:rsidR="00E01628" w:rsidRPr="004D035E" w:rsidRDefault="00E01628" w:rsidP="00FF3A07">
            <w:pPr>
              <w:spacing w:before="116" w:after="44"/>
              <w:jc w:val="center"/>
            </w:pPr>
          </w:p>
        </w:tc>
        <w:tc>
          <w:tcPr>
            <w:tcW w:w="1532" w:type="dxa"/>
            <w:tcBorders>
              <w:top w:val="double" w:sz="4" w:space="0" w:color="auto"/>
              <w:left w:val="nil"/>
              <w:bottom w:val="single" w:sz="4" w:space="0" w:color="auto"/>
              <w:right w:val="single" w:sz="4" w:space="0" w:color="auto"/>
            </w:tcBorders>
          </w:tcPr>
          <w:p w:rsidR="00E01628" w:rsidRPr="004D035E" w:rsidRDefault="00E01628" w:rsidP="00FF3A07">
            <w:pPr>
              <w:spacing w:before="116" w:after="44"/>
              <w:jc w:val="right"/>
            </w:pPr>
          </w:p>
        </w:tc>
      </w:tr>
    </w:tbl>
    <w:p w:rsidR="005B0AB1" w:rsidRDefault="005B0AB1">
      <w:pPr>
        <w:pStyle w:val="BodyText"/>
      </w:pPr>
    </w:p>
    <w:p w:rsidR="005B0AB1" w:rsidRDefault="005B0AB1">
      <w:r>
        <w:br w:type="page"/>
      </w:r>
    </w:p>
    <w:p w:rsidR="005A5399" w:rsidRDefault="005A5399">
      <w:pPr>
        <w:pStyle w:val="IssueHeading"/>
        <w:rPr>
          <w:vanish/>
          <w:specVanish/>
        </w:rPr>
      </w:pPr>
      <w:r w:rsidRPr="004C3641">
        <w:lastRenderedPageBreak/>
        <w:t xml:space="preserve">Issue </w:t>
      </w:r>
      <w:r w:rsidR="00877001">
        <w:fldChar w:fldCharType="begin"/>
      </w:r>
      <w:r w:rsidR="005B0AB1">
        <w:instrText>seq issue</w:instrText>
      </w:r>
      <w:r w:rsidR="00877001">
        <w:fldChar w:fldCharType="separate"/>
      </w:r>
      <w:r w:rsidR="000C12D8">
        <w:rPr>
          <w:noProof/>
        </w:rPr>
        <w:t>9</w:t>
      </w:r>
      <w:r w:rsidR="0087700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431459581"/>
      <w:r w:rsidR="000C12D8">
        <w:rPr>
          <w:noProof/>
        </w:rPr>
        <w:instrText>9</w:instrText>
      </w:r>
      <w:r>
        <w:fldChar w:fldCharType="end"/>
      </w:r>
      <w:r>
        <w:tab/>
      </w:r>
      <w:r w:rsidR="008A1CF0">
        <w:instrText>Rates and Rate Structure (Thompson)</w:instrText>
      </w:r>
      <w:bookmarkEnd w:id="25"/>
      <w:r>
        <w:instrText xml:space="preserve">" \l 1 </w:instrText>
      </w:r>
      <w:r>
        <w:fldChar w:fldCharType="end"/>
      </w:r>
      <w:r>
        <w:t> </w:t>
      </w:r>
    </w:p>
    <w:p w:rsidR="005A5399" w:rsidRDefault="005A5399">
      <w:pPr>
        <w:pStyle w:val="BodyText"/>
      </w:pPr>
      <w:r>
        <w:t> </w:t>
      </w:r>
      <w:r w:rsidR="007F661E" w:rsidRPr="002C2D07">
        <w:t xml:space="preserve">What are the appropriate rate structure and rates for </w:t>
      </w:r>
      <w:r w:rsidR="007F661E">
        <w:t>Cedar Acres</w:t>
      </w:r>
      <w:r w:rsidR="007F661E" w:rsidRPr="002C2D07">
        <w:t xml:space="preserve">’ water </w:t>
      </w:r>
      <w:r w:rsidR="007F661E">
        <w:t>s</w:t>
      </w:r>
      <w:r w:rsidR="007F661E" w:rsidRPr="002C2D07">
        <w:t>ystem?</w:t>
      </w:r>
    </w:p>
    <w:p w:rsidR="005A5399" w:rsidRPr="004C3641" w:rsidRDefault="005A5399">
      <w:pPr>
        <w:pStyle w:val="IssueSubsectionHeading"/>
        <w:rPr>
          <w:vanish/>
          <w:specVanish/>
        </w:rPr>
      </w:pPr>
      <w:r w:rsidRPr="004C3641">
        <w:t>Recommendation: </w:t>
      </w:r>
    </w:p>
    <w:p w:rsidR="005A5399" w:rsidRDefault="005A5399">
      <w:pPr>
        <w:pStyle w:val="BodyText"/>
      </w:pPr>
      <w:r>
        <w:t> </w:t>
      </w:r>
      <w:r w:rsidR="007F661E">
        <w:t> </w:t>
      </w:r>
      <w:r w:rsidR="007F661E" w:rsidRPr="004F73C6">
        <w:t xml:space="preserve">The recommended </w:t>
      </w:r>
      <w:r w:rsidR="007F661E">
        <w:t xml:space="preserve">rate structure and </w:t>
      </w:r>
      <w:r w:rsidR="007F661E" w:rsidRPr="004F73C6">
        <w:t xml:space="preserve">monthly water </w:t>
      </w:r>
      <w:r w:rsidR="007F661E">
        <w:t>rates are shown on Schedule Nos</w:t>
      </w:r>
      <w:r w:rsidR="007F661E" w:rsidRPr="004F73C6">
        <w:t>. 4</w:t>
      </w:r>
      <w:r w:rsidR="007F661E">
        <w:t>-A and 4-B</w:t>
      </w:r>
      <w:r w:rsidR="007F661E" w:rsidRPr="004F73C6">
        <w:t>.</w:t>
      </w:r>
      <w:r w:rsidR="007F661E">
        <w:t xml:space="preserve"> The u</w:t>
      </w:r>
      <w:r w:rsidR="007F661E" w:rsidRPr="004F73C6">
        <w:t>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w:t>
      </w:r>
      <w:r w:rsidR="007F661E">
        <w:t>r notice and the notice has bee</w:t>
      </w:r>
      <w:r w:rsidR="007F661E" w:rsidRPr="004F73C6">
        <w:t>n</w:t>
      </w:r>
      <w:r w:rsidR="007F661E">
        <w:t xml:space="preserve"> </w:t>
      </w:r>
      <w:r w:rsidR="007F661E" w:rsidRPr="004F73C6">
        <w:t>r</w:t>
      </w:r>
      <w:r w:rsidR="007F661E">
        <w:t>eceived by the customers. The u</w:t>
      </w:r>
      <w:r w:rsidR="007F661E" w:rsidRPr="004F73C6">
        <w:t>tility should provide proof of the date notice was given within 10 days of the date of the notice.</w:t>
      </w:r>
      <w:r>
        <w:t xml:space="preserve"> (Thompson)</w:t>
      </w:r>
    </w:p>
    <w:p w:rsidR="005A5399" w:rsidRPr="004C3641" w:rsidRDefault="005A5399">
      <w:pPr>
        <w:pStyle w:val="IssueSubsectionHeading"/>
        <w:rPr>
          <w:vanish/>
          <w:specVanish/>
        </w:rPr>
      </w:pPr>
      <w:r w:rsidRPr="004C3641">
        <w:t>Staff Analysis: </w:t>
      </w:r>
    </w:p>
    <w:p w:rsidR="007F661E" w:rsidRDefault="005A5399" w:rsidP="007F661E">
      <w:pPr>
        <w:jc w:val="both"/>
      </w:pPr>
      <w:r>
        <w:t> </w:t>
      </w:r>
      <w:r w:rsidR="007F661E" w:rsidRPr="00D438E8">
        <w:t xml:space="preserve">The </w:t>
      </w:r>
      <w:r w:rsidR="007F661E">
        <w:t>Cedar Acres</w:t>
      </w:r>
      <w:r w:rsidR="007F661E" w:rsidRPr="00D438E8">
        <w:t xml:space="preserve"> water system is located in </w:t>
      </w:r>
      <w:r w:rsidR="007F661E">
        <w:t>Sumter</w:t>
      </w:r>
      <w:r w:rsidR="007F661E" w:rsidRPr="00D438E8">
        <w:t xml:space="preserve"> County within the </w:t>
      </w:r>
      <w:r w:rsidR="007F661E" w:rsidRPr="00466D74">
        <w:t>Southwest Florida</w:t>
      </w:r>
      <w:r w:rsidR="007F661E" w:rsidRPr="00D438E8">
        <w:t xml:space="preserve"> Water Man</w:t>
      </w:r>
      <w:r w:rsidR="007F661E">
        <w:t>agement District. The u</w:t>
      </w:r>
      <w:r w:rsidR="007F661E" w:rsidRPr="00D438E8">
        <w:t xml:space="preserve">tility provides water service to approximately </w:t>
      </w:r>
      <w:r w:rsidR="007F661E">
        <w:t xml:space="preserve">319 residential </w:t>
      </w:r>
      <w:r w:rsidR="007F661E" w:rsidRPr="00D438E8">
        <w:t xml:space="preserve">customers. </w:t>
      </w:r>
      <w:r w:rsidR="007F661E">
        <w:t xml:space="preserve">The </w:t>
      </w:r>
      <w:r w:rsidR="007F661E" w:rsidRPr="00D438E8">
        <w:t>percent</w:t>
      </w:r>
      <w:r w:rsidR="007F661E">
        <w:t>age</w:t>
      </w:r>
      <w:r w:rsidR="007F661E" w:rsidRPr="00D438E8">
        <w:t xml:space="preserve"> of residential </w:t>
      </w:r>
      <w:r w:rsidR="007F661E">
        <w:t>zero gallon customer bills reflected during the test year</w:t>
      </w:r>
      <w:r w:rsidR="007F661E" w:rsidRPr="00D438E8">
        <w:t xml:space="preserve"> indicat</w:t>
      </w:r>
      <w:r w:rsidR="007F661E">
        <w:t>es</w:t>
      </w:r>
      <w:r w:rsidR="007F661E" w:rsidRPr="00D438E8">
        <w:t xml:space="preserve"> a non-seasonal customer base. The average residential water demand is </w:t>
      </w:r>
      <w:r w:rsidR="007F661E">
        <w:t>approximately 5,797</w:t>
      </w:r>
      <w:r w:rsidR="007F661E" w:rsidRPr="00D438E8">
        <w:t xml:space="preserve"> gal</w:t>
      </w:r>
      <w:r w:rsidR="007F661E">
        <w:t>lons per month. Currently, the u</w:t>
      </w:r>
      <w:r w:rsidR="007F661E" w:rsidRPr="00D438E8">
        <w:t xml:space="preserve">tility’s rate structure consists of a monthly </w:t>
      </w:r>
      <w:r w:rsidR="007F661E">
        <w:t>base facility charge (</w:t>
      </w:r>
      <w:r w:rsidR="007F661E" w:rsidRPr="00D438E8">
        <w:t>BFC</w:t>
      </w:r>
      <w:r w:rsidR="007F661E">
        <w:t>)</w:t>
      </w:r>
      <w:r w:rsidR="007F661E" w:rsidRPr="00D438E8">
        <w:t xml:space="preserve"> of $</w:t>
      </w:r>
      <w:r w:rsidR="007F661E">
        <w:t>9.00 for all meter sizes</w:t>
      </w:r>
      <w:r w:rsidR="007F661E" w:rsidRPr="00D438E8">
        <w:t xml:space="preserve"> and a </w:t>
      </w:r>
      <w:r w:rsidR="007F661E">
        <w:t xml:space="preserve">uniform </w:t>
      </w:r>
      <w:proofErr w:type="spellStart"/>
      <w:r w:rsidR="007F661E">
        <w:t>gallonage</w:t>
      </w:r>
      <w:proofErr w:type="spellEnd"/>
      <w:r w:rsidR="007F661E">
        <w:t xml:space="preserve"> charge of $.045 per 1,000 gallons, which is </w:t>
      </w:r>
      <w:r w:rsidR="007F661E" w:rsidRPr="00D438E8">
        <w:t xml:space="preserve">billed </w:t>
      </w:r>
      <w:r w:rsidR="007F661E">
        <w:t>bi-monthly.</w:t>
      </w:r>
    </w:p>
    <w:p w:rsidR="0091161C" w:rsidRPr="00D438E8" w:rsidRDefault="0091161C" w:rsidP="007F661E">
      <w:pPr>
        <w:jc w:val="both"/>
      </w:pPr>
    </w:p>
    <w:p w:rsidR="007F661E" w:rsidRPr="00D438E8" w:rsidRDefault="007F661E" w:rsidP="007F661E">
      <w:pPr>
        <w:jc w:val="both"/>
      </w:pPr>
      <w:r w:rsidRPr="00D438E8">
        <w:t>Staf</w:t>
      </w:r>
      <w:r>
        <w:t>f performed an analysis of the u</w:t>
      </w:r>
      <w:r w:rsidRPr="00D438E8">
        <w:t>tility’s billing data in order to evaluate various BFC cost recovery percentages</w:t>
      </w:r>
      <w:r>
        <w:t xml:space="preserve"> and </w:t>
      </w:r>
      <w:r w:rsidRPr="00D438E8">
        <w:t xml:space="preserve">the appropriate rate structure for the residential water customers. The goal of the evaluation was to select the rate design parameters that: </w:t>
      </w:r>
      <w:r w:rsidR="00BC26B1">
        <w:t>(</w:t>
      </w:r>
      <w:r w:rsidRPr="00D438E8">
        <w:t xml:space="preserve">1) produce the recommended revenue requirement; </w:t>
      </w:r>
      <w:r w:rsidR="00BC26B1">
        <w:t>(</w:t>
      </w:r>
      <w:r w:rsidRPr="00D438E8">
        <w:t xml:space="preserve">2) equitably distribute cost recovery among the utility’s customers; and </w:t>
      </w:r>
      <w:r w:rsidR="00BC26B1">
        <w:t>(</w:t>
      </w:r>
      <w:r>
        <w:t>3</w:t>
      </w:r>
      <w:r w:rsidRPr="00D438E8">
        <w:t>) implement, where appropriate, water conserving rate structures consistent with Commission practice.</w:t>
      </w:r>
    </w:p>
    <w:p w:rsidR="007F661E" w:rsidRPr="00D438E8" w:rsidRDefault="007F661E" w:rsidP="007F661E">
      <w:pPr>
        <w:jc w:val="both"/>
      </w:pPr>
      <w:r w:rsidRPr="00D438E8">
        <w:tab/>
      </w:r>
    </w:p>
    <w:p w:rsidR="007F661E" w:rsidRDefault="007F661E" w:rsidP="007F661E">
      <w:pPr>
        <w:jc w:val="both"/>
      </w:pPr>
      <w:r w:rsidRPr="00D438E8">
        <w:t xml:space="preserve">Staff recommends that 40 percent of the water revenues should be generated from the BFC, which will provide sufficient revenues to design a </w:t>
      </w:r>
      <w:r>
        <w:t xml:space="preserve">uniform </w:t>
      </w:r>
      <w:proofErr w:type="spellStart"/>
      <w:r w:rsidRPr="00D438E8">
        <w:t>gallonage</w:t>
      </w:r>
      <w:proofErr w:type="spellEnd"/>
      <w:r w:rsidRPr="00D438E8">
        <w:t xml:space="preserve"> charge that will </w:t>
      </w:r>
      <w:r>
        <w:t xml:space="preserve">encourage conservation. Based on a recommended revenue increase of 225.59 percent, the residential consumption can be expected to decline by 6,482,000 gallons resulting in anticipated average residential demand of 4,103 gallons per month. Staff recommends a 29.2 percent reduction in test year residential gallons for </w:t>
      </w:r>
      <w:proofErr w:type="spellStart"/>
      <w:r>
        <w:t>ratesetting</w:t>
      </w:r>
      <w:proofErr w:type="spellEnd"/>
      <w:r>
        <w:t xml:space="preserve"> purposes and corresponding reductions of $898 for purchased power, $431 for chemicals, and $63 for RAFs to reflect the anticipated repression, which results in a post repression revenue requirement of $114,031.</w:t>
      </w:r>
    </w:p>
    <w:p w:rsidR="0091161C" w:rsidRDefault="0091161C" w:rsidP="007F661E">
      <w:pPr>
        <w:jc w:val="both"/>
        <w:rPr>
          <w:b/>
        </w:rPr>
      </w:pPr>
    </w:p>
    <w:p w:rsidR="005A5399" w:rsidRDefault="007F661E" w:rsidP="007F661E">
      <w:pPr>
        <w:pStyle w:val="BodyText"/>
      </w:pPr>
      <w:r>
        <w:t xml:space="preserve">Further, staff recommends that the customers continue to be billed on a bi-monthly basis to avoid the additional costs associated with reading meters and billing on a monthly basis. Based on the foregoing, staff recommends 40 percent of the water revenues be generated from the BFC. The traditional BFC and uniform </w:t>
      </w:r>
      <w:proofErr w:type="spellStart"/>
      <w:r>
        <w:t>gallonage</w:t>
      </w:r>
      <w:proofErr w:type="spellEnd"/>
      <w:r>
        <w:t xml:space="preserve"> charge rate structure should be approved for all water customers and billed on a bi-monthly basis. A 29.2 percent reduction in test year residential gallons and corresponding reductions of $898 for purchased power, $431 for chemicals, and $63 for RAFs should be made to reflect the anticipated repression. Staff’s recommended rate structure and rates are shown on Schedule Nos. 4-A and 4-B. Staff also presents two alternate rate structures to illustrate other BFC allocations.</w:t>
      </w:r>
    </w:p>
    <w:p w:rsidR="00DF4047" w:rsidRDefault="00DF4047" w:rsidP="007F661E">
      <w:pPr>
        <w:pStyle w:val="BodyText"/>
      </w:pPr>
      <w:r w:rsidRPr="004F73C6">
        <w:lastRenderedPageBreak/>
        <w:t xml:space="preserve">The recommended </w:t>
      </w:r>
      <w:r>
        <w:t>rate structure and rates are shown on Schedule Nos</w:t>
      </w:r>
      <w:r w:rsidRPr="004F73C6">
        <w:t>. 4</w:t>
      </w:r>
      <w:r>
        <w:t>-A and 4-B</w:t>
      </w:r>
      <w:r w:rsidRPr="004F73C6">
        <w:t>.</w:t>
      </w:r>
      <w:r>
        <w:t xml:space="preserve"> The u</w:t>
      </w:r>
      <w:r w:rsidRPr="004F73C6">
        <w:t>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w:t>
      </w:r>
      <w:r>
        <w:t>r notice and the notice has bee</w:t>
      </w:r>
      <w:r w:rsidRPr="004F73C6">
        <w:t>n</w:t>
      </w:r>
      <w:r>
        <w:t xml:space="preserve"> </w:t>
      </w:r>
      <w:r w:rsidRPr="004F73C6">
        <w:t>received by the customers.</w:t>
      </w:r>
      <w:r>
        <w:t xml:space="preserve"> The u</w:t>
      </w:r>
      <w:r w:rsidRPr="004F73C6">
        <w:t>tility should provide proof of the date notice was given within 10 days of the date of the notice.</w:t>
      </w:r>
    </w:p>
    <w:p w:rsidR="005A5399" w:rsidRDefault="005A5399">
      <w:pPr>
        <w:pStyle w:val="IssueHeading"/>
        <w:rPr>
          <w:vanish/>
          <w:specVanish/>
        </w:rPr>
      </w:pPr>
      <w:r w:rsidRPr="004C3641">
        <w:rPr>
          <w:b w:val="0"/>
          <w:i w:val="0"/>
        </w:rPr>
        <w:br w:type="page"/>
      </w:r>
      <w:r w:rsidRPr="004C3641">
        <w:lastRenderedPageBreak/>
        <w:t xml:space="preserve">Issue </w:t>
      </w:r>
      <w:r w:rsidR="008C49F8">
        <w:fldChar w:fldCharType="begin"/>
      </w:r>
      <w:r w:rsidR="007C488E">
        <w:instrText>seq issue</w:instrText>
      </w:r>
      <w:r w:rsidR="008C49F8">
        <w:fldChar w:fldCharType="separate"/>
      </w:r>
      <w:r w:rsidR="000C12D8">
        <w:rPr>
          <w:noProof/>
        </w:rPr>
        <w:t>10</w:t>
      </w:r>
      <w:r w:rsidR="008C49F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431459582"/>
      <w:r w:rsidR="000C12D8">
        <w:rPr>
          <w:noProof/>
        </w:rPr>
        <w:instrText>10</w:instrText>
      </w:r>
      <w:r>
        <w:fldChar w:fldCharType="end"/>
      </w:r>
      <w:r>
        <w:tab/>
      </w:r>
      <w:r w:rsidR="00572991">
        <w:instrText>Four-Year Rate Reduction (Thompson, Smith)</w:instrText>
      </w:r>
      <w:bookmarkEnd w:id="26"/>
      <w:r>
        <w:instrText xml:space="preserve">" \l 1 </w:instrText>
      </w:r>
      <w:r>
        <w:fldChar w:fldCharType="end"/>
      </w:r>
      <w:r>
        <w:t> </w:t>
      </w:r>
    </w:p>
    <w:p w:rsidR="005A5399" w:rsidRDefault="005A5399">
      <w:pPr>
        <w:pStyle w:val="BodyText"/>
      </w:pPr>
      <w:r>
        <w:t> </w:t>
      </w:r>
      <w:r w:rsidR="00AC42E6" w:rsidRPr="00AC42E6">
        <w:t> What is the appropriate amount by which rates should be reduced in four years after the published effective date to reflect the removal of the amortized rate case expense as required by Section 367.0816 F.S.?</w:t>
      </w:r>
    </w:p>
    <w:p w:rsidR="005A5399" w:rsidRPr="004C3641" w:rsidRDefault="005A5399">
      <w:pPr>
        <w:pStyle w:val="IssueSubsectionHeading"/>
        <w:rPr>
          <w:vanish/>
          <w:specVanish/>
        </w:rPr>
      </w:pPr>
      <w:r w:rsidRPr="004C3641">
        <w:t>Recommendation: </w:t>
      </w:r>
    </w:p>
    <w:p w:rsidR="005A5399" w:rsidRPr="00901321" w:rsidRDefault="005A5399">
      <w:pPr>
        <w:pStyle w:val="BodyText"/>
      </w:pPr>
      <w:r>
        <w:t> </w:t>
      </w:r>
      <w:r w:rsidR="000A3278">
        <w:t>T</w:t>
      </w:r>
      <w:r w:rsidR="00AC42E6" w:rsidRPr="00AC42E6">
        <w:t>he water rates should be reduced as shown on Schedule No. 4-B, to remove rate case expense grossed-up for regulatory assessment fees and amortized over a four-year period. The decrease in rates should become effective immediately following the expiration of the four-year rate case expense recovery period, pursuant to Section 367.0816, F.S. Cedar Acres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r w:rsidRPr="00901321">
        <w:t xml:space="preserve"> (Thompson, Smith)</w:t>
      </w:r>
    </w:p>
    <w:p w:rsidR="005A5399" w:rsidRPr="004C3641" w:rsidRDefault="005A5399">
      <w:pPr>
        <w:pStyle w:val="IssueSubsectionHeading"/>
        <w:rPr>
          <w:vanish/>
          <w:specVanish/>
        </w:rPr>
      </w:pPr>
      <w:r w:rsidRPr="004C3641">
        <w:t>Staff Analysis: </w:t>
      </w:r>
    </w:p>
    <w:p w:rsidR="00AC42E6" w:rsidRPr="00AC42E6" w:rsidRDefault="005A5399" w:rsidP="00AC42E6">
      <w:pPr>
        <w:jc w:val="both"/>
      </w:pPr>
      <w:r>
        <w:t> </w:t>
      </w:r>
      <w:r w:rsidR="00AC42E6" w:rsidRPr="00AC42E6">
        <w:t xml:space="preserve">Section 367.0816, F.S., requires that the rates be reduced immediately following the expiration of the four-year period by the amount of the rate case expense previously included in rates. The reduction will reflect the removal of revenue associated with the amortization of rate case expense, the associated operating margin, and the gross-up for RAFs. The total reduction is $393 for water.  </w:t>
      </w:r>
    </w:p>
    <w:p w:rsidR="00AC42E6" w:rsidRPr="00AC42E6" w:rsidRDefault="00AC42E6" w:rsidP="00AC42E6">
      <w:pPr>
        <w:jc w:val="both"/>
      </w:pPr>
    </w:p>
    <w:p w:rsidR="00901321" w:rsidRDefault="00AC42E6" w:rsidP="00AC42E6">
      <w:pPr>
        <w:jc w:val="both"/>
      </w:pPr>
      <w:r w:rsidRPr="00AC42E6">
        <w:t>The water rates should be reduced as shown on Schedule No. 4-B to remove rate case expense grossed-up for regulatory assessment fees and amortized over a four-year period. The decrease in rates should become effective immediately following the expiration of the four-year rate case expense recovery period, pursuant to Section 367.0816, F.S. Cedar Acres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p>
    <w:p w:rsidR="005A5399" w:rsidRDefault="005A5399">
      <w:pPr>
        <w:pStyle w:val="BodyText"/>
      </w:pPr>
    </w:p>
    <w:p w:rsidR="001970D6" w:rsidRDefault="001970D6">
      <w:pPr>
        <w:pStyle w:val="IssueHeading"/>
        <w:rPr>
          <w:vanish/>
          <w:specVanish/>
        </w:rPr>
      </w:pPr>
      <w:r w:rsidRPr="004C3641">
        <w:rPr>
          <w:b w:val="0"/>
          <w:i w:val="0"/>
        </w:rPr>
        <w:br w:type="page"/>
      </w:r>
      <w:r w:rsidRPr="004C3641">
        <w:lastRenderedPageBreak/>
        <w:t xml:space="preserve">Issue </w:t>
      </w:r>
      <w:r w:rsidR="00BC3D1A">
        <w:fldChar w:fldCharType="begin"/>
      </w:r>
      <w:r w:rsidR="00BC3D1A">
        <w:instrText xml:space="preserve"> SEQ Issue \* MERGEFORMAT </w:instrText>
      </w:r>
      <w:r w:rsidR="00BC3D1A">
        <w:fldChar w:fldCharType="separate"/>
      </w:r>
      <w:r w:rsidR="000C12D8">
        <w:rPr>
          <w:noProof/>
        </w:rPr>
        <w:t>11</w:t>
      </w:r>
      <w:r w:rsidR="00BC3D1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431459583"/>
      <w:r w:rsidR="000C12D8">
        <w:rPr>
          <w:noProof/>
        </w:rPr>
        <w:instrText>11</w:instrText>
      </w:r>
      <w:r>
        <w:fldChar w:fldCharType="end"/>
      </w:r>
      <w:r>
        <w:tab/>
      </w:r>
      <w:r w:rsidR="00F85BAE">
        <w:instrText>Escrow (Galloway, Smith, Ames)</w:instrText>
      </w:r>
      <w:bookmarkEnd w:id="27"/>
      <w:r>
        <w:instrText xml:space="preserve">" \l 1 </w:instrText>
      </w:r>
      <w:r>
        <w:fldChar w:fldCharType="end"/>
      </w:r>
      <w:r>
        <w:t> </w:t>
      </w:r>
    </w:p>
    <w:p w:rsidR="001970D6" w:rsidRDefault="001970D6">
      <w:pPr>
        <w:pStyle w:val="BodyText"/>
      </w:pPr>
      <w:r>
        <w:t xml:space="preserve"> What </w:t>
      </w:r>
      <w:proofErr w:type="gramStart"/>
      <w:r w:rsidR="00E366AD">
        <w:t>are</w:t>
      </w:r>
      <w:r>
        <w:t xml:space="preserve"> the appropriate amount</w:t>
      </w:r>
      <w:proofErr w:type="gramEnd"/>
      <w:r>
        <w:t>, terms, and conditions for the escrow account established for the meter replacement program?</w:t>
      </w:r>
    </w:p>
    <w:p w:rsidR="001970D6" w:rsidRPr="004C3641" w:rsidRDefault="001970D6">
      <w:pPr>
        <w:pStyle w:val="IssueSubsectionHeading"/>
        <w:rPr>
          <w:vanish/>
          <w:specVanish/>
        </w:rPr>
      </w:pPr>
      <w:r w:rsidRPr="004C3641">
        <w:t>Recommendation: </w:t>
      </w:r>
    </w:p>
    <w:p w:rsidR="001970D6" w:rsidRDefault="001970D6">
      <w:pPr>
        <w:pStyle w:val="BodyText"/>
      </w:pPr>
      <w:r>
        <w:t xml:space="preserve"> The utility should be required to escrow $960 every two months. </w:t>
      </w:r>
      <w:r w:rsidR="00E77225">
        <w:t>The appropriate terms and conditions of the escrow account are set forth below in the Staff Analysis Section.</w:t>
      </w:r>
      <w:r w:rsidRPr="00E77225">
        <w:t xml:space="preserve"> (Galloway, Smith, Ames)</w:t>
      </w:r>
    </w:p>
    <w:p w:rsidR="001970D6" w:rsidRPr="004C3641" w:rsidRDefault="001970D6">
      <w:pPr>
        <w:pStyle w:val="IssueSubsectionHeading"/>
        <w:rPr>
          <w:vanish/>
          <w:specVanish/>
        </w:rPr>
      </w:pPr>
      <w:r w:rsidRPr="004C3641">
        <w:t>Staff Analysis: </w:t>
      </w:r>
    </w:p>
    <w:p w:rsidR="001970D6" w:rsidRDefault="001970D6">
      <w:pPr>
        <w:pStyle w:val="BodyText"/>
      </w:pPr>
      <w:r>
        <w:t> As discussed in Issue 6, staff is recommending a meter replacement program for the utility. The meter replacement program includes replacing 32 meters per year, resulting in a total annual cost of $5,760</w:t>
      </w:r>
      <w:proofErr w:type="gramStart"/>
      <w:r>
        <w:t xml:space="preserve">.  </w:t>
      </w:r>
      <w:proofErr w:type="gramEnd"/>
      <w:r>
        <w:t>Staff believes, and the utility has agr</w:t>
      </w:r>
      <w:r w:rsidR="00E77225">
        <w:t>e</w:t>
      </w:r>
      <w:r>
        <w:t xml:space="preserve">ed, that in order to assure that the meters are replaced and the customers are protected, $960 should be escrowed bi-monthly since the utility’s billing cycle is bi-monthly </w:t>
      </w:r>
      <w:r w:rsidRPr="00200B86">
        <w:t xml:space="preserve">($5,760÷6). </w:t>
      </w:r>
      <w:r w:rsidR="00874712" w:rsidRPr="00200B86">
        <w:t>Further, in order for approval of funds to be released, the utility must s</w:t>
      </w:r>
      <w:r w:rsidR="003F6ECE" w:rsidRPr="00200B86">
        <w:t>ubmit support</w:t>
      </w:r>
      <w:r w:rsidR="00874712" w:rsidRPr="00200B86">
        <w:t xml:space="preserve"> documentation of installation of meters and associated costs</w:t>
      </w:r>
      <w:proofErr w:type="gramStart"/>
      <w:r w:rsidR="00874712" w:rsidRPr="00200B86">
        <w:t xml:space="preserve">.  </w:t>
      </w:r>
      <w:proofErr w:type="gramEnd"/>
      <w:r w:rsidR="00874712" w:rsidRPr="00200B86">
        <w:t>The meter replacement program is expected to be completed within ten years.</w:t>
      </w:r>
    </w:p>
    <w:p w:rsidR="001970D6" w:rsidRPr="00F21282" w:rsidRDefault="001970D6" w:rsidP="00BA39AD">
      <w:pPr>
        <w:jc w:val="both"/>
      </w:pPr>
      <w:r>
        <w:t xml:space="preserve">The </w:t>
      </w:r>
      <w:r w:rsidRPr="00F21282">
        <w:t>security provided through an escrow agreement</w:t>
      </w:r>
      <w:r>
        <w:t xml:space="preserve"> should include</w:t>
      </w:r>
      <w:r w:rsidRPr="00F21282">
        <w:t xml:space="preserve"> the </w:t>
      </w:r>
      <w:r>
        <w:t xml:space="preserve">following </w:t>
      </w:r>
      <w:r w:rsidR="00E77225">
        <w:t xml:space="preserve">terms and </w:t>
      </w:r>
      <w:r>
        <w:t xml:space="preserve">conditions as </w:t>
      </w:r>
      <w:r w:rsidRPr="00F21282">
        <w:t>part of the agreement:</w:t>
      </w:r>
    </w:p>
    <w:p w:rsidR="001970D6" w:rsidRPr="00F21282" w:rsidRDefault="001970D6" w:rsidP="00BA39AD">
      <w:pPr>
        <w:jc w:val="both"/>
      </w:pPr>
    </w:p>
    <w:p w:rsidR="00636150" w:rsidRDefault="001970D6" w:rsidP="00636150">
      <w:pPr>
        <w:pStyle w:val="ListParagraph"/>
        <w:numPr>
          <w:ilvl w:val="0"/>
          <w:numId w:val="16"/>
        </w:numPr>
        <w:tabs>
          <w:tab w:val="left" w:pos="720"/>
          <w:tab w:val="left" w:pos="1440"/>
          <w:tab w:val="left" w:pos="2160"/>
        </w:tabs>
        <w:ind w:right="720" w:hanging="720"/>
        <w:jc w:val="both"/>
      </w:pPr>
      <w:r w:rsidRPr="00F21282">
        <w:t xml:space="preserve">No monies in the escrow account may be withdrawn by the </w:t>
      </w:r>
      <w:r>
        <w:t>u</w:t>
      </w:r>
      <w:r w:rsidRPr="00F21282">
        <w:t>tility without the express approval of the Commission;</w:t>
      </w:r>
    </w:p>
    <w:p w:rsidR="00636150" w:rsidRDefault="00636150" w:rsidP="00636150">
      <w:pPr>
        <w:pStyle w:val="ListParagraph"/>
        <w:tabs>
          <w:tab w:val="left" w:pos="720"/>
          <w:tab w:val="left" w:pos="1440"/>
          <w:tab w:val="left" w:pos="2160"/>
        </w:tabs>
        <w:ind w:left="1440" w:right="720"/>
        <w:jc w:val="both"/>
      </w:pPr>
    </w:p>
    <w:p w:rsidR="00636150" w:rsidRDefault="001970D6" w:rsidP="00636150">
      <w:pPr>
        <w:pStyle w:val="ListParagraph"/>
        <w:numPr>
          <w:ilvl w:val="0"/>
          <w:numId w:val="16"/>
        </w:numPr>
        <w:tabs>
          <w:tab w:val="left" w:pos="720"/>
          <w:tab w:val="left" w:pos="1440"/>
          <w:tab w:val="left" w:pos="2160"/>
        </w:tabs>
        <w:ind w:right="720" w:hanging="720"/>
        <w:jc w:val="both"/>
      </w:pPr>
      <w:r w:rsidRPr="00F21282">
        <w:t>The escrow account shall be an interest bearing account;</w:t>
      </w:r>
    </w:p>
    <w:p w:rsidR="00636150" w:rsidRDefault="00636150" w:rsidP="00636150">
      <w:pPr>
        <w:pStyle w:val="ListParagraph"/>
      </w:pPr>
    </w:p>
    <w:p w:rsidR="00636150" w:rsidRDefault="001970D6" w:rsidP="00636150">
      <w:pPr>
        <w:pStyle w:val="ListParagraph"/>
        <w:numPr>
          <w:ilvl w:val="0"/>
          <w:numId w:val="16"/>
        </w:numPr>
        <w:tabs>
          <w:tab w:val="left" w:pos="720"/>
          <w:tab w:val="left" w:pos="1440"/>
          <w:tab w:val="left" w:pos="2160"/>
        </w:tabs>
        <w:ind w:right="720" w:hanging="720"/>
        <w:jc w:val="both"/>
      </w:pPr>
      <w:r w:rsidRPr="00F21282">
        <w:t>If a refund to the customers is required, all interest earned by the escrow account shall be distributed to the customers;</w:t>
      </w:r>
    </w:p>
    <w:p w:rsidR="00636150" w:rsidRDefault="00636150" w:rsidP="00636150">
      <w:pPr>
        <w:pStyle w:val="ListParagraph"/>
      </w:pPr>
    </w:p>
    <w:p w:rsidR="00636150" w:rsidRDefault="001970D6" w:rsidP="00636150">
      <w:pPr>
        <w:pStyle w:val="ListParagraph"/>
        <w:numPr>
          <w:ilvl w:val="0"/>
          <w:numId w:val="16"/>
        </w:numPr>
        <w:tabs>
          <w:tab w:val="left" w:pos="720"/>
          <w:tab w:val="left" w:pos="1440"/>
          <w:tab w:val="left" w:pos="2160"/>
        </w:tabs>
        <w:ind w:right="720" w:hanging="720"/>
        <w:jc w:val="both"/>
      </w:pPr>
      <w:r w:rsidRPr="00F21282">
        <w:t>If a refund to the customers is not required, the interest earned by the escrow account shall revert to Cedar Acres;</w:t>
      </w:r>
    </w:p>
    <w:p w:rsidR="00636150" w:rsidRDefault="00636150" w:rsidP="00636150">
      <w:pPr>
        <w:pStyle w:val="ListParagraph"/>
      </w:pPr>
    </w:p>
    <w:p w:rsidR="00636150" w:rsidRDefault="001970D6" w:rsidP="00636150">
      <w:pPr>
        <w:pStyle w:val="ListParagraph"/>
        <w:numPr>
          <w:ilvl w:val="0"/>
          <w:numId w:val="16"/>
        </w:numPr>
        <w:tabs>
          <w:tab w:val="left" w:pos="720"/>
          <w:tab w:val="left" w:pos="1440"/>
          <w:tab w:val="left" w:pos="2160"/>
        </w:tabs>
        <w:ind w:right="720" w:hanging="720"/>
        <w:jc w:val="both"/>
      </w:pPr>
      <w:r w:rsidRPr="00F21282">
        <w:t>All information on the escrow account shall be available from the holder of the escrow account to a Commission representative at all times;</w:t>
      </w:r>
    </w:p>
    <w:p w:rsidR="00636150" w:rsidRDefault="00636150" w:rsidP="00636150">
      <w:pPr>
        <w:pStyle w:val="ListParagraph"/>
      </w:pPr>
    </w:p>
    <w:p w:rsidR="00636150" w:rsidRDefault="001970D6" w:rsidP="00636150">
      <w:pPr>
        <w:pStyle w:val="ListParagraph"/>
        <w:numPr>
          <w:ilvl w:val="0"/>
          <w:numId w:val="16"/>
        </w:numPr>
        <w:tabs>
          <w:tab w:val="left" w:pos="720"/>
          <w:tab w:val="left" w:pos="1440"/>
          <w:tab w:val="left" w:pos="2160"/>
        </w:tabs>
        <w:ind w:right="720" w:hanging="720"/>
        <w:jc w:val="both"/>
      </w:pPr>
      <w:r w:rsidRPr="00F21282">
        <w:t>The amount of revenue subject to refund shall be deposited in the escrow account within seven days of receipt;</w:t>
      </w:r>
    </w:p>
    <w:p w:rsidR="00636150" w:rsidRDefault="00636150" w:rsidP="00636150">
      <w:pPr>
        <w:pStyle w:val="ListParagraph"/>
      </w:pPr>
    </w:p>
    <w:p w:rsidR="00636150" w:rsidRDefault="001970D6" w:rsidP="00636150">
      <w:pPr>
        <w:pStyle w:val="ListParagraph"/>
        <w:numPr>
          <w:ilvl w:val="0"/>
          <w:numId w:val="16"/>
        </w:numPr>
        <w:tabs>
          <w:tab w:val="left" w:pos="720"/>
          <w:tab w:val="left" w:pos="1440"/>
          <w:tab w:val="left" w:pos="2160"/>
        </w:tabs>
        <w:ind w:right="720" w:hanging="720"/>
        <w:jc w:val="both"/>
      </w:pPr>
      <w:r w:rsidRPr="00F21282">
        <w:t xml:space="preserve">This escrow account is established by the direction of the Florida Public Service Commission for the purpose(s) set forth in its order requiring such account. Pursuant to </w:t>
      </w:r>
      <w:proofErr w:type="spellStart"/>
      <w:r w:rsidRPr="00636150">
        <w:rPr>
          <w:u w:val="single"/>
        </w:rPr>
        <w:t>Cosentino</w:t>
      </w:r>
      <w:proofErr w:type="spellEnd"/>
      <w:r w:rsidRPr="00636150">
        <w:rPr>
          <w:u w:val="single"/>
        </w:rPr>
        <w:t xml:space="preserve"> v. Elson</w:t>
      </w:r>
      <w:r w:rsidRPr="00F21282">
        <w:t>, 263 So. 2d 253 (Fla. 3d DCA 1972), escrow accounts are not subject to garnishments;</w:t>
      </w:r>
    </w:p>
    <w:p w:rsidR="00636150" w:rsidRDefault="00636150" w:rsidP="00636150">
      <w:pPr>
        <w:pStyle w:val="ListParagraph"/>
      </w:pPr>
    </w:p>
    <w:p w:rsidR="00636150" w:rsidRDefault="001970D6" w:rsidP="00636150">
      <w:pPr>
        <w:pStyle w:val="ListParagraph"/>
        <w:numPr>
          <w:ilvl w:val="0"/>
          <w:numId w:val="16"/>
        </w:numPr>
        <w:tabs>
          <w:tab w:val="left" w:pos="720"/>
          <w:tab w:val="left" w:pos="1440"/>
          <w:tab w:val="left" w:pos="2160"/>
        </w:tabs>
        <w:ind w:right="720" w:hanging="720"/>
        <w:jc w:val="both"/>
      </w:pPr>
      <w:r w:rsidRPr="00F21282">
        <w:t>The Commission Clerk must be a signatory to the escrow agreement; and</w:t>
      </w:r>
    </w:p>
    <w:p w:rsidR="00636150" w:rsidRDefault="00636150" w:rsidP="00636150">
      <w:pPr>
        <w:pStyle w:val="ListParagraph"/>
      </w:pPr>
    </w:p>
    <w:p w:rsidR="001970D6" w:rsidRPr="00F21282" w:rsidRDefault="001970D6" w:rsidP="00636150">
      <w:pPr>
        <w:pStyle w:val="ListParagraph"/>
        <w:numPr>
          <w:ilvl w:val="0"/>
          <w:numId w:val="16"/>
        </w:numPr>
        <w:tabs>
          <w:tab w:val="left" w:pos="720"/>
          <w:tab w:val="left" w:pos="1440"/>
          <w:tab w:val="left" w:pos="2160"/>
        </w:tabs>
        <w:ind w:right="720" w:hanging="720"/>
        <w:jc w:val="both"/>
      </w:pPr>
      <w:r w:rsidRPr="00F21282">
        <w:t>The account must specify by whom and on whose behalf such monies were paid.</w:t>
      </w:r>
    </w:p>
    <w:p w:rsidR="001970D6" w:rsidRPr="00F21282" w:rsidRDefault="001970D6" w:rsidP="00BA39AD">
      <w:pPr>
        <w:jc w:val="both"/>
      </w:pPr>
    </w:p>
    <w:p w:rsidR="001970D6" w:rsidRDefault="001970D6" w:rsidP="00751B7E">
      <w:pPr>
        <w:pStyle w:val="BodyText"/>
        <w:rPr>
          <w:b/>
          <w:i/>
        </w:rPr>
      </w:pPr>
      <w:r w:rsidRPr="00F21282">
        <w:lastRenderedPageBreak/>
        <w:t xml:space="preserve">Cedar Acres should maintain a record of the amount </w:t>
      </w:r>
      <w:r w:rsidR="00751B7E">
        <w:t>escrowed</w:t>
      </w:r>
      <w:r w:rsidR="00F02BAD">
        <w:t>,</w:t>
      </w:r>
      <w:r w:rsidRPr="00F21282">
        <w:t xml:space="preserve"> and the amount of revenues that are subject to refund.  </w:t>
      </w:r>
    </w:p>
    <w:p w:rsidR="005A5399" w:rsidRDefault="005A5399">
      <w:pPr>
        <w:pStyle w:val="IssueHeading"/>
        <w:rPr>
          <w:vanish/>
          <w:specVanish/>
        </w:rPr>
      </w:pPr>
      <w:r w:rsidRPr="004C3641">
        <w:rPr>
          <w:b w:val="0"/>
          <w:i w:val="0"/>
        </w:rPr>
        <w:br w:type="page"/>
      </w:r>
      <w:r w:rsidRPr="004C3641">
        <w:lastRenderedPageBreak/>
        <w:t xml:space="preserve">Issue </w:t>
      </w:r>
      <w:r w:rsidR="00BC3D1A">
        <w:fldChar w:fldCharType="begin"/>
      </w:r>
      <w:r w:rsidR="00BC3D1A">
        <w:instrText xml:space="preserve"> SEQ Issue \* MERGEFORMAT </w:instrText>
      </w:r>
      <w:r w:rsidR="00BC3D1A">
        <w:fldChar w:fldCharType="separate"/>
      </w:r>
      <w:r w:rsidR="000C12D8">
        <w:rPr>
          <w:noProof/>
        </w:rPr>
        <w:t>12</w:t>
      </w:r>
      <w:r w:rsidR="00BC3D1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431459584"/>
      <w:r w:rsidR="000C12D8">
        <w:rPr>
          <w:noProof/>
        </w:rPr>
        <w:instrText>12</w:instrText>
      </w:r>
      <w:r>
        <w:fldChar w:fldCharType="end"/>
      </w:r>
      <w:r>
        <w:tab/>
      </w:r>
      <w:r w:rsidR="00F85BAE">
        <w:instrText>Rates in Event of Protest (Smith, Thompson, Ames)</w:instrText>
      </w:r>
      <w:bookmarkEnd w:id="28"/>
      <w:r>
        <w:instrText xml:space="preserve">" \l 1 </w:instrText>
      </w:r>
      <w:r>
        <w:fldChar w:fldCharType="end"/>
      </w:r>
      <w:r>
        <w:t> </w:t>
      </w:r>
    </w:p>
    <w:p w:rsidR="005A5399" w:rsidRDefault="005A5399">
      <w:pPr>
        <w:pStyle w:val="BodyText"/>
      </w:pPr>
      <w:r>
        <w:t> </w:t>
      </w:r>
      <w:r w:rsidR="00901321" w:rsidRPr="00E107DC">
        <w:t>Should the recommended rates be approved for the utility on a temporary basis, subject to refund, in the event of a protest filed by a party other than the utility?</w:t>
      </w:r>
    </w:p>
    <w:p w:rsidR="005A5399" w:rsidRPr="004C3641" w:rsidRDefault="005A5399">
      <w:pPr>
        <w:pStyle w:val="IssueSubsectionHeading"/>
        <w:rPr>
          <w:vanish/>
          <w:specVanish/>
        </w:rPr>
      </w:pPr>
      <w:r w:rsidRPr="004C3641">
        <w:t>Recommendation: </w:t>
      </w:r>
    </w:p>
    <w:p w:rsidR="005E33BB" w:rsidRPr="004652BB" w:rsidRDefault="005A5399">
      <w:pPr>
        <w:pStyle w:val="BodyText"/>
      </w:pPr>
      <w:r>
        <w:t> </w:t>
      </w:r>
      <w:r w:rsidR="00901321" w:rsidRPr="004652BB">
        <w:t>Yes. Pursuant to Section 367.0814(7), F.S., the recommended rates should be approved for the utility on a temporary basis, subject to refund, in the event of a protest filed by a party other than the utility. Cedar Acres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security. If the recommended rates are approved on a temporary basis, the rates collecte</w:t>
      </w:r>
      <w:r w:rsidR="00901321" w:rsidRPr="00200B86">
        <w:t>d by the utility should be subject to the refund provisions discussed below in the staff analysis. In addition, after the increased rates are in effect,</w:t>
      </w:r>
      <w:r w:rsidR="005E33BB" w:rsidRPr="00200B86">
        <w:t xml:space="preserve"> pursuant to Rule 25-30.360(1)</w:t>
      </w:r>
      <w:r w:rsidR="00901321" w:rsidRPr="00200B86">
        <w:t>, F.A.C., the utility should file reports with the Commission Clerk’s Office</w:t>
      </w:r>
      <w:r w:rsidR="005E33BB" w:rsidRPr="00200B86">
        <w:t xml:space="preserve"> bi-monthly</w:t>
      </w:r>
      <w:r w:rsidR="008F12EC" w:rsidRPr="00200B86">
        <w:t>, no later than the 20</w:t>
      </w:r>
      <w:r w:rsidR="008F12EC" w:rsidRPr="00200B86">
        <w:rPr>
          <w:vertAlign w:val="superscript"/>
        </w:rPr>
        <w:t>th</w:t>
      </w:r>
      <w:r w:rsidR="008F12EC" w:rsidRPr="00200B86">
        <w:t xml:space="preserve"> of the billing month,</w:t>
      </w:r>
      <w:r w:rsidR="00901321" w:rsidRPr="00200B86">
        <w:t xml:space="preserve"> indicating the monthly and total amount of money subject to refund at the end of the preceding </w:t>
      </w:r>
      <w:r w:rsidR="005E33BB" w:rsidRPr="00200B86">
        <w:t>billing period</w:t>
      </w:r>
      <w:r w:rsidR="00901321" w:rsidRPr="00200B86">
        <w:t>. The report filed should also indicate the status of the security being used to guarantee repayment of</w:t>
      </w:r>
      <w:r w:rsidR="00901321" w:rsidRPr="004652BB">
        <w:t xml:space="preserve"> any potential refund</w:t>
      </w:r>
      <w:r w:rsidR="004652BB" w:rsidRPr="004652BB">
        <w:t>.</w:t>
      </w:r>
      <w:r w:rsidRPr="004652BB">
        <w:t xml:space="preserve"> (Smith, Thompson</w:t>
      </w:r>
      <w:r w:rsidR="00CE2459">
        <w:t>, Ames</w:t>
      </w:r>
      <w:r w:rsidRPr="004652BB">
        <w:t>)</w:t>
      </w:r>
    </w:p>
    <w:p w:rsidR="005A5399" w:rsidRPr="004C3641" w:rsidRDefault="005A5399">
      <w:pPr>
        <w:pStyle w:val="IssueSubsectionHeading"/>
        <w:rPr>
          <w:vanish/>
          <w:specVanish/>
        </w:rPr>
      </w:pPr>
      <w:r w:rsidRPr="004C3641">
        <w:t>Staff Analysis: </w:t>
      </w:r>
    </w:p>
    <w:p w:rsidR="00901321" w:rsidRPr="004652BB" w:rsidRDefault="005A5399" w:rsidP="00901321">
      <w:pPr>
        <w:jc w:val="both"/>
      </w:pPr>
      <w:r>
        <w:t> </w:t>
      </w:r>
      <w:r w:rsidR="00901321" w:rsidRPr="004652BB">
        <w:t>This recommendation proposes an increase in water rates. A timely protest might delay what may be a justified rate increase resulting in an unrecoverable loss of revenue to the utility. Therefore, pursuant to Section 367.0814(7), F.S., in the event of a protest filed by a party other than the utility, staff recommends that the recommended rates be approved as temporary rates. Cedar Acres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utility should be subject to the refund provisions discussed below.</w:t>
      </w:r>
    </w:p>
    <w:p w:rsidR="00C52D68" w:rsidRDefault="00C52D68" w:rsidP="00C52D68">
      <w:pPr>
        <w:jc w:val="both"/>
      </w:pPr>
    </w:p>
    <w:p w:rsidR="00901321" w:rsidRPr="00821FCE" w:rsidRDefault="00901321" w:rsidP="00C52D68">
      <w:pPr>
        <w:jc w:val="both"/>
      </w:pPr>
      <w:r w:rsidRPr="004652BB">
        <w:t>Cedar Acres should be authorized to collect the temporary rates upon staff’s approval of an appropriate security for the potential refund and the proposed customer notice. Security should be in the form of a bond or letter of credit in the a</w:t>
      </w:r>
      <w:r w:rsidRPr="005A53A4">
        <w:t>mount of $</w:t>
      </w:r>
      <w:r>
        <w:t>53</w:t>
      </w:r>
      <w:r w:rsidRPr="005A53A4">
        <w:t>,</w:t>
      </w:r>
      <w:r>
        <w:t>354</w:t>
      </w:r>
      <w:r w:rsidRPr="005A53A4">
        <w:t>.</w:t>
      </w:r>
      <w:r w:rsidRPr="00821FCE">
        <w:rPr>
          <w:color w:val="FF0000"/>
        </w:rPr>
        <w:t xml:space="preserve"> </w:t>
      </w:r>
      <w:r w:rsidRPr="00821FCE">
        <w:t xml:space="preserve">Alternatively, the </w:t>
      </w:r>
      <w:r>
        <w:t>u</w:t>
      </w:r>
      <w:r w:rsidRPr="00821FCE">
        <w:t>tility could establish an escrow agreement with an independent financial institution.</w:t>
      </w:r>
    </w:p>
    <w:p w:rsidR="00C52D68" w:rsidRDefault="00C52D68" w:rsidP="00C52D68">
      <w:pPr>
        <w:jc w:val="both"/>
      </w:pPr>
    </w:p>
    <w:p w:rsidR="00901321" w:rsidRPr="00F21282" w:rsidRDefault="00901321" w:rsidP="00C52D68">
      <w:pPr>
        <w:jc w:val="both"/>
      </w:pPr>
      <w:r w:rsidRPr="00F21282">
        <w:t>If Cedar Acres chooses a bond as security, the bond should contain wording to the effect that it will be terminated only under the following conditions:</w:t>
      </w:r>
    </w:p>
    <w:p w:rsidR="00901321" w:rsidRPr="00F21282" w:rsidRDefault="00901321" w:rsidP="00901321">
      <w:pPr>
        <w:jc w:val="both"/>
      </w:pPr>
    </w:p>
    <w:p w:rsidR="00901321" w:rsidRPr="00F21282" w:rsidRDefault="00901321" w:rsidP="00901321">
      <w:pPr>
        <w:numPr>
          <w:ilvl w:val="0"/>
          <w:numId w:val="12"/>
        </w:numPr>
        <w:ind w:right="720"/>
        <w:jc w:val="both"/>
      </w:pPr>
      <w:r w:rsidRPr="00F21282">
        <w:t>The Commission approves the rate increase; or,</w:t>
      </w:r>
    </w:p>
    <w:p w:rsidR="00901321" w:rsidRPr="00F21282" w:rsidRDefault="00901321" w:rsidP="00901321">
      <w:pPr>
        <w:ind w:left="720" w:right="720"/>
        <w:jc w:val="both"/>
      </w:pPr>
    </w:p>
    <w:p w:rsidR="00901321" w:rsidRPr="00F21282" w:rsidRDefault="00901321" w:rsidP="00200B86">
      <w:pPr>
        <w:numPr>
          <w:ilvl w:val="0"/>
          <w:numId w:val="12"/>
        </w:numPr>
        <w:ind w:right="720"/>
        <w:jc w:val="both"/>
      </w:pPr>
      <w:r w:rsidRPr="00F21282">
        <w:t>If the Commi</w:t>
      </w:r>
      <w:r>
        <w:t>ssion denies the increase, the u</w:t>
      </w:r>
      <w:r w:rsidRPr="00F21282">
        <w:t>tility shall refund the amount collected that is attributable to the increase.</w:t>
      </w:r>
    </w:p>
    <w:p w:rsidR="00901321" w:rsidRPr="00F21282" w:rsidRDefault="00901321" w:rsidP="00901321">
      <w:pPr>
        <w:jc w:val="both"/>
      </w:pPr>
    </w:p>
    <w:p w:rsidR="00901321" w:rsidRDefault="00901321" w:rsidP="00901321">
      <w:pPr>
        <w:jc w:val="both"/>
      </w:pPr>
      <w:r w:rsidRPr="00F21282">
        <w:t xml:space="preserve">If Cedar Acres chooses a letter of credit as a security, it should contain the </w:t>
      </w:r>
      <w:proofErr w:type="gramStart"/>
      <w:r w:rsidRPr="00F21282">
        <w:t>following</w:t>
      </w:r>
      <w:r>
        <w:t xml:space="preserve"> </w:t>
      </w:r>
      <w:r w:rsidRPr="00F21282">
        <w:t xml:space="preserve"> conditions</w:t>
      </w:r>
      <w:proofErr w:type="gramEnd"/>
      <w:r w:rsidRPr="00F21282">
        <w:t>:</w:t>
      </w:r>
    </w:p>
    <w:p w:rsidR="00C52D68" w:rsidRPr="00F21282" w:rsidRDefault="00C52D68" w:rsidP="00901321">
      <w:pPr>
        <w:jc w:val="both"/>
      </w:pPr>
    </w:p>
    <w:p w:rsidR="00901321" w:rsidRDefault="00901321" w:rsidP="00200B86">
      <w:pPr>
        <w:pStyle w:val="ListParagraph"/>
        <w:numPr>
          <w:ilvl w:val="0"/>
          <w:numId w:val="21"/>
        </w:numPr>
        <w:tabs>
          <w:tab w:val="left" w:pos="720"/>
          <w:tab w:val="left" w:pos="1440"/>
          <w:tab w:val="left" w:pos="2160"/>
        </w:tabs>
        <w:ind w:right="720"/>
        <w:jc w:val="both"/>
      </w:pPr>
      <w:r w:rsidRPr="00F21282">
        <w:lastRenderedPageBreak/>
        <w:t>The letter of credit is irrevocable for the period it is in effect, and,</w:t>
      </w:r>
    </w:p>
    <w:p w:rsidR="00200B86" w:rsidRPr="00F21282" w:rsidRDefault="00200B86" w:rsidP="00200B86">
      <w:pPr>
        <w:pStyle w:val="ListParagraph"/>
        <w:tabs>
          <w:tab w:val="left" w:pos="720"/>
          <w:tab w:val="left" w:pos="1440"/>
          <w:tab w:val="left" w:pos="2160"/>
        </w:tabs>
        <w:ind w:left="1440" w:right="720"/>
        <w:jc w:val="both"/>
      </w:pPr>
    </w:p>
    <w:p w:rsidR="00901321" w:rsidRPr="00F21282" w:rsidRDefault="00901321" w:rsidP="00200B86">
      <w:pPr>
        <w:pStyle w:val="ListParagraph"/>
        <w:numPr>
          <w:ilvl w:val="0"/>
          <w:numId w:val="21"/>
        </w:numPr>
        <w:ind w:right="720"/>
        <w:jc w:val="both"/>
      </w:pPr>
      <w:r w:rsidRPr="00F21282">
        <w:t>The letter of credit will be in effect until a final Commission order is rendered, either approving or denying the rate increase.</w:t>
      </w:r>
    </w:p>
    <w:p w:rsidR="00901321" w:rsidRPr="00F21282" w:rsidRDefault="00901321" w:rsidP="00901321">
      <w:pPr>
        <w:ind w:left="1440" w:right="720" w:hanging="720"/>
        <w:jc w:val="both"/>
      </w:pPr>
    </w:p>
    <w:p w:rsidR="00901321" w:rsidRPr="00F21282" w:rsidRDefault="00901321" w:rsidP="00901321">
      <w:pPr>
        <w:jc w:val="both"/>
      </w:pPr>
      <w:r w:rsidRPr="00F21282">
        <w:t xml:space="preserve">If security is provided through an escrow agreement, the </w:t>
      </w:r>
      <w:r>
        <w:t xml:space="preserve">following conditions should be </w:t>
      </w:r>
      <w:r w:rsidRPr="00F21282">
        <w:t>part of the agreement:</w:t>
      </w:r>
    </w:p>
    <w:p w:rsidR="00901321" w:rsidRPr="00F21282" w:rsidRDefault="00901321" w:rsidP="00901321">
      <w:pPr>
        <w:jc w:val="both"/>
      </w:pPr>
    </w:p>
    <w:p w:rsidR="00901321" w:rsidRPr="00F21282" w:rsidRDefault="00901321" w:rsidP="00C379FF">
      <w:pPr>
        <w:pStyle w:val="ListParagraph"/>
        <w:numPr>
          <w:ilvl w:val="0"/>
          <w:numId w:val="18"/>
        </w:numPr>
        <w:tabs>
          <w:tab w:val="left" w:pos="720"/>
          <w:tab w:val="left" w:pos="1440"/>
          <w:tab w:val="left" w:pos="2160"/>
        </w:tabs>
        <w:ind w:left="1440" w:right="720" w:hanging="720"/>
        <w:jc w:val="both"/>
      </w:pPr>
      <w:r w:rsidRPr="00F21282">
        <w:t xml:space="preserve">No monies in the escrow account may be withdrawn by the </w:t>
      </w:r>
      <w:r>
        <w:t>u</w:t>
      </w:r>
      <w:r w:rsidRPr="00F21282">
        <w:t>tility without the express approval of the Commission;</w:t>
      </w:r>
    </w:p>
    <w:p w:rsidR="00901321" w:rsidRPr="00F21282" w:rsidRDefault="00901321" w:rsidP="00901321">
      <w:pPr>
        <w:jc w:val="both"/>
      </w:pPr>
    </w:p>
    <w:p w:rsidR="00901321" w:rsidRPr="00F21282" w:rsidRDefault="00901321" w:rsidP="00C379FF">
      <w:pPr>
        <w:pStyle w:val="ListParagraph"/>
        <w:numPr>
          <w:ilvl w:val="0"/>
          <w:numId w:val="18"/>
        </w:numPr>
        <w:tabs>
          <w:tab w:val="left" w:pos="720"/>
          <w:tab w:val="left" w:pos="1440"/>
          <w:tab w:val="left" w:pos="2160"/>
        </w:tabs>
        <w:ind w:left="1440" w:right="720" w:hanging="720"/>
        <w:jc w:val="both"/>
      </w:pPr>
      <w:r w:rsidRPr="00F21282">
        <w:t>The escrow account shall be an interest bearing account;</w:t>
      </w:r>
    </w:p>
    <w:p w:rsidR="00901321" w:rsidRPr="00F21282" w:rsidRDefault="00901321" w:rsidP="00C379FF">
      <w:pPr>
        <w:ind w:left="1440" w:hanging="720"/>
        <w:jc w:val="both"/>
      </w:pPr>
    </w:p>
    <w:p w:rsidR="00901321" w:rsidRPr="00F21282" w:rsidRDefault="00901321" w:rsidP="00C379FF">
      <w:pPr>
        <w:pStyle w:val="ListParagraph"/>
        <w:numPr>
          <w:ilvl w:val="0"/>
          <w:numId w:val="18"/>
        </w:numPr>
        <w:tabs>
          <w:tab w:val="left" w:pos="720"/>
          <w:tab w:val="left" w:pos="1440"/>
          <w:tab w:val="left" w:pos="2160"/>
        </w:tabs>
        <w:ind w:left="1440" w:right="720" w:hanging="720"/>
        <w:jc w:val="both"/>
      </w:pPr>
      <w:r w:rsidRPr="00F21282">
        <w:t>If a refund to the customers is required, all interest earned by the escrow account shall be distributed to the customers;</w:t>
      </w:r>
    </w:p>
    <w:p w:rsidR="00901321" w:rsidRPr="00F21282" w:rsidRDefault="00901321" w:rsidP="00C379FF">
      <w:pPr>
        <w:ind w:left="1440" w:hanging="720"/>
        <w:jc w:val="both"/>
      </w:pPr>
    </w:p>
    <w:p w:rsidR="00901321" w:rsidRPr="00F21282" w:rsidRDefault="00901321" w:rsidP="00C379FF">
      <w:pPr>
        <w:pStyle w:val="ListParagraph"/>
        <w:numPr>
          <w:ilvl w:val="0"/>
          <w:numId w:val="18"/>
        </w:numPr>
        <w:tabs>
          <w:tab w:val="left" w:pos="720"/>
          <w:tab w:val="left" w:pos="1440"/>
          <w:tab w:val="left" w:pos="2160"/>
        </w:tabs>
        <w:ind w:left="1440" w:right="720" w:hanging="720"/>
        <w:jc w:val="both"/>
      </w:pPr>
      <w:r w:rsidRPr="00F21282">
        <w:t>If a refund to the customers is not required, the interest earned by the escrow account shall revert to Cedar Acres;</w:t>
      </w:r>
    </w:p>
    <w:p w:rsidR="00901321" w:rsidRPr="00F21282" w:rsidRDefault="00901321" w:rsidP="00C379FF">
      <w:pPr>
        <w:ind w:left="1440" w:hanging="720"/>
        <w:jc w:val="both"/>
      </w:pPr>
    </w:p>
    <w:p w:rsidR="00901321" w:rsidRPr="00F21282" w:rsidRDefault="00901321" w:rsidP="00C379FF">
      <w:pPr>
        <w:pStyle w:val="ListParagraph"/>
        <w:numPr>
          <w:ilvl w:val="0"/>
          <w:numId w:val="18"/>
        </w:numPr>
        <w:tabs>
          <w:tab w:val="left" w:pos="720"/>
          <w:tab w:val="left" w:pos="1440"/>
          <w:tab w:val="left" w:pos="2160"/>
        </w:tabs>
        <w:ind w:left="1440" w:right="720" w:hanging="720"/>
        <w:jc w:val="both"/>
      </w:pPr>
      <w:r w:rsidRPr="00F21282">
        <w:t>All information on the escrow account shall be available from the holder of the escrow account to a Commission representative at all times;</w:t>
      </w:r>
    </w:p>
    <w:p w:rsidR="00901321" w:rsidRPr="00F21282" w:rsidRDefault="00901321" w:rsidP="00C379FF">
      <w:pPr>
        <w:ind w:left="1440" w:hanging="720"/>
        <w:jc w:val="both"/>
      </w:pPr>
    </w:p>
    <w:p w:rsidR="00901321" w:rsidRPr="00F21282" w:rsidRDefault="00901321" w:rsidP="00C379FF">
      <w:pPr>
        <w:pStyle w:val="ListParagraph"/>
        <w:numPr>
          <w:ilvl w:val="0"/>
          <w:numId w:val="18"/>
        </w:numPr>
        <w:tabs>
          <w:tab w:val="left" w:pos="720"/>
          <w:tab w:val="left" w:pos="1440"/>
          <w:tab w:val="left" w:pos="2160"/>
        </w:tabs>
        <w:ind w:left="1440" w:right="720" w:hanging="720"/>
        <w:jc w:val="both"/>
      </w:pPr>
      <w:r w:rsidRPr="00F21282">
        <w:t>The amount of revenue subject to refund shall be deposited in the escrow account within seven days of receipt;</w:t>
      </w:r>
    </w:p>
    <w:p w:rsidR="00901321" w:rsidRPr="00F21282" w:rsidRDefault="00901321" w:rsidP="00C379FF">
      <w:pPr>
        <w:ind w:left="1440" w:hanging="720"/>
        <w:jc w:val="both"/>
      </w:pPr>
    </w:p>
    <w:p w:rsidR="00901321" w:rsidRPr="00F21282" w:rsidRDefault="00901321" w:rsidP="00C379FF">
      <w:pPr>
        <w:pStyle w:val="ListParagraph"/>
        <w:numPr>
          <w:ilvl w:val="0"/>
          <w:numId w:val="18"/>
        </w:numPr>
        <w:tabs>
          <w:tab w:val="left" w:pos="720"/>
          <w:tab w:val="left" w:pos="1440"/>
          <w:tab w:val="left" w:pos="2160"/>
        </w:tabs>
        <w:ind w:left="1440" w:right="720" w:hanging="720"/>
        <w:jc w:val="both"/>
      </w:pPr>
      <w:r w:rsidRPr="00F21282">
        <w:t xml:space="preserve">This escrow account is established by the direction of the Florida Public Service Commission for the purpose(s) set forth in its order requiring such account. Pursuant to </w:t>
      </w:r>
      <w:proofErr w:type="spellStart"/>
      <w:r w:rsidRPr="00C379FF">
        <w:rPr>
          <w:u w:val="single"/>
        </w:rPr>
        <w:t>Cosentino</w:t>
      </w:r>
      <w:proofErr w:type="spellEnd"/>
      <w:r w:rsidRPr="00C379FF">
        <w:rPr>
          <w:u w:val="single"/>
        </w:rPr>
        <w:t xml:space="preserve"> v. Elson</w:t>
      </w:r>
      <w:r w:rsidRPr="00F21282">
        <w:t>, 263 So. 2d 253 (Fla. 3d DCA 1972), escrow accounts are not subject to garnishments;</w:t>
      </w:r>
    </w:p>
    <w:p w:rsidR="00901321" w:rsidRPr="00F21282" w:rsidRDefault="00901321" w:rsidP="00901321">
      <w:pPr>
        <w:jc w:val="both"/>
      </w:pPr>
    </w:p>
    <w:p w:rsidR="00901321" w:rsidRPr="00F21282" w:rsidRDefault="00901321" w:rsidP="00901321">
      <w:pPr>
        <w:numPr>
          <w:ilvl w:val="0"/>
          <w:numId w:val="13"/>
        </w:numPr>
        <w:tabs>
          <w:tab w:val="left" w:pos="720"/>
          <w:tab w:val="left" w:pos="2160"/>
        </w:tabs>
        <w:ind w:right="720"/>
        <w:jc w:val="both"/>
      </w:pPr>
      <w:r w:rsidRPr="00F21282">
        <w:t>The Commission Clerk must be a signatory to the escrow agreement; and,</w:t>
      </w:r>
    </w:p>
    <w:p w:rsidR="00901321" w:rsidRPr="00F21282" w:rsidRDefault="00901321" w:rsidP="00901321">
      <w:pPr>
        <w:tabs>
          <w:tab w:val="left" w:pos="720"/>
          <w:tab w:val="left" w:pos="2160"/>
        </w:tabs>
        <w:ind w:right="720"/>
        <w:jc w:val="both"/>
      </w:pPr>
    </w:p>
    <w:p w:rsidR="00901321" w:rsidRPr="00F21282" w:rsidRDefault="00901321" w:rsidP="00901321">
      <w:pPr>
        <w:numPr>
          <w:ilvl w:val="0"/>
          <w:numId w:val="13"/>
        </w:numPr>
        <w:tabs>
          <w:tab w:val="left" w:pos="720"/>
          <w:tab w:val="left" w:pos="2160"/>
        </w:tabs>
        <w:ind w:right="720"/>
        <w:jc w:val="both"/>
      </w:pPr>
      <w:r w:rsidRPr="00F21282">
        <w:t>The account must specify by whom and on whose behalf such monies were paid.</w:t>
      </w:r>
    </w:p>
    <w:p w:rsidR="00901321" w:rsidRPr="00F21282" w:rsidRDefault="00901321" w:rsidP="00901321">
      <w:pPr>
        <w:jc w:val="both"/>
      </w:pPr>
    </w:p>
    <w:p w:rsidR="00901321" w:rsidRPr="00F21282" w:rsidRDefault="00901321" w:rsidP="005E33BB">
      <w:pPr>
        <w:jc w:val="both"/>
      </w:pPr>
      <w:r w:rsidRPr="00F21282">
        <w:t>In no instance should the maintenance and administrative costs associated with the refund be borne by the customers. These costs are the responsibility o</w:t>
      </w:r>
      <w:r>
        <w:t>f, and should be borne by, the u</w:t>
      </w:r>
      <w:r w:rsidRPr="00F21282">
        <w:t>tility</w:t>
      </w:r>
      <w:proofErr w:type="gramStart"/>
      <w:r w:rsidRPr="00F21282">
        <w:t xml:space="preserve">.  </w:t>
      </w:r>
      <w:proofErr w:type="gramEnd"/>
      <w:r w:rsidRPr="00F21282">
        <w:t>Irrespective of the form of security chosen by Cedar Acres, an account of all monies received as a result of the rate increa</w:t>
      </w:r>
      <w:r>
        <w:t>se should be maintained by the u</w:t>
      </w:r>
      <w:r w:rsidRPr="00F21282">
        <w:t>tility</w:t>
      </w:r>
      <w:proofErr w:type="gramStart"/>
      <w:r w:rsidRPr="00F21282">
        <w:t xml:space="preserve">.  </w:t>
      </w:r>
      <w:proofErr w:type="gramEnd"/>
      <w:r w:rsidRPr="00F21282">
        <w:t xml:space="preserve">If a refund is ultimately required, it should be paid with interest calculated pursuant to Rule 25-30.360(4), F.A.C.  </w:t>
      </w:r>
    </w:p>
    <w:p w:rsidR="00901321" w:rsidRPr="00F21282" w:rsidRDefault="00901321" w:rsidP="005E33BB">
      <w:pPr>
        <w:jc w:val="both"/>
      </w:pPr>
    </w:p>
    <w:p w:rsidR="00901321" w:rsidRPr="00F21282" w:rsidRDefault="00901321" w:rsidP="005E33BB">
      <w:pPr>
        <w:jc w:val="both"/>
      </w:pPr>
      <w:r w:rsidRPr="00F21282">
        <w:t>Cedar Acres should maintain a record of the amount of the bond, and the amount of revenu</w:t>
      </w:r>
      <w:r w:rsidR="005E33BB">
        <w:t>es that are subject to refun</w:t>
      </w:r>
      <w:r w:rsidR="005E33BB" w:rsidRPr="00FD3EF8">
        <w:t>d. Rule 25-30.360(6), F.A.C., requires the utility to file reports with the Commission Clerk’s Office no later than the 20</w:t>
      </w:r>
      <w:r w:rsidR="005E33BB" w:rsidRPr="00FD3EF8">
        <w:rPr>
          <w:vertAlign w:val="superscript"/>
        </w:rPr>
        <w:t>th</w:t>
      </w:r>
      <w:r w:rsidR="005E33BB" w:rsidRPr="00FD3EF8">
        <w:t xml:space="preserve"> of each month indicating the monthly and total amount of money subject to refund at the end of the preceding month. However, </w:t>
      </w:r>
      <w:r w:rsidR="00CE2459" w:rsidRPr="00FD3EF8">
        <w:t xml:space="preserve">by </w:t>
      </w:r>
      <w:r w:rsidR="005E33BB" w:rsidRPr="00FD3EF8">
        <w:t xml:space="preserve">Rule 25-30.360(1), the Commission has the authority to order alternative requirements for refunds. Cedar </w:t>
      </w:r>
      <w:r w:rsidR="007511F8" w:rsidRPr="00FD3EF8">
        <w:lastRenderedPageBreak/>
        <w:t>A</w:t>
      </w:r>
      <w:r w:rsidR="005E33BB" w:rsidRPr="00FD3EF8">
        <w:t>cres is on a bi-monthly billing schedule. Therefore, pursuant to Rule 25-30.360(1), staff recommends the Commission order the utility to file reports</w:t>
      </w:r>
      <w:r w:rsidR="008F12EC" w:rsidRPr="00FD3EF8">
        <w:t xml:space="preserve"> bi-monthly, no later than the 20</w:t>
      </w:r>
      <w:r w:rsidR="008F12EC" w:rsidRPr="00FD3EF8">
        <w:rPr>
          <w:vertAlign w:val="superscript"/>
        </w:rPr>
        <w:t>th</w:t>
      </w:r>
      <w:r w:rsidR="008F12EC" w:rsidRPr="00FD3EF8">
        <w:t xml:space="preserve"> of the billing month,</w:t>
      </w:r>
      <w:r w:rsidR="005E33BB" w:rsidRPr="00FD3EF8">
        <w:t xml:space="preserve"> indicating the month</w:t>
      </w:r>
      <w:r w:rsidR="008F12EC" w:rsidRPr="00FD3EF8">
        <w:t>ly amount</w:t>
      </w:r>
      <w:r w:rsidR="005E33BB" w:rsidRPr="00FD3EF8">
        <w:t xml:space="preserve"> and total amount of mo</w:t>
      </w:r>
      <w:r w:rsidR="008F12EC" w:rsidRPr="00FD3EF8">
        <w:t>ney subject to refund</w:t>
      </w:r>
      <w:r w:rsidR="005E33BB" w:rsidRPr="00FD3EF8">
        <w:rPr>
          <w:i/>
          <w:iCs/>
        </w:rPr>
        <w:t xml:space="preserve">. </w:t>
      </w:r>
      <w:r w:rsidRPr="00FD3EF8">
        <w:t>The report filed should also indicate the status of the security being used to guarantee repayment of any potential refund.</w:t>
      </w:r>
    </w:p>
    <w:p w:rsidR="005A5399" w:rsidRDefault="00901321" w:rsidP="005E33BB">
      <w:pPr>
        <w:pStyle w:val="BodyText"/>
        <w:rPr>
          <w:vanish/>
          <w:specVanish/>
        </w:rPr>
      </w:pPr>
      <w:r w:rsidRPr="00F21282">
        <w:rPr>
          <w:rFonts w:cs="Arial"/>
          <w:bCs/>
          <w:kern w:val="32"/>
          <w:szCs w:val="32"/>
        </w:rPr>
        <w:br w:type="page"/>
      </w:r>
      <w:r w:rsidR="005A5399" w:rsidRPr="004652BB">
        <w:rPr>
          <w:rFonts w:ascii="Arial" w:hAnsi="Arial" w:cs="Arial"/>
          <w:b/>
          <w:i/>
        </w:rPr>
        <w:lastRenderedPageBreak/>
        <w:t xml:space="preserve">Issue </w:t>
      </w:r>
      <w:r w:rsidR="004D035E" w:rsidRPr="004652BB">
        <w:rPr>
          <w:rFonts w:ascii="Arial" w:hAnsi="Arial" w:cs="Arial"/>
          <w:b/>
          <w:i/>
        </w:rPr>
        <w:fldChar w:fldCharType="begin"/>
      </w:r>
      <w:r w:rsidR="004D035E" w:rsidRPr="004652BB">
        <w:rPr>
          <w:rFonts w:ascii="Arial" w:hAnsi="Arial" w:cs="Arial"/>
          <w:b/>
          <w:i/>
        </w:rPr>
        <w:instrText xml:space="preserve"> SEQ Issue \* MERGEFORMAT </w:instrText>
      </w:r>
      <w:r w:rsidR="004D035E" w:rsidRPr="004652BB">
        <w:rPr>
          <w:rFonts w:ascii="Arial" w:hAnsi="Arial" w:cs="Arial"/>
          <w:b/>
          <w:i/>
        </w:rPr>
        <w:fldChar w:fldCharType="separate"/>
      </w:r>
      <w:r w:rsidR="000C12D8">
        <w:rPr>
          <w:rFonts w:ascii="Arial" w:hAnsi="Arial" w:cs="Arial"/>
          <w:b/>
          <w:i/>
          <w:noProof/>
        </w:rPr>
        <w:t>13</w:t>
      </w:r>
      <w:r w:rsidR="004D035E" w:rsidRPr="004652BB">
        <w:rPr>
          <w:rFonts w:ascii="Arial" w:hAnsi="Arial" w:cs="Arial"/>
          <w:b/>
          <w:i/>
          <w:noProof/>
        </w:rPr>
        <w:fldChar w:fldCharType="end"/>
      </w:r>
      <w:r w:rsidR="005A5399" w:rsidRPr="004C3641">
        <w:t>:</w:t>
      </w:r>
      <w:r w:rsidR="005A5399">
        <w:fldChar w:fldCharType="begin"/>
      </w:r>
      <w:r w:rsidR="005A5399">
        <w:instrText xml:space="preserve"> TC "</w:instrText>
      </w:r>
      <w:r w:rsidR="005A5399">
        <w:fldChar w:fldCharType="begin"/>
      </w:r>
      <w:r w:rsidR="005A5399">
        <w:instrText xml:space="preserve"> SEQ issue \c </w:instrText>
      </w:r>
      <w:r w:rsidR="005A5399">
        <w:fldChar w:fldCharType="separate"/>
      </w:r>
      <w:bookmarkStart w:id="29" w:name="_Toc431459585"/>
      <w:r w:rsidR="000C12D8">
        <w:rPr>
          <w:noProof/>
        </w:rPr>
        <w:instrText>13</w:instrText>
      </w:r>
      <w:r w:rsidR="005A5399">
        <w:fldChar w:fldCharType="end"/>
      </w:r>
      <w:r w:rsidR="005A5399">
        <w:tab/>
      </w:r>
      <w:r w:rsidR="00572991">
        <w:instrText>Late Payment Fees (Thompson)</w:instrText>
      </w:r>
      <w:bookmarkEnd w:id="29"/>
      <w:r w:rsidR="005A5399">
        <w:instrText xml:space="preserve">" \l 1 </w:instrText>
      </w:r>
      <w:r w:rsidR="005A5399">
        <w:fldChar w:fldCharType="end"/>
      </w:r>
      <w:r w:rsidR="005A5399">
        <w:t> </w:t>
      </w:r>
    </w:p>
    <w:p w:rsidR="005A5399" w:rsidRDefault="005A5399">
      <w:pPr>
        <w:pStyle w:val="BodyText"/>
      </w:pPr>
      <w:r>
        <w:t> </w:t>
      </w:r>
      <w:r w:rsidR="00C87B35" w:rsidRPr="00324D53">
        <w:t xml:space="preserve">Should </w:t>
      </w:r>
      <w:r w:rsidR="00C87B35">
        <w:t>Cedar Acre</w:t>
      </w:r>
      <w:r w:rsidR="00C87B35" w:rsidRPr="00324D53">
        <w:t>s</w:t>
      </w:r>
      <w:r w:rsidR="00C87B35">
        <w:t>’</w:t>
      </w:r>
      <w:r w:rsidR="00C87B35" w:rsidRPr="00324D53">
        <w:t xml:space="preserve"> request to implement a </w:t>
      </w:r>
      <w:r w:rsidR="00C87B35">
        <w:t xml:space="preserve">$5 </w:t>
      </w:r>
      <w:r w:rsidR="00C87B35" w:rsidRPr="00324D53">
        <w:t>late payment charge be approved?</w:t>
      </w:r>
    </w:p>
    <w:p w:rsidR="005A5399" w:rsidRPr="004C3641" w:rsidRDefault="005A5399">
      <w:pPr>
        <w:pStyle w:val="IssueSubsectionHeading"/>
        <w:rPr>
          <w:vanish/>
          <w:specVanish/>
        </w:rPr>
      </w:pPr>
      <w:r w:rsidRPr="004C3641">
        <w:t>Recommendation: </w:t>
      </w:r>
    </w:p>
    <w:p w:rsidR="005A5399" w:rsidRDefault="005A5399">
      <w:pPr>
        <w:pStyle w:val="BodyText"/>
      </w:pPr>
      <w:r>
        <w:t> </w:t>
      </w:r>
      <w:r w:rsidR="00C87B35">
        <w:t>Yes. Cedar Acres’ request to implement a $5 late payment charge should be approved. Cedar Acres should be required to file a proposed customer notice to reflect the Commission-approved charge. The approved charge should be effective for services rendered on or after the stamped approval date on the tariff sheet, pursuant to Rule 25-30.475(1), F.A.C. In addition, the approved charge should not be implemented until staff has approved the proposed customer notice. The utility should provide proof of the date notice was given no less than 10 days after the date of the notice</w:t>
      </w:r>
      <w:r w:rsidR="00C87B35" w:rsidRPr="0057345A">
        <w:t>.</w:t>
      </w:r>
      <w:r>
        <w:t xml:space="preserve"> (Thompson)</w:t>
      </w:r>
    </w:p>
    <w:p w:rsidR="005A5399" w:rsidRPr="004C3641" w:rsidRDefault="005A5399">
      <w:pPr>
        <w:pStyle w:val="IssueSubsectionHeading"/>
        <w:rPr>
          <w:vanish/>
          <w:specVanish/>
        </w:rPr>
      </w:pPr>
      <w:r w:rsidRPr="004C3641">
        <w:t>Staff Analysis: </w:t>
      </w:r>
    </w:p>
    <w:p w:rsidR="00C87B35" w:rsidRPr="00CF504A" w:rsidRDefault="005A5399" w:rsidP="00C87B35">
      <w:pPr>
        <w:pStyle w:val="BodyText"/>
      </w:pPr>
      <w:r>
        <w:t> </w:t>
      </w:r>
      <w:r w:rsidR="00C87B35">
        <w:t>The u</w:t>
      </w:r>
      <w:r w:rsidR="00C87B35" w:rsidRPr="00CF504A">
        <w:t>tility is requesting a $</w:t>
      </w:r>
      <w:r w:rsidR="00C87B35">
        <w:t>5</w:t>
      </w:r>
      <w:r w:rsidR="00C87B35" w:rsidRPr="00CF504A">
        <w:t xml:space="preserve"> late payment charge to recover the cost of supplies and labor associated with processing late payment notices.</w:t>
      </w:r>
      <w:r w:rsidR="00C87B35">
        <w:t xml:space="preserve"> The u</w:t>
      </w:r>
      <w:r w:rsidR="00C87B35" w:rsidRPr="00CF504A">
        <w:t>tility’s request for a late payment charge was accompanied by its reason for requesting the charge, as well as the cost justification required by Section 367.091, F.S.</w:t>
      </w:r>
    </w:p>
    <w:p w:rsidR="00C87B35" w:rsidRPr="00CF504A" w:rsidRDefault="00C87B35" w:rsidP="00C87B35">
      <w:pPr>
        <w:jc w:val="both"/>
      </w:pPr>
      <w:r>
        <w:t>The u</w:t>
      </w:r>
      <w:r w:rsidRPr="00CF504A">
        <w:t xml:space="preserve">tility has a total of </w:t>
      </w:r>
      <w:r>
        <w:t>319</w:t>
      </w:r>
      <w:r w:rsidRPr="00CF504A">
        <w:t xml:space="preserve"> customer </w:t>
      </w:r>
      <w:r>
        <w:t xml:space="preserve">accounts and, according to the </w:t>
      </w:r>
      <w:proofErr w:type="gramStart"/>
      <w:r>
        <w:t>u</w:t>
      </w:r>
      <w:r w:rsidRPr="00CF504A">
        <w:t>tility,</w:t>
      </w:r>
      <w:proofErr w:type="gramEnd"/>
      <w:r w:rsidRPr="00CF504A">
        <w:t xml:space="preserve"> </w:t>
      </w:r>
      <w:r>
        <w:t>there are a substantial amoun</w:t>
      </w:r>
      <w:r w:rsidRPr="00CF504A">
        <w:t xml:space="preserve">t of customers </w:t>
      </w:r>
      <w:r>
        <w:t xml:space="preserve">that </w:t>
      </w:r>
      <w:r w:rsidRPr="00CF504A">
        <w:t xml:space="preserve">do not pay by the due date </w:t>
      </w:r>
      <w:r w:rsidR="00687583">
        <w:t xml:space="preserve">of </w:t>
      </w:r>
      <w:r w:rsidRPr="00CF504A">
        <w:t xml:space="preserve">each </w:t>
      </w:r>
      <w:r>
        <w:t>billing cycle</w:t>
      </w:r>
      <w:r w:rsidRPr="00CF504A">
        <w:t>.</w:t>
      </w:r>
      <w:r>
        <w:t xml:space="preserve"> </w:t>
      </w:r>
      <w:r w:rsidRPr="00CF504A">
        <w:t>Based on historical data</w:t>
      </w:r>
      <w:r>
        <w:t xml:space="preserve"> and the bi-monthly billing cycle</w:t>
      </w:r>
      <w:r w:rsidRPr="00CF504A">
        <w:t xml:space="preserve">, the </w:t>
      </w:r>
      <w:r>
        <w:t>u</w:t>
      </w:r>
      <w:r w:rsidRPr="00CF504A">
        <w:t xml:space="preserve">tility anticipates it will prepare late payment notices for approximately </w:t>
      </w:r>
      <w:r>
        <w:t>99</w:t>
      </w:r>
      <w:r w:rsidRPr="00CF504A">
        <w:t xml:space="preserve"> accounts</w:t>
      </w:r>
      <w:r>
        <w:t xml:space="preserve"> per billing cycle. </w:t>
      </w:r>
      <w:r w:rsidRPr="00CF504A">
        <w:t xml:space="preserve">In the past, the Commission has allowed 10-15 minutes per account </w:t>
      </w:r>
      <w:r>
        <w:t xml:space="preserve">per month </w:t>
      </w:r>
      <w:r w:rsidRPr="00CF504A">
        <w:t xml:space="preserve">for clerical and administrative labor to research, review, and </w:t>
      </w:r>
      <w:proofErr w:type="gramStart"/>
      <w:r w:rsidRPr="00CF504A">
        <w:t>prepare</w:t>
      </w:r>
      <w:proofErr w:type="gramEnd"/>
      <w:r w:rsidRPr="00CF504A">
        <w:t xml:space="preserve"> the notice.</w:t>
      </w:r>
      <w:r w:rsidRPr="00CF504A">
        <w:rPr>
          <w:vertAlign w:val="superscript"/>
        </w:rPr>
        <w:footnoteReference w:id="14"/>
      </w:r>
      <w:r w:rsidRPr="00CF504A">
        <w:t xml:space="preserve"> </w:t>
      </w:r>
      <w:r>
        <w:t>The u</w:t>
      </w:r>
      <w:r w:rsidRPr="00CF504A">
        <w:t xml:space="preserve">tility indicated it </w:t>
      </w:r>
      <w:r>
        <w:t xml:space="preserve">will </w:t>
      </w:r>
      <w:r w:rsidRPr="00CF504A">
        <w:t xml:space="preserve">spend approximately </w:t>
      </w:r>
      <w:r>
        <w:t>12</w:t>
      </w:r>
      <w:r w:rsidRPr="00CF504A">
        <w:t xml:space="preserve"> hours per </w:t>
      </w:r>
      <w:r>
        <w:t xml:space="preserve">billing cycle </w:t>
      </w:r>
      <w:r w:rsidRPr="00CF504A">
        <w:t xml:space="preserve">processing late payment notices, which results in an average of </w:t>
      </w:r>
      <w:r>
        <w:t>approximately 7 minutes per account (720 minutes/99</w:t>
      </w:r>
      <w:r w:rsidRPr="00CF504A">
        <w:t xml:space="preserve"> account</w:t>
      </w:r>
      <w:r>
        <w:t>s</w:t>
      </w:r>
      <w:r w:rsidRPr="00CF504A">
        <w:t xml:space="preserve">) and is consistent with past Commission decisions. The </w:t>
      </w:r>
      <w:r>
        <w:t>late payment notices will be</w:t>
      </w:r>
      <w:r w:rsidRPr="00CF504A">
        <w:t xml:space="preserve"> processed by the account manager, which results in labor cost of $</w:t>
      </w:r>
      <w:r>
        <w:t>4.24</w:t>
      </w:r>
      <w:r w:rsidRPr="00CF504A">
        <w:t xml:space="preserve"> </w:t>
      </w:r>
      <w:proofErr w:type="gramStart"/>
      <w:r w:rsidRPr="00CF504A">
        <w:t>(</w:t>
      </w:r>
      <w:r>
        <w:t>12x$35/99</w:t>
      </w:r>
      <w:r w:rsidRPr="00CF504A">
        <w:t>)</w:t>
      </w:r>
      <w:proofErr w:type="gramEnd"/>
      <w:r w:rsidRPr="00CF504A">
        <w:t xml:space="preserve"> per account. The cost basis for the late payment charge, including the labor, is shown below</w:t>
      </w:r>
      <w:r>
        <w:t xml:space="preserve">. </w:t>
      </w:r>
    </w:p>
    <w:p w:rsidR="00C87B35" w:rsidRPr="00CF504A" w:rsidRDefault="00C87B35" w:rsidP="00C87B35">
      <w:pPr>
        <w:outlineLvl w:val="0"/>
        <w:rPr>
          <w:rFonts w:cs="Arial"/>
          <w:b/>
          <w:bCs/>
          <w:kern w:val="32"/>
          <w:szCs w:val="32"/>
          <w:u w:val="single"/>
        </w:rPr>
      </w:pPr>
    </w:p>
    <w:p w:rsidR="00C87B35" w:rsidRPr="0020404D" w:rsidRDefault="00C87B35" w:rsidP="00C87B35">
      <w:pPr>
        <w:jc w:val="center"/>
        <w:outlineLvl w:val="0"/>
        <w:rPr>
          <w:rFonts w:ascii="Arial" w:hAnsi="Arial" w:cs="Arial"/>
          <w:b/>
          <w:bCs/>
          <w:kern w:val="32"/>
          <w:szCs w:val="32"/>
        </w:rPr>
      </w:pPr>
      <w:r w:rsidRPr="0020404D">
        <w:rPr>
          <w:rFonts w:ascii="Arial" w:hAnsi="Arial" w:cs="Arial"/>
          <w:b/>
          <w:bCs/>
          <w:kern w:val="32"/>
          <w:szCs w:val="32"/>
        </w:rPr>
        <w:t xml:space="preserve">Table </w:t>
      </w:r>
      <w:r w:rsidR="00BD0018" w:rsidRPr="0020404D">
        <w:rPr>
          <w:rFonts w:ascii="Arial" w:hAnsi="Arial" w:cs="Arial"/>
          <w:b/>
          <w:bCs/>
          <w:kern w:val="32"/>
          <w:szCs w:val="32"/>
        </w:rPr>
        <w:t>13</w:t>
      </w:r>
      <w:r w:rsidRPr="0020404D">
        <w:rPr>
          <w:rFonts w:ascii="Arial" w:hAnsi="Arial" w:cs="Arial"/>
          <w:b/>
          <w:bCs/>
          <w:kern w:val="32"/>
          <w:szCs w:val="32"/>
        </w:rPr>
        <w:t>-1</w:t>
      </w:r>
    </w:p>
    <w:p w:rsidR="00C87B35" w:rsidRPr="0020404D" w:rsidRDefault="00C87B35" w:rsidP="00C87B35">
      <w:pPr>
        <w:jc w:val="center"/>
        <w:outlineLvl w:val="0"/>
        <w:rPr>
          <w:rFonts w:ascii="Arial" w:hAnsi="Arial" w:cs="Arial"/>
          <w:b/>
          <w:bCs/>
          <w:kern w:val="32"/>
          <w:szCs w:val="32"/>
        </w:rPr>
      </w:pPr>
      <w:r w:rsidRPr="0020404D">
        <w:rPr>
          <w:rFonts w:ascii="Arial" w:hAnsi="Arial" w:cs="Arial"/>
          <w:b/>
          <w:bCs/>
          <w:kern w:val="32"/>
          <w:szCs w:val="32"/>
        </w:rPr>
        <w:t>Cost Basis for Late Payment Charge</w:t>
      </w:r>
    </w:p>
    <w:tbl>
      <w:tblPr>
        <w:tblW w:w="4002" w:type="dxa"/>
        <w:jc w:val="center"/>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8"/>
        <w:gridCol w:w="1634"/>
      </w:tblGrid>
      <w:tr w:rsidR="00C87B35" w:rsidRPr="009C1B10" w:rsidTr="00EE413B">
        <w:trPr>
          <w:trHeight w:val="402"/>
          <w:jc w:val="center"/>
        </w:trPr>
        <w:tc>
          <w:tcPr>
            <w:tcW w:w="2368" w:type="dxa"/>
            <w:shd w:val="clear" w:color="auto" w:fill="auto"/>
            <w:noWrap/>
            <w:vAlign w:val="bottom"/>
            <w:hideMark/>
          </w:tcPr>
          <w:p w:rsidR="00C87B35" w:rsidRPr="009C1B10" w:rsidRDefault="00C87B35" w:rsidP="00F671C1">
            <w:pPr>
              <w:rPr>
                <w:color w:val="000000"/>
              </w:rPr>
            </w:pPr>
            <w:r w:rsidRPr="009C1B10">
              <w:rPr>
                <w:color w:val="000000"/>
              </w:rPr>
              <w:t>Labor</w:t>
            </w:r>
          </w:p>
        </w:tc>
        <w:tc>
          <w:tcPr>
            <w:tcW w:w="1634" w:type="dxa"/>
            <w:shd w:val="clear" w:color="auto" w:fill="auto"/>
            <w:noWrap/>
            <w:vAlign w:val="bottom"/>
            <w:hideMark/>
          </w:tcPr>
          <w:p w:rsidR="00C87B35" w:rsidRPr="009C1B10" w:rsidRDefault="00C87B35" w:rsidP="00F671C1">
            <w:pPr>
              <w:jc w:val="right"/>
              <w:rPr>
                <w:color w:val="000000"/>
              </w:rPr>
            </w:pPr>
            <w:r w:rsidRPr="009C1B10">
              <w:rPr>
                <w:color w:val="000000"/>
              </w:rPr>
              <w:t xml:space="preserve">$4.24 </w:t>
            </w:r>
          </w:p>
        </w:tc>
      </w:tr>
      <w:tr w:rsidR="00C87B35" w:rsidRPr="009C1B10" w:rsidTr="00EE413B">
        <w:trPr>
          <w:trHeight w:val="402"/>
          <w:jc w:val="center"/>
        </w:trPr>
        <w:tc>
          <w:tcPr>
            <w:tcW w:w="2368" w:type="dxa"/>
            <w:shd w:val="clear" w:color="auto" w:fill="auto"/>
            <w:noWrap/>
            <w:vAlign w:val="bottom"/>
            <w:hideMark/>
          </w:tcPr>
          <w:p w:rsidR="00C87B35" w:rsidRPr="009C1B10" w:rsidRDefault="00C87B35" w:rsidP="00F671C1">
            <w:pPr>
              <w:rPr>
                <w:color w:val="000000"/>
              </w:rPr>
            </w:pPr>
            <w:r w:rsidRPr="009C1B10">
              <w:rPr>
                <w:color w:val="000000"/>
              </w:rPr>
              <w:t>Printing</w:t>
            </w:r>
          </w:p>
        </w:tc>
        <w:tc>
          <w:tcPr>
            <w:tcW w:w="1634" w:type="dxa"/>
            <w:shd w:val="clear" w:color="auto" w:fill="auto"/>
            <w:noWrap/>
            <w:vAlign w:val="bottom"/>
            <w:hideMark/>
          </w:tcPr>
          <w:p w:rsidR="00C87B35" w:rsidRPr="009C1B10" w:rsidRDefault="00C87B35" w:rsidP="00F671C1">
            <w:pPr>
              <w:jc w:val="right"/>
              <w:rPr>
                <w:color w:val="000000"/>
              </w:rPr>
            </w:pPr>
            <w:r w:rsidRPr="009C1B10">
              <w:rPr>
                <w:color w:val="000000"/>
              </w:rPr>
              <w:t xml:space="preserve">$0.05 </w:t>
            </w:r>
          </w:p>
        </w:tc>
      </w:tr>
      <w:tr w:rsidR="00C87B35" w:rsidRPr="009C1B10" w:rsidTr="00EE413B">
        <w:trPr>
          <w:trHeight w:val="402"/>
          <w:jc w:val="center"/>
        </w:trPr>
        <w:tc>
          <w:tcPr>
            <w:tcW w:w="2368" w:type="dxa"/>
            <w:shd w:val="clear" w:color="auto" w:fill="auto"/>
            <w:noWrap/>
            <w:vAlign w:val="bottom"/>
            <w:hideMark/>
          </w:tcPr>
          <w:p w:rsidR="00C87B35" w:rsidRPr="009C1B10" w:rsidRDefault="00C87B35" w:rsidP="00F671C1">
            <w:pPr>
              <w:rPr>
                <w:color w:val="000000"/>
              </w:rPr>
            </w:pPr>
            <w:r w:rsidRPr="009C1B10">
              <w:rPr>
                <w:color w:val="000000"/>
              </w:rPr>
              <w:t>Postage</w:t>
            </w:r>
          </w:p>
        </w:tc>
        <w:tc>
          <w:tcPr>
            <w:tcW w:w="1634" w:type="dxa"/>
            <w:shd w:val="clear" w:color="auto" w:fill="auto"/>
            <w:noWrap/>
            <w:vAlign w:val="bottom"/>
            <w:hideMark/>
          </w:tcPr>
          <w:p w:rsidR="00C87B35" w:rsidRPr="009C1B10" w:rsidRDefault="00C87B35" w:rsidP="00F671C1">
            <w:pPr>
              <w:jc w:val="right"/>
              <w:rPr>
                <w:color w:val="000000"/>
              </w:rPr>
            </w:pPr>
            <w:r w:rsidRPr="009C1B10">
              <w:rPr>
                <w:color w:val="000000"/>
              </w:rPr>
              <w:t xml:space="preserve">$0.49 </w:t>
            </w:r>
          </w:p>
        </w:tc>
      </w:tr>
      <w:tr w:rsidR="00C87B35" w:rsidRPr="009C1B10" w:rsidTr="00EE413B">
        <w:trPr>
          <w:trHeight w:val="402"/>
          <w:jc w:val="center"/>
        </w:trPr>
        <w:tc>
          <w:tcPr>
            <w:tcW w:w="2368" w:type="dxa"/>
            <w:shd w:val="clear" w:color="auto" w:fill="auto"/>
            <w:noWrap/>
            <w:vAlign w:val="bottom"/>
            <w:hideMark/>
          </w:tcPr>
          <w:p w:rsidR="00C87B35" w:rsidRPr="009C1B10" w:rsidRDefault="00C87B35" w:rsidP="00F671C1">
            <w:pPr>
              <w:rPr>
                <w:color w:val="000000"/>
              </w:rPr>
            </w:pPr>
            <w:r w:rsidRPr="009C1B10">
              <w:rPr>
                <w:color w:val="000000"/>
              </w:rPr>
              <w:t>Supplies</w:t>
            </w:r>
          </w:p>
        </w:tc>
        <w:tc>
          <w:tcPr>
            <w:tcW w:w="1634" w:type="dxa"/>
            <w:shd w:val="clear" w:color="auto" w:fill="auto"/>
            <w:noWrap/>
            <w:vAlign w:val="bottom"/>
            <w:hideMark/>
          </w:tcPr>
          <w:p w:rsidR="00C87B35" w:rsidRPr="009C1B10" w:rsidRDefault="00C87B35" w:rsidP="00F671C1">
            <w:pPr>
              <w:jc w:val="right"/>
              <w:rPr>
                <w:color w:val="000000"/>
                <w:u w:val="single"/>
              </w:rPr>
            </w:pPr>
            <w:r w:rsidRPr="009C1B10">
              <w:rPr>
                <w:color w:val="000000"/>
                <w:u w:val="single"/>
              </w:rPr>
              <w:t xml:space="preserve">$0.12 </w:t>
            </w:r>
          </w:p>
        </w:tc>
      </w:tr>
      <w:tr w:rsidR="00C87B35" w:rsidRPr="009C1B10" w:rsidTr="00EE413B">
        <w:trPr>
          <w:trHeight w:val="402"/>
          <w:jc w:val="center"/>
        </w:trPr>
        <w:tc>
          <w:tcPr>
            <w:tcW w:w="2368" w:type="dxa"/>
            <w:shd w:val="clear" w:color="auto" w:fill="auto"/>
            <w:noWrap/>
            <w:vAlign w:val="bottom"/>
            <w:hideMark/>
          </w:tcPr>
          <w:p w:rsidR="00C87B35" w:rsidRPr="009C1B10" w:rsidRDefault="00C87B35" w:rsidP="00F671C1">
            <w:pPr>
              <w:rPr>
                <w:color w:val="000000"/>
              </w:rPr>
            </w:pPr>
            <w:r w:rsidRPr="009C1B10">
              <w:rPr>
                <w:color w:val="000000"/>
              </w:rPr>
              <w:t>Total Cost</w:t>
            </w:r>
          </w:p>
        </w:tc>
        <w:tc>
          <w:tcPr>
            <w:tcW w:w="1634" w:type="dxa"/>
            <w:shd w:val="clear" w:color="auto" w:fill="auto"/>
            <w:noWrap/>
            <w:vAlign w:val="bottom"/>
            <w:hideMark/>
          </w:tcPr>
          <w:p w:rsidR="00C87B35" w:rsidRPr="009C1B10" w:rsidRDefault="00C87B35" w:rsidP="00F671C1">
            <w:pPr>
              <w:jc w:val="right"/>
              <w:rPr>
                <w:color w:val="000000"/>
                <w:u w:val="double"/>
              </w:rPr>
            </w:pPr>
            <w:r w:rsidRPr="009C1B10">
              <w:rPr>
                <w:color w:val="000000"/>
                <w:u w:val="double"/>
              </w:rPr>
              <w:t xml:space="preserve">$4.90 </w:t>
            </w:r>
          </w:p>
        </w:tc>
      </w:tr>
    </w:tbl>
    <w:p w:rsidR="00C87B35" w:rsidRDefault="00C87B35" w:rsidP="00C87B35">
      <w:pPr>
        <w:spacing w:after="240"/>
        <w:jc w:val="both"/>
      </w:pPr>
    </w:p>
    <w:p w:rsidR="00C87B35" w:rsidRPr="00CF504A" w:rsidRDefault="00C87B35" w:rsidP="00C87B35">
      <w:pPr>
        <w:spacing w:after="240"/>
        <w:jc w:val="both"/>
      </w:pPr>
      <w:r w:rsidRPr="00CF504A">
        <w:lastRenderedPageBreak/>
        <w:t>Based on staff’s research, since the late 1990s, the Commission has approved late payment charges ranging from $2.00 to $7.00.</w:t>
      </w:r>
      <w:r w:rsidRPr="00CF504A">
        <w:rPr>
          <w:vertAlign w:val="superscript"/>
        </w:rPr>
        <w:footnoteReference w:id="15"/>
      </w:r>
      <w:r w:rsidRPr="00CF504A">
        <w:t xml:space="preserve"> The purpose of this charge is not only to provide an incentive for customers to make timely payment, thereby reducing the number of delinquent accounts, but also to place the cost burden of processing delinquent accounts solely upon those who are cost causers</w:t>
      </w:r>
      <w:r>
        <w:t xml:space="preserve">. </w:t>
      </w:r>
      <w:r w:rsidRPr="00CF504A">
        <w:t xml:space="preserve">        </w:t>
      </w:r>
    </w:p>
    <w:p w:rsidR="00C87B35" w:rsidRPr="00372286" w:rsidRDefault="00C87B35" w:rsidP="00C87B35">
      <w:pPr>
        <w:spacing w:after="240"/>
        <w:jc w:val="both"/>
        <w:sectPr w:rsidR="00C87B35" w:rsidRPr="00372286" w:rsidSect="0068481F">
          <w:headerReference w:type="default" r:id="rId12"/>
          <w:pgSz w:w="12240" w:h="15840" w:code="1"/>
          <w:pgMar w:top="1584" w:right="1440" w:bottom="1440" w:left="1440" w:header="720" w:footer="720" w:gutter="0"/>
          <w:cols w:space="720"/>
          <w:formProt w:val="0"/>
          <w:docGrid w:linePitch="360"/>
        </w:sectPr>
      </w:pPr>
      <w:r w:rsidRPr="00CF504A">
        <w:t xml:space="preserve">Based on the above, staff recommends that </w:t>
      </w:r>
      <w:r>
        <w:t>Cedar Acres</w:t>
      </w:r>
      <w:r w:rsidRPr="00CF504A">
        <w:t>’ request to implement a $</w:t>
      </w:r>
      <w:r>
        <w:t>5</w:t>
      </w:r>
      <w:r w:rsidRPr="00CF504A">
        <w:t xml:space="preserve"> late payment charge should be approved.</w:t>
      </w:r>
      <w:r>
        <w:t xml:space="preserve"> Cedar Acres</w:t>
      </w:r>
      <w:r w:rsidRPr="00CF504A">
        <w:t xml:space="preserve"> should be required to file a proposed customer notice to reflect the Commission-approved charge.</w:t>
      </w:r>
      <w:r>
        <w:t xml:space="preserve"> </w:t>
      </w:r>
      <w:r w:rsidRPr="00CF504A">
        <w:t xml:space="preserve">The approved charge should be effective for services rendered on or after the stamped approval date on the tariff sheet, pursuant to Rule 25-30.475(1), F.A.C. In addition, the approved charge should not be implemented until staff has approved the proposed customer notice. The </w:t>
      </w:r>
      <w:r>
        <w:t>u</w:t>
      </w:r>
      <w:r w:rsidRPr="00CF504A">
        <w:t xml:space="preserve">tility should provide proof of the date notice was given no less than </w:t>
      </w:r>
      <w:r>
        <w:t>10</w:t>
      </w:r>
      <w:r w:rsidRPr="00CF504A">
        <w:t xml:space="preserve"> days after the date of the notice</w:t>
      </w:r>
      <w:r>
        <w:t>.</w:t>
      </w:r>
    </w:p>
    <w:p w:rsidR="005A5399" w:rsidRDefault="005A5399">
      <w:pPr>
        <w:pStyle w:val="IssueHeading"/>
        <w:rPr>
          <w:vanish/>
          <w:specVanish/>
        </w:rPr>
      </w:pPr>
      <w:r w:rsidRPr="004C3641">
        <w:lastRenderedPageBreak/>
        <w:t xml:space="preserve">Issue </w:t>
      </w:r>
      <w:r w:rsidR="00BC3D1A">
        <w:fldChar w:fldCharType="begin"/>
      </w:r>
      <w:r w:rsidR="00BC3D1A">
        <w:instrText xml:space="preserve"> SEQ Issue \* MERGEFORMAT </w:instrText>
      </w:r>
      <w:r w:rsidR="00BC3D1A">
        <w:fldChar w:fldCharType="separate"/>
      </w:r>
      <w:r w:rsidR="000C12D8">
        <w:rPr>
          <w:noProof/>
        </w:rPr>
        <w:t>14</w:t>
      </w:r>
      <w:r w:rsidR="00BC3D1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431459586"/>
      <w:r w:rsidR="000C12D8">
        <w:rPr>
          <w:noProof/>
        </w:rPr>
        <w:instrText>14</w:instrText>
      </w:r>
      <w:r>
        <w:fldChar w:fldCharType="end"/>
      </w:r>
      <w:r>
        <w:tab/>
      </w:r>
      <w:r w:rsidR="00572991">
        <w:instrText>Customer Deposits (Thompson)</w:instrText>
      </w:r>
      <w:bookmarkEnd w:id="30"/>
      <w:r>
        <w:instrText xml:space="preserve">" \l 1 </w:instrText>
      </w:r>
      <w:r>
        <w:fldChar w:fldCharType="end"/>
      </w:r>
      <w:r>
        <w:t> </w:t>
      </w:r>
    </w:p>
    <w:p w:rsidR="005A5399" w:rsidRDefault="005A5399">
      <w:pPr>
        <w:pStyle w:val="BodyText"/>
      </w:pPr>
      <w:r>
        <w:t> </w:t>
      </w:r>
      <w:r w:rsidR="00C87B35" w:rsidRPr="00502544">
        <w:t xml:space="preserve">What are the appropriate initial customer deposits for </w:t>
      </w:r>
      <w:r w:rsidR="00C87B35">
        <w:t>Cedar Acres</w:t>
      </w:r>
      <w:r w:rsidR="00C87B35" w:rsidRPr="00502544">
        <w:t>?</w:t>
      </w:r>
    </w:p>
    <w:p w:rsidR="005A5399" w:rsidRPr="004C3641" w:rsidRDefault="005A5399">
      <w:pPr>
        <w:pStyle w:val="IssueSubsectionHeading"/>
        <w:rPr>
          <w:vanish/>
          <w:specVanish/>
        </w:rPr>
      </w:pPr>
      <w:r w:rsidRPr="004C3641">
        <w:t>Recommendation: </w:t>
      </w:r>
    </w:p>
    <w:p w:rsidR="005A5399" w:rsidRDefault="005A5399">
      <w:pPr>
        <w:pStyle w:val="BodyText"/>
      </w:pPr>
      <w:r>
        <w:t> </w:t>
      </w:r>
      <w:r w:rsidR="00C87B35">
        <w:t xml:space="preserve">The appropriate initial customer deposit should be </w:t>
      </w:r>
      <w:r w:rsidR="00C87B35">
        <w:rPr>
          <w:color w:val="000000"/>
        </w:rPr>
        <w:t>$60 for the residential 5/8” x 3/4"</w:t>
      </w:r>
      <w:r w:rsidR="00C87B35" w:rsidRPr="008073AD">
        <w:rPr>
          <w:color w:val="000000"/>
        </w:rPr>
        <w:t xml:space="preserve"> </w:t>
      </w:r>
      <w:r w:rsidR="00C87B35">
        <w:rPr>
          <w:color w:val="000000"/>
        </w:rPr>
        <w:t>meter size. The initial customer deposit for all other residential meter sizes and all</w:t>
      </w:r>
      <w:r w:rsidR="00C87B35">
        <w:rPr>
          <w:bCs/>
          <w:kern w:val="32"/>
        </w:rPr>
        <w:t xml:space="preserve"> general service meter sizes should be two times the average estimated bill for water.</w:t>
      </w:r>
      <w:r w:rsidR="00C87B35">
        <w:t xml:space="preserve"> The utility should file revised tariff sheets consistent with the Commission’s vote. The approved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w:t>
      </w:r>
      <w:r w:rsidR="00C87B35" w:rsidRPr="00502544">
        <w:rPr>
          <w:color w:val="000000"/>
        </w:rPr>
        <w:t>.</w:t>
      </w:r>
      <w:r>
        <w:t xml:space="preserve"> (Thompson)</w:t>
      </w:r>
    </w:p>
    <w:p w:rsidR="005A5399" w:rsidRPr="004C3641" w:rsidRDefault="005A5399">
      <w:pPr>
        <w:pStyle w:val="IssueSubsectionHeading"/>
        <w:rPr>
          <w:vanish/>
          <w:specVanish/>
        </w:rPr>
      </w:pPr>
      <w:r w:rsidRPr="004C3641">
        <w:t>Staff Analysis: </w:t>
      </w:r>
    </w:p>
    <w:p w:rsidR="00C87B35" w:rsidRPr="00572F00" w:rsidRDefault="005A5399" w:rsidP="00C87B35">
      <w:pPr>
        <w:tabs>
          <w:tab w:val="left" w:pos="-720"/>
          <w:tab w:val="left" w:pos="720"/>
          <w:tab w:val="left" w:pos="2160"/>
          <w:tab w:val="left" w:pos="3600"/>
          <w:tab w:val="left" w:pos="5040"/>
          <w:tab w:val="left" w:pos="6480"/>
          <w:tab w:val="left" w:pos="7920"/>
        </w:tabs>
        <w:jc w:val="both"/>
      </w:pPr>
      <w:r>
        <w:t> </w:t>
      </w:r>
      <w:r w:rsidR="00C87B35" w:rsidRPr="00572F00">
        <w:t>Rule 25-30.311, F.A.C., contains criteria for collecting, administering, and refunding customer depos</w:t>
      </w:r>
      <w:r w:rsidR="00C87B35">
        <w:t xml:space="preserve">its. </w:t>
      </w:r>
      <w:r w:rsidR="00C87B35" w:rsidRPr="00572F00">
        <w:t xml:space="preserve">Rule 25-30.311(1), F.A.C., requires that each company’s tariff shall contain their specific criteria for determining </w:t>
      </w:r>
      <w:r w:rsidR="00C87B35">
        <w:t>the amount of initial deposits. Cedar Acres’</w:t>
      </w:r>
      <w:r w:rsidR="00C87B35" w:rsidRPr="00572F00">
        <w:t xml:space="preserve"> current</w:t>
      </w:r>
      <w:r w:rsidR="00C87B35">
        <w:t xml:space="preserve"> tariff does not authorize the u</w:t>
      </w:r>
      <w:r w:rsidR="00C87B35" w:rsidRPr="00572F00">
        <w:t>tility to col</w:t>
      </w:r>
      <w:r w:rsidR="00C87B35">
        <w:t xml:space="preserve">lect initial customer deposits. </w:t>
      </w:r>
      <w:r w:rsidR="00C87B35" w:rsidRPr="00572F00">
        <w:t>Customer deposits are designed to minimize the exposu</w:t>
      </w:r>
      <w:r w:rsidR="00C87B35">
        <w:t>re of bad debt expense for the u</w:t>
      </w:r>
      <w:r w:rsidR="00C87B35" w:rsidRPr="00572F00">
        <w:t>tility and, ultimately, t</w:t>
      </w:r>
      <w:r w:rsidR="00C87B35">
        <w:t xml:space="preserve">he general body of rate payers. </w:t>
      </w:r>
      <w:r w:rsidR="00C87B35" w:rsidRPr="00572F00">
        <w:t>In addition, collection of customer deposits is consistent with one of the fundamental principles of rate making</w:t>
      </w:r>
      <w:r w:rsidR="00C87B35">
        <w:t>—</w:t>
      </w:r>
      <w:r w:rsidR="00C87B35" w:rsidRPr="00572F00">
        <w:t>ensuring that the cost of providing service is recovered from the cost causer</w:t>
      </w:r>
      <w:r w:rsidR="00C87B35">
        <w:t xml:space="preserve">. </w:t>
      </w:r>
    </w:p>
    <w:p w:rsidR="00C87B35" w:rsidRPr="00572F00" w:rsidRDefault="00C87B35" w:rsidP="00C87B35">
      <w:pPr>
        <w:ind w:firstLine="720"/>
        <w:jc w:val="both"/>
        <w:rPr>
          <w:bCs/>
          <w:kern w:val="32"/>
        </w:rPr>
      </w:pPr>
      <w:r w:rsidRPr="00572F00">
        <w:rPr>
          <w:bCs/>
          <w:kern w:val="32"/>
        </w:rPr>
        <w:t xml:space="preserve">  </w:t>
      </w:r>
    </w:p>
    <w:p w:rsidR="00C87B35" w:rsidRDefault="00C87B35" w:rsidP="00C87B35">
      <w:pPr>
        <w:jc w:val="both"/>
        <w:rPr>
          <w:bCs/>
          <w:kern w:val="32"/>
        </w:rPr>
      </w:pPr>
      <w:r w:rsidRPr="00572F00">
        <w:rPr>
          <w:bCs/>
          <w:kern w:val="32"/>
        </w:rPr>
        <w:t>Rule 25-30.311(7), F.A.C., authorizes utilities to collect new or additional deposits from existing customers not to</w:t>
      </w:r>
      <w:r w:rsidRPr="00572F00">
        <w:rPr>
          <w:noProof/>
          <w:color w:val="000000"/>
        </w:rPr>
        <w:t xml:space="preserve"> exceed an amount equal to the average actual charge for water and/or wastewater service for two billing periods for the 12-month period immediately prior to the date of notice.</w:t>
      </w:r>
      <w:r w:rsidRPr="00572F00">
        <w:rPr>
          <w:bCs/>
          <w:kern w:val="32"/>
        </w:rPr>
        <w:t xml:space="preserve"> The two billing periods reflect the lag time betwee</w:t>
      </w:r>
      <w:r>
        <w:rPr>
          <w:bCs/>
          <w:kern w:val="32"/>
        </w:rPr>
        <w:t>n the customer’s usage and the u</w:t>
      </w:r>
      <w:r w:rsidRPr="00572F00">
        <w:rPr>
          <w:bCs/>
          <w:kern w:val="32"/>
        </w:rPr>
        <w:t xml:space="preserve">tility’s collection of the revenues associated with that usage. </w:t>
      </w:r>
      <w:r w:rsidRPr="00572F00">
        <w:t>Commission practice has been to set initial customer deposits equal to two months bills based on the average consumption</w:t>
      </w:r>
      <w:r w:rsidRPr="00572F00">
        <w:rPr>
          <w:noProof/>
          <w:color w:val="000000"/>
        </w:rPr>
        <w:t xml:space="preserve"> for a 12-month period for each class of customers</w:t>
      </w:r>
      <w:r w:rsidRPr="00572F00">
        <w:t>. Staff reviewed the customer usage data and developed initial customer deposits for new residential and general service customers based on two times the average consumption</w:t>
      </w:r>
      <w:r>
        <w:t xml:space="preserve">. </w:t>
      </w:r>
      <w:r w:rsidRPr="00572F00">
        <w:rPr>
          <w:bCs/>
          <w:kern w:val="32"/>
        </w:rPr>
        <w:t xml:space="preserve">  </w:t>
      </w:r>
    </w:p>
    <w:p w:rsidR="00CD47DC" w:rsidRPr="00572F00" w:rsidRDefault="00CD47DC" w:rsidP="00C87B35">
      <w:pPr>
        <w:jc w:val="both"/>
        <w:rPr>
          <w:bCs/>
          <w:kern w:val="32"/>
        </w:rPr>
      </w:pPr>
    </w:p>
    <w:p w:rsidR="00C87B35" w:rsidRPr="00502544" w:rsidRDefault="00C87B35" w:rsidP="00C87B35">
      <w:pPr>
        <w:tabs>
          <w:tab w:val="left" w:pos="-720"/>
          <w:tab w:val="left" w:pos="720"/>
          <w:tab w:val="left" w:pos="2160"/>
          <w:tab w:val="left" w:pos="3600"/>
          <w:tab w:val="left" w:pos="5040"/>
          <w:tab w:val="left" w:pos="6480"/>
          <w:tab w:val="left" w:pos="7920"/>
        </w:tabs>
        <w:jc w:val="both"/>
        <w:rPr>
          <w:color w:val="000000"/>
        </w:rPr>
      </w:pPr>
      <w:r w:rsidRPr="00572F00">
        <w:t xml:space="preserve">Staff recommends that the </w:t>
      </w:r>
      <w:r>
        <w:t xml:space="preserve">appropriate initial customer deposit should be </w:t>
      </w:r>
      <w:r>
        <w:rPr>
          <w:color w:val="000000"/>
        </w:rPr>
        <w:t>$60 for the residential 5/8” x 3/4"</w:t>
      </w:r>
      <w:r w:rsidRPr="008073AD">
        <w:rPr>
          <w:color w:val="000000"/>
        </w:rPr>
        <w:t xml:space="preserve"> </w:t>
      </w:r>
      <w:r>
        <w:rPr>
          <w:color w:val="000000"/>
        </w:rPr>
        <w:t>meter size. The initial customer deposit for all other residential meter sizes and all</w:t>
      </w:r>
      <w:r>
        <w:rPr>
          <w:bCs/>
          <w:kern w:val="32"/>
        </w:rPr>
        <w:t xml:space="preserve"> general service meter sizes should be two times the average estimated bill for water.</w:t>
      </w:r>
      <w:r>
        <w:t xml:space="preserve"> The utility should file revised tariff sheets consistent with the Commission’s vote. The approved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w:t>
      </w:r>
      <w:r w:rsidRPr="00502544">
        <w:rPr>
          <w:color w:val="000000"/>
        </w:rPr>
        <w:t>.</w:t>
      </w:r>
    </w:p>
    <w:p w:rsidR="00035306" w:rsidRDefault="00035306">
      <w:pPr>
        <w:pStyle w:val="IssueHeading"/>
        <w:rPr>
          <w:vanish/>
          <w:specVanish/>
        </w:rPr>
      </w:pPr>
      <w:r w:rsidRPr="004C3641">
        <w:rPr>
          <w:b w:val="0"/>
          <w:i w:val="0"/>
        </w:rPr>
        <w:br w:type="page"/>
      </w:r>
      <w:r w:rsidRPr="004C3641">
        <w:lastRenderedPageBreak/>
        <w:t xml:space="preserve">Issue </w:t>
      </w:r>
      <w:r w:rsidR="00BC3D1A">
        <w:fldChar w:fldCharType="begin"/>
      </w:r>
      <w:r w:rsidR="00BC3D1A">
        <w:instrText xml:space="preserve"> SEQ Issue \* MERGEFORMAT </w:instrText>
      </w:r>
      <w:r w:rsidR="00BC3D1A">
        <w:fldChar w:fldCharType="separate"/>
      </w:r>
      <w:r w:rsidR="000C12D8">
        <w:rPr>
          <w:noProof/>
        </w:rPr>
        <w:t>15</w:t>
      </w:r>
      <w:r w:rsidR="00BC3D1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431459587"/>
      <w:r w:rsidR="000C12D8">
        <w:rPr>
          <w:noProof/>
        </w:rPr>
        <w:instrText>15</w:instrText>
      </w:r>
      <w:r>
        <w:fldChar w:fldCharType="end"/>
      </w:r>
      <w:r>
        <w:tab/>
      </w:r>
      <w:r w:rsidR="0060028C">
        <w:instrText>Violation Reconnection Charge (Thompson)</w:instrText>
      </w:r>
      <w:bookmarkEnd w:id="31"/>
      <w:r>
        <w:instrText xml:space="preserve">" \l 1 </w:instrText>
      </w:r>
      <w:r>
        <w:fldChar w:fldCharType="end"/>
      </w:r>
      <w:r>
        <w:t> </w:t>
      </w:r>
    </w:p>
    <w:p w:rsidR="00035306" w:rsidRDefault="00035306">
      <w:pPr>
        <w:pStyle w:val="BodyText"/>
      </w:pPr>
      <w:r>
        <w:t> </w:t>
      </w:r>
      <w:r w:rsidRPr="00AE53DF">
        <w:t xml:space="preserve">Should </w:t>
      </w:r>
      <w:r>
        <w:t>Cedar Acres’ request for violation reconnection charges be approved</w:t>
      </w:r>
      <w:r w:rsidRPr="00AE53DF">
        <w:t>?</w:t>
      </w:r>
    </w:p>
    <w:p w:rsidR="00035306" w:rsidRPr="004C3641" w:rsidRDefault="00035306">
      <w:pPr>
        <w:pStyle w:val="IssueSubsectionHeading"/>
        <w:rPr>
          <w:vanish/>
          <w:specVanish/>
        </w:rPr>
      </w:pPr>
      <w:r w:rsidRPr="004C3641">
        <w:t>Recommendation: </w:t>
      </w:r>
    </w:p>
    <w:p w:rsidR="00035306" w:rsidRDefault="00035306">
      <w:pPr>
        <w:pStyle w:val="BodyText"/>
      </w:pPr>
      <w:r>
        <w:t> </w:t>
      </w:r>
      <w:r w:rsidRPr="00AE53DF">
        <w:t>Yes. C</w:t>
      </w:r>
      <w:r>
        <w:t>edar Acr</w:t>
      </w:r>
      <w:r w:rsidRPr="00AE53DF">
        <w:t>e</w:t>
      </w:r>
      <w:r>
        <w:t>s</w:t>
      </w:r>
      <w:r w:rsidRPr="00AE53DF">
        <w:t xml:space="preserve"> </w:t>
      </w:r>
      <w:r>
        <w:t>request for violation reconnection charges of $80 for normal hours and $105 for after hours should be approved</w:t>
      </w:r>
      <w:r w:rsidRPr="00AE53DF">
        <w:t>.</w:t>
      </w:r>
      <w:r>
        <w:t xml:space="preserve"> Cedar Acres should be required to file a proposed customer notice to reflect the Commission-approved charges. The approved charges should be effective for services rendered on or after the stamped approval date on the tariff sheet, pursuant to Rule 25-30.475(1), F.A.C. In addition, the approved charges should not be implemented until staff has approved the proposed customer notice. The utility should provide proof of the date notice was given no less than 10 days after the date of the notice</w:t>
      </w:r>
      <w:r w:rsidRPr="0057345A">
        <w:t>.</w:t>
      </w:r>
      <w:r>
        <w:t xml:space="preserve"> (Thompson)</w:t>
      </w:r>
    </w:p>
    <w:p w:rsidR="00035306" w:rsidRPr="004C3641" w:rsidRDefault="00035306">
      <w:pPr>
        <w:pStyle w:val="IssueSubsectionHeading"/>
        <w:rPr>
          <w:vanish/>
          <w:specVanish/>
        </w:rPr>
      </w:pPr>
      <w:r w:rsidRPr="004C3641">
        <w:t>Staff Analysis: </w:t>
      </w:r>
    </w:p>
    <w:p w:rsidR="00035306" w:rsidRDefault="00035306" w:rsidP="00035306">
      <w:pPr>
        <w:spacing w:after="240"/>
        <w:jc w:val="both"/>
        <w:outlineLvl w:val="1"/>
      </w:pPr>
      <w:r>
        <w:t> </w:t>
      </w:r>
      <w:r w:rsidRPr="00CF504A">
        <w:t>Section 367.091, F.S., authorizes the Commission to establish, increase, or change a rate or charge other than monthly rates or service</w:t>
      </w:r>
      <w:r>
        <w:t xml:space="preserve"> </w:t>
      </w:r>
      <w:r w:rsidRPr="00CF504A">
        <w:t>availability charges.</w:t>
      </w:r>
      <w:r>
        <w:t xml:space="preserve"> The u</w:t>
      </w:r>
      <w:r w:rsidRPr="00CF504A">
        <w:t xml:space="preserve">tility is requesting </w:t>
      </w:r>
      <w:r>
        <w:t>violation reconnection charges of $80 for normal hours and $105 for after hours. The u</w:t>
      </w:r>
      <w:r w:rsidRPr="00CF504A">
        <w:t xml:space="preserve">tility’s request for </w:t>
      </w:r>
      <w:r>
        <w:t>violation reconnection charges was</w:t>
      </w:r>
      <w:r w:rsidRPr="00CF504A">
        <w:t xml:space="preserve"> accompanied by its reason for requesting the charge</w:t>
      </w:r>
      <w:r>
        <w:t>s</w:t>
      </w:r>
      <w:r w:rsidRPr="00CF504A">
        <w:t>, as well as the cost justification required by Section 367.091, F.S.</w:t>
      </w:r>
    </w:p>
    <w:p w:rsidR="00EE413B" w:rsidRDefault="00035306" w:rsidP="00035306">
      <w:pPr>
        <w:jc w:val="both"/>
        <w:outlineLvl w:val="1"/>
        <w:rPr>
          <w:rStyle w:val="BodyTextChar"/>
        </w:rPr>
      </w:pPr>
      <w:r>
        <w:t>Pursuant to Rule 25-30.460(1</w:t>
      </w:r>
      <w:proofErr w:type="gramStart"/>
      <w:r>
        <w:t>)(</w:t>
      </w:r>
      <w:proofErr w:type="gramEnd"/>
      <w:r>
        <w:t xml:space="preserve">c), F.A.C., a violation reconnection is a charge that is levied prior to reconnection of an existing customer after discontinuance of service for cause. </w:t>
      </w:r>
      <w:r w:rsidRPr="004C3F13">
        <w:rPr>
          <w:rStyle w:val="BodyTextChar"/>
        </w:rPr>
        <w:t xml:space="preserve">Commission practice has been to place the burden of such </w:t>
      </w:r>
      <w:r>
        <w:rPr>
          <w:rStyle w:val="BodyTextChar"/>
        </w:rPr>
        <w:t xml:space="preserve">a </w:t>
      </w:r>
      <w:r w:rsidRPr="004C3F13">
        <w:rPr>
          <w:rStyle w:val="BodyTextChar"/>
        </w:rPr>
        <w:t>charge</w:t>
      </w:r>
      <w:r>
        <w:rPr>
          <w:rStyle w:val="BodyTextChar"/>
        </w:rPr>
        <w:t xml:space="preserve"> </w:t>
      </w:r>
      <w:r w:rsidRPr="004C3F13">
        <w:rPr>
          <w:rStyle w:val="BodyTextChar"/>
        </w:rPr>
        <w:t>on the cost causer rather than the general body of ratepayers</w:t>
      </w:r>
      <w:r>
        <w:rPr>
          <w:rStyle w:val="BodyTextChar"/>
        </w:rPr>
        <w:t>. This is consistent with one of the fundamental principles of rate making</w:t>
      </w:r>
      <w:r w:rsidR="00EE413B">
        <w:rPr>
          <w:rStyle w:val="BodyTextChar"/>
        </w:rPr>
        <w:t>—</w:t>
      </w:r>
      <w:r>
        <w:rPr>
          <w:rStyle w:val="BodyTextChar"/>
        </w:rPr>
        <w:t>ensuring that the cost of providing service is recovered from the cost causer.</w:t>
      </w:r>
    </w:p>
    <w:p w:rsidR="00EE413B" w:rsidRDefault="00EE413B" w:rsidP="00035306">
      <w:pPr>
        <w:jc w:val="both"/>
        <w:outlineLvl w:val="1"/>
        <w:rPr>
          <w:rStyle w:val="BodyTextChar"/>
        </w:rPr>
      </w:pPr>
    </w:p>
    <w:p w:rsidR="00035306" w:rsidRDefault="00035306" w:rsidP="00035306">
      <w:pPr>
        <w:jc w:val="both"/>
        <w:outlineLvl w:val="1"/>
        <w:rPr>
          <w:rStyle w:val="BodyTextChar"/>
        </w:rPr>
      </w:pPr>
      <w:r>
        <w:rPr>
          <w:rStyle w:val="BodyTextChar"/>
        </w:rPr>
        <w:t>Cedar Acres does not have any on-site personnel to perform disconnections. Therefore, a third party vendor will be used for this function. The third party vendor’s estimate reflects 2.2 hours of labor, which includes driving time of 74 miles round trip and performing the disconnection and subsequent reconnection. The third party vendor’s estimate also reflects transportation cost at $0.50 per mile, which is less than the current 2015 IRS standard mileage rate of $0.575. Staff believes the utility’s requested charges are reasonable and consistent with Commission decisions.</w:t>
      </w:r>
      <w:r>
        <w:rPr>
          <w:rStyle w:val="FootnoteReference"/>
        </w:rPr>
        <w:footnoteReference w:id="16"/>
      </w:r>
      <w:r>
        <w:rPr>
          <w:rStyle w:val="BodyTextChar"/>
        </w:rPr>
        <w:t xml:space="preserve"> The utility’s cost justification is summarized below in Table </w:t>
      </w:r>
      <w:r w:rsidR="00BD0018">
        <w:rPr>
          <w:rStyle w:val="BodyTextChar"/>
        </w:rPr>
        <w:t>15</w:t>
      </w:r>
      <w:r w:rsidR="007A1BCB">
        <w:rPr>
          <w:rStyle w:val="BodyTextChar"/>
        </w:rPr>
        <w:t>-1</w:t>
      </w:r>
      <w:r>
        <w:rPr>
          <w:rStyle w:val="BodyTextChar"/>
        </w:rPr>
        <w:t xml:space="preserve">. </w:t>
      </w:r>
    </w:p>
    <w:p w:rsidR="00035306" w:rsidRDefault="00035306" w:rsidP="00035306">
      <w:pPr>
        <w:jc w:val="both"/>
        <w:outlineLvl w:val="1"/>
        <w:rPr>
          <w:rStyle w:val="BodyTextChar"/>
        </w:rPr>
      </w:pPr>
    </w:p>
    <w:p w:rsidR="00035306" w:rsidRDefault="00035306" w:rsidP="00035306">
      <w:pPr>
        <w:jc w:val="both"/>
        <w:outlineLvl w:val="1"/>
        <w:rPr>
          <w:rStyle w:val="BodyTextChar"/>
        </w:rPr>
      </w:pPr>
    </w:p>
    <w:p w:rsidR="00035306" w:rsidRDefault="00035306" w:rsidP="00035306">
      <w:pPr>
        <w:jc w:val="both"/>
        <w:outlineLvl w:val="1"/>
        <w:rPr>
          <w:rStyle w:val="BodyTextChar"/>
        </w:rPr>
      </w:pPr>
    </w:p>
    <w:p w:rsidR="00035306" w:rsidRDefault="00035306" w:rsidP="00035306">
      <w:pPr>
        <w:jc w:val="both"/>
        <w:outlineLvl w:val="1"/>
        <w:rPr>
          <w:rStyle w:val="BodyTextChar"/>
        </w:rPr>
      </w:pPr>
    </w:p>
    <w:p w:rsidR="00035306" w:rsidRDefault="00035306" w:rsidP="00035306">
      <w:pPr>
        <w:jc w:val="both"/>
        <w:outlineLvl w:val="1"/>
        <w:rPr>
          <w:rStyle w:val="BodyTextChar"/>
        </w:rPr>
      </w:pPr>
    </w:p>
    <w:p w:rsidR="00035306" w:rsidRDefault="00035306" w:rsidP="00035306">
      <w:pPr>
        <w:jc w:val="both"/>
        <w:outlineLvl w:val="1"/>
        <w:rPr>
          <w:rStyle w:val="BodyTextChar"/>
        </w:rPr>
      </w:pPr>
    </w:p>
    <w:p w:rsidR="00035306" w:rsidRDefault="00035306" w:rsidP="00035306">
      <w:pPr>
        <w:jc w:val="both"/>
        <w:outlineLvl w:val="1"/>
        <w:rPr>
          <w:rStyle w:val="BodyTextChar"/>
        </w:rPr>
      </w:pPr>
    </w:p>
    <w:p w:rsidR="005400AE" w:rsidRDefault="005400AE" w:rsidP="00035306">
      <w:pPr>
        <w:jc w:val="both"/>
        <w:outlineLvl w:val="1"/>
        <w:rPr>
          <w:rStyle w:val="BodyTextChar"/>
        </w:rPr>
      </w:pPr>
    </w:p>
    <w:p w:rsidR="005400AE" w:rsidRDefault="005400AE" w:rsidP="00035306">
      <w:pPr>
        <w:jc w:val="both"/>
        <w:outlineLvl w:val="1"/>
        <w:rPr>
          <w:rStyle w:val="BodyTextChar"/>
        </w:rPr>
      </w:pPr>
    </w:p>
    <w:p w:rsidR="005400AE" w:rsidRDefault="005400AE" w:rsidP="00035306">
      <w:pPr>
        <w:jc w:val="both"/>
        <w:outlineLvl w:val="1"/>
        <w:rPr>
          <w:rStyle w:val="BodyTextChar"/>
        </w:rPr>
      </w:pPr>
    </w:p>
    <w:p w:rsidR="00035306" w:rsidRDefault="00035306" w:rsidP="00035306">
      <w:pPr>
        <w:jc w:val="both"/>
        <w:outlineLvl w:val="1"/>
        <w:rPr>
          <w:rStyle w:val="BodyTextChar"/>
        </w:rPr>
      </w:pPr>
    </w:p>
    <w:p w:rsidR="00035306" w:rsidRDefault="00035306" w:rsidP="00035306">
      <w:pPr>
        <w:jc w:val="both"/>
        <w:outlineLvl w:val="1"/>
        <w:rPr>
          <w:rStyle w:val="BodyTextChar"/>
        </w:rPr>
      </w:pPr>
    </w:p>
    <w:p w:rsidR="00035306" w:rsidRPr="0020404D" w:rsidRDefault="00035306" w:rsidP="00035306">
      <w:pPr>
        <w:jc w:val="center"/>
        <w:outlineLvl w:val="1"/>
        <w:rPr>
          <w:rStyle w:val="BodyTextChar"/>
          <w:rFonts w:ascii="Arial" w:hAnsi="Arial" w:cs="Arial"/>
          <w:b/>
        </w:rPr>
      </w:pPr>
      <w:r w:rsidRPr="0020404D">
        <w:rPr>
          <w:rStyle w:val="BodyTextChar"/>
          <w:rFonts w:ascii="Arial" w:hAnsi="Arial" w:cs="Arial"/>
          <w:b/>
        </w:rPr>
        <w:t xml:space="preserve">Table </w:t>
      </w:r>
      <w:r w:rsidR="00BD0018" w:rsidRPr="0020404D">
        <w:rPr>
          <w:rStyle w:val="BodyTextChar"/>
          <w:rFonts w:ascii="Arial" w:hAnsi="Arial" w:cs="Arial"/>
          <w:b/>
        </w:rPr>
        <w:t>15</w:t>
      </w:r>
      <w:r w:rsidR="007A1BCB" w:rsidRPr="0020404D">
        <w:rPr>
          <w:rStyle w:val="BodyTextChar"/>
          <w:rFonts w:ascii="Arial" w:hAnsi="Arial" w:cs="Arial"/>
          <w:b/>
        </w:rPr>
        <w:t>-1</w:t>
      </w:r>
    </w:p>
    <w:p w:rsidR="00035306" w:rsidRPr="0020404D" w:rsidRDefault="00EE413B" w:rsidP="00035306">
      <w:pPr>
        <w:jc w:val="center"/>
        <w:outlineLvl w:val="1"/>
        <w:rPr>
          <w:rStyle w:val="BodyTextChar"/>
          <w:rFonts w:ascii="Arial" w:hAnsi="Arial" w:cs="Arial"/>
          <w:b/>
        </w:rPr>
      </w:pPr>
      <w:r w:rsidRPr="0020404D">
        <w:rPr>
          <w:rStyle w:val="BodyTextChar"/>
          <w:rFonts w:ascii="Arial" w:hAnsi="Arial" w:cs="Arial"/>
          <w:b/>
        </w:rPr>
        <w:t>Cost Basis for Violation Reconnection Charge</w:t>
      </w:r>
    </w:p>
    <w:tbl>
      <w:tblPr>
        <w:tblW w:w="0" w:type="auto"/>
        <w:jc w:val="center"/>
        <w:tblInd w:w="-83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64"/>
        <w:gridCol w:w="1007"/>
        <w:gridCol w:w="263"/>
        <w:gridCol w:w="3598"/>
        <w:gridCol w:w="1056"/>
      </w:tblGrid>
      <w:tr w:rsidR="00035306" w:rsidRPr="000F3C10" w:rsidTr="00F671C1">
        <w:trPr>
          <w:trHeight w:val="485"/>
          <w:jc w:val="center"/>
        </w:trPr>
        <w:tc>
          <w:tcPr>
            <w:tcW w:w="3564" w:type="dxa"/>
            <w:shd w:val="clear" w:color="auto" w:fill="auto"/>
            <w:vAlign w:val="bottom"/>
          </w:tcPr>
          <w:p w:rsidR="00035306" w:rsidRPr="000F3C10" w:rsidRDefault="00035306" w:rsidP="00F671C1">
            <w:pPr>
              <w:pStyle w:val="BodyText"/>
              <w:jc w:val="left"/>
              <w:rPr>
                <w:b/>
              </w:rPr>
            </w:pPr>
            <w:r w:rsidRPr="000F3C10">
              <w:rPr>
                <w:b/>
              </w:rPr>
              <w:t>During Business Hours</w:t>
            </w:r>
          </w:p>
        </w:tc>
        <w:tc>
          <w:tcPr>
            <w:tcW w:w="1007" w:type="dxa"/>
            <w:shd w:val="clear" w:color="auto" w:fill="auto"/>
            <w:vAlign w:val="bottom"/>
          </w:tcPr>
          <w:p w:rsidR="00035306" w:rsidRPr="000F3C10" w:rsidRDefault="00035306" w:rsidP="00F671C1">
            <w:pPr>
              <w:pStyle w:val="BodyText"/>
              <w:jc w:val="left"/>
              <w:rPr>
                <w:b/>
              </w:rPr>
            </w:pPr>
            <w:r w:rsidRPr="000F3C10">
              <w:rPr>
                <w:b/>
              </w:rPr>
              <w:t>Cost</w:t>
            </w:r>
          </w:p>
        </w:tc>
        <w:tc>
          <w:tcPr>
            <w:tcW w:w="263" w:type="dxa"/>
            <w:shd w:val="clear" w:color="auto" w:fill="auto"/>
            <w:vAlign w:val="bottom"/>
          </w:tcPr>
          <w:p w:rsidR="00035306" w:rsidRPr="000F3C10" w:rsidRDefault="00035306" w:rsidP="00F671C1">
            <w:pPr>
              <w:pStyle w:val="BodyText"/>
              <w:jc w:val="left"/>
              <w:rPr>
                <w:b/>
              </w:rPr>
            </w:pPr>
          </w:p>
        </w:tc>
        <w:tc>
          <w:tcPr>
            <w:tcW w:w="3598" w:type="dxa"/>
            <w:shd w:val="clear" w:color="auto" w:fill="auto"/>
            <w:vAlign w:val="bottom"/>
          </w:tcPr>
          <w:p w:rsidR="00035306" w:rsidRPr="000F3C10" w:rsidRDefault="00035306" w:rsidP="00F671C1">
            <w:pPr>
              <w:pStyle w:val="BodyText"/>
              <w:jc w:val="left"/>
              <w:rPr>
                <w:b/>
              </w:rPr>
            </w:pPr>
            <w:r w:rsidRPr="000F3C10">
              <w:rPr>
                <w:b/>
              </w:rPr>
              <w:t>After Hours</w:t>
            </w:r>
          </w:p>
        </w:tc>
        <w:tc>
          <w:tcPr>
            <w:tcW w:w="1056" w:type="dxa"/>
            <w:shd w:val="clear" w:color="auto" w:fill="auto"/>
            <w:vAlign w:val="bottom"/>
          </w:tcPr>
          <w:p w:rsidR="00035306" w:rsidRPr="000F3C10" w:rsidRDefault="00035306" w:rsidP="00F671C1">
            <w:pPr>
              <w:pStyle w:val="BodyText"/>
              <w:jc w:val="left"/>
              <w:rPr>
                <w:b/>
              </w:rPr>
            </w:pPr>
            <w:r w:rsidRPr="000F3C10">
              <w:rPr>
                <w:b/>
              </w:rPr>
              <w:t>Cost</w:t>
            </w:r>
          </w:p>
        </w:tc>
      </w:tr>
      <w:tr w:rsidR="00035306" w:rsidRPr="000F3C10" w:rsidTr="00F671C1">
        <w:trPr>
          <w:trHeight w:val="485"/>
          <w:jc w:val="center"/>
        </w:trPr>
        <w:tc>
          <w:tcPr>
            <w:tcW w:w="3564" w:type="dxa"/>
            <w:shd w:val="clear" w:color="auto" w:fill="auto"/>
            <w:vAlign w:val="bottom"/>
          </w:tcPr>
          <w:p w:rsidR="00035306" w:rsidRDefault="00035306" w:rsidP="00F671C1">
            <w:pPr>
              <w:pStyle w:val="BodyText"/>
              <w:jc w:val="left"/>
            </w:pPr>
            <w:r>
              <w:t>Labor ($20.50/hr. x 2.2 hrs.)</w:t>
            </w:r>
          </w:p>
        </w:tc>
        <w:tc>
          <w:tcPr>
            <w:tcW w:w="1007" w:type="dxa"/>
            <w:shd w:val="clear" w:color="auto" w:fill="auto"/>
            <w:vAlign w:val="bottom"/>
          </w:tcPr>
          <w:p w:rsidR="00035306" w:rsidRDefault="00035306" w:rsidP="00F671C1">
            <w:pPr>
              <w:pStyle w:val="BodyText"/>
              <w:jc w:val="left"/>
            </w:pPr>
            <w:r>
              <w:t>$ 42.10</w:t>
            </w:r>
          </w:p>
        </w:tc>
        <w:tc>
          <w:tcPr>
            <w:tcW w:w="263" w:type="dxa"/>
            <w:shd w:val="clear" w:color="auto" w:fill="auto"/>
            <w:vAlign w:val="bottom"/>
          </w:tcPr>
          <w:p w:rsidR="00035306" w:rsidRPr="000F3C10" w:rsidRDefault="00035306" w:rsidP="00F671C1">
            <w:pPr>
              <w:pStyle w:val="BodyText"/>
              <w:jc w:val="left"/>
              <w:rPr>
                <w:b/>
              </w:rPr>
            </w:pPr>
          </w:p>
        </w:tc>
        <w:tc>
          <w:tcPr>
            <w:tcW w:w="3598" w:type="dxa"/>
            <w:shd w:val="clear" w:color="auto" w:fill="auto"/>
            <w:vAlign w:val="bottom"/>
          </w:tcPr>
          <w:p w:rsidR="00035306" w:rsidRDefault="00035306" w:rsidP="00F671C1">
            <w:pPr>
              <w:pStyle w:val="BodyText"/>
              <w:jc w:val="left"/>
            </w:pPr>
            <w:r>
              <w:t>Labor ($30.75/hr. x 2.2 hrs.)</w:t>
            </w:r>
          </w:p>
        </w:tc>
        <w:tc>
          <w:tcPr>
            <w:tcW w:w="1056" w:type="dxa"/>
            <w:shd w:val="clear" w:color="auto" w:fill="auto"/>
            <w:vAlign w:val="bottom"/>
          </w:tcPr>
          <w:p w:rsidR="00035306" w:rsidRDefault="00035306" w:rsidP="00F671C1">
            <w:pPr>
              <w:pStyle w:val="BodyText"/>
              <w:jc w:val="left"/>
            </w:pPr>
            <w:r>
              <w:t>$  67.75</w:t>
            </w:r>
          </w:p>
        </w:tc>
      </w:tr>
      <w:tr w:rsidR="00035306" w:rsidRPr="000F3C10" w:rsidTr="00F671C1">
        <w:trPr>
          <w:trHeight w:val="485"/>
          <w:jc w:val="center"/>
        </w:trPr>
        <w:tc>
          <w:tcPr>
            <w:tcW w:w="3564" w:type="dxa"/>
            <w:shd w:val="clear" w:color="auto" w:fill="auto"/>
            <w:vAlign w:val="bottom"/>
          </w:tcPr>
          <w:p w:rsidR="00035306" w:rsidRDefault="00035306" w:rsidP="00F671C1">
            <w:pPr>
              <w:pStyle w:val="BodyText"/>
              <w:jc w:val="left"/>
            </w:pPr>
            <w:r>
              <w:t>Transportation ($0.50 x 74 miles)</w:t>
            </w:r>
          </w:p>
        </w:tc>
        <w:tc>
          <w:tcPr>
            <w:tcW w:w="1007" w:type="dxa"/>
            <w:shd w:val="clear" w:color="auto" w:fill="auto"/>
            <w:vAlign w:val="bottom"/>
          </w:tcPr>
          <w:p w:rsidR="00035306" w:rsidRPr="00543F3C" w:rsidRDefault="00035306" w:rsidP="00F671C1">
            <w:pPr>
              <w:pStyle w:val="BodyText"/>
              <w:jc w:val="left"/>
              <w:rPr>
                <w:u w:val="single"/>
              </w:rPr>
            </w:pPr>
            <w:r w:rsidRPr="00543F3C">
              <w:rPr>
                <w:u w:val="single"/>
              </w:rPr>
              <w:t>$ 37.00</w:t>
            </w:r>
          </w:p>
        </w:tc>
        <w:tc>
          <w:tcPr>
            <w:tcW w:w="263" w:type="dxa"/>
            <w:shd w:val="clear" w:color="auto" w:fill="auto"/>
            <w:vAlign w:val="bottom"/>
          </w:tcPr>
          <w:p w:rsidR="00035306" w:rsidRPr="000F3C10" w:rsidRDefault="00035306" w:rsidP="00F671C1">
            <w:pPr>
              <w:pStyle w:val="BodyText"/>
              <w:jc w:val="left"/>
              <w:rPr>
                <w:b/>
              </w:rPr>
            </w:pPr>
          </w:p>
        </w:tc>
        <w:tc>
          <w:tcPr>
            <w:tcW w:w="3598" w:type="dxa"/>
            <w:shd w:val="clear" w:color="auto" w:fill="auto"/>
            <w:vAlign w:val="bottom"/>
          </w:tcPr>
          <w:p w:rsidR="00035306" w:rsidRDefault="00035306" w:rsidP="00F671C1">
            <w:pPr>
              <w:pStyle w:val="BodyText"/>
              <w:jc w:val="left"/>
            </w:pPr>
            <w:r>
              <w:t>Transportation ($0.50 x 74 miles)</w:t>
            </w:r>
          </w:p>
        </w:tc>
        <w:tc>
          <w:tcPr>
            <w:tcW w:w="1056" w:type="dxa"/>
            <w:shd w:val="clear" w:color="auto" w:fill="auto"/>
            <w:vAlign w:val="bottom"/>
          </w:tcPr>
          <w:p w:rsidR="00035306" w:rsidRPr="00543F3C" w:rsidRDefault="00035306" w:rsidP="00F671C1">
            <w:pPr>
              <w:pStyle w:val="BodyText"/>
              <w:jc w:val="left"/>
              <w:rPr>
                <w:u w:val="single"/>
              </w:rPr>
            </w:pPr>
            <w:r w:rsidRPr="00543F3C">
              <w:rPr>
                <w:u w:val="single"/>
              </w:rPr>
              <w:t>$  37.00</w:t>
            </w:r>
          </w:p>
        </w:tc>
      </w:tr>
      <w:tr w:rsidR="00035306" w:rsidRPr="000F3C10" w:rsidTr="00F671C1">
        <w:trPr>
          <w:trHeight w:val="499"/>
          <w:jc w:val="center"/>
        </w:trPr>
        <w:tc>
          <w:tcPr>
            <w:tcW w:w="3564" w:type="dxa"/>
            <w:shd w:val="clear" w:color="auto" w:fill="auto"/>
            <w:vAlign w:val="bottom"/>
          </w:tcPr>
          <w:p w:rsidR="00035306" w:rsidRDefault="00035306" w:rsidP="00F671C1">
            <w:pPr>
              <w:pStyle w:val="BodyText"/>
              <w:jc w:val="left"/>
            </w:pPr>
            <w:r>
              <w:t>Total</w:t>
            </w:r>
          </w:p>
        </w:tc>
        <w:tc>
          <w:tcPr>
            <w:tcW w:w="1007" w:type="dxa"/>
            <w:shd w:val="clear" w:color="auto" w:fill="auto"/>
            <w:vAlign w:val="bottom"/>
          </w:tcPr>
          <w:p w:rsidR="00035306" w:rsidRPr="00543F3C" w:rsidRDefault="00035306" w:rsidP="00F671C1">
            <w:pPr>
              <w:pStyle w:val="BodyText"/>
              <w:jc w:val="left"/>
              <w:rPr>
                <w:u w:val="double"/>
              </w:rPr>
            </w:pPr>
            <w:r w:rsidRPr="00543F3C">
              <w:rPr>
                <w:u w:val="double"/>
              </w:rPr>
              <w:t>$ 79.10</w:t>
            </w:r>
          </w:p>
        </w:tc>
        <w:tc>
          <w:tcPr>
            <w:tcW w:w="263" w:type="dxa"/>
            <w:shd w:val="clear" w:color="auto" w:fill="auto"/>
            <w:vAlign w:val="bottom"/>
          </w:tcPr>
          <w:p w:rsidR="00035306" w:rsidRPr="000F3C10" w:rsidRDefault="00035306" w:rsidP="00F671C1">
            <w:pPr>
              <w:pStyle w:val="BodyText"/>
              <w:jc w:val="left"/>
              <w:rPr>
                <w:b/>
              </w:rPr>
            </w:pPr>
          </w:p>
        </w:tc>
        <w:tc>
          <w:tcPr>
            <w:tcW w:w="3598" w:type="dxa"/>
            <w:shd w:val="clear" w:color="auto" w:fill="auto"/>
            <w:vAlign w:val="bottom"/>
          </w:tcPr>
          <w:p w:rsidR="00035306" w:rsidRDefault="00035306" w:rsidP="00F671C1">
            <w:pPr>
              <w:pStyle w:val="BodyText"/>
              <w:jc w:val="left"/>
            </w:pPr>
            <w:r>
              <w:t>Total</w:t>
            </w:r>
          </w:p>
        </w:tc>
        <w:tc>
          <w:tcPr>
            <w:tcW w:w="1056" w:type="dxa"/>
            <w:shd w:val="clear" w:color="auto" w:fill="auto"/>
            <w:vAlign w:val="bottom"/>
          </w:tcPr>
          <w:p w:rsidR="00035306" w:rsidRPr="00543F3C" w:rsidRDefault="00035306" w:rsidP="00F671C1">
            <w:pPr>
              <w:pStyle w:val="BodyText"/>
              <w:jc w:val="left"/>
              <w:rPr>
                <w:u w:val="double"/>
              </w:rPr>
            </w:pPr>
            <w:r w:rsidRPr="00543F3C">
              <w:rPr>
                <w:u w:val="double"/>
              </w:rPr>
              <w:t>$104.75</w:t>
            </w:r>
          </w:p>
        </w:tc>
      </w:tr>
    </w:tbl>
    <w:p w:rsidR="00035306" w:rsidRPr="00BA4FA0" w:rsidRDefault="00035306" w:rsidP="00035306">
      <w:pPr>
        <w:pStyle w:val="IssueHeading"/>
        <w:rPr>
          <w:sz w:val="20"/>
          <w:szCs w:val="20"/>
        </w:rPr>
      </w:pPr>
      <w:r w:rsidRPr="00BA4FA0">
        <w:rPr>
          <w:sz w:val="20"/>
          <w:szCs w:val="20"/>
        </w:rPr>
        <w:t>Source: Response to staff inquiry</w:t>
      </w:r>
    </w:p>
    <w:p w:rsidR="00035306" w:rsidRDefault="00035306" w:rsidP="00035306">
      <w:pPr>
        <w:pStyle w:val="BodyText"/>
      </w:pPr>
      <w:r>
        <w:t xml:space="preserve">Based on the above, </w:t>
      </w:r>
      <w:r w:rsidRPr="00AE53DF">
        <w:t>C</w:t>
      </w:r>
      <w:r>
        <w:t>edar Acr</w:t>
      </w:r>
      <w:r w:rsidRPr="00AE53DF">
        <w:t>e</w:t>
      </w:r>
      <w:r>
        <w:t>s</w:t>
      </w:r>
      <w:r w:rsidRPr="00AE53DF">
        <w:t xml:space="preserve"> </w:t>
      </w:r>
      <w:r>
        <w:t>request for violation reconnection charges of $80 for normal hours and $105 for after hours should be approved</w:t>
      </w:r>
      <w:r w:rsidRPr="00AE53DF">
        <w:t>.</w:t>
      </w:r>
      <w:r>
        <w:t xml:space="preserve"> Cedar Acres should be required to file a proposed customer notice to reflect the Commission-approved charges. The approved charges should be effective for services rendered on or after the stamped approval date on the tariff sheet, pursuant to Rule 25-30.475(1), F.A.C. In addition, the approved charges should not be implemented until staff has approved the proposed customer notice. The utility should provide proof of the date notice was given no less than 10 days after the date of the notice</w:t>
      </w:r>
      <w:r w:rsidRPr="0057345A">
        <w:t>.</w:t>
      </w:r>
    </w:p>
    <w:p w:rsidR="005A5399" w:rsidRDefault="005A5399">
      <w:pPr>
        <w:pStyle w:val="IssueHeading"/>
        <w:rPr>
          <w:vanish/>
          <w:specVanish/>
        </w:rPr>
      </w:pPr>
      <w:r w:rsidRPr="004C3641">
        <w:rPr>
          <w:b w:val="0"/>
          <w:i w:val="0"/>
        </w:rPr>
        <w:br w:type="page"/>
      </w:r>
      <w:r w:rsidRPr="004C3641">
        <w:lastRenderedPageBreak/>
        <w:t xml:space="preserve">Issue </w:t>
      </w:r>
      <w:r w:rsidR="00BC3D1A">
        <w:fldChar w:fldCharType="begin"/>
      </w:r>
      <w:r w:rsidR="00BC3D1A">
        <w:instrText xml:space="preserve"> SEQ</w:instrText>
      </w:r>
      <w:r w:rsidR="00BC3D1A">
        <w:instrText xml:space="preserve"> Issue \* MERGEFORMAT </w:instrText>
      </w:r>
      <w:r w:rsidR="00BC3D1A">
        <w:fldChar w:fldCharType="separate"/>
      </w:r>
      <w:r w:rsidR="000C12D8">
        <w:rPr>
          <w:noProof/>
        </w:rPr>
        <w:t>16</w:t>
      </w:r>
      <w:r w:rsidR="00BC3D1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3" w:name="_Toc431459588"/>
      <w:r w:rsidR="000C12D8">
        <w:rPr>
          <w:noProof/>
        </w:rPr>
        <w:instrText>16</w:instrText>
      </w:r>
      <w:r>
        <w:fldChar w:fldCharType="end"/>
      </w:r>
      <w:r>
        <w:tab/>
      </w:r>
      <w:r w:rsidR="00572991">
        <w:instrText>Non-Sufficient Funds Charges (Thompson)</w:instrText>
      </w:r>
      <w:bookmarkEnd w:id="33"/>
      <w:r>
        <w:instrText xml:space="preserve">" \l 1 </w:instrText>
      </w:r>
      <w:r>
        <w:fldChar w:fldCharType="end"/>
      </w:r>
      <w:r>
        <w:t> </w:t>
      </w:r>
    </w:p>
    <w:p w:rsidR="005A5399" w:rsidRDefault="005A5399">
      <w:pPr>
        <w:pStyle w:val="BodyText"/>
      </w:pPr>
      <w:r>
        <w:t> </w:t>
      </w:r>
      <w:r w:rsidR="00FB1921" w:rsidRPr="00AE53DF">
        <w:t xml:space="preserve">Should </w:t>
      </w:r>
      <w:r w:rsidR="00FB1921">
        <w:t>Cedar Acres</w:t>
      </w:r>
      <w:r w:rsidR="00FB1921" w:rsidRPr="00AE53DF">
        <w:t xml:space="preserve"> be authorized to collect Non-Sufficient Funds </w:t>
      </w:r>
      <w:r w:rsidR="00FB1921">
        <w:t xml:space="preserve">(NSF) </w:t>
      </w:r>
      <w:r w:rsidR="00FB1921" w:rsidRPr="00AE53DF">
        <w:t>charges?</w:t>
      </w:r>
    </w:p>
    <w:p w:rsidR="005A5399" w:rsidRPr="004C3641" w:rsidRDefault="005A5399">
      <w:pPr>
        <w:pStyle w:val="IssueSubsectionHeading"/>
        <w:rPr>
          <w:vanish/>
          <w:specVanish/>
        </w:rPr>
      </w:pPr>
      <w:r w:rsidRPr="004C3641">
        <w:t>Recommendation: </w:t>
      </w:r>
    </w:p>
    <w:p w:rsidR="005A5399" w:rsidRDefault="005A5399">
      <w:pPr>
        <w:pStyle w:val="BodyText"/>
      </w:pPr>
      <w:r>
        <w:t> </w:t>
      </w:r>
      <w:r w:rsidR="00FB1921" w:rsidRPr="00AE53DF">
        <w:t>Yes. C</w:t>
      </w:r>
      <w:r w:rsidR="00FB1921">
        <w:t>edar Acr</w:t>
      </w:r>
      <w:r w:rsidR="00FB1921" w:rsidRPr="00AE53DF">
        <w:t>e</w:t>
      </w:r>
      <w:r w:rsidR="00FB1921">
        <w:t>s</w:t>
      </w:r>
      <w:r w:rsidR="00FB1921" w:rsidRPr="00AE53DF">
        <w:t xml:space="preserve"> should be authorized to collect NSF charges.</w:t>
      </w:r>
      <w:r w:rsidR="00FB1921">
        <w:t xml:space="preserve"> </w:t>
      </w:r>
      <w:r w:rsidR="00FB1921" w:rsidRPr="00AE53DF">
        <w:t xml:space="preserve">Staff recommends that </w:t>
      </w:r>
      <w:r w:rsidR="00FB1921">
        <w:t>Cedar Acres</w:t>
      </w:r>
      <w:r w:rsidR="00FB1921" w:rsidRPr="00AE53DF">
        <w:t xml:space="preserve"> revise its tariffs to reflect the NSF charges currently set forth in Sections 68.065 and 832.08(5), F.S. The NSF charges should be effective on or after the stamped approval date on the tariff sheets pursuant to Rule 25-30.475(1), F.A.C. Furthermore, the charges should not be implemented until staff has approved the proposed customer notice. The </w:t>
      </w:r>
      <w:r w:rsidR="00FB1921">
        <w:t>u</w:t>
      </w:r>
      <w:r w:rsidR="00FB1921" w:rsidRPr="00AE53DF">
        <w:t>tility should provide proof of the date the notice was given within 10 days of the date of the notice.</w:t>
      </w:r>
      <w:r>
        <w:t xml:space="preserve"> (Thompson)</w:t>
      </w:r>
    </w:p>
    <w:p w:rsidR="005A5399" w:rsidRPr="004C3641" w:rsidRDefault="005A5399">
      <w:pPr>
        <w:pStyle w:val="IssueSubsectionHeading"/>
        <w:rPr>
          <w:vanish/>
          <w:specVanish/>
        </w:rPr>
      </w:pPr>
      <w:r w:rsidRPr="004C3641">
        <w:t>Staff Analysis: </w:t>
      </w:r>
    </w:p>
    <w:p w:rsidR="00FB1921" w:rsidRPr="00AE53DF" w:rsidRDefault="005A5399" w:rsidP="00FB1921">
      <w:pPr>
        <w:spacing w:after="240"/>
        <w:ind w:firstLine="720"/>
        <w:jc w:val="both"/>
      </w:pPr>
      <w:r>
        <w:t> </w:t>
      </w:r>
      <w:r w:rsidR="00FB1921" w:rsidRPr="00AE53DF">
        <w:t xml:space="preserve">Section 367.091, F.S., requires that rates, charges, and customer service policies be approved by the Commission. The Commission has authority to establish, increase, or change a rate or charge. Staff believes that </w:t>
      </w:r>
      <w:r w:rsidR="00FB1921">
        <w:t>Cedar Acres</w:t>
      </w:r>
      <w:r w:rsidR="00FB1921" w:rsidRPr="00AE53DF">
        <w:t xml:space="preserve"> should be authorized to collect NSF charges consistent with Section 68.065, F.S., which allows for the assessment of charges for the collection of worthless checks, drafts, or orders of payment. As currently set forth in Sections 832.08(5) and 68.065(2), F.S., the following NSF charges may be assessed:</w:t>
      </w:r>
    </w:p>
    <w:p w:rsidR="00FB1921" w:rsidRPr="00AE53DF" w:rsidRDefault="00FB1921" w:rsidP="00FB1921">
      <w:pPr>
        <w:spacing w:after="240"/>
        <w:ind w:firstLine="720"/>
        <w:jc w:val="both"/>
      </w:pPr>
      <w:r w:rsidRPr="00AE53DF">
        <w:t>1.</w:t>
      </w:r>
      <w:r w:rsidRPr="00AE53DF">
        <w:tab/>
        <w:t xml:space="preserve">$25, if the face value does not exceed $50,  </w:t>
      </w:r>
    </w:p>
    <w:p w:rsidR="00FB1921" w:rsidRPr="00AE53DF" w:rsidRDefault="00FB1921" w:rsidP="00FB1921">
      <w:pPr>
        <w:spacing w:after="240"/>
        <w:ind w:firstLine="720"/>
        <w:jc w:val="both"/>
      </w:pPr>
      <w:r w:rsidRPr="00AE53DF">
        <w:t>2.</w:t>
      </w:r>
      <w:r w:rsidRPr="00AE53DF">
        <w:tab/>
        <w:t>$30, if the face value exceeds $50 but does not exceed $300,</w:t>
      </w:r>
    </w:p>
    <w:p w:rsidR="00FB1921" w:rsidRPr="00AE53DF" w:rsidRDefault="00FB1921" w:rsidP="00FB1921">
      <w:pPr>
        <w:spacing w:after="240"/>
        <w:ind w:firstLine="720"/>
        <w:jc w:val="both"/>
      </w:pPr>
      <w:r w:rsidRPr="00AE53DF">
        <w:t>3.</w:t>
      </w:r>
      <w:r w:rsidRPr="00AE53DF">
        <w:tab/>
        <w:t>$40, if the face value exceeds $300,</w:t>
      </w:r>
    </w:p>
    <w:p w:rsidR="00FB1921" w:rsidRPr="00AE53DF" w:rsidRDefault="00FB1921" w:rsidP="00FB1921">
      <w:pPr>
        <w:spacing w:after="240"/>
        <w:ind w:firstLine="720"/>
        <w:jc w:val="both"/>
      </w:pPr>
      <w:r w:rsidRPr="00AE53DF">
        <w:t>4.</w:t>
      </w:r>
      <w:r w:rsidRPr="00AE53DF">
        <w:tab/>
      </w:r>
      <w:proofErr w:type="gramStart"/>
      <w:r w:rsidRPr="00AE53DF">
        <w:t>or</w:t>
      </w:r>
      <w:proofErr w:type="gramEnd"/>
      <w:r w:rsidRPr="00AE53DF">
        <w:t xml:space="preserve"> five percent of the face amount of the check, whichever is greater. </w:t>
      </w:r>
    </w:p>
    <w:p w:rsidR="005A5399" w:rsidRDefault="00FB1921" w:rsidP="00FB1921">
      <w:pPr>
        <w:pStyle w:val="BodyText"/>
      </w:pPr>
      <w:r w:rsidRPr="00AE53DF">
        <w:t>Approval of NSF charges is consistent with prior Commission decisions.</w:t>
      </w:r>
      <w:r w:rsidRPr="00AE53DF">
        <w:rPr>
          <w:vertAlign w:val="superscript"/>
        </w:rPr>
        <w:footnoteReference w:id="17"/>
      </w:r>
      <w:r w:rsidRPr="00AE53DF">
        <w:t xml:space="preserve"> Furthermore, NSF charges place the cost on the cost-causer, rather than requiring that the costs associated with the return of the NSF checks </w:t>
      </w:r>
      <w:proofErr w:type="gramStart"/>
      <w:r w:rsidRPr="00AE53DF">
        <w:t>be</w:t>
      </w:r>
      <w:proofErr w:type="gramEnd"/>
      <w:r w:rsidRPr="00AE53DF">
        <w:t xml:space="preserve"> spread across the general body of ratepayers. As such, staff recommends that C</w:t>
      </w:r>
      <w:r>
        <w:t>edar Acres</w:t>
      </w:r>
      <w:r w:rsidRPr="00AE53DF">
        <w:t xml:space="preserve"> revise its tariffs to reflect the NSF charges currently set forth in Sections 68.065 and </w:t>
      </w:r>
      <w:proofErr w:type="gramStart"/>
      <w:r w:rsidRPr="00AE53DF">
        <w:t>832.08(5) F.S.</w:t>
      </w:r>
      <w:proofErr w:type="gramEnd"/>
      <w:r w:rsidRPr="00AE53DF">
        <w:t xml:space="preserve"> The NSF charges should be effective on or after the stamped approval date on the tariff sheets</w:t>
      </w:r>
      <w:r>
        <w:t>,</w:t>
      </w:r>
      <w:r w:rsidRPr="00AE53DF">
        <w:t xml:space="preserve"> pursuant to Rule 25-30.475(1), F.A.C. In addition, the NSF charges should not be implemented until staff has approved the proposed customer notice.</w:t>
      </w:r>
      <w:r>
        <w:t xml:space="preserve"> The u</w:t>
      </w:r>
      <w:r w:rsidRPr="00AE53DF">
        <w:t>tility should provide proof of the date the notice was given within 10 days of the date of the notice.</w:t>
      </w:r>
    </w:p>
    <w:p w:rsidR="005A5399" w:rsidRDefault="005A5399">
      <w:pPr>
        <w:pStyle w:val="IssueHeading"/>
        <w:rPr>
          <w:vanish/>
          <w:specVanish/>
        </w:rPr>
      </w:pPr>
      <w:r w:rsidRPr="004C3641">
        <w:rPr>
          <w:b w:val="0"/>
          <w:i w:val="0"/>
        </w:rPr>
        <w:br w:type="page"/>
      </w:r>
      <w:r w:rsidRPr="004C3641">
        <w:lastRenderedPageBreak/>
        <w:t xml:space="preserve">Issue </w:t>
      </w:r>
      <w:r w:rsidR="00BC3D1A">
        <w:fldChar w:fldCharType="begin"/>
      </w:r>
      <w:r w:rsidR="00BC3D1A">
        <w:instrText xml:space="preserve"> SEQ Issue \* MERGEFORMAT </w:instrText>
      </w:r>
      <w:r w:rsidR="00BC3D1A">
        <w:fldChar w:fldCharType="separate"/>
      </w:r>
      <w:r w:rsidR="000C12D8">
        <w:rPr>
          <w:noProof/>
        </w:rPr>
        <w:t>17</w:t>
      </w:r>
      <w:r w:rsidR="00BC3D1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431459589"/>
      <w:r w:rsidR="000C12D8">
        <w:rPr>
          <w:noProof/>
        </w:rPr>
        <w:instrText>17</w:instrText>
      </w:r>
      <w:r>
        <w:fldChar w:fldCharType="end"/>
      </w:r>
      <w:r>
        <w:tab/>
      </w:r>
      <w:r w:rsidR="00F85BAE">
        <w:instrText>Proof of Adjustments (Galloway, Smith)</w:instrText>
      </w:r>
      <w:bookmarkEnd w:id="34"/>
      <w:r>
        <w:instrText xml:space="preserve">" \l 1 </w:instrText>
      </w:r>
      <w:r>
        <w:fldChar w:fldCharType="end"/>
      </w:r>
      <w:r>
        <w:t> </w:t>
      </w:r>
    </w:p>
    <w:p w:rsidR="005A5399" w:rsidRDefault="005A5399">
      <w:pPr>
        <w:pStyle w:val="BodyText"/>
      </w:pPr>
      <w:r>
        <w:t> </w:t>
      </w:r>
      <w:r w:rsidR="00901321">
        <w:t xml:space="preserve">Should the utility be required to provide proof, within 90 days of an effective order finalizing this docket, that </w:t>
      </w:r>
      <w:r w:rsidR="00901321">
        <w:rPr>
          <w:rFonts w:ascii="Arial" w:hAnsi="Arial" w:cs="Arial"/>
          <w:sz w:val="23"/>
          <w:szCs w:val="23"/>
        </w:rPr>
        <w:t xml:space="preserve">it </w:t>
      </w:r>
      <w:r w:rsidR="00901321">
        <w:t>has adjusted its books for all the applicable National Association of Regulatory Utility Commissioners (NARUC) Uniform System of Accounts (USOA) associated with the Commission approved adjustments?</w:t>
      </w:r>
    </w:p>
    <w:p w:rsidR="005A5399" w:rsidRPr="004C3641" w:rsidRDefault="005A5399">
      <w:pPr>
        <w:pStyle w:val="IssueSubsectionHeading"/>
        <w:rPr>
          <w:vanish/>
          <w:specVanish/>
        </w:rPr>
      </w:pPr>
      <w:r w:rsidRPr="004C3641">
        <w:t>Recommendation: </w:t>
      </w:r>
    </w:p>
    <w:p w:rsidR="00901321" w:rsidRPr="00FD3EF8" w:rsidRDefault="005A5399" w:rsidP="00901321">
      <w:pPr>
        <w:autoSpaceDE w:val="0"/>
        <w:autoSpaceDN w:val="0"/>
        <w:adjustRightInd w:val="0"/>
        <w:jc w:val="both"/>
      </w:pPr>
      <w:r>
        <w:t> </w:t>
      </w:r>
      <w:r w:rsidR="00901321">
        <w:t xml:space="preserve">Yes. To ensure that the utility adjusts its books in accordance with the Commission's decision, Cedar Acres should provide proof, within 90 days of the final order in this docket, that the adjustments to all the applicable NARUC USOA accounts have been made to the utility’s books and records. The utility’s support documentation should include a list, by issue, of all Commission ordered adjustments and a reference to </w:t>
      </w:r>
      <w:r w:rsidR="00901321" w:rsidRPr="00FD3EF8">
        <w:t xml:space="preserve">where the corresponding bookkeeping entries can be found in the general ledger that is provided. In an effort to assist the utility in its requirement, Attachment A provides a breakdown by primary account for plant and accumulated depreciation that reflects the year-end balances at September 30, 2014. In the event the utility needs additional time to complete the adjustments, notice should be provided within 7 days prior to deadline. Upon providing good cause, staff should be given administrative authority to grant an extension of up to </w:t>
      </w:r>
      <w:r w:rsidR="00FA064F" w:rsidRPr="00FD3EF8">
        <w:t>6</w:t>
      </w:r>
      <w:r w:rsidR="00901321" w:rsidRPr="00FD3EF8">
        <w:t>0 days. (Galloway, Smith)</w:t>
      </w:r>
    </w:p>
    <w:p w:rsidR="005A5399" w:rsidRPr="00FD3EF8" w:rsidRDefault="000A3278">
      <w:pPr>
        <w:pStyle w:val="BodyText"/>
      </w:pPr>
      <w:r w:rsidRPr="00FD3EF8">
        <w:t xml:space="preserve"> </w:t>
      </w:r>
    </w:p>
    <w:p w:rsidR="005A5399" w:rsidRPr="00FD3EF8" w:rsidRDefault="005A5399">
      <w:pPr>
        <w:pStyle w:val="IssueSubsectionHeading"/>
        <w:rPr>
          <w:vanish/>
          <w:specVanish/>
        </w:rPr>
      </w:pPr>
      <w:r w:rsidRPr="00FD3EF8">
        <w:t>Staff Analysis: </w:t>
      </w:r>
    </w:p>
    <w:p w:rsidR="00901321" w:rsidRPr="002425E1" w:rsidRDefault="005A5399" w:rsidP="00901321">
      <w:pPr>
        <w:autoSpaceDE w:val="0"/>
        <w:autoSpaceDN w:val="0"/>
        <w:adjustRightInd w:val="0"/>
        <w:jc w:val="both"/>
      </w:pPr>
      <w:r w:rsidRPr="00FD3EF8">
        <w:t> </w:t>
      </w:r>
      <w:r w:rsidR="00901321" w:rsidRPr="00FD3EF8">
        <w:t>To ensure that the utility adjusts its books in accordance with the Commission's decision, Cedar Acres should provide proof, within 90 days of the final order in this docket, that the adjustments to all the applicable NARUC USOA accounts have been made to the utility’s books and records. In an effort to assist the utility in its requirement, Attachment A provides a breakdown by primary account for plant and accumulated depreciation that reflects the year-end balances at September 30, 2014. However, in the event the utility needs additional time to complete the adjustments, notice should be provided within 7 days prior to deadline</w:t>
      </w:r>
      <w:proofErr w:type="gramStart"/>
      <w:r w:rsidR="00901321" w:rsidRPr="00FD3EF8">
        <w:t xml:space="preserve">.  </w:t>
      </w:r>
      <w:proofErr w:type="gramEnd"/>
      <w:r w:rsidR="00901321" w:rsidRPr="00FD3EF8">
        <w:t xml:space="preserve">Upon providing good cause, staff should be given administrative authority to grant an extension of up to </w:t>
      </w:r>
      <w:r w:rsidR="00FA064F" w:rsidRPr="00FD3EF8">
        <w:t>6</w:t>
      </w:r>
      <w:r w:rsidR="00901321" w:rsidRPr="00FD3EF8">
        <w:t>0 days.</w:t>
      </w:r>
      <w:r w:rsidR="00901321" w:rsidRPr="002425E1">
        <w:t xml:space="preserve"> </w:t>
      </w:r>
    </w:p>
    <w:p w:rsidR="00901321" w:rsidRPr="002425E1" w:rsidRDefault="00901321" w:rsidP="00901321">
      <w:pPr>
        <w:autoSpaceDE w:val="0"/>
        <w:autoSpaceDN w:val="0"/>
        <w:adjustRightInd w:val="0"/>
        <w:jc w:val="both"/>
      </w:pPr>
    </w:p>
    <w:p w:rsidR="00901321" w:rsidRDefault="00901321" w:rsidP="00901321">
      <w:pPr>
        <w:autoSpaceDE w:val="0"/>
        <w:autoSpaceDN w:val="0"/>
        <w:adjustRightInd w:val="0"/>
        <w:ind w:firstLine="720"/>
        <w:jc w:val="both"/>
      </w:pPr>
      <w:r w:rsidRPr="002425E1">
        <w:t>The utility’s support documentation should include a list, by issue, of all Commission ordered adjustments and a reference to where the corresponding bookkeeping entries can be</w:t>
      </w:r>
      <w:r>
        <w:t xml:space="preserve"> found in the general ledger that is provided. All support documentation should follow the guidelines set forth in Rule 25-30.450, F.A.C., which states:</w:t>
      </w:r>
    </w:p>
    <w:p w:rsidR="00901321" w:rsidRDefault="00901321" w:rsidP="00901321">
      <w:pPr>
        <w:autoSpaceDE w:val="0"/>
        <w:autoSpaceDN w:val="0"/>
        <w:adjustRightInd w:val="0"/>
        <w:ind w:firstLine="720"/>
        <w:jc w:val="both"/>
      </w:pPr>
    </w:p>
    <w:p w:rsidR="00901321" w:rsidRDefault="00901321" w:rsidP="00901321">
      <w:pPr>
        <w:keepNext/>
        <w:widowControl w:val="0"/>
        <w:overflowPunct w:val="0"/>
        <w:autoSpaceDE w:val="0"/>
        <w:autoSpaceDN w:val="0"/>
        <w:adjustRightInd w:val="0"/>
        <w:spacing w:line="260" w:lineRule="atLeast"/>
        <w:ind w:left="1152" w:right="1296"/>
        <w:jc w:val="both"/>
        <w:textAlignment w:val="baseline"/>
        <w:rPr>
          <w:noProof/>
          <w:color w:val="000000"/>
        </w:rPr>
      </w:pPr>
      <w:r w:rsidRPr="00AF0F44">
        <w:rPr>
          <w:noProof/>
          <w:color w:val="000000"/>
        </w:rPr>
        <w:t>In each instance, the utility must be able to support any schedule submitted, as well as any adjustments or allocations relied on by the utility. The work sheets, etc., supporting the schedules and data submitted must be organized in a systematic and rational manner so as to enable Commission personnel to verify the schedules in an expedient manner and minimum amount of time. The supporting work sheets, etc., shall list all reference sources necessary to enable Commission personnel to trace to original source of entry into the financial and accounting system and, in addition, verify amounts to the appropriate schedules.</w:t>
      </w:r>
    </w:p>
    <w:p w:rsidR="005A5399" w:rsidRDefault="005A5399">
      <w:pPr>
        <w:pStyle w:val="BodyText"/>
      </w:pPr>
    </w:p>
    <w:p w:rsidR="00D93C8A" w:rsidRDefault="00D93C8A">
      <w:pPr>
        <w:pStyle w:val="IssueHeading"/>
        <w:rPr>
          <w:vanish/>
          <w:specVanish/>
        </w:rPr>
      </w:pPr>
      <w:r w:rsidRPr="004C3641">
        <w:rPr>
          <w:b w:val="0"/>
          <w:i w:val="0"/>
        </w:rPr>
        <w:br w:type="page"/>
      </w:r>
      <w:r w:rsidRPr="004C3641">
        <w:lastRenderedPageBreak/>
        <w:t xml:space="preserve">Issue </w:t>
      </w:r>
      <w:r w:rsidR="00BC3D1A">
        <w:fldChar w:fldCharType="begin"/>
      </w:r>
      <w:r w:rsidR="00BC3D1A">
        <w:instrText xml:space="preserve"> SEQ Issue \* MERGEFORMAT </w:instrText>
      </w:r>
      <w:r w:rsidR="00BC3D1A">
        <w:fldChar w:fldCharType="separate"/>
      </w:r>
      <w:r w:rsidR="000C12D8">
        <w:rPr>
          <w:noProof/>
        </w:rPr>
        <w:t>18</w:t>
      </w:r>
      <w:r w:rsidR="00BC3D1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5" w:name="_Toc431459590"/>
      <w:r w:rsidR="000C12D8">
        <w:rPr>
          <w:noProof/>
        </w:rPr>
        <w:instrText>18</w:instrText>
      </w:r>
      <w:r>
        <w:fldChar w:fldCharType="end"/>
      </w:r>
      <w:r>
        <w:tab/>
      </w:r>
      <w:r w:rsidR="00A20CCB">
        <w:instrText>Close the Docket (Ames, Galloway, Smith)</w:instrText>
      </w:r>
      <w:bookmarkEnd w:id="35"/>
      <w:r>
        <w:instrText xml:space="preserve">" \l 1 </w:instrText>
      </w:r>
      <w:r>
        <w:fldChar w:fldCharType="end"/>
      </w:r>
      <w:r>
        <w:t> </w:t>
      </w:r>
    </w:p>
    <w:p w:rsidR="00D93C8A" w:rsidRDefault="00D93C8A">
      <w:pPr>
        <w:pStyle w:val="BodyText"/>
      </w:pPr>
      <w:r>
        <w:t> Should this docket be closed?</w:t>
      </w:r>
    </w:p>
    <w:p w:rsidR="00D93C8A" w:rsidRPr="004C3641" w:rsidRDefault="00D93C8A" w:rsidP="0034646C">
      <w:pPr>
        <w:pStyle w:val="IssueSubsectionHeading"/>
        <w:rPr>
          <w:vanish/>
          <w:specVanish/>
        </w:rPr>
      </w:pPr>
      <w:r w:rsidRPr="004C3641">
        <w:t>Recommendation: </w:t>
      </w:r>
    </w:p>
    <w:p w:rsidR="0034646C" w:rsidRDefault="00D93C8A" w:rsidP="0034646C">
      <w:pPr>
        <w:jc w:val="both"/>
      </w:pPr>
      <w:r>
        <w:t> </w:t>
      </w:r>
      <w:r w:rsidR="00163621">
        <w:t xml:space="preserve">No. </w:t>
      </w:r>
      <w:r w:rsidR="007C488E">
        <w:t xml:space="preserve">If no person whose substantial interests are affected by the proposed agency action files a protest within 21 days of the issuance of </w:t>
      </w:r>
      <w:r w:rsidR="00490D96">
        <w:t>the order</w:t>
      </w:r>
      <w:r w:rsidR="007C488E">
        <w:t>, a consummating order will be issued</w:t>
      </w:r>
      <w:r w:rsidR="007A1BCB">
        <w:t xml:space="preserve">. </w:t>
      </w:r>
      <w:r w:rsidR="007C488E">
        <w:t xml:space="preserve">The docket should remain open for staff’s verification that the revised tariff sheets and customer notice have been filed by the </w:t>
      </w:r>
      <w:r w:rsidR="00490D96">
        <w:t>utility</w:t>
      </w:r>
      <w:r w:rsidR="007C488E">
        <w:t xml:space="preserve"> and approved by staff</w:t>
      </w:r>
      <w:r w:rsidR="007A1BCB">
        <w:t xml:space="preserve">. </w:t>
      </w:r>
      <w:r w:rsidR="007C488E">
        <w:t>Also, the docket should remain open to allow staff to monitor the escrow account and the meter replacement program</w:t>
      </w:r>
      <w:r w:rsidR="007A1BCB">
        <w:t>.</w:t>
      </w:r>
      <w:r w:rsidR="0034646C">
        <w:t xml:space="preserve"> Once the above actions are completed this docket will be closed administratively.</w:t>
      </w:r>
    </w:p>
    <w:p w:rsidR="00D93C8A" w:rsidRDefault="007A1BCB" w:rsidP="0034646C">
      <w:pPr>
        <w:pStyle w:val="BodyText"/>
      </w:pPr>
      <w:r>
        <w:t xml:space="preserve"> </w:t>
      </w:r>
      <w:r w:rsidR="00D93C8A">
        <w:t>(</w:t>
      </w:r>
      <w:r>
        <w:t xml:space="preserve">Ames, </w:t>
      </w:r>
      <w:r w:rsidR="00D93C8A">
        <w:t>Galloway, Smith)</w:t>
      </w:r>
    </w:p>
    <w:p w:rsidR="00D93C8A" w:rsidRPr="004C3641" w:rsidRDefault="00D93C8A" w:rsidP="0034646C">
      <w:pPr>
        <w:pStyle w:val="TableNumber"/>
        <w:jc w:val="both"/>
        <w:rPr>
          <w:vanish/>
          <w:specVanish/>
        </w:rPr>
      </w:pPr>
      <w:r w:rsidRPr="00374F1C">
        <w:rPr>
          <w:i/>
        </w:rPr>
        <w:t>Staff Analysis</w:t>
      </w:r>
      <w:r w:rsidRPr="004C3641">
        <w:t>: </w:t>
      </w:r>
    </w:p>
    <w:p w:rsidR="0034646C" w:rsidRDefault="00D93C8A" w:rsidP="0034646C">
      <w:pPr>
        <w:jc w:val="both"/>
      </w:pPr>
      <w:r>
        <w:t> </w:t>
      </w:r>
      <w:r w:rsidR="00326B85">
        <w:t xml:space="preserve">If no person whose substantial interests are affected by the proposed agency action files a protest within 21 days of the issuance of </w:t>
      </w:r>
      <w:r w:rsidR="00490D96">
        <w:t>the order</w:t>
      </w:r>
      <w:r w:rsidR="00326B85">
        <w:t>, a consummating order will be issued</w:t>
      </w:r>
      <w:r w:rsidR="007A1BCB">
        <w:t xml:space="preserve">. </w:t>
      </w:r>
      <w:r w:rsidR="00326B85">
        <w:t xml:space="preserve">The docket should remain open for staff’s verification that the revised tariff sheets and customer notice have been filed by the </w:t>
      </w:r>
      <w:r w:rsidR="00490D96">
        <w:t>utility</w:t>
      </w:r>
      <w:r w:rsidR="00326B85">
        <w:t xml:space="preserve"> and approved by staff</w:t>
      </w:r>
      <w:r w:rsidR="007A1BCB">
        <w:t xml:space="preserve">. </w:t>
      </w:r>
      <w:r w:rsidR="00326B85">
        <w:t>Also, the docket should remain open to allow staff to monitor the escrow account and the meter replacement program.</w:t>
      </w:r>
      <w:r w:rsidR="0034646C">
        <w:t xml:space="preserve"> Once the above actions are completed this docket will be closed administratively.</w:t>
      </w:r>
    </w:p>
    <w:p w:rsidR="00E06484" w:rsidRDefault="00E06484" w:rsidP="0034646C">
      <w:pPr>
        <w:pStyle w:val="BodyText"/>
        <w:keepNext/>
      </w:pPr>
    </w:p>
    <w:p w:rsidR="00EA4E16" w:rsidRDefault="00EA4E16" w:rsidP="00E275D8">
      <w:pPr>
        <w:pStyle w:val="BodyText"/>
      </w:pPr>
    </w:p>
    <w:p w:rsidR="00C71C74" w:rsidRDefault="00C71C74" w:rsidP="00E275D8">
      <w:pPr>
        <w:pStyle w:val="BodyText"/>
        <w:sectPr w:rsidR="00C71C74" w:rsidSect="00085477">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p w:rsidR="00085477" w:rsidRDefault="00085477" w:rsidP="00085477">
      <w:pPr>
        <w:pStyle w:val="BodyText"/>
        <w:jc w:val="left"/>
        <w:rPr>
          <w:noProof/>
        </w:rPr>
      </w:pPr>
    </w:p>
    <w:p w:rsidR="00AD4040" w:rsidRDefault="00592AA0" w:rsidP="00D93DDF">
      <w:pPr>
        <w:pStyle w:val="BodyText"/>
        <w:jc w:val="center"/>
      </w:pPr>
      <w:r w:rsidRPr="00592AA0">
        <w:rPr>
          <w:noProof/>
        </w:rPr>
        <w:lastRenderedPageBreak/>
        <w:drawing>
          <wp:inline distT="0" distB="0" distL="0" distR="0">
            <wp:extent cx="5629275" cy="4419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9275" cy="4419600"/>
                    </a:xfrm>
                    <a:prstGeom prst="rect">
                      <a:avLst/>
                    </a:prstGeom>
                    <a:noFill/>
                    <a:ln>
                      <a:noFill/>
                    </a:ln>
                  </pic:spPr>
                </pic:pic>
              </a:graphicData>
            </a:graphic>
          </wp:inline>
        </w:drawing>
      </w:r>
      <w:r w:rsidR="00AD4040" w:rsidRPr="000D060F">
        <w:fldChar w:fldCharType="begin"/>
      </w:r>
      <w:r w:rsidR="00AD4040" w:rsidRPr="000D060F">
        <w:instrText xml:space="preserve"> TC "</w:instrText>
      </w:r>
      <w:bookmarkStart w:id="36" w:name="_Toc431459591"/>
      <w:r w:rsidR="00AD4040" w:rsidRPr="000D060F">
        <w:tab/>
      </w:r>
      <w:r w:rsidR="00AD4040">
        <w:instrText>Schedule 1-A</w:instrText>
      </w:r>
      <w:bookmarkEnd w:id="36"/>
      <w:r w:rsidR="00AD4040" w:rsidRPr="000D060F">
        <w:instrText xml:space="preserve">" \l 1 </w:instrText>
      </w:r>
      <w:r w:rsidR="00AD4040" w:rsidRPr="000D060F">
        <w:fldChar w:fldCharType="end"/>
      </w:r>
    </w:p>
    <w:p w:rsidR="00AD4040" w:rsidRDefault="00AD4040" w:rsidP="00E275D8">
      <w:pPr>
        <w:pStyle w:val="BodyText"/>
        <w:rPr>
          <w:b/>
        </w:rPr>
      </w:pPr>
    </w:p>
    <w:p w:rsidR="00A25E7A" w:rsidRDefault="00A25E7A" w:rsidP="00E275D8">
      <w:pPr>
        <w:pStyle w:val="BodyText"/>
        <w:rPr>
          <w:b/>
        </w:rPr>
        <w:sectPr w:rsidR="00A25E7A" w:rsidSect="00085477">
          <w:headerReference w:type="default" r:id="rId17"/>
          <w:type w:val="continuous"/>
          <w:pgSz w:w="12240" w:h="15840" w:code="1"/>
          <w:pgMar w:top="1584" w:right="1440" w:bottom="1440" w:left="1440" w:header="720" w:footer="720" w:gutter="0"/>
          <w:cols w:space="720"/>
          <w:formProt w:val="0"/>
          <w:docGrid w:linePitch="360"/>
        </w:sectPr>
      </w:pPr>
    </w:p>
    <w:p w:rsidR="00A25E7A" w:rsidRDefault="00A25E7A" w:rsidP="00A25E7A">
      <w:pPr>
        <w:pStyle w:val="BodyText"/>
      </w:pPr>
      <w:r w:rsidRPr="000D060F">
        <w:lastRenderedPageBreak/>
        <w:fldChar w:fldCharType="begin"/>
      </w:r>
      <w:r w:rsidRPr="000D060F">
        <w:instrText xml:space="preserve"> TC "</w:instrText>
      </w:r>
      <w:bookmarkStart w:id="37" w:name="_Toc431459592"/>
      <w:r w:rsidRPr="000D060F">
        <w:tab/>
      </w:r>
      <w:r>
        <w:instrText>Schedule 1-B</w:instrText>
      </w:r>
      <w:bookmarkEnd w:id="37"/>
      <w:r w:rsidRPr="000D060F">
        <w:instrText xml:space="preserve">" \l 1 </w:instrText>
      </w:r>
      <w:r w:rsidRPr="000D060F">
        <w:fldChar w:fldCharType="end"/>
      </w:r>
    </w:p>
    <w:p w:rsidR="00A25E7A" w:rsidRDefault="00A25E7A" w:rsidP="00E275D8">
      <w:pPr>
        <w:pStyle w:val="BodyText"/>
        <w:rPr>
          <w:b/>
        </w:rPr>
      </w:pPr>
    </w:p>
    <w:tbl>
      <w:tblPr>
        <w:tblW w:w="9369" w:type="dxa"/>
        <w:tblInd w:w="93" w:type="dxa"/>
        <w:tblLook w:val="04A0" w:firstRow="1" w:lastRow="0" w:firstColumn="1" w:lastColumn="0" w:noHBand="0" w:noVBand="1"/>
      </w:tblPr>
      <w:tblGrid>
        <w:gridCol w:w="508"/>
        <w:gridCol w:w="4856"/>
        <w:gridCol w:w="1401"/>
        <w:gridCol w:w="2604"/>
      </w:tblGrid>
      <w:tr w:rsidR="00A25E7A" w:rsidTr="00435852">
        <w:trPr>
          <w:trHeight w:val="300"/>
        </w:trPr>
        <w:tc>
          <w:tcPr>
            <w:tcW w:w="508" w:type="dxa"/>
            <w:tcBorders>
              <w:top w:val="single" w:sz="4" w:space="0" w:color="auto"/>
              <w:left w:val="single" w:sz="4" w:space="0" w:color="auto"/>
              <w:bottom w:val="nil"/>
              <w:right w:val="nil"/>
            </w:tcBorders>
            <w:shd w:val="clear" w:color="auto" w:fill="auto"/>
            <w:noWrap/>
            <w:vAlign w:val="bottom"/>
            <w:hideMark/>
          </w:tcPr>
          <w:p w:rsidR="00A25E7A" w:rsidRDefault="00A25E7A">
            <w:pPr>
              <w:rPr>
                <w:rFonts w:ascii="SWISS" w:hAnsi="SWISS" w:cs="Arial"/>
                <w:color w:val="000000"/>
                <w:sz w:val="20"/>
                <w:szCs w:val="20"/>
              </w:rPr>
            </w:pPr>
            <w:bookmarkStart w:id="38" w:name="RANGE!A1:D20"/>
            <w:r>
              <w:rPr>
                <w:rFonts w:ascii="SWISS" w:hAnsi="SWISS" w:cs="Arial"/>
                <w:color w:val="000000"/>
                <w:sz w:val="20"/>
                <w:szCs w:val="20"/>
              </w:rPr>
              <w:t> </w:t>
            </w:r>
            <w:bookmarkEnd w:id="38"/>
          </w:p>
        </w:tc>
        <w:tc>
          <w:tcPr>
            <w:tcW w:w="4856" w:type="dxa"/>
            <w:tcBorders>
              <w:top w:val="single" w:sz="4" w:space="0" w:color="auto"/>
              <w:left w:val="nil"/>
              <w:bottom w:val="nil"/>
              <w:right w:val="nil"/>
            </w:tcBorders>
            <w:shd w:val="clear" w:color="auto" w:fill="auto"/>
            <w:noWrap/>
            <w:vAlign w:val="bottom"/>
            <w:hideMark/>
          </w:tcPr>
          <w:p w:rsidR="00A25E7A" w:rsidRDefault="00A25E7A">
            <w:pPr>
              <w:rPr>
                <w:rFonts w:ascii="SWISS" w:hAnsi="SWISS" w:cs="Arial"/>
                <w:b/>
                <w:bCs/>
                <w:color w:val="000000"/>
                <w:sz w:val="20"/>
                <w:szCs w:val="20"/>
              </w:rPr>
            </w:pPr>
            <w:r>
              <w:rPr>
                <w:rFonts w:ascii="SWISS" w:hAnsi="SWISS" w:cs="Arial"/>
                <w:b/>
                <w:bCs/>
                <w:color w:val="000000"/>
                <w:sz w:val="20"/>
                <w:szCs w:val="20"/>
              </w:rPr>
              <w:t>CEDAR ACRES, INC.</w:t>
            </w:r>
          </w:p>
        </w:tc>
        <w:tc>
          <w:tcPr>
            <w:tcW w:w="1401" w:type="dxa"/>
            <w:tcBorders>
              <w:top w:val="single" w:sz="4" w:space="0" w:color="auto"/>
              <w:left w:val="nil"/>
              <w:bottom w:val="nil"/>
              <w:right w:val="nil"/>
            </w:tcBorders>
            <w:shd w:val="clear" w:color="auto" w:fill="auto"/>
            <w:noWrap/>
            <w:vAlign w:val="bottom"/>
            <w:hideMark/>
          </w:tcPr>
          <w:p w:rsidR="00A25E7A" w:rsidRDefault="00A25E7A">
            <w:pPr>
              <w:rPr>
                <w:rFonts w:ascii="SWISS" w:hAnsi="SWISS" w:cs="Arial"/>
              </w:rPr>
            </w:pPr>
            <w:r>
              <w:rPr>
                <w:rFonts w:ascii="SWISS" w:hAnsi="SWISS" w:cs="Arial"/>
              </w:rPr>
              <w:t> </w:t>
            </w:r>
          </w:p>
        </w:tc>
        <w:tc>
          <w:tcPr>
            <w:tcW w:w="2604" w:type="dxa"/>
            <w:tcBorders>
              <w:top w:val="single" w:sz="4" w:space="0" w:color="auto"/>
              <w:left w:val="nil"/>
              <w:bottom w:val="nil"/>
              <w:right w:val="single" w:sz="4" w:space="0" w:color="auto"/>
            </w:tcBorders>
            <w:shd w:val="clear" w:color="auto" w:fill="auto"/>
            <w:noWrap/>
            <w:vAlign w:val="bottom"/>
            <w:hideMark/>
          </w:tcPr>
          <w:p w:rsidR="00A25E7A" w:rsidRDefault="00A25E7A">
            <w:pPr>
              <w:jc w:val="right"/>
              <w:rPr>
                <w:rFonts w:ascii="SWISS" w:hAnsi="SWISS" w:cs="Arial"/>
                <w:b/>
                <w:bCs/>
                <w:color w:val="000000"/>
                <w:sz w:val="20"/>
                <w:szCs w:val="20"/>
              </w:rPr>
            </w:pPr>
            <w:r>
              <w:rPr>
                <w:rFonts w:ascii="SWISS" w:hAnsi="SWISS" w:cs="Arial"/>
                <w:b/>
                <w:bCs/>
                <w:color w:val="000000"/>
                <w:sz w:val="20"/>
                <w:szCs w:val="20"/>
              </w:rPr>
              <w:t>SCHEDULE NO. 1-B</w:t>
            </w:r>
          </w:p>
        </w:tc>
      </w:tr>
      <w:tr w:rsidR="00A25E7A" w:rsidTr="00435852">
        <w:trPr>
          <w:trHeight w:val="300"/>
        </w:trPr>
        <w:tc>
          <w:tcPr>
            <w:tcW w:w="508" w:type="dxa"/>
            <w:tcBorders>
              <w:top w:val="nil"/>
              <w:left w:val="single" w:sz="4" w:space="0" w:color="auto"/>
              <w:bottom w:val="nil"/>
              <w:right w:val="nil"/>
            </w:tcBorders>
            <w:shd w:val="clear" w:color="auto" w:fill="auto"/>
            <w:noWrap/>
            <w:vAlign w:val="bottom"/>
            <w:hideMark/>
          </w:tcPr>
          <w:p w:rsidR="00A25E7A" w:rsidRDefault="00A25E7A">
            <w:pPr>
              <w:rPr>
                <w:rFonts w:ascii="SWISS" w:hAnsi="SWISS" w:cs="Arial"/>
                <w:color w:val="000000"/>
                <w:sz w:val="20"/>
                <w:szCs w:val="20"/>
              </w:rPr>
            </w:pPr>
            <w:r>
              <w:rPr>
                <w:rFonts w:ascii="SWISS" w:hAnsi="SWISS" w:cs="Arial"/>
                <w:color w:val="000000"/>
                <w:sz w:val="20"/>
                <w:szCs w:val="20"/>
              </w:rPr>
              <w:t> </w:t>
            </w:r>
          </w:p>
        </w:tc>
        <w:tc>
          <w:tcPr>
            <w:tcW w:w="4856" w:type="dxa"/>
            <w:tcBorders>
              <w:top w:val="nil"/>
              <w:left w:val="nil"/>
              <w:bottom w:val="nil"/>
              <w:right w:val="nil"/>
            </w:tcBorders>
            <w:shd w:val="clear" w:color="auto" w:fill="auto"/>
            <w:noWrap/>
            <w:vAlign w:val="bottom"/>
            <w:hideMark/>
          </w:tcPr>
          <w:p w:rsidR="00A25E7A" w:rsidRDefault="00A25E7A">
            <w:pPr>
              <w:rPr>
                <w:rFonts w:ascii="SWISS" w:hAnsi="SWISS" w:cs="Arial"/>
                <w:b/>
                <w:bCs/>
                <w:color w:val="000000"/>
                <w:sz w:val="20"/>
                <w:szCs w:val="20"/>
              </w:rPr>
            </w:pPr>
            <w:r>
              <w:rPr>
                <w:rFonts w:ascii="SWISS" w:hAnsi="SWISS" w:cs="Arial"/>
                <w:b/>
                <w:bCs/>
                <w:color w:val="000000"/>
                <w:sz w:val="20"/>
                <w:szCs w:val="20"/>
              </w:rPr>
              <w:t>TEST YEAR ENDED   09/30/14</w:t>
            </w:r>
          </w:p>
        </w:tc>
        <w:tc>
          <w:tcPr>
            <w:tcW w:w="1401" w:type="dxa"/>
            <w:tcBorders>
              <w:top w:val="nil"/>
              <w:left w:val="nil"/>
              <w:bottom w:val="nil"/>
              <w:right w:val="nil"/>
            </w:tcBorders>
            <w:shd w:val="clear" w:color="auto" w:fill="auto"/>
            <w:noWrap/>
            <w:vAlign w:val="bottom"/>
            <w:hideMark/>
          </w:tcPr>
          <w:p w:rsidR="00A25E7A" w:rsidRDefault="00A25E7A">
            <w:pPr>
              <w:rPr>
                <w:rFonts w:ascii="SWISS" w:hAnsi="SWISS" w:cs="Arial"/>
              </w:rPr>
            </w:pPr>
          </w:p>
        </w:tc>
        <w:tc>
          <w:tcPr>
            <w:tcW w:w="2604" w:type="dxa"/>
            <w:tcBorders>
              <w:top w:val="nil"/>
              <w:left w:val="nil"/>
              <w:bottom w:val="nil"/>
              <w:right w:val="single" w:sz="4" w:space="0" w:color="auto"/>
            </w:tcBorders>
            <w:shd w:val="clear" w:color="auto" w:fill="auto"/>
            <w:noWrap/>
            <w:vAlign w:val="center"/>
            <w:hideMark/>
          </w:tcPr>
          <w:p w:rsidR="00A25E7A" w:rsidRDefault="00A25E7A" w:rsidP="00435852">
            <w:pPr>
              <w:jc w:val="right"/>
              <w:rPr>
                <w:rFonts w:ascii="SWISS" w:hAnsi="SWISS" w:cs="Arial"/>
                <w:b/>
                <w:bCs/>
                <w:color w:val="000000"/>
                <w:sz w:val="20"/>
                <w:szCs w:val="20"/>
              </w:rPr>
            </w:pPr>
            <w:r>
              <w:rPr>
                <w:rFonts w:ascii="SWISS" w:hAnsi="SWISS" w:cs="Arial"/>
                <w:b/>
                <w:bCs/>
                <w:color w:val="000000"/>
                <w:sz w:val="20"/>
                <w:szCs w:val="20"/>
              </w:rPr>
              <w:t>DOCKET NO</w:t>
            </w:r>
            <w:proofErr w:type="gramStart"/>
            <w:r>
              <w:rPr>
                <w:rFonts w:ascii="SWISS" w:hAnsi="SWISS" w:cs="Arial"/>
                <w:b/>
                <w:bCs/>
                <w:color w:val="000000"/>
                <w:sz w:val="20"/>
                <w:szCs w:val="20"/>
              </w:rPr>
              <w:t xml:space="preserve">.  </w:t>
            </w:r>
            <w:proofErr w:type="gramEnd"/>
            <w:r>
              <w:rPr>
                <w:rFonts w:ascii="SWISS" w:hAnsi="SWISS" w:cs="Arial"/>
                <w:b/>
                <w:bCs/>
                <w:color w:val="000000"/>
                <w:sz w:val="20"/>
                <w:szCs w:val="20"/>
              </w:rPr>
              <w:t>140217-</w:t>
            </w:r>
            <w:r w:rsidR="00435852">
              <w:rPr>
                <w:rFonts w:ascii="SWISS" w:hAnsi="SWISS" w:cs="Arial"/>
                <w:b/>
                <w:bCs/>
                <w:color w:val="000000"/>
                <w:sz w:val="20"/>
                <w:szCs w:val="20"/>
              </w:rPr>
              <w:t>W</w:t>
            </w:r>
            <w:r>
              <w:rPr>
                <w:rFonts w:ascii="SWISS" w:hAnsi="SWISS" w:cs="Arial"/>
                <w:b/>
                <w:bCs/>
                <w:color w:val="000000"/>
                <w:sz w:val="20"/>
                <w:szCs w:val="20"/>
              </w:rPr>
              <w:t>U</w:t>
            </w:r>
          </w:p>
        </w:tc>
      </w:tr>
      <w:tr w:rsidR="00A25E7A" w:rsidTr="00435852">
        <w:trPr>
          <w:trHeight w:val="300"/>
        </w:trPr>
        <w:tc>
          <w:tcPr>
            <w:tcW w:w="508" w:type="dxa"/>
            <w:tcBorders>
              <w:top w:val="nil"/>
              <w:left w:val="single" w:sz="4" w:space="0" w:color="auto"/>
              <w:bottom w:val="single" w:sz="4" w:space="0" w:color="auto"/>
              <w:right w:val="nil"/>
            </w:tcBorders>
            <w:shd w:val="clear" w:color="auto" w:fill="auto"/>
            <w:noWrap/>
            <w:vAlign w:val="bottom"/>
            <w:hideMark/>
          </w:tcPr>
          <w:p w:rsidR="00A25E7A" w:rsidRDefault="00A25E7A">
            <w:pPr>
              <w:rPr>
                <w:rFonts w:ascii="SWISS" w:hAnsi="SWISS" w:cs="Arial"/>
                <w:color w:val="000000"/>
                <w:sz w:val="20"/>
                <w:szCs w:val="20"/>
              </w:rPr>
            </w:pPr>
            <w:r>
              <w:rPr>
                <w:rFonts w:ascii="SWISS" w:hAnsi="SWISS" w:cs="Arial"/>
                <w:color w:val="000000"/>
                <w:sz w:val="20"/>
                <w:szCs w:val="20"/>
              </w:rPr>
              <w:t> </w:t>
            </w:r>
          </w:p>
        </w:tc>
        <w:tc>
          <w:tcPr>
            <w:tcW w:w="4856" w:type="dxa"/>
            <w:tcBorders>
              <w:top w:val="nil"/>
              <w:left w:val="nil"/>
              <w:bottom w:val="single" w:sz="4" w:space="0" w:color="auto"/>
              <w:right w:val="nil"/>
            </w:tcBorders>
            <w:shd w:val="clear" w:color="auto" w:fill="auto"/>
            <w:noWrap/>
            <w:vAlign w:val="bottom"/>
            <w:hideMark/>
          </w:tcPr>
          <w:p w:rsidR="00A25E7A" w:rsidRDefault="00A25E7A">
            <w:pPr>
              <w:rPr>
                <w:rFonts w:ascii="SWISS" w:hAnsi="SWISS" w:cs="Arial"/>
                <w:b/>
                <w:bCs/>
                <w:color w:val="000000"/>
                <w:sz w:val="20"/>
                <w:szCs w:val="20"/>
              </w:rPr>
            </w:pPr>
            <w:r>
              <w:rPr>
                <w:rFonts w:ascii="SWISS" w:hAnsi="SWISS" w:cs="Arial"/>
                <w:b/>
                <w:bCs/>
                <w:color w:val="000000"/>
                <w:sz w:val="20"/>
                <w:szCs w:val="20"/>
              </w:rPr>
              <w:t>ADJUSTMENTS TO RATE BASE</w:t>
            </w:r>
          </w:p>
        </w:tc>
        <w:tc>
          <w:tcPr>
            <w:tcW w:w="1401" w:type="dxa"/>
            <w:tcBorders>
              <w:top w:val="nil"/>
              <w:left w:val="nil"/>
              <w:bottom w:val="single" w:sz="4" w:space="0" w:color="auto"/>
              <w:right w:val="nil"/>
            </w:tcBorders>
            <w:shd w:val="clear" w:color="auto" w:fill="auto"/>
            <w:noWrap/>
            <w:vAlign w:val="bottom"/>
            <w:hideMark/>
          </w:tcPr>
          <w:p w:rsidR="00A25E7A" w:rsidRDefault="00A25E7A">
            <w:pPr>
              <w:rPr>
                <w:rFonts w:ascii="SWISS" w:hAnsi="SWISS" w:cs="Arial"/>
                <w:b/>
                <w:bCs/>
                <w:color w:val="000000"/>
                <w:sz w:val="20"/>
                <w:szCs w:val="20"/>
              </w:rPr>
            </w:pPr>
            <w:r>
              <w:rPr>
                <w:rFonts w:ascii="SWISS" w:hAnsi="SWISS" w:cs="Arial"/>
                <w:b/>
                <w:bCs/>
                <w:color w:val="000000"/>
                <w:sz w:val="20"/>
                <w:szCs w:val="20"/>
              </w:rPr>
              <w:t> </w:t>
            </w:r>
          </w:p>
        </w:tc>
        <w:tc>
          <w:tcPr>
            <w:tcW w:w="2604" w:type="dxa"/>
            <w:tcBorders>
              <w:top w:val="nil"/>
              <w:left w:val="nil"/>
              <w:bottom w:val="single" w:sz="4" w:space="0" w:color="auto"/>
              <w:right w:val="single" w:sz="4" w:space="0" w:color="auto"/>
            </w:tcBorders>
            <w:shd w:val="clear" w:color="auto" w:fill="auto"/>
            <w:noWrap/>
            <w:vAlign w:val="bottom"/>
            <w:hideMark/>
          </w:tcPr>
          <w:p w:rsidR="00A25E7A" w:rsidRDefault="00A25E7A">
            <w:pPr>
              <w:rPr>
                <w:rFonts w:ascii="SWISS" w:hAnsi="SWISS" w:cs="Arial"/>
                <w:color w:val="000000"/>
                <w:sz w:val="20"/>
                <w:szCs w:val="20"/>
              </w:rPr>
            </w:pPr>
            <w:r>
              <w:rPr>
                <w:rFonts w:ascii="SWISS" w:hAnsi="SWISS" w:cs="Arial"/>
                <w:color w:val="000000"/>
                <w:sz w:val="20"/>
                <w:szCs w:val="20"/>
              </w:rPr>
              <w:t> </w:t>
            </w:r>
          </w:p>
        </w:tc>
      </w:tr>
      <w:tr w:rsidR="00A25E7A" w:rsidTr="00435852">
        <w:trPr>
          <w:trHeight w:val="300"/>
        </w:trPr>
        <w:tc>
          <w:tcPr>
            <w:tcW w:w="508" w:type="dxa"/>
            <w:tcBorders>
              <w:top w:val="nil"/>
              <w:left w:val="single" w:sz="4" w:space="0" w:color="auto"/>
              <w:bottom w:val="nil"/>
              <w:right w:val="nil"/>
            </w:tcBorders>
            <w:shd w:val="clear" w:color="auto" w:fill="auto"/>
            <w:noWrap/>
            <w:vAlign w:val="bottom"/>
            <w:hideMark/>
          </w:tcPr>
          <w:p w:rsidR="00A25E7A" w:rsidRDefault="00A25E7A">
            <w:pPr>
              <w:rPr>
                <w:rFonts w:ascii="SWISS" w:hAnsi="SWISS" w:cs="Arial"/>
                <w:color w:val="000000"/>
                <w:sz w:val="20"/>
                <w:szCs w:val="20"/>
              </w:rPr>
            </w:pPr>
            <w:r>
              <w:rPr>
                <w:rFonts w:ascii="SWISS" w:hAnsi="SWISS" w:cs="Arial"/>
                <w:color w:val="000000"/>
                <w:sz w:val="20"/>
                <w:szCs w:val="20"/>
              </w:rPr>
              <w:t> </w:t>
            </w:r>
          </w:p>
        </w:tc>
        <w:tc>
          <w:tcPr>
            <w:tcW w:w="4856" w:type="dxa"/>
            <w:tcBorders>
              <w:top w:val="nil"/>
              <w:left w:val="nil"/>
              <w:bottom w:val="nil"/>
              <w:right w:val="nil"/>
            </w:tcBorders>
            <w:shd w:val="clear" w:color="auto" w:fill="auto"/>
            <w:noWrap/>
            <w:vAlign w:val="bottom"/>
            <w:hideMark/>
          </w:tcPr>
          <w:p w:rsidR="00A25E7A" w:rsidRDefault="00A25E7A">
            <w:pPr>
              <w:rPr>
                <w:rFonts w:ascii="SWISS" w:hAnsi="SWISS" w:cs="Arial"/>
                <w:color w:val="000000"/>
                <w:sz w:val="20"/>
                <w:szCs w:val="20"/>
              </w:rPr>
            </w:pPr>
          </w:p>
        </w:tc>
        <w:tc>
          <w:tcPr>
            <w:tcW w:w="1401" w:type="dxa"/>
            <w:tcBorders>
              <w:top w:val="nil"/>
              <w:left w:val="nil"/>
              <w:bottom w:val="nil"/>
              <w:right w:val="nil"/>
            </w:tcBorders>
            <w:shd w:val="clear" w:color="auto" w:fill="auto"/>
            <w:noWrap/>
            <w:vAlign w:val="bottom"/>
            <w:hideMark/>
          </w:tcPr>
          <w:p w:rsidR="00A25E7A" w:rsidRDefault="00A25E7A">
            <w:pPr>
              <w:rPr>
                <w:rFonts w:ascii="SWISS" w:hAnsi="SWISS" w:cs="Arial"/>
              </w:rPr>
            </w:pPr>
          </w:p>
        </w:tc>
        <w:tc>
          <w:tcPr>
            <w:tcW w:w="2604" w:type="dxa"/>
            <w:tcBorders>
              <w:top w:val="nil"/>
              <w:left w:val="nil"/>
              <w:bottom w:val="nil"/>
              <w:right w:val="single" w:sz="4" w:space="0" w:color="auto"/>
            </w:tcBorders>
            <w:shd w:val="clear" w:color="auto" w:fill="auto"/>
            <w:noWrap/>
            <w:vAlign w:val="bottom"/>
            <w:hideMark/>
          </w:tcPr>
          <w:p w:rsidR="00A25E7A" w:rsidRDefault="00A25E7A">
            <w:pPr>
              <w:jc w:val="center"/>
              <w:rPr>
                <w:rFonts w:ascii="SWISS" w:hAnsi="SWISS" w:cs="Arial"/>
                <w:b/>
                <w:bCs/>
                <w:color w:val="000000"/>
                <w:sz w:val="20"/>
                <w:szCs w:val="20"/>
                <w:u w:val="single"/>
              </w:rPr>
            </w:pPr>
            <w:r>
              <w:rPr>
                <w:rFonts w:ascii="SWISS" w:hAnsi="SWISS" w:cs="Arial"/>
                <w:b/>
                <w:bCs/>
                <w:color w:val="000000"/>
                <w:sz w:val="20"/>
                <w:szCs w:val="20"/>
                <w:u w:val="single"/>
              </w:rPr>
              <w:t>WATER</w:t>
            </w:r>
          </w:p>
        </w:tc>
      </w:tr>
      <w:tr w:rsidR="00A25E7A" w:rsidTr="00435852">
        <w:trPr>
          <w:trHeight w:val="300"/>
        </w:trPr>
        <w:tc>
          <w:tcPr>
            <w:tcW w:w="508" w:type="dxa"/>
            <w:tcBorders>
              <w:top w:val="nil"/>
              <w:left w:val="single" w:sz="4" w:space="0" w:color="auto"/>
              <w:bottom w:val="nil"/>
              <w:right w:val="nil"/>
            </w:tcBorders>
            <w:shd w:val="clear" w:color="auto" w:fill="auto"/>
            <w:noWrap/>
            <w:vAlign w:val="bottom"/>
            <w:hideMark/>
          </w:tcPr>
          <w:p w:rsidR="00A25E7A" w:rsidRDefault="00A25E7A">
            <w:pPr>
              <w:rPr>
                <w:rFonts w:ascii="SWISS" w:hAnsi="SWISS" w:cs="Arial"/>
                <w:color w:val="000000"/>
                <w:sz w:val="20"/>
                <w:szCs w:val="20"/>
              </w:rPr>
            </w:pPr>
            <w:r>
              <w:rPr>
                <w:rFonts w:ascii="SWISS" w:hAnsi="SWISS" w:cs="Arial"/>
                <w:color w:val="000000"/>
                <w:sz w:val="20"/>
                <w:szCs w:val="20"/>
              </w:rPr>
              <w:t> </w:t>
            </w:r>
          </w:p>
        </w:tc>
        <w:tc>
          <w:tcPr>
            <w:tcW w:w="4856" w:type="dxa"/>
            <w:tcBorders>
              <w:top w:val="nil"/>
              <w:left w:val="nil"/>
              <w:bottom w:val="nil"/>
              <w:right w:val="nil"/>
            </w:tcBorders>
            <w:shd w:val="clear" w:color="auto" w:fill="auto"/>
            <w:noWrap/>
            <w:vAlign w:val="bottom"/>
            <w:hideMark/>
          </w:tcPr>
          <w:p w:rsidR="00A25E7A" w:rsidRDefault="00A25E7A">
            <w:pPr>
              <w:rPr>
                <w:rFonts w:ascii="SWISS" w:hAnsi="SWISS" w:cs="Arial"/>
                <w:b/>
                <w:bCs/>
                <w:color w:val="000000"/>
                <w:sz w:val="20"/>
                <w:szCs w:val="20"/>
                <w:u w:val="single"/>
              </w:rPr>
            </w:pPr>
            <w:r>
              <w:rPr>
                <w:rFonts w:ascii="SWISS" w:hAnsi="SWISS" w:cs="Arial"/>
                <w:b/>
                <w:bCs/>
                <w:color w:val="000000"/>
                <w:sz w:val="20"/>
                <w:szCs w:val="20"/>
                <w:u w:val="single"/>
              </w:rPr>
              <w:t>UTILITY PLANT IN SERVICE</w:t>
            </w:r>
          </w:p>
        </w:tc>
        <w:tc>
          <w:tcPr>
            <w:tcW w:w="1401" w:type="dxa"/>
            <w:tcBorders>
              <w:top w:val="nil"/>
              <w:left w:val="nil"/>
              <w:bottom w:val="nil"/>
              <w:right w:val="nil"/>
            </w:tcBorders>
            <w:shd w:val="clear" w:color="auto" w:fill="auto"/>
            <w:noWrap/>
            <w:vAlign w:val="bottom"/>
            <w:hideMark/>
          </w:tcPr>
          <w:p w:rsidR="00A25E7A" w:rsidRDefault="00A25E7A">
            <w:pPr>
              <w:rPr>
                <w:rFonts w:ascii="SWISS" w:hAnsi="SWISS" w:cs="Arial"/>
              </w:rPr>
            </w:pPr>
          </w:p>
        </w:tc>
        <w:tc>
          <w:tcPr>
            <w:tcW w:w="2604" w:type="dxa"/>
            <w:tcBorders>
              <w:top w:val="nil"/>
              <w:left w:val="nil"/>
              <w:bottom w:val="nil"/>
              <w:right w:val="single" w:sz="4" w:space="0" w:color="auto"/>
            </w:tcBorders>
            <w:shd w:val="clear" w:color="auto" w:fill="auto"/>
            <w:noWrap/>
            <w:vAlign w:val="bottom"/>
            <w:hideMark/>
          </w:tcPr>
          <w:p w:rsidR="00A25E7A" w:rsidRDefault="00A25E7A">
            <w:pPr>
              <w:rPr>
                <w:rFonts w:ascii="SWISS" w:hAnsi="SWISS" w:cs="Arial"/>
                <w:color w:val="000000"/>
                <w:sz w:val="20"/>
                <w:szCs w:val="20"/>
              </w:rPr>
            </w:pPr>
            <w:r>
              <w:rPr>
                <w:rFonts w:ascii="SWISS" w:hAnsi="SWISS" w:cs="Arial"/>
                <w:color w:val="000000"/>
                <w:sz w:val="20"/>
                <w:szCs w:val="20"/>
              </w:rPr>
              <w:t> </w:t>
            </w:r>
          </w:p>
        </w:tc>
      </w:tr>
      <w:tr w:rsidR="00A25E7A" w:rsidTr="00435852">
        <w:trPr>
          <w:trHeight w:val="300"/>
        </w:trPr>
        <w:tc>
          <w:tcPr>
            <w:tcW w:w="508" w:type="dxa"/>
            <w:tcBorders>
              <w:top w:val="nil"/>
              <w:left w:val="single" w:sz="4" w:space="0" w:color="auto"/>
              <w:bottom w:val="nil"/>
              <w:right w:val="nil"/>
            </w:tcBorders>
            <w:shd w:val="clear" w:color="auto" w:fill="auto"/>
            <w:noWrap/>
            <w:vAlign w:val="bottom"/>
            <w:hideMark/>
          </w:tcPr>
          <w:p w:rsidR="00A25E7A" w:rsidRDefault="00A25E7A">
            <w:pPr>
              <w:jc w:val="right"/>
              <w:rPr>
                <w:rFonts w:ascii="SWISS" w:hAnsi="SWISS" w:cs="Arial"/>
                <w:color w:val="000000"/>
                <w:sz w:val="20"/>
                <w:szCs w:val="20"/>
              </w:rPr>
            </w:pPr>
            <w:r>
              <w:rPr>
                <w:rFonts w:ascii="SWISS" w:hAnsi="SWISS" w:cs="Arial"/>
                <w:color w:val="000000"/>
                <w:sz w:val="20"/>
                <w:szCs w:val="20"/>
              </w:rPr>
              <w:t> </w:t>
            </w:r>
          </w:p>
        </w:tc>
        <w:tc>
          <w:tcPr>
            <w:tcW w:w="4856" w:type="dxa"/>
            <w:tcBorders>
              <w:top w:val="nil"/>
              <w:left w:val="nil"/>
              <w:bottom w:val="nil"/>
              <w:right w:val="nil"/>
            </w:tcBorders>
            <w:shd w:val="clear" w:color="auto" w:fill="auto"/>
            <w:noWrap/>
            <w:vAlign w:val="bottom"/>
            <w:hideMark/>
          </w:tcPr>
          <w:p w:rsidR="00A25E7A" w:rsidRDefault="00A25E7A">
            <w:pPr>
              <w:rPr>
                <w:rFonts w:ascii="SWISS" w:hAnsi="SWISS" w:cs="Arial"/>
                <w:sz w:val="20"/>
                <w:szCs w:val="20"/>
              </w:rPr>
            </w:pPr>
            <w:r>
              <w:rPr>
                <w:rFonts w:ascii="SWISS" w:hAnsi="SWISS" w:cs="Arial"/>
                <w:sz w:val="20"/>
                <w:szCs w:val="20"/>
              </w:rPr>
              <w:t>To reflect appropriate plant in service.</w:t>
            </w:r>
          </w:p>
        </w:tc>
        <w:tc>
          <w:tcPr>
            <w:tcW w:w="1401" w:type="dxa"/>
            <w:tcBorders>
              <w:top w:val="nil"/>
              <w:left w:val="nil"/>
              <w:bottom w:val="nil"/>
              <w:right w:val="nil"/>
            </w:tcBorders>
            <w:shd w:val="clear" w:color="auto" w:fill="auto"/>
            <w:noWrap/>
            <w:vAlign w:val="bottom"/>
            <w:hideMark/>
          </w:tcPr>
          <w:p w:rsidR="00A25E7A" w:rsidRDefault="00A25E7A">
            <w:pPr>
              <w:rPr>
                <w:rFonts w:ascii="SWISS" w:hAnsi="SWISS" w:cs="Arial"/>
              </w:rPr>
            </w:pPr>
          </w:p>
        </w:tc>
        <w:tc>
          <w:tcPr>
            <w:tcW w:w="2604" w:type="dxa"/>
            <w:tcBorders>
              <w:top w:val="nil"/>
              <w:left w:val="nil"/>
              <w:bottom w:val="nil"/>
              <w:right w:val="single" w:sz="4" w:space="0" w:color="auto"/>
            </w:tcBorders>
            <w:shd w:val="clear" w:color="auto" w:fill="auto"/>
            <w:noWrap/>
            <w:vAlign w:val="bottom"/>
            <w:hideMark/>
          </w:tcPr>
          <w:p w:rsidR="00A25E7A" w:rsidRDefault="00A25E7A">
            <w:pPr>
              <w:jc w:val="right"/>
              <w:rPr>
                <w:rFonts w:ascii="SWISS" w:hAnsi="SWISS" w:cs="Arial"/>
                <w:color w:val="000000"/>
                <w:sz w:val="20"/>
                <w:szCs w:val="20"/>
                <w:u w:val="double"/>
              </w:rPr>
            </w:pPr>
            <w:r>
              <w:rPr>
                <w:rFonts w:ascii="SWISS" w:hAnsi="SWISS" w:cs="Arial"/>
                <w:color w:val="000000"/>
                <w:sz w:val="20"/>
                <w:szCs w:val="20"/>
                <w:u w:val="double"/>
              </w:rPr>
              <w:t>($307,337)</w:t>
            </w:r>
          </w:p>
        </w:tc>
      </w:tr>
      <w:tr w:rsidR="00A25E7A" w:rsidTr="00435852">
        <w:trPr>
          <w:trHeight w:val="300"/>
        </w:trPr>
        <w:tc>
          <w:tcPr>
            <w:tcW w:w="508" w:type="dxa"/>
            <w:tcBorders>
              <w:top w:val="nil"/>
              <w:left w:val="single" w:sz="4" w:space="0" w:color="auto"/>
              <w:bottom w:val="nil"/>
              <w:right w:val="nil"/>
            </w:tcBorders>
            <w:shd w:val="clear" w:color="auto" w:fill="auto"/>
            <w:noWrap/>
            <w:vAlign w:val="bottom"/>
            <w:hideMark/>
          </w:tcPr>
          <w:p w:rsidR="00A25E7A" w:rsidRDefault="00A25E7A">
            <w:pPr>
              <w:jc w:val="right"/>
              <w:rPr>
                <w:rFonts w:ascii="SWISS" w:hAnsi="SWISS" w:cs="Arial"/>
                <w:color w:val="000000"/>
                <w:sz w:val="20"/>
                <w:szCs w:val="20"/>
              </w:rPr>
            </w:pPr>
            <w:r>
              <w:rPr>
                <w:rFonts w:ascii="SWISS" w:hAnsi="SWISS" w:cs="Arial"/>
                <w:color w:val="000000"/>
                <w:sz w:val="20"/>
                <w:szCs w:val="20"/>
              </w:rPr>
              <w:t> </w:t>
            </w:r>
          </w:p>
        </w:tc>
        <w:tc>
          <w:tcPr>
            <w:tcW w:w="4856" w:type="dxa"/>
            <w:tcBorders>
              <w:top w:val="nil"/>
              <w:left w:val="nil"/>
              <w:bottom w:val="nil"/>
              <w:right w:val="nil"/>
            </w:tcBorders>
            <w:shd w:val="clear" w:color="auto" w:fill="auto"/>
            <w:noWrap/>
            <w:vAlign w:val="bottom"/>
            <w:hideMark/>
          </w:tcPr>
          <w:p w:rsidR="00A25E7A" w:rsidRDefault="00A25E7A">
            <w:pPr>
              <w:rPr>
                <w:rFonts w:ascii="SWISS" w:hAnsi="SWISS" w:cs="Arial"/>
                <w:color w:val="000000"/>
                <w:sz w:val="20"/>
                <w:szCs w:val="20"/>
              </w:rPr>
            </w:pPr>
          </w:p>
        </w:tc>
        <w:tc>
          <w:tcPr>
            <w:tcW w:w="1401" w:type="dxa"/>
            <w:tcBorders>
              <w:top w:val="nil"/>
              <w:left w:val="nil"/>
              <w:bottom w:val="nil"/>
              <w:right w:val="nil"/>
            </w:tcBorders>
            <w:shd w:val="clear" w:color="auto" w:fill="auto"/>
            <w:noWrap/>
            <w:vAlign w:val="bottom"/>
            <w:hideMark/>
          </w:tcPr>
          <w:p w:rsidR="00A25E7A" w:rsidRDefault="00A25E7A">
            <w:pPr>
              <w:rPr>
                <w:rFonts w:ascii="SWISS" w:hAnsi="SWISS" w:cs="Arial"/>
              </w:rPr>
            </w:pPr>
          </w:p>
        </w:tc>
        <w:tc>
          <w:tcPr>
            <w:tcW w:w="2604" w:type="dxa"/>
            <w:tcBorders>
              <w:top w:val="nil"/>
              <w:left w:val="nil"/>
              <w:bottom w:val="nil"/>
              <w:right w:val="single" w:sz="4" w:space="0" w:color="auto"/>
            </w:tcBorders>
            <w:shd w:val="clear" w:color="auto" w:fill="auto"/>
            <w:noWrap/>
            <w:vAlign w:val="bottom"/>
            <w:hideMark/>
          </w:tcPr>
          <w:p w:rsidR="00A25E7A" w:rsidRDefault="00A25E7A">
            <w:pPr>
              <w:rPr>
                <w:rFonts w:ascii="SWISS" w:hAnsi="SWISS" w:cs="Arial"/>
                <w:color w:val="FF0000"/>
                <w:sz w:val="20"/>
                <w:szCs w:val="20"/>
                <w:u w:val="double"/>
              </w:rPr>
            </w:pPr>
          </w:p>
        </w:tc>
      </w:tr>
      <w:tr w:rsidR="00A25E7A" w:rsidTr="00435852">
        <w:trPr>
          <w:trHeight w:val="300"/>
        </w:trPr>
        <w:tc>
          <w:tcPr>
            <w:tcW w:w="508" w:type="dxa"/>
            <w:tcBorders>
              <w:top w:val="nil"/>
              <w:left w:val="single" w:sz="4" w:space="0" w:color="auto"/>
              <w:bottom w:val="nil"/>
              <w:right w:val="nil"/>
            </w:tcBorders>
            <w:shd w:val="clear" w:color="auto" w:fill="auto"/>
            <w:noWrap/>
            <w:vAlign w:val="bottom"/>
            <w:hideMark/>
          </w:tcPr>
          <w:p w:rsidR="00A25E7A" w:rsidRDefault="00A25E7A">
            <w:pPr>
              <w:jc w:val="right"/>
              <w:rPr>
                <w:rFonts w:ascii="SWISS" w:hAnsi="SWISS" w:cs="Arial"/>
                <w:color w:val="000000"/>
                <w:sz w:val="20"/>
                <w:szCs w:val="20"/>
              </w:rPr>
            </w:pPr>
            <w:r>
              <w:rPr>
                <w:rFonts w:ascii="SWISS" w:hAnsi="SWISS" w:cs="Arial"/>
                <w:color w:val="000000"/>
                <w:sz w:val="20"/>
                <w:szCs w:val="20"/>
              </w:rPr>
              <w:t> </w:t>
            </w:r>
          </w:p>
        </w:tc>
        <w:tc>
          <w:tcPr>
            <w:tcW w:w="4856" w:type="dxa"/>
            <w:tcBorders>
              <w:top w:val="nil"/>
              <w:left w:val="nil"/>
              <w:bottom w:val="nil"/>
              <w:right w:val="nil"/>
            </w:tcBorders>
            <w:shd w:val="clear" w:color="auto" w:fill="auto"/>
            <w:noWrap/>
            <w:vAlign w:val="bottom"/>
            <w:hideMark/>
          </w:tcPr>
          <w:p w:rsidR="00A25E7A" w:rsidRDefault="00A25E7A">
            <w:pPr>
              <w:rPr>
                <w:rFonts w:ascii="SWISS" w:hAnsi="SWISS" w:cs="Arial"/>
                <w:b/>
                <w:bCs/>
                <w:color w:val="000000"/>
                <w:sz w:val="20"/>
                <w:szCs w:val="20"/>
                <w:u w:val="single"/>
              </w:rPr>
            </w:pPr>
            <w:r>
              <w:rPr>
                <w:rFonts w:ascii="SWISS" w:hAnsi="SWISS" w:cs="Arial"/>
                <w:b/>
                <w:bCs/>
                <w:color w:val="000000"/>
                <w:sz w:val="20"/>
                <w:szCs w:val="20"/>
                <w:u w:val="single"/>
              </w:rPr>
              <w:t>LAND AND LAND RIGHTS</w:t>
            </w:r>
          </w:p>
        </w:tc>
        <w:tc>
          <w:tcPr>
            <w:tcW w:w="1401" w:type="dxa"/>
            <w:tcBorders>
              <w:top w:val="nil"/>
              <w:left w:val="nil"/>
              <w:bottom w:val="nil"/>
              <w:right w:val="nil"/>
            </w:tcBorders>
            <w:shd w:val="clear" w:color="auto" w:fill="auto"/>
            <w:noWrap/>
            <w:vAlign w:val="bottom"/>
            <w:hideMark/>
          </w:tcPr>
          <w:p w:rsidR="00A25E7A" w:rsidRDefault="00A25E7A">
            <w:pPr>
              <w:rPr>
                <w:rFonts w:ascii="SWISS" w:hAnsi="SWISS" w:cs="Arial"/>
              </w:rPr>
            </w:pPr>
          </w:p>
        </w:tc>
        <w:tc>
          <w:tcPr>
            <w:tcW w:w="2604" w:type="dxa"/>
            <w:tcBorders>
              <w:top w:val="nil"/>
              <w:left w:val="nil"/>
              <w:bottom w:val="nil"/>
              <w:right w:val="single" w:sz="4" w:space="0" w:color="auto"/>
            </w:tcBorders>
            <w:shd w:val="clear" w:color="auto" w:fill="auto"/>
            <w:noWrap/>
            <w:vAlign w:val="bottom"/>
            <w:hideMark/>
          </w:tcPr>
          <w:p w:rsidR="00A25E7A" w:rsidRDefault="00A25E7A">
            <w:pPr>
              <w:rPr>
                <w:rFonts w:ascii="SWISS" w:hAnsi="SWISS" w:cs="Arial"/>
                <w:color w:val="000000"/>
                <w:sz w:val="20"/>
                <w:szCs w:val="20"/>
              </w:rPr>
            </w:pPr>
            <w:r>
              <w:rPr>
                <w:rFonts w:ascii="SWISS" w:hAnsi="SWISS" w:cs="Arial"/>
                <w:color w:val="000000"/>
                <w:sz w:val="20"/>
                <w:szCs w:val="20"/>
              </w:rPr>
              <w:t> </w:t>
            </w:r>
          </w:p>
        </w:tc>
      </w:tr>
      <w:tr w:rsidR="00A25E7A" w:rsidTr="00435852">
        <w:trPr>
          <w:trHeight w:val="300"/>
        </w:trPr>
        <w:tc>
          <w:tcPr>
            <w:tcW w:w="508" w:type="dxa"/>
            <w:tcBorders>
              <w:top w:val="nil"/>
              <w:left w:val="single" w:sz="4" w:space="0" w:color="auto"/>
              <w:bottom w:val="nil"/>
              <w:right w:val="nil"/>
            </w:tcBorders>
            <w:shd w:val="clear" w:color="auto" w:fill="auto"/>
            <w:noWrap/>
            <w:vAlign w:val="bottom"/>
            <w:hideMark/>
          </w:tcPr>
          <w:p w:rsidR="00A25E7A" w:rsidRDefault="00A25E7A">
            <w:pPr>
              <w:jc w:val="right"/>
              <w:rPr>
                <w:rFonts w:ascii="SWISS" w:hAnsi="SWISS" w:cs="Arial"/>
                <w:color w:val="000000"/>
                <w:sz w:val="20"/>
                <w:szCs w:val="20"/>
              </w:rPr>
            </w:pPr>
            <w:r>
              <w:rPr>
                <w:rFonts w:ascii="SWISS" w:hAnsi="SWISS" w:cs="Arial"/>
                <w:color w:val="000000"/>
                <w:sz w:val="20"/>
                <w:szCs w:val="20"/>
              </w:rPr>
              <w:t> </w:t>
            </w:r>
          </w:p>
        </w:tc>
        <w:tc>
          <w:tcPr>
            <w:tcW w:w="4856" w:type="dxa"/>
            <w:tcBorders>
              <w:top w:val="nil"/>
              <w:left w:val="nil"/>
              <w:bottom w:val="nil"/>
              <w:right w:val="nil"/>
            </w:tcBorders>
            <w:shd w:val="clear" w:color="auto" w:fill="auto"/>
            <w:noWrap/>
            <w:vAlign w:val="bottom"/>
            <w:hideMark/>
          </w:tcPr>
          <w:p w:rsidR="00A25E7A" w:rsidRPr="00DA5094" w:rsidRDefault="00DA5094" w:rsidP="00DA5094">
            <w:pPr>
              <w:rPr>
                <w:rFonts w:ascii="SWISS" w:hAnsi="SWISS" w:cs="Arial"/>
                <w:color w:val="000000"/>
                <w:sz w:val="20"/>
                <w:szCs w:val="20"/>
              </w:rPr>
            </w:pPr>
            <w:r>
              <w:rPr>
                <w:rFonts w:ascii="SWISS" w:hAnsi="SWISS" w:cs="Arial"/>
                <w:color w:val="000000"/>
                <w:sz w:val="20"/>
                <w:szCs w:val="20"/>
              </w:rPr>
              <w:t xml:space="preserve">1. </w:t>
            </w:r>
            <w:r w:rsidR="00A25E7A" w:rsidRPr="00DA5094">
              <w:rPr>
                <w:rFonts w:ascii="SWISS" w:hAnsi="SWISS" w:cs="Arial"/>
                <w:color w:val="000000"/>
                <w:sz w:val="20"/>
                <w:szCs w:val="20"/>
              </w:rPr>
              <w:t xml:space="preserve">To reflect land designated to the utility. </w:t>
            </w:r>
          </w:p>
        </w:tc>
        <w:tc>
          <w:tcPr>
            <w:tcW w:w="1401" w:type="dxa"/>
            <w:tcBorders>
              <w:top w:val="nil"/>
              <w:left w:val="nil"/>
              <w:bottom w:val="nil"/>
              <w:right w:val="nil"/>
            </w:tcBorders>
            <w:shd w:val="clear" w:color="auto" w:fill="auto"/>
            <w:noWrap/>
            <w:vAlign w:val="bottom"/>
            <w:hideMark/>
          </w:tcPr>
          <w:p w:rsidR="00A25E7A" w:rsidRDefault="00A25E7A">
            <w:pPr>
              <w:rPr>
                <w:rFonts w:ascii="SWISS" w:hAnsi="SWISS" w:cs="Arial"/>
              </w:rPr>
            </w:pPr>
          </w:p>
        </w:tc>
        <w:tc>
          <w:tcPr>
            <w:tcW w:w="2604" w:type="dxa"/>
            <w:tcBorders>
              <w:top w:val="nil"/>
              <w:left w:val="nil"/>
              <w:bottom w:val="nil"/>
              <w:right w:val="single" w:sz="4" w:space="0" w:color="auto"/>
            </w:tcBorders>
            <w:shd w:val="clear" w:color="auto" w:fill="auto"/>
            <w:noWrap/>
            <w:vAlign w:val="bottom"/>
            <w:hideMark/>
          </w:tcPr>
          <w:p w:rsidR="00A25E7A" w:rsidRPr="00CC294A" w:rsidRDefault="00A25E7A">
            <w:pPr>
              <w:jc w:val="right"/>
              <w:rPr>
                <w:rFonts w:ascii="SWISS" w:hAnsi="SWISS" w:cs="Arial"/>
                <w:sz w:val="20"/>
                <w:szCs w:val="20"/>
              </w:rPr>
            </w:pPr>
            <w:r w:rsidRPr="00CC294A">
              <w:rPr>
                <w:rFonts w:ascii="SWISS" w:hAnsi="SWISS" w:cs="Arial"/>
                <w:sz w:val="20"/>
                <w:szCs w:val="20"/>
              </w:rPr>
              <w:t>($43,300)</w:t>
            </w:r>
          </w:p>
        </w:tc>
      </w:tr>
      <w:tr w:rsidR="00A25E7A" w:rsidTr="00435852">
        <w:trPr>
          <w:trHeight w:val="300"/>
        </w:trPr>
        <w:tc>
          <w:tcPr>
            <w:tcW w:w="508" w:type="dxa"/>
            <w:tcBorders>
              <w:top w:val="nil"/>
              <w:left w:val="single" w:sz="4" w:space="0" w:color="auto"/>
              <w:bottom w:val="nil"/>
              <w:right w:val="nil"/>
            </w:tcBorders>
            <w:shd w:val="clear" w:color="auto" w:fill="auto"/>
            <w:noWrap/>
            <w:vAlign w:val="bottom"/>
            <w:hideMark/>
          </w:tcPr>
          <w:p w:rsidR="00A25E7A" w:rsidRDefault="00A25E7A">
            <w:pPr>
              <w:jc w:val="right"/>
              <w:rPr>
                <w:rFonts w:ascii="SWISS" w:hAnsi="SWISS" w:cs="Arial"/>
                <w:color w:val="000000"/>
                <w:sz w:val="20"/>
                <w:szCs w:val="20"/>
              </w:rPr>
            </w:pPr>
            <w:r>
              <w:rPr>
                <w:rFonts w:ascii="SWISS" w:hAnsi="SWISS" w:cs="Arial"/>
                <w:color w:val="000000"/>
                <w:sz w:val="20"/>
                <w:szCs w:val="20"/>
              </w:rPr>
              <w:t> </w:t>
            </w:r>
          </w:p>
        </w:tc>
        <w:tc>
          <w:tcPr>
            <w:tcW w:w="4856" w:type="dxa"/>
            <w:tcBorders>
              <w:top w:val="nil"/>
              <w:left w:val="nil"/>
              <w:bottom w:val="nil"/>
              <w:right w:val="nil"/>
            </w:tcBorders>
            <w:shd w:val="clear" w:color="auto" w:fill="auto"/>
            <w:noWrap/>
            <w:vAlign w:val="bottom"/>
            <w:hideMark/>
          </w:tcPr>
          <w:p w:rsidR="00A25E7A" w:rsidRDefault="00DA5094">
            <w:pPr>
              <w:rPr>
                <w:rFonts w:ascii="SWISS" w:hAnsi="SWISS" w:cs="Arial"/>
                <w:color w:val="000000"/>
                <w:sz w:val="20"/>
                <w:szCs w:val="20"/>
              </w:rPr>
            </w:pPr>
            <w:r>
              <w:rPr>
                <w:rFonts w:ascii="SWISS" w:hAnsi="SWISS" w:cs="Arial"/>
                <w:color w:val="000000"/>
                <w:sz w:val="20"/>
                <w:szCs w:val="20"/>
              </w:rPr>
              <w:t xml:space="preserve">2. </w:t>
            </w:r>
            <w:r w:rsidR="00A25E7A">
              <w:rPr>
                <w:rFonts w:ascii="SWISS" w:hAnsi="SWISS" w:cs="Arial"/>
                <w:color w:val="000000"/>
                <w:sz w:val="20"/>
                <w:szCs w:val="20"/>
              </w:rPr>
              <w:t>To remove parcel of land not used in utility business.</w:t>
            </w:r>
          </w:p>
        </w:tc>
        <w:tc>
          <w:tcPr>
            <w:tcW w:w="1401" w:type="dxa"/>
            <w:tcBorders>
              <w:top w:val="nil"/>
              <w:left w:val="nil"/>
              <w:bottom w:val="nil"/>
              <w:right w:val="nil"/>
            </w:tcBorders>
            <w:shd w:val="clear" w:color="auto" w:fill="auto"/>
            <w:noWrap/>
            <w:vAlign w:val="bottom"/>
            <w:hideMark/>
          </w:tcPr>
          <w:p w:rsidR="00A25E7A" w:rsidRDefault="00A25E7A">
            <w:pPr>
              <w:rPr>
                <w:rFonts w:ascii="SWISS" w:hAnsi="SWISS" w:cs="Arial"/>
              </w:rPr>
            </w:pPr>
          </w:p>
        </w:tc>
        <w:tc>
          <w:tcPr>
            <w:tcW w:w="2604" w:type="dxa"/>
            <w:tcBorders>
              <w:top w:val="nil"/>
              <w:left w:val="nil"/>
              <w:bottom w:val="nil"/>
              <w:right w:val="single" w:sz="4" w:space="0" w:color="auto"/>
            </w:tcBorders>
            <w:shd w:val="clear" w:color="auto" w:fill="auto"/>
            <w:noWrap/>
            <w:vAlign w:val="bottom"/>
            <w:hideMark/>
          </w:tcPr>
          <w:p w:rsidR="00A25E7A" w:rsidRPr="00CC294A" w:rsidRDefault="00A25E7A">
            <w:pPr>
              <w:jc w:val="right"/>
              <w:rPr>
                <w:rFonts w:ascii="SWISS" w:hAnsi="SWISS" w:cs="Arial"/>
                <w:sz w:val="20"/>
                <w:szCs w:val="20"/>
                <w:u w:val="single"/>
              </w:rPr>
            </w:pPr>
            <w:r w:rsidRPr="00CC294A">
              <w:rPr>
                <w:rFonts w:ascii="SWISS" w:hAnsi="SWISS" w:cs="Arial"/>
                <w:sz w:val="20"/>
                <w:szCs w:val="20"/>
                <w:u w:val="single"/>
              </w:rPr>
              <w:t>(2,220)</w:t>
            </w:r>
          </w:p>
        </w:tc>
      </w:tr>
      <w:tr w:rsidR="00A25E7A" w:rsidTr="00435852">
        <w:trPr>
          <w:trHeight w:val="300"/>
        </w:trPr>
        <w:tc>
          <w:tcPr>
            <w:tcW w:w="508" w:type="dxa"/>
            <w:tcBorders>
              <w:top w:val="nil"/>
              <w:left w:val="single" w:sz="4" w:space="0" w:color="auto"/>
              <w:bottom w:val="nil"/>
              <w:right w:val="nil"/>
            </w:tcBorders>
            <w:shd w:val="clear" w:color="auto" w:fill="auto"/>
            <w:noWrap/>
            <w:vAlign w:val="bottom"/>
            <w:hideMark/>
          </w:tcPr>
          <w:p w:rsidR="00A25E7A" w:rsidRDefault="00A25E7A">
            <w:pPr>
              <w:jc w:val="right"/>
              <w:rPr>
                <w:rFonts w:ascii="SWISS" w:hAnsi="SWISS" w:cs="Arial"/>
                <w:color w:val="000000"/>
                <w:sz w:val="20"/>
                <w:szCs w:val="20"/>
              </w:rPr>
            </w:pPr>
            <w:r>
              <w:rPr>
                <w:rFonts w:ascii="SWISS" w:hAnsi="SWISS" w:cs="Arial"/>
                <w:color w:val="000000"/>
                <w:sz w:val="20"/>
                <w:szCs w:val="20"/>
              </w:rPr>
              <w:t> </w:t>
            </w:r>
          </w:p>
        </w:tc>
        <w:tc>
          <w:tcPr>
            <w:tcW w:w="4856" w:type="dxa"/>
            <w:tcBorders>
              <w:top w:val="nil"/>
              <w:left w:val="nil"/>
              <w:bottom w:val="nil"/>
              <w:right w:val="nil"/>
            </w:tcBorders>
            <w:shd w:val="clear" w:color="auto" w:fill="auto"/>
            <w:noWrap/>
            <w:vAlign w:val="bottom"/>
            <w:hideMark/>
          </w:tcPr>
          <w:p w:rsidR="00A25E7A" w:rsidRDefault="00A25E7A">
            <w:pPr>
              <w:rPr>
                <w:rFonts w:ascii="SWISS" w:hAnsi="SWISS" w:cs="Arial"/>
                <w:color w:val="000000"/>
                <w:sz w:val="20"/>
                <w:szCs w:val="20"/>
              </w:rPr>
            </w:pPr>
            <w:r>
              <w:rPr>
                <w:rFonts w:ascii="SWISS" w:hAnsi="SWISS" w:cs="Arial"/>
                <w:color w:val="000000"/>
                <w:sz w:val="20"/>
                <w:szCs w:val="20"/>
              </w:rPr>
              <w:t xml:space="preserve">     Total</w:t>
            </w:r>
          </w:p>
        </w:tc>
        <w:tc>
          <w:tcPr>
            <w:tcW w:w="1401" w:type="dxa"/>
            <w:tcBorders>
              <w:top w:val="nil"/>
              <w:left w:val="nil"/>
              <w:bottom w:val="nil"/>
              <w:right w:val="nil"/>
            </w:tcBorders>
            <w:shd w:val="clear" w:color="auto" w:fill="auto"/>
            <w:noWrap/>
            <w:vAlign w:val="bottom"/>
            <w:hideMark/>
          </w:tcPr>
          <w:p w:rsidR="00A25E7A" w:rsidRDefault="00A25E7A">
            <w:pPr>
              <w:rPr>
                <w:rFonts w:ascii="SWISS" w:hAnsi="SWISS" w:cs="Arial"/>
              </w:rPr>
            </w:pPr>
          </w:p>
        </w:tc>
        <w:tc>
          <w:tcPr>
            <w:tcW w:w="2604" w:type="dxa"/>
            <w:tcBorders>
              <w:top w:val="nil"/>
              <w:left w:val="nil"/>
              <w:bottom w:val="nil"/>
              <w:right w:val="single" w:sz="4" w:space="0" w:color="auto"/>
            </w:tcBorders>
            <w:shd w:val="clear" w:color="auto" w:fill="auto"/>
            <w:noWrap/>
            <w:vAlign w:val="bottom"/>
            <w:hideMark/>
          </w:tcPr>
          <w:p w:rsidR="00A25E7A" w:rsidRPr="00CC294A" w:rsidRDefault="00A25E7A">
            <w:pPr>
              <w:jc w:val="right"/>
              <w:rPr>
                <w:rFonts w:ascii="SWISS" w:hAnsi="SWISS" w:cs="Arial"/>
                <w:sz w:val="20"/>
                <w:szCs w:val="20"/>
                <w:u w:val="double"/>
              </w:rPr>
            </w:pPr>
            <w:r w:rsidRPr="00CC294A">
              <w:rPr>
                <w:rFonts w:ascii="SWISS" w:hAnsi="SWISS" w:cs="Arial"/>
                <w:sz w:val="20"/>
                <w:szCs w:val="20"/>
                <w:u w:val="double"/>
              </w:rPr>
              <w:t>($45,520)</w:t>
            </w:r>
          </w:p>
        </w:tc>
      </w:tr>
      <w:tr w:rsidR="00A25E7A" w:rsidTr="00435852">
        <w:trPr>
          <w:trHeight w:val="300"/>
        </w:trPr>
        <w:tc>
          <w:tcPr>
            <w:tcW w:w="508" w:type="dxa"/>
            <w:tcBorders>
              <w:top w:val="nil"/>
              <w:left w:val="single" w:sz="4" w:space="0" w:color="auto"/>
              <w:bottom w:val="nil"/>
              <w:right w:val="nil"/>
            </w:tcBorders>
            <w:shd w:val="clear" w:color="auto" w:fill="auto"/>
            <w:noWrap/>
            <w:vAlign w:val="bottom"/>
            <w:hideMark/>
          </w:tcPr>
          <w:p w:rsidR="00A25E7A" w:rsidRDefault="00A25E7A">
            <w:pPr>
              <w:jc w:val="right"/>
              <w:rPr>
                <w:rFonts w:ascii="SWISS" w:hAnsi="SWISS" w:cs="Arial"/>
                <w:color w:val="000000"/>
                <w:sz w:val="20"/>
                <w:szCs w:val="20"/>
              </w:rPr>
            </w:pPr>
            <w:r>
              <w:rPr>
                <w:rFonts w:ascii="SWISS" w:hAnsi="SWISS" w:cs="Arial"/>
                <w:color w:val="000000"/>
                <w:sz w:val="20"/>
                <w:szCs w:val="20"/>
              </w:rPr>
              <w:t> </w:t>
            </w:r>
          </w:p>
        </w:tc>
        <w:tc>
          <w:tcPr>
            <w:tcW w:w="4856" w:type="dxa"/>
            <w:tcBorders>
              <w:top w:val="nil"/>
              <w:left w:val="nil"/>
              <w:bottom w:val="nil"/>
              <w:right w:val="nil"/>
            </w:tcBorders>
            <w:shd w:val="clear" w:color="auto" w:fill="auto"/>
            <w:noWrap/>
            <w:vAlign w:val="bottom"/>
            <w:hideMark/>
          </w:tcPr>
          <w:p w:rsidR="00A25E7A" w:rsidRDefault="00A25E7A">
            <w:pPr>
              <w:rPr>
                <w:rFonts w:ascii="SWISS" w:hAnsi="SWISS" w:cs="Arial"/>
                <w:color w:val="000000"/>
                <w:sz w:val="20"/>
                <w:szCs w:val="20"/>
              </w:rPr>
            </w:pPr>
          </w:p>
        </w:tc>
        <w:tc>
          <w:tcPr>
            <w:tcW w:w="1401" w:type="dxa"/>
            <w:tcBorders>
              <w:top w:val="nil"/>
              <w:left w:val="nil"/>
              <w:bottom w:val="nil"/>
              <w:right w:val="nil"/>
            </w:tcBorders>
            <w:shd w:val="clear" w:color="auto" w:fill="auto"/>
            <w:noWrap/>
            <w:vAlign w:val="bottom"/>
            <w:hideMark/>
          </w:tcPr>
          <w:p w:rsidR="00A25E7A" w:rsidRDefault="00A25E7A">
            <w:pPr>
              <w:rPr>
                <w:rFonts w:ascii="SWISS" w:hAnsi="SWISS" w:cs="Arial"/>
              </w:rPr>
            </w:pPr>
          </w:p>
        </w:tc>
        <w:tc>
          <w:tcPr>
            <w:tcW w:w="2604" w:type="dxa"/>
            <w:tcBorders>
              <w:top w:val="nil"/>
              <w:left w:val="nil"/>
              <w:bottom w:val="nil"/>
              <w:right w:val="single" w:sz="4" w:space="0" w:color="auto"/>
            </w:tcBorders>
            <w:shd w:val="clear" w:color="auto" w:fill="auto"/>
            <w:noWrap/>
            <w:vAlign w:val="bottom"/>
            <w:hideMark/>
          </w:tcPr>
          <w:p w:rsidR="00A25E7A" w:rsidRPr="00CC294A" w:rsidRDefault="00A25E7A">
            <w:pPr>
              <w:rPr>
                <w:rFonts w:ascii="SWISS" w:hAnsi="SWISS" w:cs="Arial"/>
                <w:sz w:val="20"/>
                <w:szCs w:val="20"/>
              </w:rPr>
            </w:pPr>
            <w:r w:rsidRPr="00CC294A">
              <w:rPr>
                <w:rFonts w:ascii="SWISS" w:hAnsi="SWISS" w:cs="Arial"/>
                <w:sz w:val="20"/>
                <w:szCs w:val="20"/>
              </w:rPr>
              <w:t> </w:t>
            </w:r>
          </w:p>
        </w:tc>
      </w:tr>
      <w:tr w:rsidR="00A25E7A" w:rsidTr="00435852">
        <w:trPr>
          <w:trHeight w:val="300"/>
        </w:trPr>
        <w:tc>
          <w:tcPr>
            <w:tcW w:w="508" w:type="dxa"/>
            <w:tcBorders>
              <w:top w:val="nil"/>
              <w:left w:val="single" w:sz="4" w:space="0" w:color="auto"/>
              <w:bottom w:val="nil"/>
              <w:right w:val="nil"/>
            </w:tcBorders>
            <w:shd w:val="clear" w:color="auto" w:fill="auto"/>
            <w:noWrap/>
            <w:vAlign w:val="bottom"/>
            <w:hideMark/>
          </w:tcPr>
          <w:p w:rsidR="00A25E7A" w:rsidRDefault="00A25E7A">
            <w:pPr>
              <w:rPr>
                <w:rFonts w:ascii="SWISS" w:hAnsi="SWISS" w:cs="Arial"/>
                <w:sz w:val="20"/>
                <w:szCs w:val="20"/>
              </w:rPr>
            </w:pPr>
            <w:bookmarkStart w:id="39" w:name="RANGE!A13:D20"/>
            <w:r>
              <w:rPr>
                <w:rFonts w:ascii="SWISS" w:hAnsi="SWISS" w:cs="Arial"/>
                <w:sz w:val="20"/>
                <w:szCs w:val="20"/>
              </w:rPr>
              <w:t> </w:t>
            </w:r>
            <w:bookmarkEnd w:id="39"/>
          </w:p>
        </w:tc>
        <w:tc>
          <w:tcPr>
            <w:tcW w:w="4856" w:type="dxa"/>
            <w:tcBorders>
              <w:top w:val="nil"/>
              <w:left w:val="nil"/>
              <w:bottom w:val="nil"/>
              <w:right w:val="nil"/>
            </w:tcBorders>
            <w:shd w:val="clear" w:color="auto" w:fill="auto"/>
            <w:noWrap/>
            <w:vAlign w:val="bottom"/>
            <w:hideMark/>
          </w:tcPr>
          <w:p w:rsidR="00A25E7A" w:rsidRDefault="00A25E7A">
            <w:pPr>
              <w:rPr>
                <w:rFonts w:ascii="SWISS" w:hAnsi="SWISS" w:cs="Arial"/>
                <w:b/>
                <w:bCs/>
                <w:sz w:val="20"/>
                <w:szCs w:val="20"/>
                <w:u w:val="single"/>
              </w:rPr>
            </w:pPr>
            <w:r>
              <w:rPr>
                <w:rFonts w:ascii="SWISS" w:hAnsi="SWISS" w:cs="Arial"/>
                <w:b/>
                <w:bCs/>
                <w:sz w:val="20"/>
                <w:szCs w:val="20"/>
                <w:u w:val="single"/>
              </w:rPr>
              <w:t>ACCUMULATED DEPRECIATION</w:t>
            </w:r>
          </w:p>
        </w:tc>
        <w:tc>
          <w:tcPr>
            <w:tcW w:w="1401" w:type="dxa"/>
            <w:tcBorders>
              <w:top w:val="nil"/>
              <w:left w:val="nil"/>
              <w:bottom w:val="nil"/>
              <w:right w:val="nil"/>
            </w:tcBorders>
            <w:shd w:val="clear" w:color="auto" w:fill="auto"/>
            <w:noWrap/>
            <w:vAlign w:val="bottom"/>
            <w:hideMark/>
          </w:tcPr>
          <w:p w:rsidR="00A25E7A" w:rsidRDefault="00A25E7A">
            <w:pPr>
              <w:rPr>
                <w:rFonts w:ascii="SWISS" w:hAnsi="SWISS" w:cs="Arial"/>
              </w:rPr>
            </w:pPr>
          </w:p>
        </w:tc>
        <w:tc>
          <w:tcPr>
            <w:tcW w:w="2604" w:type="dxa"/>
            <w:tcBorders>
              <w:top w:val="nil"/>
              <w:left w:val="nil"/>
              <w:bottom w:val="nil"/>
              <w:right w:val="single" w:sz="4" w:space="0" w:color="auto"/>
            </w:tcBorders>
            <w:shd w:val="clear" w:color="auto" w:fill="auto"/>
            <w:noWrap/>
            <w:vAlign w:val="bottom"/>
            <w:hideMark/>
          </w:tcPr>
          <w:p w:rsidR="00A25E7A" w:rsidRPr="00CC294A" w:rsidRDefault="00A25E7A">
            <w:pPr>
              <w:rPr>
                <w:rFonts w:ascii="SWISS" w:hAnsi="SWISS" w:cs="Arial"/>
                <w:sz w:val="20"/>
                <w:szCs w:val="20"/>
              </w:rPr>
            </w:pPr>
            <w:r w:rsidRPr="00CC294A">
              <w:rPr>
                <w:rFonts w:ascii="SWISS" w:hAnsi="SWISS" w:cs="Arial"/>
                <w:sz w:val="20"/>
                <w:szCs w:val="20"/>
              </w:rPr>
              <w:t> </w:t>
            </w:r>
          </w:p>
        </w:tc>
      </w:tr>
      <w:tr w:rsidR="00A25E7A" w:rsidTr="00435852">
        <w:trPr>
          <w:trHeight w:val="300"/>
        </w:trPr>
        <w:tc>
          <w:tcPr>
            <w:tcW w:w="508" w:type="dxa"/>
            <w:tcBorders>
              <w:top w:val="nil"/>
              <w:left w:val="single" w:sz="4" w:space="0" w:color="auto"/>
              <w:bottom w:val="nil"/>
              <w:right w:val="nil"/>
            </w:tcBorders>
            <w:shd w:val="clear" w:color="auto" w:fill="auto"/>
            <w:noWrap/>
            <w:vAlign w:val="bottom"/>
            <w:hideMark/>
          </w:tcPr>
          <w:p w:rsidR="00A25E7A" w:rsidRDefault="00A25E7A">
            <w:pPr>
              <w:jc w:val="right"/>
              <w:rPr>
                <w:rFonts w:ascii="SWISS" w:hAnsi="SWISS" w:cs="Arial"/>
                <w:color w:val="000000"/>
                <w:sz w:val="20"/>
                <w:szCs w:val="20"/>
              </w:rPr>
            </w:pPr>
            <w:r>
              <w:rPr>
                <w:rFonts w:ascii="SWISS" w:hAnsi="SWISS" w:cs="Arial"/>
                <w:color w:val="000000"/>
                <w:sz w:val="20"/>
                <w:szCs w:val="20"/>
              </w:rPr>
              <w:t> </w:t>
            </w:r>
          </w:p>
        </w:tc>
        <w:tc>
          <w:tcPr>
            <w:tcW w:w="4856" w:type="dxa"/>
            <w:tcBorders>
              <w:top w:val="nil"/>
              <w:left w:val="nil"/>
              <w:bottom w:val="nil"/>
              <w:right w:val="nil"/>
            </w:tcBorders>
            <w:shd w:val="clear" w:color="auto" w:fill="auto"/>
            <w:noWrap/>
            <w:vAlign w:val="bottom"/>
            <w:hideMark/>
          </w:tcPr>
          <w:p w:rsidR="00A25E7A" w:rsidRDefault="00DA5094">
            <w:pPr>
              <w:rPr>
                <w:rFonts w:ascii="SWISS" w:hAnsi="SWISS" w:cs="Arial"/>
                <w:sz w:val="20"/>
                <w:szCs w:val="20"/>
              </w:rPr>
            </w:pPr>
            <w:r>
              <w:rPr>
                <w:rFonts w:ascii="SWISS" w:hAnsi="SWISS" w:cs="Arial"/>
                <w:sz w:val="20"/>
                <w:szCs w:val="20"/>
              </w:rPr>
              <w:t xml:space="preserve">1. </w:t>
            </w:r>
            <w:r w:rsidR="00A25E7A">
              <w:rPr>
                <w:rFonts w:ascii="SWISS" w:hAnsi="SWISS" w:cs="Arial"/>
                <w:sz w:val="20"/>
                <w:szCs w:val="20"/>
              </w:rPr>
              <w:t>To reflect appropriate accumulated depreciation.</w:t>
            </w:r>
          </w:p>
        </w:tc>
        <w:tc>
          <w:tcPr>
            <w:tcW w:w="1401" w:type="dxa"/>
            <w:tcBorders>
              <w:top w:val="nil"/>
              <w:left w:val="nil"/>
              <w:bottom w:val="nil"/>
              <w:right w:val="nil"/>
            </w:tcBorders>
            <w:shd w:val="clear" w:color="auto" w:fill="auto"/>
            <w:noWrap/>
            <w:vAlign w:val="bottom"/>
            <w:hideMark/>
          </w:tcPr>
          <w:p w:rsidR="00A25E7A" w:rsidRDefault="00A25E7A">
            <w:pPr>
              <w:rPr>
                <w:rFonts w:ascii="SWISS" w:hAnsi="SWISS" w:cs="Arial"/>
              </w:rPr>
            </w:pPr>
          </w:p>
        </w:tc>
        <w:tc>
          <w:tcPr>
            <w:tcW w:w="2604" w:type="dxa"/>
            <w:tcBorders>
              <w:top w:val="nil"/>
              <w:left w:val="nil"/>
              <w:bottom w:val="nil"/>
              <w:right w:val="single" w:sz="4" w:space="0" w:color="auto"/>
            </w:tcBorders>
            <w:shd w:val="clear" w:color="auto" w:fill="auto"/>
            <w:noWrap/>
            <w:vAlign w:val="bottom"/>
            <w:hideMark/>
          </w:tcPr>
          <w:p w:rsidR="00A25E7A" w:rsidRPr="00CC294A" w:rsidRDefault="00A25E7A">
            <w:pPr>
              <w:jc w:val="right"/>
              <w:rPr>
                <w:rFonts w:ascii="SWISS" w:hAnsi="SWISS" w:cs="Arial"/>
                <w:sz w:val="20"/>
                <w:szCs w:val="20"/>
              </w:rPr>
            </w:pPr>
            <w:r w:rsidRPr="00CC294A">
              <w:rPr>
                <w:rFonts w:ascii="SWISS" w:hAnsi="SWISS" w:cs="Arial"/>
                <w:sz w:val="20"/>
                <w:szCs w:val="20"/>
              </w:rPr>
              <w:t xml:space="preserve">$266,912 </w:t>
            </w:r>
          </w:p>
        </w:tc>
      </w:tr>
      <w:tr w:rsidR="00A25E7A" w:rsidTr="00435852">
        <w:trPr>
          <w:trHeight w:val="300"/>
        </w:trPr>
        <w:tc>
          <w:tcPr>
            <w:tcW w:w="508" w:type="dxa"/>
            <w:tcBorders>
              <w:top w:val="nil"/>
              <w:left w:val="single" w:sz="4" w:space="0" w:color="auto"/>
              <w:bottom w:val="nil"/>
              <w:right w:val="nil"/>
            </w:tcBorders>
            <w:shd w:val="clear" w:color="auto" w:fill="auto"/>
            <w:noWrap/>
            <w:vAlign w:val="bottom"/>
            <w:hideMark/>
          </w:tcPr>
          <w:p w:rsidR="00A25E7A" w:rsidRDefault="00A25E7A">
            <w:pPr>
              <w:jc w:val="right"/>
              <w:rPr>
                <w:rFonts w:ascii="SWISS" w:hAnsi="SWISS" w:cs="Arial"/>
                <w:color w:val="000000"/>
                <w:sz w:val="20"/>
                <w:szCs w:val="20"/>
              </w:rPr>
            </w:pPr>
            <w:r>
              <w:rPr>
                <w:rFonts w:ascii="SWISS" w:hAnsi="SWISS" w:cs="Arial"/>
                <w:color w:val="000000"/>
                <w:sz w:val="20"/>
                <w:szCs w:val="20"/>
              </w:rPr>
              <w:t> </w:t>
            </w:r>
          </w:p>
        </w:tc>
        <w:tc>
          <w:tcPr>
            <w:tcW w:w="4856" w:type="dxa"/>
            <w:tcBorders>
              <w:top w:val="nil"/>
              <w:left w:val="nil"/>
              <w:bottom w:val="nil"/>
              <w:right w:val="nil"/>
            </w:tcBorders>
            <w:shd w:val="clear" w:color="auto" w:fill="auto"/>
            <w:noWrap/>
            <w:vAlign w:val="bottom"/>
            <w:hideMark/>
          </w:tcPr>
          <w:p w:rsidR="00A25E7A" w:rsidRDefault="00DA5094">
            <w:pPr>
              <w:rPr>
                <w:rFonts w:ascii="SWISS" w:hAnsi="SWISS" w:cs="Arial"/>
                <w:color w:val="000000"/>
                <w:sz w:val="20"/>
                <w:szCs w:val="20"/>
              </w:rPr>
            </w:pPr>
            <w:r>
              <w:rPr>
                <w:rFonts w:ascii="SWISS" w:hAnsi="SWISS" w:cs="Arial"/>
                <w:color w:val="000000"/>
                <w:sz w:val="20"/>
                <w:szCs w:val="20"/>
              </w:rPr>
              <w:t xml:space="preserve">2. </w:t>
            </w:r>
            <w:r w:rsidR="00A25E7A">
              <w:rPr>
                <w:rFonts w:ascii="SWISS" w:hAnsi="SWISS" w:cs="Arial"/>
                <w:color w:val="000000"/>
                <w:sz w:val="20"/>
                <w:szCs w:val="20"/>
              </w:rPr>
              <w:t>To reflect an average adjustment.</w:t>
            </w:r>
          </w:p>
        </w:tc>
        <w:tc>
          <w:tcPr>
            <w:tcW w:w="1401" w:type="dxa"/>
            <w:tcBorders>
              <w:top w:val="nil"/>
              <w:left w:val="nil"/>
              <w:bottom w:val="nil"/>
              <w:right w:val="nil"/>
            </w:tcBorders>
            <w:shd w:val="clear" w:color="auto" w:fill="auto"/>
            <w:noWrap/>
            <w:vAlign w:val="bottom"/>
            <w:hideMark/>
          </w:tcPr>
          <w:p w:rsidR="00A25E7A" w:rsidRDefault="00A25E7A">
            <w:pPr>
              <w:rPr>
                <w:rFonts w:ascii="SWISS" w:hAnsi="SWISS" w:cs="Arial"/>
              </w:rPr>
            </w:pPr>
          </w:p>
        </w:tc>
        <w:tc>
          <w:tcPr>
            <w:tcW w:w="2604" w:type="dxa"/>
            <w:tcBorders>
              <w:top w:val="nil"/>
              <w:left w:val="nil"/>
              <w:bottom w:val="nil"/>
              <w:right w:val="single" w:sz="4" w:space="0" w:color="auto"/>
            </w:tcBorders>
            <w:shd w:val="clear" w:color="auto" w:fill="auto"/>
            <w:noWrap/>
            <w:vAlign w:val="bottom"/>
            <w:hideMark/>
          </w:tcPr>
          <w:p w:rsidR="00A25E7A" w:rsidRPr="00CC294A" w:rsidRDefault="00A25E7A">
            <w:pPr>
              <w:jc w:val="right"/>
              <w:rPr>
                <w:rFonts w:ascii="SWISS" w:hAnsi="SWISS" w:cs="Arial"/>
                <w:sz w:val="20"/>
                <w:szCs w:val="20"/>
                <w:u w:val="single"/>
              </w:rPr>
            </w:pPr>
            <w:r w:rsidRPr="00CC294A">
              <w:rPr>
                <w:rFonts w:ascii="SWISS" w:hAnsi="SWISS" w:cs="Arial"/>
                <w:sz w:val="20"/>
                <w:szCs w:val="20"/>
                <w:u w:val="single"/>
              </w:rPr>
              <w:t xml:space="preserve">1,327 </w:t>
            </w:r>
          </w:p>
        </w:tc>
      </w:tr>
      <w:tr w:rsidR="00A25E7A" w:rsidTr="00435852">
        <w:trPr>
          <w:trHeight w:val="300"/>
        </w:trPr>
        <w:tc>
          <w:tcPr>
            <w:tcW w:w="508" w:type="dxa"/>
            <w:tcBorders>
              <w:top w:val="nil"/>
              <w:left w:val="single" w:sz="4" w:space="0" w:color="auto"/>
              <w:bottom w:val="nil"/>
              <w:right w:val="nil"/>
            </w:tcBorders>
            <w:shd w:val="clear" w:color="auto" w:fill="auto"/>
            <w:noWrap/>
            <w:vAlign w:val="bottom"/>
            <w:hideMark/>
          </w:tcPr>
          <w:p w:rsidR="00A25E7A" w:rsidRDefault="00A25E7A">
            <w:pPr>
              <w:jc w:val="right"/>
              <w:rPr>
                <w:rFonts w:ascii="SWISS" w:hAnsi="SWISS" w:cs="Arial"/>
                <w:color w:val="000000"/>
                <w:sz w:val="20"/>
                <w:szCs w:val="20"/>
              </w:rPr>
            </w:pPr>
            <w:r>
              <w:rPr>
                <w:rFonts w:ascii="SWISS" w:hAnsi="SWISS" w:cs="Arial"/>
                <w:color w:val="000000"/>
                <w:sz w:val="20"/>
                <w:szCs w:val="20"/>
              </w:rPr>
              <w:t> </w:t>
            </w:r>
          </w:p>
        </w:tc>
        <w:tc>
          <w:tcPr>
            <w:tcW w:w="4856" w:type="dxa"/>
            <w:tcBorders>
              <w:top w:val="nil"/>
              <w:left w:val="nil"/>
              <w:bottom w:val="nil"/>
              <w:right w:val="nil"/>
            </w:tcBorders>
            <w:shd w:val="clear" w:color="auto" w:fill="auto"/>
            <w:noWrap/>
            <w:vAlign w:val="bottom"/>
            <w:hideMark/>
          </w:tcPr>
          <w:p w:rsidR="00A25E7A" w:rsidRDefault="00A25E7A">
            <w:pPr>
              <w:rPr>
                <w:rFonts w:ascii="SWISS" w:hAnsi="SWISS" w:cs="Arial"/>
                <w:color w:val="000000"/>
                <w:sz w:val="20"/>
                <w:szCs w:val="20"/>
              </w:rPr>
            </w:pPr>
            <w:r>
              <w:rPr>
                <w:rFonts w:ascii="SWISS" w:hAnsi="SWISS" w:cs="Arial"/>
                <w:color w:val="000000"/>
                <w:sz w:val="20"/>
                <w:szCs w:val="20"/>
              </w:rPr>
              <w:t xml:space="preserve">     Total</w:t>
            </w:r>
          </w:p>
        </w:tc>
        <w:tc>
          <w:tcPr>
            <w:tcW w:w="1401" w:type="dxa"/>
            <w:tcBorders>
              <w:top w:val="nil"/>
              <w:left w:val="nil"/>
              <w:bottom w:val="nil"/>
              <w:right w:val="nil"/>
            </w:tcBorders>
            <w:shd w:val="clear" w:color="auto" w:fill="auto"/>
            <w:noWrap/>
            <w:vAlign w:val="bottom"/>
            <w:hideMark/>
          </w:tcPr>
          <w:p w:rsidR="00A25E7A" w:rsidRDefault="00A25E7A">
            <w:pPr>
              <w:rPr>
                <w:rFonts w:ascii="SWISS" w:hAnsi="SWISS" w:cs="Arial"/>
              </w:rPr>
            </w:pPr>
          </w:p>
        </w:tc>
        <w:tc>
          <w:tcPr>
            <w:tcW w:w="2604" w:type="dxa"/>
            <w:tcBorders>
              <w:top w:val="nil"/>
              <w:left w:val="nil"/>
              <w:bottom w:val="nil"/>
              <w:right w:val="single" w:sz="4" w:space="0" w:color="auto"/>
            </w:tcBorders>
            <w:shd w:val="clear" w:color="auto" w:fill="auto"/>
            <w:noWrap/>
            <w:vAlign w:val="bottom"/>
            <w:hideMark/>
          </w:tcPr>
          <w:p w:rsidR="00A25E7A" w:rsidRPr="00CC294A" w:rsidRDefault="00A25E7A">
            <w:pPr>
              <w:jc w:val="right"/>
              <w:rPr>
                <w:rFonts w:ascii="SWISS" w:hAnsi="SWISS" w:cs="Arial"/>
                <w:sz w:val="20"/>
                <w:szCs w:val="20"/>
                <w:u w:val="double"/>
              </w:rPr>
            </w:pPr>
            <w:r w:rsidRPr="00CC294A">
              <w:rPr>
                <w:rFonts w:ascii="SWISS" w:hAnsi="SWISS" w:cs="Arial"/>
                <w:sz w:val="20"/>
                <w:szCs w:val="20"/>
                <w:u w:val="double"/>
              </w:rPr>
              <w:t xml:space="preserve">$268,239 </w:t>
            </w:r>
          </w:p>
        </w:tc>
      </w:tr>
      <w:tr w:rsidR="00A25E7A" w:rsidTr="00435852">
        <w:trPr>
          <w:trHeight w:val="300"/>
        </w:trPr>
        <w:tc>
          <w:tcPr>
            <w:tcW w:w="508" w:type="dxa"/>
            <w:tcBorders>
              <w:top w:val="nil"/>
              <w:left w:val="single" w:sz="4" w:space="0" w:color="auto"/>
              <w:bottom w:val="nil"/>
              <w:right w:val="nil"/>
            </w:tcBorders>
            <w:shd w:val="clear" w:color="auto" w:fill="auto"/>
            <w:noWrap/>
            <w:vAlign w:val="bottom"/>
            <w:hideMark/>
          </w:tcPr>
          <w:p w:rsidR="00A25E7A" w:rsidRDefault="00A25E7A">
            <w:pPr>
              <w:jc w:val="right"/>
              <w:rPr>
                <w:rFonts w:ascii="SWISS" w:hAnsi="SWISS" w:cs="Arial"/>
                <w:sz w:val="20"/>
                <w:szCs w:val="20"/>
              </w:rPr>
            </w:pPr>
            <w:r>
              <w:rPr>
                <w:rFonts w:ascii="SWISS" w:hAnsi="SWISS" w:cs="Arial"/>
                <w:sz w:val="20"/>
                <w:szCs w:val="20"/>
              </w:rPr>
              <w:t> </w:t>
            </w:r>
          </w:p>
        </w:tc>
        <w:tc>
          <w:tcPr>
            <w:tcW w:w="4856" w:type="dxa"/>
            <w:tcBorders>
              <w:top w:val="nil"/>
              <w:left w:val="nil"/>
              <w:bottom w:val="nil"/>
              <w:right w:val="nil"/>
            </w:tcBorders>
            <w:shd w:val="clear" w:color="auto" w:fill="auto"/>
            <w:noWrap/>
            <w:vAlign w:val="bottom"/>
            <w:hideMark/>
          </w:tcPr>
          <w:p w:rsidR="00A25E7A" w:rsidRDefault="00A25E7A">
            <w:pPr>
              <w:rPr>
                <w:rFonts w:ascii="SWISS" w:hAnsi="SWISS" w:cs="Arial"/>
                <w:sz w:val="20"/>
                <w:szCs w:val="20"/>
              </w:rPr>
            </w:pPr>
          </w:p>
        </w:tc>
        <w:tc>
          <w:tcPr>
            <w:tcW w:w="1401" w:type="dxa"/>
            <w:tcBorders>
              <w:top w:val="nil"/>
              <w:left w:val="nil"/>
              <w:bottom w:val="nil"/>
              <w:right w:val="nil"/>
            </w:tcBorders>
            <w:shd w:val="clear" w:color="auto" w:fill="auto"/>
            <w:noWrap/>
            <w:vAlign w:val="bottom"/>
            <w:hideMark/>
          </w:tcPr>
          <w:p w:rsidR="00A25E7A" w:rsidRDefault="00A25E7A">
            <w:pPr>
              <w:rPr>
                <w:rFonts w:ascii="SWISS" w:hAnsi="SWISS" w:cs="Arial"/>
              </w:rPr>
            </w:pPr>
          </w:p>
        </w:tc>
        <w:tc>
          <w:tcPr>
            <w:tcW w:w="2604" w:type="dxa"/>
            <w:tcBorders>
              <w:top w:val="nil"/>
              <w:left w:val="nil"/>
              <w:bottom w:val="nil"/>
              <w:right w:val="single" w:sz="4" w:space="0" w:color="auto"/>
            </w:tcBorders>
            <w:shd w:val="clear" w:color="auto" w:fill="auto"/>
            <w:noWrap/>
            <w:vAlign w:val="bottom"/>
            <w:hideMark/>
          </w:tcPr>
          <w:p w:rsidR="00A25E7A" w:rsidRPr="00CC294A" w:rsidRDefault="00A25E7A">
            <w:pPr>
              <w:jc w:val="right"/>
              <w:rPr>
                <w:rFonts w:ascii="SWISS" w:hAnsi="SWISS" w:cs="Arial"/>
                <w:sz w:val="20"/>
                <w:szCs w:val="20"/>
                <w:u w:val="double"/>
              </w:rPr>
            </w:pPr>
          </w:p>
        </w:tc>
      </w:tr>
      <w:tr w:rsidR="00A25E7A" w:rsidTr="00435852">
        <w:trPr>
          <w:trHeight w:val="300"/>
        </w:trPr>
        <w:tc>
          <w:tcPr>
            <w:tcW w:w="508" w:type="dxa"/>
            <w:tcBorders>
              <w:top w:val="nil"/>
              <w:left w:val="single" w:sz="4" w:space="0" w:color="auto"/>
              <w:bottom w:val="nil"/>
              <w:right w:val="nil"/>
            </w:tcBorders>
            <w:shd w:val="clear" w:color="auto" w:fill="auto"/>
            <w:noWrap/>
            <w:vAlign w:val="bottom"/>
            <w:hideMark/>
          </w:tcPr>
          <w:p w:rsidR="00A25E7A" w:rsidRDefault="00A25E7A">
            <w:pPr>
              <w:jc w:val="right"/>
              <w:rPr>
                <w:rFonts w:ascii="SWISS" w:hAnsi="SWISS" w:cs="Arial"/>
                <w:sz w:val="20"/>
                <w:szCs w:val="20"/>
              </w:rPr>
            </w:pPr>
            <w:r>
              <w:rPr>
                <w:rFonts w:ascii="SWISS" w:hAnsi="SWISS" w:cs="Arial"/>
                <w:sz w:val="20"/>
                <w:szCs w:val="20"/>
              </w:rPr>
              <w:t> </w:t>
            </w:r>
          </w:p>
        </w:tc>
        <w:tc>
          <w:tcPr>
            <w:tcW w:w="4856" w:type="dxa"/>
            <w:tcBorders>
              <w:top w:val="nil"/>
              <w:left w:val="nil"/>
              <w:bottom w:val="nil"/>
              <w:right w:val="nil"/>
            </w:tcBorders>
            <w:shd w:val="clear" w:color="auto" w:fill="auto"/>
            <w:noWrap/>
            <w:vAlign w:val="bottom"/>
            <w:hideMark/>
          </w:tcPr>
          <w:p w:rsidR="00A25E7A" w:rsidRDefault="00A25E7A">
            <w:pPr>
              <w:rPr>
                <w:rFonts w:ascii="SWISS" w:hAnsi="SWISS" w:cs="Arial"/>
                <w:b/>
                <w:bCs/>
                <w:sz w:val="20"/>
                <w:szCs w:val="20"/>
                <w:u w:val="single"/>
              </w:rPr>
            </w:pPr>
            <w:r>
              <w:rPr>
                <w:rFonts w:ascii="SWISS" w:hAnsi="SWISS" w:cs="Arial"/>
                <w:b/>
                <w:bCs/>
                <w:sz w:val="20"/>
                <w:szCs w:val="20"/>
                <w:u w:val="single"/>
              </w:rPr>
              <w:t>WORKING CAPITAL ALLOWANCE</w:t>
            </w:r>
          </w:p>
        </w:tc>
        <w:tc>
          <w:tcPr>
            <w:tcW w:w="1401" w:type="dxa"/>
            <w:tcBorders>
              <w:top w:val="nil"/>
              <w:left w:val="nil"/>
              <w:bottom w:val="nil"/>
              <w:right w:val="nil"/>
            </w:tcBorders>
            <w:shd w:val="clear" w:color="auto" w:fill="auto"/>
            <w:noWrap/>
            <w:vAlign w:val="bottom"/>
            <w:hideMark/>
          </w:tcPr>
          <w:p w:rsidR="00A25E7A" w:rsidRDefault="00A25E7A">
            <w:pPr>
              <w:rPr>
                <w:rFonts w:ascii="SWISS" w:hAnsi="SWISS" w:cs="Arial"/>
              </w:rPr>
            </w:pPr>
          </w:p>
        </w:tc>
        <w:tc>
          <w:tcPr>
            <w:tcW w:w="2604" w:type="dxa"/>
            <w:tcBorders>
              <w:top w:val="nil"/>
              <w:left w:val="nil"/>
              <w:bottom w:val="nil"/>
              <w:right w:val="single" w:sz="4" w:space="0" w:color="auto"/>
            </w:tcBorders>
            <w:shd w:val="clear" w:color="auto" w:fill="auto"/>
            <w:noWrap/>
            <w:vAlign w:val="bottom"/>
            <w:hideMark/>
          </w:tcPr>
          <w:p w:rsidR="00A25E7A" w:rsidRPr="00CC294A" w:rsidRDefault="00A25E7A">
            <w:pPr>
              <w:jc w:val="right"/>
              <w:rPr>
                <w:rFonts w:ascii="SWISS" w:hAnsi="SWISS" w:cs="Arial"/>
                <w:sz w:val="20"/>
                <w:szCs w:val="20"/>
              </w:rPr>
            </w:pPr>
            <w:r w:rsidRPr="00CC294A">
              <w:rPr>
                <w:rFonts w:ascii="SWISS" w:hAnsi="SWISS" w:cs="Arial"/>
                <w:sz w:val="20"/>
                <w:szCs w:val="20"/>
              </w:rPr>
              <w:t> </w:t>
            </w:r>
          </w:p>
        </w:tc>
      </w:tr>
      <w:tr w:rsidR="00A25E7A" w:rsidTr="00435852">
        <w:trPr>
          <w:trHeight w:val="300"/>
        </w:trPr>
        <w:tc>
          <w:tcPr>
            <w:tcW w:w="508" w:type="dxa"/>
            <w:tcBorders>
              <w:top w:val="nil"/>
              <w:left w:val="single" w:sz="4" w:space="0" w:color="auto"/>
              <w:bottom w:val="nil"/>
              <w:right w:val="nil"/>
            </w:tcBorders>
            <w:shd w:val="clear" w:color="auto" w:fill="auto"/>
            <w:noWrap/>
            <w:vAlign w:val="bottom"/>
            <w:hideMark/>
          </w:tcPr>
          <w:p w:rsidR="00A25E7A" w:rsidRDefault="00A25E7A">
            <w:pPr>
              <w:jc w:val="right"/>
              <w:rPr>
                <w:rFonts w:ascii="SWISS" w:hAnsi="SWISS" w:cs="Arial"/>
                <w:color w:val="000000"/>
                <w:sz w:val="20"/>
                <w:szCs w:val="20"/>
              </w:rPr>
            </w:pPr>
            <w:r>
              <w:rPr>
                <w:rFonts w:ascii="SWISS" w:hAnsi="SWISS" w:cs="Arial"/>
                <w:color w:val="000000"/>
                <w:sz w:val="20"/>
                <w:szCs w:val="20"/>
              </w:rPr>
              <w:t> </w:t>
            </w:r>
          </w:p>
        </w:tc>
        <w:tc>
          <w:tcPr>
            <w:tcW w:w="4856" w:type="dxa"/>
            <w:tcBorders>
              <w:top w:val="nil"/>
              <w:left w:val="nil"/>
              <w:bottom w:val="nil"/>
              <w:right w:val="nil"/>
            </w:tcBorders>
            <w:shd w:val="clear" w:color="auto" w:fill="auto"/>
            <w:noWrap/>
            <w:vAlign w:val="bottom"/>
            <w:hideMark/>
          </w:tcPr>
          <w:p w:rsidR="00A25E7A" w:rsidRDefault="00A25E7A">
            <w:pPr>
              <w:rPr>
                <w:rFonts w:ascii="SWISS" w:hAnsi="SWISS" w:cs="Arial"/>
                <w:sz w:val="20"/>
                <w:szCs w:val="20"/>
              </w:rPr>
            </w:pPr>
            <w:r>
              <w:rPr>
                <w:rFonts w:ascii="SWISS" w:hAnsi="SWISS" w:cs="Arial"/>
                <w:sz w:val="20"/>
                <w:szCs w:val="20"/>
              </w:rPr>
              <w:t>To reflect 1/8 of test year O &amp; M expenses.</w:t>
            </w:r>
          </w:p>
        </w:tc>
        <w:tc>
          <w:tcPr>
            <w:tcW w:w="1401" w:type="dxa"/>
            <w:tcBorders>
              <w:top w:val="nil"/>
              <w:left w:val="nil"/>
              <w:bottom w:val="nil"/>
              <w:right w:val="nil"/>
            </w:tcBorders>
            <w:shd w:val="clear" w:color="auto" w:fill="auto"/>
            <w:noWrap/>
            <w:vAlign w:val="bottom"/>
            <w:hideMark/>
          </w:tcPr>
          <w:p w:rsidR="00A25E7A" w:rsidRDefault="00A25E7A">
            <w:pPr>
              <w:rPr>
                <w:rFonts w:ascii="SWISS" w:hAnsi="SWISS" w:cs="Arial"/>
              </w:rPr>
            </w:pPr>
          </w:p>
        </w:tc>
        <w:tc>
          <w:tcPr>
            <w:tcW w:w="2604" w:type="dxa"/>
            <w:tcBorders>
              <w:top w:val="nil"/>
              <w:left w:val="nil"/>
              <w:bottom w:val="nil"/>
              <w:right w:val="single" w:sz="4" w:space="0" w:color="auto"/>
            </w:tcBorders>
            <w:shd w:val="clear" w:color="auto" w:fill="auto"/>
            <w:noWrap/>
            <w:vAlign w:val="bottom"/>
            <w:hideMark/>
          </w:tcPr>
          <w:p w:rsidR="00A25E7A" w:rsidRPr="00CC294A" w:rsidRDefault="00A25E7A">
            <w:pPr>
              <w:jc w:val="right"/>
              <w:rPr>
                <w:rFonts w:ascii="SWISS" w:hAnsi="SWISS" w:cs="Arial"/>
                <w:sz w:val="20"/>
                <w:szCs w:val="20"/>
                <w:u w:val="double"/>
              </w:rPr>
            </w:pPr>
            <w:r w:rsidRPr="00CC294A">
              <w:rPr>
                <w:rFonts w:ascii="SWISS" w:hAnsi="SWISS" w:cs="Arial"/>
                <w:sz w:val="20"/>
                <w:szCs w:val="20"/>
                <w:u w:val="double"/>
              </w:rPr>
              <w:t xml:space="preserve">$11,775 </w:t>
            </w:r>
          </w:p>
        </w:tc>
      </w:tr>
      <w:tr w:rsidR="00A25E7A" w:rsidTr="00435852">
        <w:trPr>
          <w:trHeight w:val="300"/>
        </w:trPr>
        <w:tc>
          <w:tcPr>
            <w:tcW w:w="508" w:type="dxa"/>
            <w:tcBorders>
              <w:top w:val="nil"/>
              <w:left w:val="single" w:sz="4" w:space="0" w:color="auto"/>
              <w:bottom w:val="single" w:sz="4" w:space="0" w:color="auto"/>
              <w:right w:val="nil"/>
            </w:tcBorders>
            <w:shd w:val="clear" w:color="auto" w:fill="auto"/>
            <w:noWrap/>
            <w:vAlign w:val="bottom"/>
            <w:hideMark/>
          </w:tcPr>
          <w:p w:rsidR="00A25E7A" w:rsidRDefault="00A25E7A">
            <w:pPr>
              <w:rPr>
                <w:rFonts w:ascii="SWISS" w:hAnsi="SWISS" w:cs="Arial"/>
              </w:rPr>
            </w:pPr>
            <w:r>
              <w:rPr>
                <w:rFonts w:ascii="SWISS" w:hAnsi="SWISS" w:cs="Arial"/>
              </w:rPr>
              <w:t> </w:t>
            </w:r>
          </w:p>
        </w:tc>
        <w:tc>
          <w:tcPr>
            <w:tcW w:w="4856" w:type="dxa"/>
            <w:tcBorders>
              <w:top w:val="nil"/>
              <w:left w:val="nil"/>
              <w:bottom w:val="single" w:sz="4" w:space="0" w:color="auto"/>
              <w:right w:val="nil"/>
            </w:tcBorders>
            <w:shd w:val="clear" w:color="auto" w:fill="auto"/>
            <w:noWrap/>
            <w:vAlign w:val="bottom"/>
            <w:hideMark/>
          </w:tcPr>
          <w:p w:rsidR="00A25E7A" w:rsidRDefault="00A25E7A">
            <w:pPr>
              <w:rPr>
                <w:rFonts w:ascii="SWISS" w:hAnsi="SWISS" w:cs="Arial"/>
              </w:rPr>
            </w:pPr>
            <w:r>
              <w:rPr>
                <w:rFonts w:ascii="SWISS" w:hAnsi="SWISS" w:cs="Arial"/>
              </w:rPr>
              <w:t> </w:t>
            </w:r>
          </w:p>
        </w:tc>
        <w:tc>
          <w:tcPr>
            <w:tcW w:w="1401" w:type="dxa"/>
            <w:tcBorders>
              <w:top w:val="nil"/>
              <w:left w:val="nil"/>
              <w:bottom w:val="single" w:sz="4" w:space="0" w:color="auto"/>
              <w:right w:val="nil"/>
            </w:tcBorders>
            <w:shd w:val="clear" w:color="auto" w:fill="auto"/>
            <w:noWrap/>
            <w:vAlign w:val="bottom"/>
            <w:hideMark/>
          </w:tcPr>
          <w:p w:rsidR="00A25E7A" w:rsidRDefault="00A25E7A">
            <w:pPr>
              <w:rPr>
                <w:rFonts w:ascii="SWISS" w:hAnsi="SWISS" w:cs="Arial"/>
              </w:rPr>
            </w:pPr>
            <w:r>
              <w:rPr>
                <w:rFonts w:ascii="SWISS" w:hAnsi="SWISS" w:cs="Arial"/>
              </w:rPr>
              <w:t> </w:t>
            </w:r>
          </w:p>
        </w:tc>
        <w:tc>
          <w:tcPr>
            <w:tcW w:w="2604" w:type="dxa"/>
            <w:tcBorders>
              <w:top w:val="nil"/>
              <w:left w:val="nil"/>
              <w:bottom w:val="single" w:sz="4" w:space="0" w:color="auto"/>
              <w:right w:val="single" w:sz="4" w:space="0" w:color="auto"/>
            </w:tcBorders>
            <w:shd w:val="clear" w:color="auto" w:fill="auto"/>
            <w:noWrap/>
            <w:vAlign w:val="bottom"/>
            <w:hideMark/>
          </w:tcPr>
          <w:p w:rsidR="00A25E7A" w:rsidRPr="00CC294A" w:rsidRDefault="00A25E7A">
            <w:pPr>
              <w:rPr>
                <w:rFonts w:ascii="SWISS" w:hAnsi="SWISS" w:cs="Arial"/>
              </w:rPr>
            </w:pPr>
            <w:r w:rsidRPr="00CC294A">
              <w:rPr>
                <w:rFonts w:ascii="SWISS" w:hAnsi="SWISS" w:cs="Arial"/>
              </w:rPr>
              <w:t> </w:t>
            </w:r>
          </w:p>
        </w:tc>
      </w:tr>
    </w:tbl>
    <w:p w:rsidR="00A25E7A" w:rsidRDefault="00A25E7A" w:rsidP="00E275D8">
      <w:pPr>
        <w:pStyle w:val="BodyText"/>
      </w:pPr>
    </w:p>
    <w:p w:rsidR="00F72ED0" w:rsidRDefault="00F72ED0" w:rsidP="00212B92">
      <w:pPr>
        <w:pStyle w:val="BodyText"/>
        <w:sectPr w:rsidR="00F72ED0" w:rsidSect="006E072A">
          <w:headerReference w:type="default" r:id="rId18"/>
          <w:pgSz w:w="12240" w:h="15840" w:code="1"/>
          <w:pgMar w:top="1584" w:right="1440" w:bottom="1440" w:left="1440" w:header="720" w:footer="720" w:gutter="0"/>
          <w:cols w:space="720"/>
          <w:formProt w:val="0"/>
          <w:docGrid w:linePitch="360"/>
        </w:sectPr>
      </w:pPr>
    </w:p>
    <w:p w:rsidR="00212B92" w:rsidRDefault="00212B92" w:rsidP="00212B92">
      <w:pPr>
        <w:pStyle w:val="BodyText"/>
      </w:pPr>
      <w:r w:rsidRPr="000D060F">
        <w:lastRenderedPageBreak/>
        <w:fldChar w:fldCharType="begin"/>
      </w:r>
      <w:r w:rsidRPr="000D060F">
        <w:instrText xml:space="preserve"> TC "</w:instrText>
      </w:r>
      <w:bookmarkStart w:id="40" w:name="_Toc431459593"/>
      <w:r w:rsidRPr="000D060F">
        <w:tab/>
      </w:r>
      <w:r>
        <w:instrText>Schedule 2</w:instrText>
      </w:r>
      <w:bookmarkEnd w:id="40"/>
      <w:r w:rsidRPr="000D060F">
        <w:instrText xml:space="preserve">" \l 1 </w:instrText>
      </w:r>
      <w:r w:rsidRPr="000D060F">
        <w:fldChar w:fldCharType="end"/>
      </w:r>
    </w:p>
    <w:p w:rsidR="00212B92" w:rsidRDefault="006E1DF2" w:rsidP="00212B92">
      <w:pPr>
        <w:pStyle w:val="BodyText"/>
        <w:jc w:val="center"/>
      </w:pPr>
      <w:r w:rsidRPr="006E1DF2">
        <w:rPr>
          <w:noProof/>
        </w:rPr>
        <w:drawing>
          <wp:inline distT="0" distB="0" distL="0" distR="0" wp14:anchorId="4D2C1210" wp14:editId="2EBDD318">
            <wp:extent cx="8138160" cy="435600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38160" cy="4356002"/>
                    </a:xfrm>
                    <a:prstGeom prst="rect">
                      <a:avLst/>
                    </a:prstGeom>
                    <a:noFill/>
                    <a:ln>
                      <a:noFill/>
                    </a:ln>
                  </pic:spPr>
                </pic:pic>
              </a:graphicData>
            </a:graphic>
          </wp:inline>
        </w:drawing>
      </w:r>
    </w:p>
    <w:p w:rsidR="006E072A" w:rsidRDefault="006E072A" w:rsidP="00212B92">
      <w:pPr>
        <w:sectPr w:rsidR="006E072A" w:rsidSect="006E072A">
          <w:headerReference w:type="default" r:id="rId20"/>
          <w:pgSz w:w="15840" w:h="12240" w:orient="landscape" w:code="1"/>
          <w:pgMar w:top="1440" w:right="1584" w:bottom="1440" w:left="1440" w:header="720" w:footer="720" w:gutter="0"/>
          <w:cols w:space="720"/>
          <w:formProt w:val="0"/>
          <w:docGrid w:linePitch="360"/>
        </w:sectPr>
      </w:pPr>
    </w:p>
    <w:p w:rsidR="00212B92" w:rsidRDefault="00212B92" w:rsidP="00212B92">
      <w:pPr>
        <w:pStyle w:val="BodyText"/>
      </w:pPr>
      <w:r w:rsidRPr="000D060F">
        <w:lastRenderedPageBreak/>
        <w:fldChar w:fldCharType="begin"/>
      </w:r>
      <w:r w:rsidRPr="000D060F">
        <w:instrText xml:space="preserve"> TC "</w:instrText>
      </w:r>
      <w:bookmarkStart w:id="41" w:name="_Toc431459594"/>
      <w:r w:rsidRPr="000D060F">
        <w:tab/>
      </w:r>
      <w:r>
        <w:instrText>Schedule 3</w:instrText>
      </w:r>
      <w:r w:rsidR="00061369">
        <w:instrText>-A</w:instrText>
      </w:r>
      <w:bookmarkEnd w:id="41"/>
      <w:r w:rsidRPr="000D060F">
        <w:instrText xml:space="preserve">" \l 1 </w:instrText>
      </w:r>
      <w:r w:rsidRPr="000D060F">
        <w:fldChar w:fldCharType="end"/>
      </w:r>
    </w:p>
    <w:tbl>
      <w:tblPr>
        <w:tblW w:w="5000" w:type="pct"/>
        <w:tblLook w:val="04A0" w:firstRow="1" w:lastRow="0" w:firstColumn="1" w:lastColumn="0" w:noHBand="0" w:noVBand="1"/>
      </w:tblPr>
      <w:tblGrid>
        <w:gridCol w:w="500"/>
        <w:gridCol w:w="3772"/>
        <w:gridCol w:w="1452"/>
        <w:gridCol w:w="1452"/>
        <w:gridCol w:w="1452"/>
        <w:gridCol w:w="1452"/>
        <w:gridCol w:w="2594"/>
        <w:gridCol w:w="358"/>
      </w:tblGrid>
      <w:tr w:rsidR="00061369" w:rsidTr="00061369">
        <w:trPr>
          <w:trHeight w:val="300"/>
        </w:trPr>
        <w:tc>
          <w:tcPr>
            <w:tcW w:w="201" w:type="pct"/>
            <w:tcBorders>
              <w:top w:val="single" w:sz="4" w:space="0" w:color="auto"/>
              <w:left w:val="single" w:sz="4" w:space="0" w:color="auto"/>
              <w:bottom w:val="nil"/>
              <w:right w:val="nil"/>
            </w:tcBorders>
            <w:shd w:val="clear" w:color="auto" w:fill="auto"/>
            <w:noWrap/>
            <w:vAlign w:val="bottom"/>
            <w:hideMark/>
          </w:tcPr>
          <w:p w:rsidR="00061369" w:rsidRDefault="00061369">
            <w:pPr>
              <w:rPr>
                <w:rFonts w:ascii="SWISS" w:hAnsi="SWISS" w:cs="Arial"/>
                <w:color w:val="000000"/>
                <w:sz w:val="20"/>
                <w:szCs w:val="20"/>
              </w:rPr>
            </w:pPr>
            <w:bookmarkStart w:id="42" w:name="RANGE!A1:H30"/>
            <w:r>
              <w:rPr>
                <w:rFonts w:ascii="SWISS" w:hAnsi="SWISS" w:cs="Arial"/>
                <w:color w:val="000000"/>
                <w:sz w:val="20"/>
                <w:szCs w:val="20"/>
              </w:rPr>
              <w:t> </w:t>
            </w:r>
            <w:bookmarkEnd w:id="42"/>
          </w:p>
        </w:tc>
        <w:tc>
          <w:tcPr>
            <w:tcW w:w="1456" w:type="pct"/>
            <w:tcBorders>
              <w:top w:val="single" w:sz="4" w:space="0" w:color="auto"/>
              <w:left w:val="nil"/>
              <w:bottom w:val="nil"/>
              <w:right w:val="nil"/>
            </w:tcBorders>
            <w:shd w:val="clear" w:color="auto" w:fill="auto"/>
            <w:noWrap/>
            <w:vAlign w:val="bottom"/>
            <w:hideMark/>
          </w:tcPr>
          <w:p w:rsidR="00061369" w:rsidRDefault="00061369">
            <w:pPr>
              <w:rPr>
                <w:rFonts w:ascii="SWISS" w:hAnsi="SWISS" w:cs="Arial"/>
                <w:b/>
                <w:bCs/>
                <w:color w:val="000000"/>
                <w:sz w:val="20"/>
                <w:szCs w:val="20"/>
              </w:rPr>
            </w:pPr>
            <w:r>
              <w:rPr>
                <w:rFonts w:ascii="SWISS" w:hAnsi="SWISS" w:cs="Arial"/>
                <w:b/>
                <w:bCs/>
                <w:color w:val="000000"/>
                <w:sz w:val="20"/>
                <w:szCs w:val="20"/>
              </w:rPr>
              <w:t>CEDAR ACRES, INC.</w:t>
            </w:r>
          </w:p>
        </w:tc>
        <w:tc>
          <w:tcPr>
            <w:tcW w:w="566" w:type="pct"/>
            <w:tcBorders>
              <w:top w:val="single" w:sz="4" w:space="0" w:color="auto"/>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single" w:sz="4" w:space="0" w:color="auto"/>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single" w:sz="4" w:space="0" w:color="auto"/>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single" w:sz="4" w:space="0" w:color="auto"/>
              <w:left w:val="nil"/>
              <w:bottom w:val="nil"/>
              <w:right w:val="nil"/>
            </w:tcBorders>
            <w:shd w:val="clear" w:color="auto" w:fill="auto"/>
            <w:noWrap/>
            <w:vAlign w:val="bottom"/>
            <w:hideMark/>
          </w:tcPr>
          <w:p w:rsidR="00061369" w:rsidRDefault="00061369">
            <w:pPr>
              <w:rPr>
                <w:rFonts w:ascii="SWISS" w:hAnsi="SWISS" w:cs="Arial"/>
                <w:color w:val="000000"/>
              </w:rPr>
            </w:pPr>
            <w:r>
              <w:rPr>
                <w:rFonts w:ascii="SWISS" w:hAnsi="SWISS" w:cs="Arial"/>
                <w:color w:val="000000"/>
              </w:rPr>
              <w:t> </w:t>
            </w:r>
          </w:p>
        </w:tc>
        <w:tc>
          <w:tcPr>
            <w:tcW w:w="933" w:type="pct"/>
            <w:tcBorders>
              <w:top w:val="single" w:sz="4" w:space="0" w:color="auto"/>
              <w:left w:val="nil"/>
              <w:bottom w:val="nil"/>
              <w:right w:val="nil"/>
            </w:tcBorders>
            <w:shd w:val="clear" w:color="auto" w:fill="auto"/>
            <w:noWrap/>
            <w:vAlign w:val="bottom"/>
            <w:hideMark/>
          </w:tcPr>
          <w:p w:rsidR="00061369" w:rsidRDefault="00061369">
            <w:pPr>
              <w:jc w:val="right"/>
              <w:rPr>
                <w:rFonts w:ascii="SWISS" w:hAnsi="SWISS" w:cs="Arial"/>
                <w:b/>
                <w:bCs/>
                <w:color w:val="000000"/>
                <w:sz w:val="20"/>
                <w:szCs w:val="20"/>
              </w:rPr>
            </w:pPr>
            <w:r>
              <w:rPr>
                <w:rFonts w:ascii="SWISS" w:hAnsi="SWISS" w:cs="Arial"/>
                <w:b/>
                <w:bCs/>
                <w:color w:val="000000"/>
                <w:sz w:val="20"/>
                <w:szCs w:val="20"/>
              </w:rPr>
              <w:t>SCHEDULE NO. 3-A</w:t>
            </w:r>
          </w:p>
        </w:tc>
        <w:tc>
          <w:tcPr>
            <w:tcW w:w="147" w:type="pct"/>
            <w:tcBorders>
              <w:top w:val="single" w:sz="4" w:space="0" w:color="auto"/>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b/>
                <w:bCs/>
                <w:color w:val="000000"/>
                <w:sz w:val="20"/>
                <w:szCs w:val="20"/>
              </w:rPr>
            </w:pPr>
            <w:r>
              <w:rPr>
                <w:rFonts w:ascii="SWISS" w:hAnsi="SWISS" w:cs="Arial"/>
                <w:b/>
                <w:bCs/>
                <w:color w:val="000000"/>
                <w:sz w:val="20"/>
                <w:szCs w:val="20"/>
              </w:rPr>
              <w:t>TEST YEAR ENDED   09/30/14</w:t>
            </w:r>
          </w:p>
        </w:tc>
        <w:tc>
          <w:tcPr>
            <w:tcW w:w="56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p>
        </w:tc>
        <w:tc>
          <w:tcPr>
            <w:tcW w:w="56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p>
        </w:tc>
        <w:tc>
          <w:tcPr>
            <w:tcW w:w="56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p>
        </w:tc>
        <w:tc>
          <w:tcPr>
            <w:tcW w:w="56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rPr>
            </w:pPr>
          </w:p>
        </w:tc>
        <w:tc>
          <w:tcPr>
            <w:tcW w:w="933" w:type="pct"/>
            <w:tcBorders>
              <w:top w:val="nil"/>
              <w:left w:val="nil"/>
              <w:bottom w:val="nil"/>
              <w:right w:val="nil"/>
            </w:tcBorders>
            <w:shd w:val="clear" w:color="auto" w:fill="auto"/>
            <w:noWrap/>
            <w:vAlign w:val="center"/>
            <w:hideMark/>
          </w:tcPr>
          <w:p w:rsidR="00061369" w:rsidRDefault="00061369">
            <w:pPr>
              <w:jc w:val="right"/>
              <w:rPr>
                <w:rFonts w:ascii="SWISS" w:hAnsi="SWISS" w:cs="Arial"/>
                <w:b/>
                <w:bCs/>
                <w:color w:val="000000"/>
                <w:sz w:val="20"/>
                <w:szCs w:val="20"/>
              </w:rPr>
            </w:pPr>
            <w:r>
              <w:rPr>
                <w:rFonts w:ascii="SWISS" w:hAnsi="SWISS" w:cs="Arial"/>
                <w:b/>
                <w:bCs/>
                <w:color w:val="000000"/>
                <w:sz w:val="20"/>
                <w:szCs w:val="20"/>
              </w:rPr>
              <w:t>DOCKET NO</w:t>
            </w:r>
            <w:proofErr w:type="gramStart"/>
            <w:r>
              <w:rPr>
                <w:rFonts w:ascii="SWISS" w:hAnsi="SWISS" w:cs="Arial"/>
                <w:b/>
                <w:bCs/>
                <w:color w:val="000000"/>
                <w:sz w:val="20"/>
                <w:szCs w:val="20"/>
              </w:rPr>
              <w:t xml:space="preserve">.  </w:t>
            </w:r>
            <w:proofErr w:type="gramEnd"/>
            <w:r>
              <w:rPr>
                <w:rFonts w:ascii="SWISS" w:hAnsi="SWISS" w:cs="Arial"/>
                <w:b/>
                <w:bCs/>
                <w:color w:val="000000"/>
                <w:sz w:val="20"/>
                <w:szCs w:val="20"/>
              </w:rPr>
              <w:t>140217-WU</w:t>
            </w: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single" w:sz="4" w:space="0" w:color="auto"/>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2022" w:type="pct"/>
            <w:gridSpan w:val="2"/>
            <w:tcBorders>
              <w:top w:val="nil"/>
              <w:left w:val="nil"/>
              <w:bottom w:val="single" w:sz="4" w:space="0" w:color="auto"/>
              <w:right w:val="nil"/>
            </w:tcBorders>
            <w:shd w:val="clear" w:color="auto" w:fill="auto"/>
            <w:noWrap/>
            <w:vAlign w:val="bottom"/>
            <w:hideMark/>
          </w:tcPr>
          <w:p w:rsidR="00061369" w:rsidRDefault="00061369">
            <w:pPr>
              <w:rPr>
                <w:rFonts w:ascii="SWISS" w:hAnsi="SWISS" w:cs="Arial"/>
                <w:b/>
                <w:bCs/>
                <w:color w:val="000000"/>
                <w:sz w:val="20"/>
                <w:szCs w:val="20"/>
              </w:rPr>
            </w:pPr>
            <w:r>
              <w:rPr>
                <w:rFonts w:ascii="SWISS" w:hAnsi="SWISS" w:cs="Arial"/>
                <w:b/>
                <w:bCs/>
                <w:color w:val="000000"/>
                <w:sz w:val="20"/>
                <w:szCs w:val="20"/>
              </w:rPr>
              <w:t>SCHEDULE OF WATER OPERATING INCOME</w:t>
            </w:r>
          </w:p>
        </w:tc>
        <w:tc>
          <w:tcPr>
            <w:tcW w:w="566" w:type="pct"/>
            <w:tcBorders>
              <w:top w:val="nil"/>
              <w:left w:val="nil"/>
              <w:bottom w:val="single" w:sz="4" w:space="0" w:color="auto"/>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nil"/>
              <w:left w:val="nil"/>
              <w:bottom w:val="single" w:sz="4" w:space="0" w:color="auto"/>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nil"/>
              <w:left w:val="nil"/>
              <w:bottom w:val="single" w:sz="4" w:space="0" w:color="auto"/>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933" w:type="pct"/>
            <w:tcBorders>
              <w:top w:val="nil"/>
              <w:left w:val="nil"/>
              <w:bottom w:val="single" w:sz="4" w:space="0" w:color="auto"/>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7" w:type="pct"/>
            <w:tcBorders>
              <w:top w:val="nil"/>
              <w:left w:val="nil"/>
              <w:bottom w:val="single" w:sz="4" w:space="0" w:color="auto"/>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000000" w:fill="F2F2F2"/>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56" w:type="pct"/>
            <w:tcBorders>
              <w:top w:val="nil"/>
              <w:left w:val="nil"/>
              <w:bottom w:val="nil"/>
              <w:right w:val="nil"/>
            </w:tcBorders>
            <w:shd w:val="clear" w:color="000000" w:fill="F2F2F2"/>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nil"/>
              <w:left w:val="nil"/>
              <w:bottom w:val="nil"/>
              <w:right w:val="nil"/>
            </w:tcBorders>
            <w:shd w:val="clear" w:color="000000" w:fill="F2F2F2"/>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nil"/>
              <w:left w:val="nil"/>
              <w:bottom w:val="nil"/>
              <w:right w:val="nil"/>
            </w:tcBorders>
            <w:shd w:val="clear" w:color="000000" w:fill="F2F2F2"/>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nil"/>
              <w:left w:val="nil"/>
              <w:bottom w:val="nil"/>
              <w:right w:val="nil"/>
            </w:tcBorders>
            <w:shd w:val="clear" w:color="000000" w:fill="F2F2F2"/>
            <w:noWrap/>
            <w:vAlign w:val="bottom"/>
            <w:hideMark/>
          </w:tcPr>
          <w:p w:rsidR="00061369" w:rsidRDefault="00061369">
            <w:pPr>
              <w:jc w:val="center"/>
              <w:rPr>
                <w:rFonts w:ascii="SWISS" w:hAnsi="SWISS" w:cs="Arial"/>
                <w:color w:val="000000"/>
                <w:sz w:val="20"/>
                <w:szCs w:val="20"/>
              </w:rPr>
            </w:pPr>
            <w:r>
              <w:rPr>
                <w:rFonts w:ascii="SWISS" w:hAnsi="SWISS" w:cs="Arial"/>
                <w:color w:val="000000"/>
                <w:sz w:val="20"/>
                <w:szCs w:val="20"/>
              </w:rPr>
              <w:t>STAFF</w:t>
            </w:r>
          </w:p>
        </w:tc>
        <w:tc>
          <w:tcPr>
            <w:tcW w:w="566" w:type="pct"/>
            <w:tcBorders>
              <w:top w:val="nil"/>
              <w:left w:val="nil"/>
              <w:bottom w:val="nil"/>
              <w:right w:val="nil"/>
            </w:tcBorders>
            <w:shd w:val="clear" w:color="000000" w:fill="F2F2F2"/>
            <w:noWrap/>
            <w:vAlign w:val="bottom"/>
            <w:hideMark/>
          </w:tcPr>
          <w:p w:rsidR="00061369" w:rsidRDefault="00061369">
            <w:pPr>
              <w:jc w:val="center"/>
              <w:rPr>
                <w:rFonts w:ascii="SWISS" w:hAnsi="SWISS" w:cs="Arial"/>
                <w:color w:val="000000"/>
                <w:sz w:val="20"/>
                <w:szCs w:val="20"/>
              </w:rPr>
            </w:pPr>
            <w:r>
              <w:rPr>
                <w:rFonts w:ascii="SWISS" w:hAnsi="SWISS" w:cs="Arial"/>
                <w:color w:val="000000"/>
                <w:sz w:val="20"/>
                <w:szCs w:val="20"/>
              </w:rPr>
              <w:t>ADJUST.</w:t>
            </w:r>
          </w:p>
        </w:tc>
        <w:tc>
          <w:tcPr>
            <w:tcW w:w="933" w:type="pct"/>
            <w:tcBorders>
              <w:top w:val="nil"/>
              <w:left w:val="nil"/>
              <w:bottom w:val="nil"/>
              <w:right w:val="nil"/>
            </w:tcBorders>
            <w:shd w:val="clear" w:color="000000" w:fill="F2F2F2"/>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7" w:type="pct"/>
            <w:tcBorders>
              <w:top w:val="nil"/>
              <w:left w:val="nil"/>
              <w:bottom w:val="nil"/>
              <w:right w:val="single" w:sz="4" w:space="0" w:color="auto"/>
            </w:tcBorders>
            <w:shd w:val="clear" w:color="000000" w:fill="F2F2F2"/>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000000" w:fill="F2F2F2"/>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56" w:type="pct"/>
            <w:tcBorders>
              <w:top w:val="nil"/>
              <w:left w:val="nil"/>
              <w:bottom w:val="nil"/>
              <w:right w:val="nil"/>
            </w:tcBorders>
            <w:shd w:val="clear" w:color="000000" w:fill="F2F2F2"/>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nil"/>
              <w:left w:val="nil"/>
              <w:bottom w:val="nil"/>
              <w:right w:val="nil"/>
            </w:tcBorders>
            <w:shd w:val="clear" w:color="000000" w:fill="F2F2F2"/>
            <w:noWrap/>
            <w:vAlign w:val="bottom"/>
            <w:hideMark/>
          </w:tcPr>
          <w:p w:rsidR="00061369" w:rsidRDefault="00061369">
            <w:pPr>
              <w:jc w:val="center"/>
              <w:rPr>
                <w:rFonts w:ascii="SWISS" w:hAnsi="SWISS" w:cs="Arial"/>
                <w:color w:val="000000"/>
                <w:sz w:val="20"/>
                <w:szCs w:val="20"/>
              </w:rPr>
            </w:pPr>
            <w:r>
              <w:rPr>
                <w:rFonts w:ascii="SWISS" w:hAnsi="SWISS" w:cs="Arial"/>
                <w:color w:val="000000"/>
                <w:sz w:val="20"/>
                <w:szCs w:val="20"/>
              </w:rPr>
              <w:t>TEST YEAR</w:t>
            </w:r>
          </w:p>
        </w:tc>
        <w:tc>
          <w:tcPr>
            <w:tcW w:w="566" w:type="pct"/>
            <w:tcBorders>
              <w:top w:val="nil"/>
              <w:left w:val="nil"/>
              <w:bottom w:val="nil"/>
              <w:right w:val="nil"/>
            </w:tcBorders>
            <w:shd w:val="clear" w:color="000000" w:fill="F2F2F2"/>
            <w:noWrap/>
            <w:vAlign w:val="bottom"/>
            <w:hideMark/>
          </w:tcPr>
          <w:p w:rsidR="00061369" w:rsidRDefault="00061369">
            <w:pPr>
              <w:jc w:val="center"/>
              <w:rPr>
                <w:rFonts w:ascii="SWISS" w:hAnsi="SWISS" w:cs="Arial"/>
                <w:color w:val="000000"/>
                <w:sz w:val="20"/>
                <w:szCs w:val="20"/>
              </w:rPr>
            </w:pPr>
            <w:r>
              <w:rPr>
                <w:rFonts w:ascii="SWISS" w:hAnsi="SWISS" w:cs="Arial"/>
                <w:color w:val="000000"/>
                <w:sz w:val="20"/>
                <w:szCs w:val="20"/>
              </w:rPr>
              <w:t>STAFF ADJ.</w:t>
            </w:r>
          </w:p>
        </w:tc>
        <w:tc>
          <w:tcPr>
            <w:tcW w:w="566" w:type="pct"/>
            <w:tcBorders>
              <w:top w:val="nil"/>
              <w:left w:val="nil"/>
              <w:bottom w:val="nil"/>
              <w:right w:val="nil"/>
            </w:tcBorders>
            <w:shd w:val="clear" w:color="000000" w:fill="F2F2F2"/>
            <w:noWrap/>
            <w:vAlign w:val="bottom"/>
            <w:hideMark/>
          </w:tcPr>
          <w:p w:rsidR="00061369" w:rsidRDefault="00061369">
            <w:pPr>
              <w:jc w:val="center"/>
              <w:rPr>
                <w:rFonts w:ascii="SWISS" w:hAnsi="SWISS" w:cs="Arial"/>
                <w:color w:val="000000"/>
                <w:sz w:val="20"/>
                <w:szCs w:val="20"/>
              </w:rPr>
            </w:pPr>
            <w:r>
              <w:rPr>
                <w:rFonts w:ascii="SWISS" w:hAnsi="SWISS" w:cs="Arial"/>
                <w:color w:val="000000"/>
                <w:sz w:val="20"/>
                <w:szCs w:val="20"/>
              </w:rPr>
              <w:t>ADJUSTED</w:t>
            </w:r>
          </w:p>
        </w:tc>
        <w:tc>
          <w:tcPr>
            <w:tcW w:w="566" w:type="pct"/>
            <w:tcBorders>
              <w:top w:val="nil"/>
              <w:left w:val="nil"/>
              <w:bottom w:val="nil"/>
              <w:right w:val="nil"/>
            </w:tcBorders>
            <w:shd w:val="clear" w:color="000000" w:fill="F2F2F2"/>
            <w:noWrap/>
            <w:vAlign w:val="bottom"/>
            <w:hideMark/>
          </w:tcPr>
          <w:p w:rsidR="00061369" w:rsidRDefault="00061369">
            <w:pPr>
              <w:jc w:val="center"/>
              <w:rPr>
                <w:rFonts w:ascii="SWISS" w:hAnsi="SWISS" w:cs="Arial"/>
                <w:color w:val="000000"/>
                <w:sz w:val="20"/>
                <w:szCs w:val="20"/>
              </w:rPr>
            </w:pPr>
            <w:r>
              <w:rPr>
                <w:rFonts w:ascii="SWISS" w:hAnsi="SWISS" w:cs="Arial"/>
                <w:color w:val="000000"/>
                <w:sz w:val="20"/>
                <w:szCs w:val="20"/>
              </w:rPr>
              <w:t>FOR</w:t>
            </w:r>
          </w:p>
        </w:tc>
        <w:tc>
          <w:tcPr>
            <w:tcW w:w="933" w:type="pct"/>
            <w:tcBorders>
              <w:top w:val="nil"/>
              <w:left w:val="nil"/>
              <w:bottom w:val="nil"/>
              <w:right w:val="nil"/>
            </w:tcBorders>
            <w:shd w:val="clear" w:color="000000" w:fill="F2F2F2"/>
            <w:noWrap/>
            <w:vAlign w:val="bottom"/>
            <w:hideMark/>
          </w:tcPr>
          <w:p w:rsidR="00061369" w:rsidRDefault="00061369">
            <w:pPr>
              <w:jc w:val="center"/>
              <w:rPr>
                <w:rFonts w:ascii="SWISS" w:hAnsi="SWISS" w:cs="Arial"/>
                <w:color w:val="000000"/>
                <w:sz w:val="20"/>
                <w:szCs w:val="20"/>
              </w:rPr>
            </w:pPr>
            <w:r>
              <w:rPr>
                <w:rFonts w:ascii="SWISS" w:hAnsi="SWISS" w:cs="Arial"/>
                <w:color w:val="000000"/>
                <w:sz w:val="20"/>
                <w:szCs w:val="20"/>
              </w:rPr>
              <w:t>REVENUE</w:t>
            </w:r>
          </w:p>
        </w:tc>
        <w:tc>
          <w:tcPr>
            <w:tcW w:w="147" w:type="pct"/>
            <w:tcBorders>
              <w:top w:val="nil"/>
              <w:left w:val="nil"/>
              <w:bottom w:val="nil"/>
              <w:right w:val="single" w:sz="4" w:space="0" w:color="auto"/>
            </w:tcBorders>
            <w:shd w:val="clear" w:color="000000" w:fill="F2F2F2"/>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000000" w:fill="F2F2F2"/>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56" w:type="pct"/>
            <w:tcBorders>
              <w:top w:val="nil"/>
              <w:left w:val="nil"/>
              <w:bottom w:val="nil"/>
              <w:right w:val="nil"/>
            </w:tcBorders>
            <w:shd w:val="clear" w:color="000000" w:fill="F2F2F2"/>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nil"/>
              <w:left w:val="nil"/>
              <w:bottom w:val="nil"/>
              <w:right w:val="nil"/>
            </w:tcBorders>
            <w:shd w:val="clear" w:color="000000" w:fill="F2F2F2"/>
            <w:noWrap/>
            <w:vAlign w:val="bottom"/>
            <w:hideMark/>
          </w:tcPr>
          <w:p w:rsidR="00061369" w:rsidRDefault="00061369">
            <w:pPr>
              <w:jc w:val="center"/>
              <w:rPr>
                <w:rFonts w:ascii="SWISS" w:hAnsi="SWISS" w:cs="Arial"/>
                <w:color w:val="000000"/>
                <w:sz w:val="20"/>
                <w:szCs w:val="20"/>
              </w:rPr>
            </w:pPr>
            <w:r>
              <w:rPr>
                <w:rFonts w:ascii="SWISS" w:hAnsi="SWISS" w:cs="Arial"/>
                <w:color w:val="000000"/>
                <w:sz w:val="20"/>
                <w:szCs w:val="20"/>
              </w:rPr>
              <w:t>PER UTILITY</w:t>
            </w:r>
          </w:p>
        </w:tc>
        <w:tc>
          <w:tcPr>
            <w:tcW w:w="566" w:type="pct"/>
            <w:tcBorders>
              <w:top w:val="nil"/>
              <w:left w:val="nil"/>
              <w:bottom w:val="nil"/>
              <w:right w:val="nil"/>
            </w:tcBorders>
            <w:shd w:val="clear" w:color="000000" w:fill="F2F2F2"/>
            <w:noWrap/>
            <w:vAlign w:val="bottom"/>
            <w:hideMark/>
          </w:tcPr>
          <w:p w:rsidR="00061369" w:rsidRDefault="00061369">
            <w:pPr>
              <w:jc w:val="center"/>
              <w:rPr>
                <w:rFonts w:ascii="SWISS" w:hAnsi="SWISS" w:cs="Arial"/>
                <w:color w:val="000000"/>
                <w:sz w:val="20"/>
                <w:szCs w:val="20"/>
              </w:rPr>
            </w:pPr>
            <w:r>
              <w:rPr>
                <w:rFonts w:ascii="SWISS" w:hAnsi="SWISS" w:cs="Arial"/>
                <w:color w:val="000000"/>
                <w:sz w:val="20"/>
                <w:szCs w:val="20"/>
              </w:rPr>
              <w:t>PER UTILITY</w:t>
            </w:r>
          </w:p>
        </w:tc>
        <w:tc>
          <w:tcPr>
            <w:tcW w:w="566" w:type="pct"/>
            <w:tcBorders>
              <w:top w:val="nil"/>
              <w:left w:val="nil"/>
              <w:bottom w:val="nil"/>
              <w:right w:val="nil"/>
            </w:tcBorders>
            <w:shd w:val="clear" w:color="000000" w:fill="F2F2F2"/>
            <w:noWrap/>
            <w:vAlign w:val="bottom"/>
            <w:hideMark/>
          </w:tcPr>
          <w:p w:rsidR="00061369" w:rsidRDefault="00061369">
            <w:pPr>
              <w:jc w:val="center"/>
              <w:rPr>
                <w:rFonts w:ascii="SWISS" w:hAnsi="SWISS" w:cs="Arial"/>
                <w:color w:val="000000"/>
                <w:sz w:val="20"/>
                <w:szCs w:val="20"/>
              </w:rPr>
            </w:pPr>
            <w:r>
              <w:rPr>
                <w:rFonts w:ascii="SWISS" w:hAnsi="SWISS" w:cs="Arial"/>
                <w:color w:val="000000"/>
                <w:sz w:val="20"/>
                <w:szCs w:val="20"/>
              </w:rPr>
              <w:t>TEST YEAR</w:t>
            </w:r>
          </w:p>
        </w:tc>
        <w:tc>
          <w:tcPr>
            <w:tcW w:w="566" w:type="pct"/>
            <w:tcBorders>
              <w:top w:val="nil"/>
              <w:left w:val="nil"/>
              <w:bottom w:val="nil"/>
              <w:right w:val="nil"/>
            </w:tcBorders>
            <w:shd w:val="clear" w:color="000000" w:fill="F2F2F2"/>
            <w:noWrap/>
            <w:vAlign w:val="bottom"/>
            <w:hideMark/>
          </w:tcPr>
          <w:p w:rsidR="00061369" w:rsidRDefault="00061369">
            <w:pPr>
              <w:jc w:val="center"/>
              <w:rPr>
                <w:rFonts w:ascii="SWISS" w:hAnsi="SWISS" w:cs="Arial"/>
                <w:color w:val="000000"/>
                <w:sz w:val="20"/>
                <w:szCs w:val="20"/>
              </w:rPr>
            </w:pPr>
            <w:r>
              <w:rPr>
                <w:rFonts w:ascii="SWISS" w:hAnsi="SWISS" w:cs="Arial"/>
                <w:color w:val="000000"/>
                <w:sz w:val="20"/>
                <w:szCs w:val="20"/>
              </w:rPr>
              <w:t>INCREASE</w:t>
            </w:r>
          </w:p>
        </w:tc>
        <w:tc>
          <w:tcPr>
            <w:tcW w:w="933" w:type="pct"/>
            <w:tcBorders>
              <w:top w:val="nil"/>
              <w:left w:val="nil"/>
              <w:bottom w:val="nil"/>
              <w:right w:val="nil"/>
            </w:tcBorders>
            <w:shd w:val="clear" w:color="000000" w:fill="F2F2F2"/>
            <w:noWrap/>
            <w:vAlign w:val="bottom"/>
            <w:hideMark/>
          </w:tcPr>
          <w:p w:rsidR="00061369" w:rsidRDefault="00061369">
            <w:pPr>
              <w:jc w:val="center"/>
              <w:rPr>
                <w:rFonts w:ascii="SWISS" w:hAnsi="SWISS" w:cs="Arial"/>
                <w:color w:val="000000"/>
                <w:sz w:val="20"/>
                <w:szCs w:val="20"/>
              </w:rPr>
            </w:pPr>
            <w:r>
              <w:rPr>
                <w:rFonts w:ascii="SWISS" w:hAnsi="SWISS" w:cs="Arial"/>
                <w:color w:val="000000"/>
                <w:sz w:val="20"/>
                <w:szCs w:val="20"/>
              </w:rPr>
              <w:t>REQUIREMENT</w:t>
            </w:r>
          </w:p>
        </w:tc>
        <w:tc>
          <w:tcPr>
            <w:tcW w:w="147" w:type="pct"/>
            <w:tcBorders>
              <w:top w:val="nil"/>
              <w:left w:val="nil"/>
              <w:bottom w:val="nil"/>
              <w:right w:val="single" w:sz="4" w:space="0" w:color="auto"/>
            </w:tcBorders>
            <w:shd w:val="clear" w:color="000000" w:fill="F2F2F2"/>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single" w:sz="4" w:space="0" w:color="000000"/>
              <w:left w:val="single" w:sz="4" w:space="0" w:color="auto"/>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56" w:type="pct"/>
            <w:tcBorders>
              <w:top w:val="single" w:sz="4" w:space="0" w:color="000000"/>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single" w:sz="4" w:space="0" w:color="000000"/>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single" w:sz="4" w:space="0" w:color="000000"/>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single" w:sz="4" w:space="0" w:color="000000"/>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single" w:sz="4" w:space="0" w:color="000000"/>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933" w:type="pct"/>
            <w:tcBorders>
              <w:top w:val="single" w:sz="4" w:space="0" w:color="000000"/>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7" w:type="pct"/>
            <w:tcBorders>
              <w:top w:val="single" w:sz="4" w:space="0" w:color="000000"/>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jc w:val="right"/>
              <w:rPr>
                <w:rFonts w:ascii="SWISS" w:hAnsi="SWISS" w:cs="Arial"/>
                <w:color w:val="000000"/>
                <w:sz w:val="20"/>
                <w:szCs w:val="20"/>
              </w:rPr>
            </w:pPr>
            <w:r>
              <w:rPr>
                <w:rFonts w:ascii="SWISS" w:hAnsi="SWISS" w:cs="Arial"/>
                <w:color w:val="000000"/>
                <w:sz w:val="20"/>
                <w:szCs w:val="20"/>
              </w:rPr>
              <w:t>1.</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b/>
                <w:bCs/>
                <w:color w:val="000000"/>
                <w:sz w:val="20"/>
                <w:szCs w:val="20"/>
              </w:rPr>
            </w:pPr>
            <w:r>
              <w:rPr>
                <w:rFonts w:ascii="SWISS" w:hAnsi="SWISS" w:cs="Arial"/>
                <w:b/>
                <w:bCs/>
                <w:color w:val="000000"/>
                <w:sz w:val="20"/>
                <w:szCs w:val="20"/>
              </w:rPr>
              <w:t xml:space="preserve">OPERATING REVENUES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single"/>
              </w:rPr>
            </w:pPr>
            <w:r w:rsidRPr="00CC294A">
              <w:rPr>
                <w:rFonts w:ascii="SWISS" w:hAnsi="SWISS" w:cs="Arial"/>
                <w:sz w:val="20"/>
                <w:szCs w:val="20"/>
                <w:u w:val="single"/>
              </w:rPr>
              <w:t xml:space="preserve">$28,638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single"/>
              </w:rPr>
            </w:pPr>
            <w:r w:rsidRPr="00CC294A">
              <w:rPr>
                <w:rFonts w:ascii="SWISS" w:hAnsi="SWISS" w:cs="Arial"/>
                <w:sz w:val="20"/>
                <w:szCs w:val="20"/>
                <w:u w:val="single"/>
              </w:rPr>
              <w:t xml:space="preserve">$6,813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single"/>
              </w:rPr>
            </w:pPr>
            <w:r w:rsidRPr="00CC294A">
              <w:rPr>
                <w:rFonts w:ascii="SWISS" w:hAnsi="SWISS" w:cs="Arial"/>
                <w:sz w:val="20"/>
                <w:szCs w:val="20"/>
                <w:u w:val="single"/>
              </w:rPr>
              <w:t xml:space="preserve">$35,451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single"/>
              </w:rPr>
            </w:pPr>
            <w:r w:rsidRPr="00CC294A">
              <w:rPr>
                <w:rFonts w:ascii="SWISS" w:hAnsi="SWISS" w:cs="Arial"/>
                <w:sz w:val="20"/>
                <w:szCs w:val="20"/>
                <w:u w:val="single"/>
              </w:rPr>
              <w:t xml:space="preserve">$79,972 </w:t>
            </w:r>
          </w:p>
        </w:tc>
        <w:tc>
          <w:tcPr>
            <w:tcW w:w="933"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single"/>
              </w:rPr>
            </w:pPr>
            <w:r w:rsidRPr="00CC294A">
              <w:rPr>
                <w:rFonts w:ascii="SWISS" w:hAnsi="SWISS" w:cs="Arial"/>
                <w:sz w:val="20"/>
                <w:szCs w:val="20"/>
                <w:u w:val="single"/>
              </w:rPr>
              <w:t xml:space="preserve">$115,423 </w:t>
            </w: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225.59%</w:t>
            </w:r>
          </w:p>
        </w:tc>
        <w:tc>
          <w:tcPr>
            <w:tcW w:w="933"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b/>
                <w:bCs/>
                <w:color w:val="000000"/>
                <w:sz w:val="20"/>
                <w:szCs w:val="20"/>
              </w:rPr>
            </w:pPr>
            <w:r>
              <w:rPr>
                <w:rFonts w:ascii="SWISS" w:hAnsi="SWISS" w:cs="Arial"/>
                <w:b/>
                <w:bCs/>
                <w:color w:val="000000"/>
                <w:sz w:val="20"/>
                <w:szCs w:val="20"/>
              </w:rPr>
              <w:t>OPERATING EXPENSES:</w:t>
            </w: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933"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jc w:val="right"/>
              <w:rPr>
                <w:rFonts w:ascii="SWISS" w:hAnsi="SWISS" w:cs="Arial"/>
                <w:color w:val="000000"/>
                <w:sz w:val="20"/>
                <w:szCs w:val="20"/>
              </w:rPr>
            </w:pPr>
            <w:r>
              <w:rPr>
                <w:rFonts w:ascii="SWISS" w:hAnsi="SWISS" w:cs="Arial"/>
                <w:color w:val="000000"/>
                <w:sz w:val="20"/>
                <w:szCs w:val="20"/>
              </w:rPr>
              <w:t>2.</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xml:space="preserve">  OPERATION &amp; MAINTENANCE</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93,344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854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94,198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0 </w:t>
            </w:r>
          </w:p>
        </w:tc>
        <w:tc>
          <w:tcPr>
            <w:tcW w:w="933"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94,198 </w:t>
            </w: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933"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jc w:val="right"/>
              <w:rPr>
                <w:rFonts w:ascii="SWISS" w:hAnsi="SWISS" w:cs="Arial"/>
                <w:color w:val="000000"/>
                <w:sz w:val="20"/>
                <w:szCs w:val="20"/>
              </w:rPr>
            </w:pPr>
            <w:r>
              <w:rPr>
                <w:rFonts w:ascii="SWISS" w:hAnsi="SWISS" w:cs="Arial"/>
                <w:color w:val="000000"/>
                <w:sz w:val="20"/>
                <w:szCs w:val="20"/>
              </w:rPr>
              <w:t>3.</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xml:space="preserve">  DEPRECIATION (NET)</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7,117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(4,464)</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2,653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0 </w:t>
            </w:r>
          </w:p>
        </w:tc>
        <w:tc>
          <w:tcPr>
            <w:tcW w:w="933"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2,653 </w:t>
            </w: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933"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jc w:val="right"/>
              <w:rPr>
                <w:rFonts w:ascii="SWISS" w:hAnsi="SWISS" w:cs="Arial"/>
                <w:color w:val="000000"/>
                <w:sz w:val="20"/>
                <w:szCs w:val="20"/>
              </w:rPr>
            </w:pPr>
            <w:r>
              <w:rPr>
                <w:rFonts w:ascii="SWISS" w:hAnsi="SWISS" w:cs="Arial"/>
                <w:color w:val="000000"/>
                <w:sz w:val="20"/>
                <w:szCs w:val="20"/>
              </w:rPr>
              <w:t>4.</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xml:space="preserve">  AMORTIZATION</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0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0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0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0 </w:t>
            </w:r>
          </w:p>
        </w:tc>
        <w:tc>
          <w:tcPr>
            <w:tcW w:w="933"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0 </w:t>
            </w: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933"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jc w:val="right"/>
              <w:rPr>
                <w:rFonts w:ascii="SWISS" w:hAnsi="SWISS" w:cs="Arial"/>
                <w:color w:val="000000"/>
                <w:sz w:val="20"/>
                <w:szCs w:val="20"/>
              </w:rPr>
            </w:pPr>
            <w:r>
              <w:rPr>
                <w:rFonts w:ascii="SWISS" w:hAnsi="SWISS" w:cs="Arial"/>
                <w:color w:val="000000"/>
                <w:sz w:val="20"/>
                <w:szCs w:val="20"/>
              </w:rPr>
              <w:t>5.</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xml:space="preserve">  TAXES OTHER THAN INCOME</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2,342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3,211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5,553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3,599 </w:t>
            </w:r>
          </w:p>
        </w:tc>
        <w:tc>
          <w:tcPr>
            <w:tcW w:w="933"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rPr>
            </w:pPr>
            <w:r w:rsidRPr="00CC294A">
              <w:rPr>
                <w:rFonts w:ascii="SWISS" w:hAnsi="SWISS" w:cs="Arial"/>
                <w:sz w:val="20"/>
                <w:szCs w:val="20"/>
              </w:rPr>
              <w:t xml:space="preserve">9,152 </w:t>
            </w:r>
          </w:p>
        </w:tc>
        <w:tc>
          <w:tcPr>
            <w:tcW w:w="147" w:type="pct"/>
            <w:tcBorders>
              <w:top w:val="nil"/>
              <w:left w:val="nil"/>
              <w:bottom w:val="nil"/>
              <w:right w:val="single" w:sz="4" w:space="0" w:color="auto"/>
            </w:tcBorders>
            <w:shd w:val="clear" w:color="auto" w:fill="auto"/>
            <w:noWrap/>
            <w:vAlign w:val="bottom"/>
            <w:hideMark/>
          </w:tcPr>
          <w:p w:rsidR="00061369" w:rsidRDefault="00061369">
            <w:pPr>
              <w:jc w:val="cente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933"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jc w:val="right"/>
              <w:rPr>
                <w:rFonts w:ascii="SWISS" w:hAnsi="SWISS" w:cs="Arial"/>
                <w:color w:val="000000"/>
                <w:sz w:val="20"/>
                <w:szCs w:val="20"/>
              </w:rPr>
            </w:pPr>
            <w:r>
              <w:rPr>
                <w:rFonts w:ascii="SWISS" w:hAnsi="SWISS" w:cs="Arial"/>
                <w:color w:val="000000"/>
                <w:sz w:val="20"/>
                <w:szCs w:val="20"/>
              </w:rPr>
              <w:t>6.</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xml:space="preserve">  INCOME TAXES</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single"/>
              </w:rPr>
            </w:pPr>
            <w:r w:rsidRPr="00CC294A">
              <w:rPr>
                <w:rFonts w:ascii="SWISS" w:hAnsi="SWISS" w:cs="Arial"/>
                <w:sz w:val="20"/>
                <w:szCs w:val="20"/>
                <w:u w:val="single"/>
              </w:rPr>
              <w:t xml:space="preserve">0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single"/>
              </w:rPr>
            </w:pPr>
            <w:r w:rsidRPr="00CC294A">
              <w:rPr>
                <w:rFonts w:ascii="SWISS" w:hAnsi="SWISS" w:cs="Arial"/>
                <w:sz w:val="20"/>
                <w:szCs w:val="20"/>
                <w:u w:val="single"/>
              </w:rPr>
              <w:t xml:space="preserve">0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single"/>
              </w:rPr>
            </w:pPr>
            <w:r w:rsidRPr="00CC294A">
              <w:rPr>
                <w:rFonts w:ascii="SWISS" w:hAnsi="SWISS" w:cs="Arial"/>
                <w:sz w:val="20"/>
                <w:szCs w:val="20"/>
                <w:u w:val="single"/>
              </w:rPr>
              <w:t xml:space="preserve">0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single"/>
              </w:rPr>
            </w:pPr>
            <w:r w:rsidRPr="00CC294A">
              <w:rPr>
                <w:rFonts w:ascii="SWISS" w:hAnsi="SWISS" w:cs="Arial"/>
                <w:sz w:val="20"/>
                <w:szCs w:val="20"/>
                <w:u w:val="single"/>
              </w:rPr>
              <w:t xml:space="preserve">0 </w:t>
            </w:r>
          </w:p>
        </w:tc>
        <w:tc>
          <w:tcPr>
            <w:tcW w:w="933"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single"/>
              </w:rPr>
            </w:pPr>
            <w:r w:rsidRPr="00CC294A">
              <w:rPr>
                <w:rFonts w:ascii="SWISS" w:hAnsi="SWISS" w:cs="Arial"/>
                <w:sz w:val="20"/>
                <w:szCs w:val="20"/>
                <w:u w:val="single"/>
              </w:rPr>
              <w:t xml:space="preserve">0 </w:t>
            </w: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933"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jc w:val="right"/>
              <w:rPr>
                <w:rFonts w:ascii="SWISS" w:hAnsi="SWISS" w:cs="Arial"/>
                <w:color w:val="000000"/>
                <w:sz w:val="20"/>
                <w:szCs w:val="20"/>
              </w:rPr>
            </w:pPr>
            <w:r>
              <w:rPr>
                <w:rFonts w:ascii="SWISS" w:hAnsi="SWISS" w:cs="Arial"/>
                <w:color w:val="000000"/>
                <w:sz w:val="20"/>
                <w:szCs w:val="20"/>
              </w:rPr>
              <w:t>7.</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b/>
                <w:bCs/>
                <w:color w:val="000000"/>
                <w:sz w:val="20"/>
                <w:szCs w:val="20"/>
              </w:rPr>
            </w:pPr>
            <w:r>
              <w:rPr>
                <w:rFonts w:ascii="SWISS" w:hAnsi="SWISS" w:cs="Arial"/>
                <w:b/>
                <w:bCs/>
                <w:color w:val="000000"/>
                <w:sz w:val="20"/>
                <w:szCs w:val="20"/>
              </w:rPr>
              <w:t xml:space="preserve">TOTAL OPERATING EXPENSES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single"/>
              </w:rPr>
            </w:pPr>
            <w:r w:rsidRPr="00CC294A">
              <w:rPr>
                <w:rFonts w:ascii="SWISS" w:hAnsi="SWISS" w:cs="Arial"/>
                <w:sz w:val="20"/>
                <w:szCs w:val="20"/>
                <w:u w:val="single"/>
              </w:rPr>
              <w:t xml:space="preserve">$102,803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single"/>
              </w:rPr>
            </w:pPr>
            <w:r w:rsidRPr="00CC294A">
              <w:rPr>
                <w:rFonts w:ascii="SWISS" w:hAnsi="SWISS" w:cs="Arial"/>
                <w:sz w:val="20"/>
                <w:szCs w:val="20"/>
                <w:u w:val="single"/>
              </w:rPr>
              <w:t>($398)</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single"/>
              </w:rPr>
            </w:pPr>
            <w:r w:rsidRPr="00CC294A">
              <w:rPr>
                <w:rFonts w:ascii="SWISS" w:hAnsi="SWISS" w:cs="Arial"/>
                <w:sz w:val="20"/>
                <w:szCs w:val="20"/>
                <w:u w:val="single"/>
              </w:rPr>
              <w:t xml:space="preserve">$102,405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single"/>
              </w:rPr>
            </w:pPr>
            <w:r w:rsidRPr="00CC294A">
              <w:rPr>
                <w:rFonts w:ascii="SWISS" w:hAnsi="SWISS" w:cs="Arial"/>
                <w:sz w:val="20"/>
                <w:szCs w:val="20"/>
                <w:u w:val="single"/>
              </w:rPr>
              <w:t xml:space="preserve">$3,599 </w:t>
            </w:r>
          </w:p>
        </w:tc>
        <w:tc>
          <w:tcPr>
            <w:tcW w:w="933"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single"/>
              </w:rPr>
            </w:pPr>
            <w:r w:rsidRPr="00CC294A">
              <w:rPr>
                <w:rFonts w:ascii="SWISS" w:hAnsi="SWISS" w:cs="Arial"/>
                <w:sz w:val="20"/>
                <w:szCs w:val="20"/>
                <w:u w:val="single"/>
              </w:rPr>
              <w:t xml:space="preserve">$106,003 </w:t>
            </w: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933"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jc w:val="right"/>
              <w:rPr>
                <w:rFonts w:ascii="SWISS" w:hAnsi="SWISS" w:cs="Arial"/>
                <w:color w:val="000000"/>
                <w:sz w:val="20"/>
                <w:szCs w:val="20"/>
              </w:rPr>
            </w:pPr>
            <w:r>
              <w:rPr>
                <w:rFonts w:ascii="SWISS" w:hAnsi="SWISS" w:cs="Arial"/>
                <w:color w:val="000000"/>
                <w:sz w:val="20"/>
                <w:szCs w:val="20"/>
              </w:rPr>
              <w:t>8.</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b/>
                <w:bCs/>
                <w:color w:val="000000"/>
                <w:sz w:val="20"/>
                <w:szCs w:val="20"/>
              </w:rPr>
            </w:pPr>
            <w:r>
              <w:rPr>
                <w:rFonts w:ascii="SWISS" w:hAnsi="SWISS" w:cs="Arial"/>
                <w:b/>
                <w:bCs/>
                <w:color w:val="000000"/>
                <w:sz w:val="20"/>
                <w:szCs w:val="20"/>
              </w:rPr>
              <w:t xml:space="preserve">OPERATING INCOME/(LOSS)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double"/>
              </w:rPr>
            </w:pPr>
            <w:r w:rsidRPr="00CC294A">
              <w:rPr>
                <w:rFonts w:ascii="SWISS" w:hAnsi="SWISS" w:cs="Arial"/>
                <w:sz w:val="20"/>
                <w:szCs w:val="20"/>
                <w:u w:val="double"/>
              </w:rPr>
              <w:t>($74,165)</w:t>
            </w: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u w:val="double"/>
              </w:rPr>
            </w:pP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double"/>
              </w:rPr>
            </w:pPr>
            <w:r w:rsidRPr="00CC294A">
              <w:rPr>
                <w:rFonts w:ascii="SWISS" w:hAnsi="SWISS" w:cs="Arial"/>
                <w:sz w:val="20"/>
                <w:szCs w:val="20"/>
                <w:u w:val="double"/>
              </w:rPr>
              <w:t>($66,954)</w:t>
            </w: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u w:val="double"/>
              </w:rPr>
            </w:pPr>
          </w:p>
        </w:tc>
        <w:tc>
          <w:tcPr>
            <w:tcW w:w="933"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double"/>
              </w:rPr>
            </w:pPr>
            <w:r w:rsidRPr="00CC294A">
              <w:rPr>
                <w:rFonts w:ascii="SWISS" w:hAnsi="SWISS" w:cs="Arial"/>
                <w:sz w:val="20"/>
                <w:szCs w:val="20"/>
                <w:u w:val="double"/>
              </w:rPr>
              <w:t xml:space="preserve">$9,420 </w:t>
            </w: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933"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jc w:val="right"/>
              <w:rPr>
                <w:rFonts w:ascii="SWISS" w:hAnsi="SWISS" w:cs="Arial"/>
                <w:color w:val="000000"/>
                <w:sz w:val="20"/>
                <w:szCs w:val="20"/>
              </w:rPr>
            </w:pPr>
            <w:r>
              <w:rPr>
                <w:rFonts w:ascii="SWISS" w:hAnsi="SWISS" w:cs="Arial"/>
                <w:color w:val="000000"/>
                <w:sz w:val="20"/>
                <w:szCs w:val="20"/>
              </w:rPr>
              <w:t>9.</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b/>
                <w:bCs/>
                <w:color w:val="000000"/>
                <w:sz w:val="20"/>
                <w:szCs w:val="20"/>
              </w:rPr>
            </w:pPr>
            <w:r>
              <w:rPr>
                <w:rFonts w:ascii="SWISS" w:hAnsi="SWISS" w:cs="Arial"/>
                <w:b/>
                <w:bCs/>
                <w:color w:val="000000"/>
                <w:sz w:val="20"/>
                <w:szCs w:val="20"/>
              </w:rPr>
              <w:t xml:space="preserve">WATER RATE BASE           </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double"/>
              </w:rPr>
            </w:pPr>
            <w:r w:rsidRPr="00CC294A">
              <w:rPr>
                <w:rFonts w:ascii="SWISS" w:hAnsi="SWISS" w:cs="Arial"/>
                <w:sz w:val="20"/>
                <w:szCs w:val="20"/>
                <w:u w:val="double"/>
              </w:rPr>
              <w:t xml:space="preserve">$136,980 </w:t>
            </w: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double"/>
              </w:rPr>
            </w:pPr>
            <w:r w:rsidRPr="00CC294A">
              <w:rPr>
                <w:rFonts w:ascii="SWISS" w:hAnsi="SWISS" w:cs="Arial"/>
                <w:sz w:val="20"/>
                <w:szCs w:val="20"/>
                <w:u w:val="double"/>
              </w:rPr>
              <w:t xml:space="preserve">$64,137 </w:t>
            </w: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933"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double"/>
              </w:rPr>
            </w:pPr>
            <w:r w:rsidRPr="00CC294A">
              <w:rPr>
                <w:rFonts w:ascii="SWISS" w:hAnsi="SWISS" w:cs="Arial"/>
                <w:sz w:val="20"/>
                <w:szCs w:val="20"/>
                <w:u w:val="double"/>
              </w:rPr>
              <w:t xml:space="preserve">$64,137 </w:t>
            </w: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color w:val="000000"/>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933"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jc w:val="right"/>
              <w:rPr>
                <w:rFonts w:ascii="SWISS" w:hAnsi="SWISS" w:cs="Arial"/>
                <w:color w:val="000000"/>
                <w:sz w:val="20"/>
                <w:szCs w:val="20"/>
              </w:rPr>
            </w:pPr>
            <w:r>
              <w:rPr>
                <w:rFonts w:ascii="SWISS" w:hAnsi="SWISS" w:cs="Arial"/>
                <w:color w:val="000000"/>
                <w:sz w:val="20"/>
                <w:szCs w:val="20"/>
              </w:rPr>
              <w:t>10.</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b/>
                <w:bCs/>
                <w:color w:val="000000"/>
                <w:sz w:val="20"/>
                <w:szCs w:val="20"/>
              </w:rPr>
            </w:pPr>
            <w:r>
              <w:rPr>
                <w:rFonts w:ascii="SWISS" w:hAnsi="SWISS" w:cs="Arial"/>
                <w:b/>
                <w:bCs/>
                <w:color w:val="000000"/>
                <w:sz w:val="20"/>
                <w:szCs w:val="20"/>
              </w:rPr>
              <w:t>OPERATING RATIO</w:t>
            </w: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933"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double"/>
              </w:rPr>
            </w:pPr>
            <w:r w:rsidRPr="00CC294A">
              <w:rPr>
                <w:rFonts w:ascii="SWISS" w:hAnsi="SWISS" w:cs="Arial"/>
                <w:sz w:val="20"/>
                <w:szCs w:val="20"/>
                <w:u w:val="double"/>
              </w:rPr>
              <w:t>10.00%</w:t>
            </w: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jc w:val="right"/>
              <w:rPr>
                <w:rFonts w:ascii="SWISS" w:hAnsi="SWISS" w:cs="Arial"/>
                <w:color w:val="000000"/>
                <w:sz w:val="20"/>
                <w:szCs w:val="20"/>
              </w:rPr>
            </w:pPr>
            <w:r>
              <w:rPr>
                <w:rFonts w:ascii="SWISS" w:hAnsi="SWISS" w:cs="Arial"/>
                <w:color w:val="000000"/>
                <w:sz w:val="20"/>
                <w:szCs w:val="20"/>
              </w:rPr>
              <w:t> </w:t>
            </w:r>
          </w:p>
        </w:tc>
        <w:tc>
          <w:tcPr>
            <w:tcW w:w="1456" w:type="pct"/>
            <w:tcBorders>
              <w:top w:val="nil"/>
              <w:left w:val="nil"/>
              <w:bottom w:val="nil"/>
              <w:right w:val="nil"/>
            </w:tcBorders>
            <w:shd w:val="clear" w:color="auto" w:fill="auto"/>
            <w:noWrap/>
            <w:vAlign w:val="bottom"/>
            <w:hideMark/>
          </w:tcPr>
          <w:p w:rsidR="00061369" w:rsidRDefault="00061369">
            <w:pPr>
              <w:rPr>
                <w:rFonts w:ascii="SWISS" w:hAnsi="SWISS" w:cs="Arial"/>
                <w:b/>
                <w:bCs/>
                <w:color w:val="000000"/>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u w:val="double"/>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u w:val="double"/>
              </w:rPr>
            </w:pP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933"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u w:val="double"/>
              </w:rPr>
            </w:pP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nil"/>
              <w:right w:val="nil"/>
            </w:tcBorders>
            <w:shd w:val="clear" w:color="auto" w:fill="auto"/>
            <w:noWrap/>
            <w:vAlign w:val="bottom"/>
            <w:hideMark/>
          </w:tcPr>
          <w:p w:rsidR="00061369" w:rsidRDefault="00061369">
            <w:pPr>
              <w:jc w:val="right"/>
              <w:rPr>
                <w:rFonts w:ascii="SWISS" w:hAnsi="SWISS" w:cs="Arial"/>
                <w:color w:val="000000"/>
                <w:sz w:val="20"/>
                <w:szCs w:val="20"/>
              </w:rPr>
            </w:pPr>
            <w:r>
              <w:rPr>
                <w:rFonts w:ascii="SWISS" w:hAnsi="SWISS" w:cs="Arial"/>
                <w:color w:val="000000"/>
                <w:sz w:val="20"/>
                <w:szCs w:val="20"/>
              </w:rPr>
              <w:t> </w:t>
            </w:r>
          </w:p>
        </w:tc>
        <w:tc>
          <w:tcPr>
            <w:tcW w:w="1456" w:type="pct"/>
            <w:tcBorders>
              <w:top w:val="nil"/>
              <w:left w:val="nil"/>
              <w:bottom w:val="nil"/>
              <w:right w:val="nil"/>
            </w:tcBorders>
            <w:shd w:val="clear" w:color="auto" w:fill="auto"/>
            <w:noWrap/>
            <w:vAlign w:val="bottom"/>
            <w:hideMark/>
          </w:tcPr>
          <w:p w:rsidR="00061369" w:rsidRDefault="00061369">
            <w:pPr>
              <w:jc w:val="right"/>
              <w:rPr>
                <w:rFonts w:ascii="SWISS" w:hAnsi="SWISS" w:cs="Arial"/>
                <w:b/>
                <w:bCs/>
                <w:color w:val="000000"/>
                <w:sz w:val="20"/>
                <w:szCs w:val="20"/>
              </w:rPr>
            </w:pPr>
            <w:r>
              <w:rPr>
                <w:rFonts w:ascii="SWISS" w:hAnsi="SWISS" w:cs="Arial"/>
                <w:b/>
                <w:bCs/>
                <w:color w:val="000000"/>
                <w:sz w:val="20"/>
                <w:szCs w:val="20"/>
              </w:rPr>
              <w:t>RATE OF RETURN</w:t>
            </w: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double"/>
              </w:rPr>
            </w:pPr>
            <w:r w:rsidRPr="00CC294A">
              <w:rPr>
                <w:rFonts w:ascii="SWISS" w:hAnsi="SWISS" w:cs="Arial"/>
                <w:sz w:val="20"/>
                <w:szCs w:val="20"/>
                <w:u w:val="double"/>
              </w:rPr>
              <w:t>-54.14%</w:t>
            </w: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566" w:type="pct"/>
            <w:tcBorders>
              <w:top w:val="nil"/>
              <w:left w:val="nil"/>
              <w:bottom w:val="nil"/>
              <w:right w:val="nil"/>
            </w:tcBorders>
            <w:shd w:val="clear" w:color="auto" w:fill="auto"/>
            <w:noWrap/>
            <w:vAlign w:val="bottom"/>
            <w:hideMark/>
          </w:tcPr>
          <w:p w:rsidR="00061369" w:rsidRPr="00CC294A" w:rsidRDefault="00061369">
            <w:pPr>
              <w:jc w:val="right"/>
              <w:rPr>
                <w:rFonts w:ascii="SWISS" w:hAnsi="SWISS" w:cs="Arial"/>
                <w:sz w:val="20"/>
                <w:szCs w:val="20"/>
                <w:u w:val="double"/>
              </w:rPr>
            </w:pPr>
            <w:r w:rsidRPr="00CC294A">
              <w:rPr>
                <w:rFonts w:ascii="SWISS" w:hAnsi="SWISS" w:cs="Arial"/>
                <w:sz w:val="20"/>
                <w:szCs w:val="20"/>
                <w:u w:val="double"/>
              </w:rPr>
              <w:t>-104.39%</w:t>
            </w:r>
          </w:p>
        </w:tc>
        <w:tc>
          <w:tcPr>
            <w:tcW w:w="566"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rPr>
            </w:pPr>
          </w:p>
        </w:tc>
        <w:tc>
          <w:tcPr>
            <w:tcW w:w="933" w:type="pct"/>
            <w:tcBorders>
              <w:top w:val="nil"/>
              <w:left w:val="nil"/>
              <w:bottom w:val="nil"/>
              <w:right w:val="nil"/>
            </w:tcBorders>
            <w:shd w:val="clear" w:color="auto" w:fill="auto"/>
            <w:noWrap/>
            <w:vAlign w:val="bottom"/>
            <w:hideMark/>
          </w:tcPr>
          <w:p w:rsidR="00061369" w:rsidRPr="00CC294A" w:rsidRDefault="00061369">
            <w:pPr>
              <w:rPr>
                <w:rFonts w:ascii="SWISS" w:hAnsi="SWISS" w:cs="Arial"/>
                <w:sz w:val="20"/>
                <w:szCs w:val="20"/>
                <w:u w:val="double"/>
              </w:rPr>
            </w:pPr>
          </w:p>
        </w:tc>
        <w:tc>
          <w:tcPr>
            <w:tcW w:w="147" w:type="pct"/>
            <w:tcBorders>
              <w:top w:val="nil"/>
              <w:left w:val="nil"/>
              <w:bottom w:val="nil"/>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r w:rsidR="00061369" w:rsidTr="00061369">
        <w:trPr>
          <w:trHeight w:val="300"/>
        </w:trPr>
        <w:tc>
          <w:tcPr>
            <w:tcW w:w="201" w:type="pct"/>
            <w:tcBorders>
              <w:top w:val="nil"/>
              <w:left w:val="single" w:sz="4" w:space="0" w:color="auto"/>
              <w:bottom w:val="single" w:sz="4" w:space="0" w:color="auto"/>
              <w:right w:val="nil"/>
            </w:tcBorders>
            <w:shd w:val="clear" w:color="auto" w:fill="auto"/>
            <w:noWrap/>
            <w:vAlign w:val="bottom"/>
            <w:hideMark/>
          </w:tcPr>
          <w:p w:rsidR="00061369" w:rsidRDefault="00061369">
            <w:pPr>
              <w:jc w:val="center"/>
              <w:rPr>
                <w:rFonts w:ascii="SWISS" w:hAnsi="SWISS" w:cs="Arial"/>
                <w:color w:val="000000"/>
                <w:sz w:val="20"/>
                <w:szCs w:val="20"/>
              </w:rPr>
            </w:pPr>
            <w:r>
              <w:rPr>
                <w:rFonts w:ascii="SWISS" w:hAnsi="SWISS" w:cs="Arial"/>
                <w:color w:val="000000"/>
                <w:sz w:val="20"/>
                <w:szCs w:val="20"/>
              </w:rPr>
              <w:t> </w:t>
            </w:r>
          </w:p>
        </w:tc>
        <w:tc>
          <w:tcPr>
            <w:tcW w:w="1456" w:type="pct"/>
            <w:tcBorders>
              <w:top w:val="nil"/>
              <w:left w:val="nil"/>
              <w:bottom w:val="single" w:sz="4" w:space="0" w:color="auto"/>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nil"/>
              <w:left w:val="nil"/>
              <w:bottom w:val="single" w:sz="4" w:space="0" w:color="auto"/>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nil"/>
              <w:left w:val="nil"/>
              <w:bottom w:val="single" w:sz="4" w:space="0" w:color="auto"/>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nil"/>
              <w:left w:val="nil"/>
              <w:bottom w:val="single" w:sz="4" w:space="0" w:color="auto"/>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566" w:type="pct"/>
            <w:tcBorders>
              <w:top w:val="nil"/>
              <w:left w:val="nil"/>
              <w:bottom w:val="single" w:sz="4" w:space="0" w:color="auto"/>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933" w:type="pct"/>
            <w:tcBorders>
              <w:top w:val="nil"/>
              <w:left w:val="nil"/>
              <w:bottom w:val="single" w:sz="4" w:space="0" w:color="auto"/>
              <w:right w:val="nil"/>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c>
          <w:tcPr>
            <w:tcW w:w="147" w:type="pct"/>
            <w:tcBorders>
              <w:top w:val="nil"/>
              <w:left w:val="nil"/>
              <w:bottom w:val="single" w:sz="4" w:space="0" w:color="auto"/>
              <w:right w:val="single" w:sz="4" w:space="0" w:color="auto"/>
            </w:tcBorders>
            <w:shd w:val="clear" w:color="auto" w:fill="auto"/>
            <w:noWrap/>
            <w:vAlign w:val="bottom"/>
            <w:hideMark/>
          </w:tcPr>
          <w:p w:rsidR="00061369" w:rsidRDefault="00061369">
            <w:pPr>
              <w:rPr>
                <w:rFonts w:ascii="SWISS" w:hAnsi="SWISS" w:cs="Arial"/>
                <w:color w:val="000000"/>
                <w:sz w:val="20"/>
                <w:szCs w:val="20"/>
              </w:rPr>
            </w:pPr>
            <w:r>
              <w:rPr>
                <w:rFonts w:ascii="SWISS" w:hAnsi="SWISS" w:cs="Arial"/>
                <w:color w:val="000000"/>
                <w:sz w:val="20"/>
                <w:szCs w:val="20"/>
              </w:rPr>
              <w:t> </w:t>
            </w:r>
          </w:p>
        </w:tc>
      </w:tr>
    </w:tbl>
    <w:p w:rsidR="00061369" w:rsidRDefault="00061369" w:rsidP="00212B92">
      <w:pPr>
        <w:sectPr w:rsidR="00061369" w:rsidSect="00061369">
          <w:headerReference w:type="default" r:id="rId21"/>
          <w:pgSz w:w="15840" w:h="12240" w:orient="landscape" w:code="1"/>
          <w:pgMar w:top="1296" w:right="1584" w:bottom="1296" w:left="1440" w:header="720" w:footer="720" w:gutter="0"/>
          <w:cols w:space="720"/>
          <w:formProt w:val="0"/>
          <w:docGrid w:linePitch="360"/>
        </w:sectPr>
      </w:pPr>
    </w:p>
    <w:p w:rsidR="00061369" w:rsidRDefault="00061369" w:rsidP="00061369">
      <w:pPr>
        <w:pStyle w:val="BodyText"/>
      </w:pPr>
      <w:r w:rsidRPr="000D060F">
        <w:lastRenderedPageBreak/>
        <w:fldChar w:fldCharType="begin"/>
      </w:r>
      <w:r w:rsidRPr="000D060F">
        <w:instrText xml:space="preserve"> TC "</w:instrText>
      </w:r>
      <w:bookmarkStart w:id="43" w:name="_Toc431459595"/>
      <w:r w:rsidRPr="000D060F">
        <w:tab/>
      </w:r>
      <w:r>
        <w:instrText>Schedule 3-B</w:instrText>
      </w:r>
      <w:bookmarkEnd w:id="43"/>
      <w:r w:rsidRPr="000D060F">
        <w:instrText xml:space="preserve">" \l 1 </w:instrText>
      </w:r>
      <w:r w:rsidRPr="000D060F">
        <w:fldChar w:fldCharType="end"/>
      </w:r>
    </w:p>
    <w:p w:rsidR="00212B92" w:rsidRDefault="00212B92" w:rsidP="00212B92"/>
    <w:tbl>
      <w:tblPr>
        <w:tblW w:w="9440" w:type="dxa"/>
        <w:tblInd w:w="93" w:type="dxa"/>
        <w:tblLook w:val="04A0" w:firstRow="1" w:lastRow="0" w:firstColumn="1" w:lastColumn="0" w:noHBand="0" w:noVBand="1"/>
      </w:tblPr>
      <w:tblGrid>
        <w:gridCol w:w="520"/>
        <w:gridCol w:w="6340"/>
        <w:gridCol w:w="2349"/>
        <w:gridCol w:w="266"/>
      </w:tblGrid>
      <w:tr w:rsidR="00830BE0" w:rsidTr="00830BE0">
        <w:trPr>
          <w:trHeight w:val="300"/>
        </w:trPr>
        <w:tc>
          <w:tcPr>
            <w:tcW w:w="520" w:type="dxa"/>
            <w:tcBorders>
              <w:top w:val="single" w:sz="4" w:space="0" w:color="auto"/>
              <w:left w:val="single" w:sz="4" w:space="0" w:color="auto"/>
              <w:bottom w:val="nil"/>
              <w:right w:val="nil"/>
            </w:tcBorders>
            <w:shd w:val="clear" w:color="auto" w:fill="auto"/>
            <w:noWrap/>
            <w:vAlign w:val="bottom"/>
            <w:hideMark/>
          </w:tcPr>
          <w:p w:rsidR="00830BE0" w:rsidRDefault="00830BE0">
            <w:pPr>
              <w:rPr>
                <w:rFonts w:ascii="Arial" w:hAnsi="Arial" w:cs="Arial"/>
              </w:rPr>
            </w:pPr>
            <w:r>
              <w:rPr>
                <w:rFonts w:ascii="Arial" w:hAnsi="Arial" w:cs="Arial"/>
              </w:rPr>
              <w:t> </w:t>
            </w:r>
          </w:p>
        </w:tc>
        <w:tc>
          <w:tcPr>
            <w:tcW w:w="6340" w:type="dxa"/>
            <w:tcBorders>
              <w:top w:val="single" w:sz="4" w:space="0" w:color="auto"/>
              <w:left w:val="nil"/>
              <w:bottom w:val="nil"/>
              <w:right w:val="nil"/>
            </w:tcBorders>
            <w:shd w:val="clear" w:color="auto" w:fill="auto"/>
            <w:noWrap/>
            <w:vAlign w:val="bottom"/>
            <w:hideMark/>
          </w:tcPr>
          <w:p w:rsidR="00830BE0" w:rsidRDefault="00830BE0">
            <w:pPr>
              <w:rPr>
                <w:rFonts w:ascii="SWISS" w:hAnsi="SWISS" w:cs="Arial"/>
                <w:b/>
                <w:bCs/>
                <w:sz w:val="20"/>
                <w:szCs w:val="20"/>
              </w:rPr>
            </w:pPr>
            <w:r>
              <w:rPr>
                <w:rFonts w:ascii="SWISS" w:hAnsi="SWISS" w:cs="Arial"/>
                <w:b/>
                <w:bCs/>
                <w:sz w:val="20"/>
                <w:szCs w:val="20"/>
              </w:rPr>
              <w:t>CEDAR ACRES, INC.</w:t>
            </w:r>
          </w:p>
        </w:tc>
        <w:tc>
          <w:tcPr>
            <w:tcW w:w="2580" w:type="dxa"/>
            <w:gridSpan w:val="2"/>
            <w:tcBorders>
              <w:top w:val="single" w:sz="4" w:space="0" w:color="auto"/>
              <w:left w:val="nil"/>
              <w:bottom w:val="nil"/>
              <w:right w:val="single" w:sz="4" w:space="0" w:color="000000"/>
            </w:tcBorders>
            <w:shd w:val="clear" w:color="auto" w:fill="auto"/>
            <w:noWrap/>
            <w:vAlign w:val="bottom"/>
            <w:hideMark/>
          </w:tcPr>
          <w:p w:rsidR="00830BE0" w:rsidRDefault="00830BE0">
            <w:pPr>
              <w:jc w:val="right"/>
              <w:rPr>
                <w:rFonts w:ascii="SWISS" w:hAnsi="SWISS" w:cs="Arial"/>
                <w:b/>
                <w:bCs/>
                <w:sz w:val="20"/>
                <w:szCs w:val="20"/>
              </w:rPr>
            </w:pPr>
            <w:r>
              <w:rPr>
                <w:rFonts w:ascii="SWISS" w:hAnsi="SWISS" w:cs="Arial"/>
                <w:b/>
                <w:bCs/>
                <w:sz w:val="20"/>
                <w:szCs w:val="20"/>
              </w:rPr>
              <w:t>SCHEDULE NO. 3-B</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rPr>
                <w:rFonts w:ascii="Arial" w:hAnsi="Arial" w:cs="Arial"/>
              </w:rPr>
            </w:pPr>
            <w:r>
              <w:rPr>
                <w:rFonts w:ascii="Arial" w:hAnsi="Arial" w:cs="Arial"/>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b/>
                <w:bCs/>
                <w:sz w:val="20"/>
                <w:szCs w:val="20"/>
              </w:rPr>
            </w:pPr>
            <w:r>
              <w:rPr>
                <w:rFonts w:ascii="SWISS" w:hAnsi="SWISS" w:cs="Arial"/>
                <w:b/>
                <w:bCs/>
                <w:sz w:val="20"/>
                <w:szCs w:val="20"/>
              </w:rPr>
              <w:t>TEST YEAR ENDED   09/30/14</w:t>
            </w:r>
          </w:p>
        </w:tc>
        <w:tc>
          <w:tcPr>
            <w:tcW w:w="2580" w:type="dxa"/>
            <w:gridSpan w:val="2"/>
            <w:tcBorders>
              <w:top w:val="nil"/>
              <w:left w:val="nil"/>
              <w:bottom w:val="nil"/>
              <w:right w:val="single" w:sz="4" w:space="0" w:color="000000"/>
            </w:tcBorders>
            <w:shd w:val="clear" w:color="auto" w:fill="auto"/>
            <w:noWrap/>
            <w:vAlign w:val="bottom"/>
            <w:hideMark/>
          </w:tcPr>
          <w:p w:rsidR="00830BE0" w:rsidRDefault="00830BE0">
            <w:pPr>
              <w:jc w:val="right"/>
              <w:rPr>
                <w:rFonts w:ascii="SWISS" w:hAnsi="SWISS" w:cs="Arial"/>
                <w:b/>
                <w:bCs/>
                <w:sz w:val="20"/>
                <w:szCs w:val="20"/>
              </w:rPr>
            </w:pPr>
            <w:r>
              <w:rPr>
                <w:rFonts w:ascii="SWISS" w:hAnsi="SWISS" w:cs="Arial"/>
                <w:b/>
                <w:bCs/>
                <w:sz w:val="20"/>
                <w:szCs w:val="20"/>
              </w:rPr>
              <w:t>DOCKET NO</w:t>
            </w:r>
            <w:proofErr w:type="gramStart"/>
            <w:r>
              <w:rPr>
                <w:rFonts w:ascii="SWISS" w:hAnsi="SWISS" w:cs="Arial"/>
                <w:b/>
                <w:bCs/>
                <w:sz w:val="20"/>
                <w:szCs w:val="20"/>
              </w:rPr>
              <w:t xml:space="preserve">.  </w:t>
            </w:r>
            <w:proofErr w:type="gramEnd"/>
            <w:r>
              <w:rPr>
                <w:rFonts w:ascii="SWISS" w:hAnsi="SWISS" w:cs="Arial"/>
                <w:b/>
                <w:bCs/>
                <w:sz w:val="20"/>
                <w:szCs w:val="20"/>
              </w:rPr>
              <w:t>140217-WU</w:t>
            </w:r>
          </w:p>
        </w:tc>
      </w:tr>
      <w:tr w:rsidR="00830BE0" w:rsidTr="00830BE0">
        <w:trPr>
          <w:trHeight w:val="300"/>
        </w:trPr>
        <w:tc>
          <w:tcPr>
            <w:tcW w:w="520" w:type="dxa"/>
            <w:tcBorders>
              <w:top w:val="nil"/>
              <w:left w:val="single" w:sz="4" w:space="0" w:color="auto"/>
              <w:bottom w:val="single" w:sz="4" w:space="0" w:color="auto"/>
              <w:right w:val="nil"/>
            </w:tcBorders>
            <w:shd w:val="clear" w:color="auto" w:fill="auto"/>
            <w:noWrap/>
            <w:vAlign w:val="bottom"/>
            <w:hideMark/>
          </w:tcPr>
          <w:p w:rsidR="00830BE0" w:rsidRDefault="00830BE0">
            <w:pPr>
              <w:rPr>
                <w:rFonts w:ascii="Arial" w:hAnsi="Arial" w:cs="Arial"/>
              </w:rPr>
            </w:pPr>
            <w:r>
              <w:rPr>
                <w:rFonts w:ascii="Arial" w:hAnsi="Arial" w:cs="Arial"/>
              </w:rPr>
              <w:t> </w:t>
            </w:r>
          </w:p>
        </w:tc>
        <w:tc>
          <w:tcPr>
            <w:tcW w:w="6340" w:type="dxa"/>
            <w:tcBorders>
              <w:top w:val="nil"/>
              <w:left w:val="nil"/>
              <w:bottom w:val="single" w:sz="4" w:space="0" w:color="auto"/>
              <w:right w:val="nil"/>
            </w:tcBorders>
            <w:shd w:val="clear" w:color="auto" w:fill="auto"/>
            <w:noWrap/>
            <w:vAlign w:val="bottom"/>
            <w:hideMark/>
          </w:tcPr>
          <w:p w:rsidR="00830BE0" w:rsidRDefault="00830BE0">
            <w:pPr>
              <w:rPr>
                <w:rFonts w:ascii="SWISS" w:hAnsi="SWISS" w:cs="Arial"/>
                <w:b/>
                <w:bCs/>
                <w:sz w:val="20"/>
                <w:szCs w:val="20"/>
              </w:rPr>
            </w:pPr>
            <w:r>
              <w:rPr>
                <w:rFonts w:ascii="SWISS" w:hAnsi="SWISS" w:cs="Arial"/>
                <w:b/>
                <w:bCs/>
                <w:sz w:val="20"/>
                <w:szCs w:val="20"/>
              </w:rPr>
              <w:t>ADJUSTMENTS TO OPERATING INCOME</w:t>
            </w:r>
          </w:p>
        </w:tc>
        <w:tc>
          <w:tcPr>
            <w:tcW w:w="2580" w:type="dxa"/>
            <w:gridSpan w:val="2"/>
            <w:tcBorders>
              <w:top w:val="nil"/>
              <w:left w:val="nil"/>
              <w:bottom w:val="single" w:sz="4" w:space="0" w:color="auto"/>
              <w:right w:val="single" w:sz="4" w:space="0" w:color="000000"/>
            </w:tcBorders>
            <w:shd w:val="clear" w:color="auto" w:fill="auto"/>
            <w:noWrap/>
            <w:vAlign w:val="bottom"/>
            <w:hideMark/>
          </w:tcPr>
          <w:p w:rsidR="00830BE0" w:rsidRDefault="00830BE0">
            <w:pPr>
              <w:jc w:val="right"/>
              <w:rPr>
                <w:rFonts w:ascii="SWISS" w:hAnsi="SWISS" w:cs="Arial"/>
                <w:b/>
                <w:bCs/>
                <w:sz w:val="20"/>
                <w:szCs w:val="20"/>
              </w:rPr>
            </w:pPr>
            <w:r>
              <w:rPr>
                <w:rFonts w:ascii="SWISS" w:hAnsi="SWISS" w:cs="Arial"/>
                <w:b/>
                <w:bCs/>
                <w:sz w:val="20"/>
                <w:szCs w:val="20"/>
              </w:rPr>
              <w:t>PAGE 1 OF 2</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rPr>
                <w:rFonts w:ascii="Arial" w:hAnsi="Arial" w:cs="Arial"/>
              </w:rPr>
            </w:pPr>
            <w:r>
              <w:rPr>
                <w:rFonts w:ascii="Arial" w:hAnsi="Arial" w:cs="Arial"/>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b/>
                <w:bCs/>
                <w:sz w:val="20"/>
                <w:szCs w:val="20"/>
              </w:rPr>
            </w:pPr>
          </w:p>
        </w:tc>
        <w:tc>
          <w:tcPr>
            <w:tcW w:w="2349"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rPr>
                <w:rFonts w:ascii="Arial" w:hAnsi="Arial" w:cs="Arial"/>
              </w:rPr>
            </w:pPr>
            <w:r>
              <w:rPr>
                <w:rFonts w:ascii="Arial" w:hAnsi="Arial" w:cs="Arial"/>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b/>
                <w:bCs/>
                <w:sz w:val="20"/>
                <w:szCs w:val="20"/>
              </w:rPr>
            </w:pPr>
          </w:p>
        </w:tc>
        <w:tc>
          <w:tcPr>
            <w:tcW w:w="2349" w:type="dxa"/>
            <w:tcBorders>
              <w:top w:val="nil"/>
              <w:left w:val="nil"/>
              <w:bottom w:val="nil"/>
              <w:right w:val="nil"/>
            </w:tcBorders>
            <w:shd w:val="clear" w:color="auto" w:fill="auto"/>
            <w:noWrap/>
            <w:vAlign w:val="bottom"/>
            <w:hideMark/>
          </w:tcPr>
          <w:p w:rsidR="00830BE0" w:rsidRDefault="00830BE0">
            <w:pPr>
              <w:jc w:val="center"/>
              <w:rPr>
                <w:rFonts w:ascii="SWISS" w:hAnsi="SWISS" w:cs="Arial"/>
                <w:b/>
                <w:bCs/>
                <w:sz w:val="20"/>
                <w:szCs w:val="20"/>
                <w:u w:val="single"/>
              </w:rPr>
            </w:pPr>
            <w:r>
              <w:rPr>
                <w:rFonts w:ascii="SWISS" w:hAnsi="SWISS" w:cs="Arial"/>
                <w:b/>
                <w:bCs/>
                <w:sz w:val="20"/>
                <w:szCs w:val="20"/>
                <w:u w:val="single"/>
              </w:rPr>
              <w:t>WATER</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rPr>
                <w:rFonts w:ascii="Arial" w:hAnsi="Arial" w:cs="Arial"/>
              </w:rPr>
            </w:pPr>
            <w:r>
              <w:rPr>
                <w:rFonts w:ascii="Arial" w:hAnsi="Arial" w:cs="Arial"/>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b/>
                <w:bCs/>
                <w:sz w:val="20"/>
                <w:szCs w:val="20"/>
              </w:rPr>
            </w:pPr>
            <w:r>
              <w:rPr>
                <w:rFonts w:ascii="SWISS" w:hAnsi="SWISS" w:cs="Arial"/>
                <w:b/>
                <w:bCs/>
                <w:sz w:val="20"/>
                <w:szCs w:val="20"/>
              </w:rPr>
              <w:t>OPERATING REVENUES</w:t>
            </w:r>
          </w:p>
        </w:tc>
        <w:tc>
          <w:tcPr>
            <w:tcW w:w="2349"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rPr>
                <w:rFonts w:ascii="Arial" w:hAnsi="Arial" w:cs="Arial"/>
              </w:rPr>
            </w:pPr>
            <w:r>
              <w:rPr>
                <w:rFonts w:ascii="Arial" w:hAnsi="Arial" w:cs="Arial"/>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To adjust utility revenues to audited test year amount.</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u w:val="double"/>
              </w:rPr>
            </w:pPr>
            <w:r>
              <w:rPr>
                <w:rFonts w:ascii="SWISS" w:hAnsi="SWISS" w:cs="Arial"/>
                <w:sz w:val="20"/>
                <w:szCs w:val="20"/>
                <w:u w:val="double"/>
              </w:rPr>
              <w:t xml:space="preserve">$6,813 </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rPr>
                <w:rFonts w:ascii="Arial" w:hAnsi="Arial" w:cs="Arial"/>
              </w:rPr>
            </w:pPr>
            <w:r>
              <w:rPr>
                <w:rFonts w:ascii="Arial" w:hAnsi="Arial" w:cs="Arial"/>
              </w:rPr>
              <w:t> </w:t>
            </w:r>
          </w:p>
        </w:tc>
        <w:tc>
          <w:tcPr>
            <w:tcW w:w="6340" w:type="dxa"/>
            <w:tcBorders>
              <w:top w:val="nil"/>
              <w:left w:val="nil"/>
              <w:bottom w:val="nil"/>
              <w:right w:val="nil"/>
            </w:tcBorders>
            <w:shd w:val="clear" w:color="auto" w:fill="auto"/>
            <w:noWrap/>
            <w:vAlign w:val="bottom"/>
            <w:hideMark/>
          </w:tcPr>
          <w:p w:rsidR="00830BE0" w:rsidRDefault="00830BE0">
            <w:pPr>
              <w:rPr>
                <w:rFonts w:ascii="Arial" w:hAnsi="Arial" w:cs="Arial"/>
              </w:rPr>
            </w:pP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rPr>
                <w:rFonts w:ascii="Arial" w:hAnsi="Arial" w:cs="Arial"/>
              </w:rPr>
            </w:pPr>
            <w:r>
              <w:rPr>
                <w:rFonts w:ascii="Arial" w:hAnsi="Arial" w:cs="Arial"/>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b/>
                <w:bCs/>
                <w:sz w:val="20"/>
                <w:szCs w:val="20"/>
              </w:rPr>
            </w:pPr>
            <w:r>
              <w:rPr>
                <w:rFonts w:ascii="SWISS" w:hAnsi="SWISS" w:cs="Arial"/>
                <w:b/>
                <w:bCs/>
                <w:sz w:val="20"/>
                <w:szCs w:val="20"/>
              </w:rPr>
              <w:t>OPERATION AND MAINTENANCE EXPENSES</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1.</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Salaries and Wages - Employees (601)</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Adjustment to annualize increased salary per audit.</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xml:space="preserve">$1,086 </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To reduce Finance Manager's salary.</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u w:val="single"/>
              </w:rPr>
            </w:pPr>
            <w:r>
              <w:rPr>
                <w:rFonts w:ascii="SWISS" w:hAnsi="SWISS" w:cs="Arial"/>
                <w:sz w:val="20"/>
                <w:szCs w:val="20"/>
                <w:u w:val="single"/>
              </w:rPr>
              <w:t>(12,985)</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xml:space="preserve">     Total</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u w:val="double"/>
              </w:rPr>
            </w:pPr>
            <w:r>
              <w:rPr>
                <w:rFonts w:ascii="SWISS" w:hAnsi="SWISS" w:cs="Arial"/>
                <w:sz w:val="20"/>
                <w:szCs w:val="20"/>
                <w:u w:val="double"/>
              </w:rPr>
              <w:t>($11,899)</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2.</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Salaries and Wages - Officers (603)</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Allow salary for President.</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xml:space="preserve">$4,142 </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To reduce President's salary per ENG</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u w:val="single"/>
              </w:rPr>
            </w:pPr>
            <w:r>
              <w:rPr>
                <w:rFonts w:ascii="SWISS" w:hAnsi="SWISS" w:cs="Arial"/>
                <w:sz w:val="20"/>
                <w:szCs w:val="20"/>
                <w:u w:val="single"/>
              </w:rPr>
              <w:t>(1,035)</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xml:space="preserve">     Total</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u w:val="double"/>
              </w:rPr>
            </w:pPr>
            <w:r>
              <w:rPr>
                <w:rFonts w:ascii="SWISS" w:hAnsi="SWISS" w:cs="Arial"/>
                <w:sz w:val="20"/>
                <w:szCs w:val="20"/>
                <w:u w:val="double"/>
              </w:rPr>
              <w:t xml:space="preserve">$3,106 </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3.</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Purchased Power (615)</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To reflect actual test year expense.</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($226)</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To remove amount associated with pump at unused wellsite.</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u w:val="single"/>
              </w:rPr>
            </w:pPr>
            <w:r>
              <w:rPr>
                <w:rFonts w:ascii="SWISS" w:hAnsi="SWISS" w:cs="Arial"/>
                <w:sz w:val="20"/>
                <w:szCs w:val="20"/>
                <w:u w:val="single"/>
              </w:rPr>
              <w:t>(148)</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xml:space="preserve">     Total</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u w:val="double"/>
              </w:rPr>
            </w:pPr>
            <w:r>
              <w:rPr>
                <w:rFonts w:ascii="SWISS" w:hAnsi="SWISS" w:cs="Arial"/>
                <w:sz w:val="20"/>
                <w:szCs w:val="20"/>
                <w:u w:val="double"/>
              </w:rPr>
              <w:t>($374)</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4</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Contractual Services - Professional (632)</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To remove temporary office help.</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($3,488)</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To remove amount for 2012 income tax preparation.</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(985)</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To remove estimate for yearly annual report.</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(2,100)</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To remove amount for non-</w:t>
            </w:r>
            <w:r w:rsidR="00AB606D">
              <w:rPr>
                <w:rFonts w:ascii="SWISS" w:hAnsi="SWISS" w:cs="Arial"/>
                <w:sz w:val="20"/>
                <w:szCs w:val="20"/>
              </w:rPr>
              <w:t>recurring</w:t>
            </w:r>
            <w:r>
              <w:rPr>
                <w:rFonts w:ascii="SWISS" w:hAnsi="SWISS" w:cs="Arial"/>
                <w:sz w:val="20"/>
                <w:szCs w:val="20"/>
              </w:rPr>
              <w:t xml:space="preserve"> consulting expense.</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(425)</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To reflect appropriate estimate amount for yearly annual report.</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(330)</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To reflect five-year amortization of non-recurring expenses.</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xml:space="preserve">1,466 </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To reflect meter replacement program.</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u w:val="single"/>
              </w:rPr>
            </w:pPr>
            <w:r>
              <w:rPr>
                <w:rFonts w:ascii="SWISS" w:hAnsi="SWISS" w:cs="Arial"/>
                <w:sz w:val="20"/>
                <w:szCs w:val="20"/>
                <w:u w:val="single"/>
              </w:rPr>
              <w:t xml:space="preserve">5,760 </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xml:space="preserve">     Total</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u w:val="double"/>
              </w:rPr>
            </w:pPr>
            <w:r>
              <w:rPr>
                <w:rFonts w:ascii="SWISS" w:hAnsi="SWISS" w:cs="Arial"/>
                <w:sz w:val="20"/>
                <w:szCs w:val="20"/>
                <w:u w:val="double"/>
              </w:rPr>
              <w:t>($102)</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5</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Contractual Services - Testing (635)</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To reflect addition of FDEP required tri-annual testing.</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xml:space="preserve">$885 </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Reduce account for duplicate invoice.</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u w:val="single"/>
              </w:rPr>
            </w:pPr>
            <w:r>
              <w:rPr>
                <w:rFonts w:ascii="SWISS" w:hAnsi="SWISS" w:cs="Arial"/>
                <w:sz w:val="20"/>
                <w:szCs w:val="20"/>
                <w:u w:val="single"/>
              </w:rPr>
              <w:t>(595)</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xml:space="preserve">     Total</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u w:val="double"/>
              </w:rPr>
            </w:pPr>
            <w:r>
              <w:rPr>
                <w:rFonts w:ascii="SWISS" w:hAnsi="SWISS" w:cs="Arial"/>
                <w:sz w:val="20"/>
                <w:szCs w:val="20"/>
                <w:u w:val="double"/>
              </w:rPr>
              <w:t xml:space="preserve">$290 </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6.</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Rent Expense (640)</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b/>
                <w:bCs/>
                <w:color w:val="0000FF"/>
                <w:sz w:val="20"/>
                <w:szCs w:val="20"/>
                <w:u w:val="double"/>
              </w:rPr>
            </w:pP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Include allowance for annual Rent Expense.</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u w:val="double"/>
              </w:rPr>
            </w:pPr>
            <w:r>
              <w:rPr>
                <w:rFonts w:ascii="SWISS" w:hAnsi="SWISS" w:cs="Arial"/>
                <w:sz w:val="20"/>
                <w:szCs w:val="20"/>
                <w:u w:val="double"/>
              </w:rPr>
              <w:t xml:space="preserve">$9,144 </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7.</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Regulatory Commission Expense (665)</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rPr>
            </w:pP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nil"/>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Allowance for rate case expense amortized over four years.</w:t>
            </w:r>
          </w:p>
        </w:tc>
        <w:tc>
          <w:tcPr>
            <w:tcW w:w="2349" w:type="dxa"/>
            <w:tcBorders>
              <w:top w:val="nil"/>
              <w:left w:val="nil"/>
              <w:bottom w:val="nil"/>
              <w:right w:val="nil"/>
            </w:tcBorders>
            <w:shd w:val="clear" w:color="auto" w:fill="auto"/>
            <w:noWrap/>
            <w:vAlign w:val="bottom"/>
            <w:hideMark/>
          </w:tcPr>
          <w:p w:rsidR="00830BE0" w:rsidRDefault="00830BE0">
            <w:pPr>
              <w:jc w:val="right"/>
              <w:rPr>
                <w:rFonts w:ascii="SWISS" w:hAnsi="SWISS" w:cs="Arial"/>
                <w:sz w:val="20"/>
                <w:szCs w:val="20"/>
                <w:u w:val="double"/>
              </w:rPr>
            </w:pPr>
            <w:r>
              <w:rPr>
                <w:rFonts w:ascii="SWISS" w:hAnsi="SWISS" w:cs="Arial"/>
                <w:sz w:val="20"/>
                <w:szCs w:val="20"/>
                <w:u w:val="double"/>
              </w:rPr>
              <w:t xml:space="preserve">$341 </w:t>
            </w:r>
          </w:p>
        </w:tc>
        <w:tc>
          <w:tcPr>
            <w:tcW w:w="231" w:type="dxa"/>
            <w:tcBorders>
              <w:top w:val="nil"/>
              <w:left w:val="nil"/>
              <w:bottom w:val="nil"/>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r w:rsidR="00830BE0" w:rsidTr="00830BE0">
        <w:trPr>
          <w:trHeight w:val="300"/>
        </w:trPr>
        <w:tc>
          <w:tcPr>
            <w:tcW w:w="520" w:type="dxa"/>
            <w:tcBorders>
              <w:top w:val="nil"/>
              <w:left w:val="single" w:sz="4" w:space="0" w:color="auto"/>
              <w:bottom w:val="single" w:sz="4" w:space="0" w:color="auto"/>
              <w:right w:val="nil"/>
            </w:tcBorders>
            <w:shd w:val="clear" w:color="auto" w:fill="auto"/>
            <w:noWrap/>
            <w:vAlign w:val="bottom"/>
            <w:hideMark/>
          </w:tcPr>
          <w:p w:rsidR="00830BE0" w:rsidRDefault="00830BE0">
            <w:pPr>
              <w:jc w:val="right"/>
              <w:rPr>
                <w:rFonts w:ascii="SWISS" w:hAnsi="SWISS" w:cs="Arial"/>
                <w:sz w:val="20"/>
                <w:szCs w:val="20"/>
              </w:rPr>
            </w:pPr>
            <w:r>
              <w:rPr>
                <w:rFonts w:ascii="SWISS" w:hAnsi="SWISS" w:cs="Arial"/>
                <w:sz w:val="20"/>
                <w:szCs w:val="20"/>
              </w:rPr>
              <w:t> </w:t>
            </w:r>
          </w:p>
        </w:tc>
        <w:tc>
          <w:tcPr>
            <w:tcW w:w="6340" w:type="dxa"/>
            <w:tcBorders>
              <w:top w:val="nil"/>
              <w:left w:val="nil"/>
              <w:bottom w:val="single" w:sz="4" w:space="0" w:color="auto"/>
              <w:right w:val="nil"/>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c>
          <w:tcPr>
            <w:tcW w:w="2349" w:type="dxa"/>
            <w:tcBorders>
              <w:top w:val="nil"/>
              <w:left w:val="nil"/>
              <w:bottom w:val="single" w:sz="4" w:space="0" w:color="auto"/>
              <w:right w:val="nil"/>
            </w:tcBorders>
            <w:shd w:val="clear" w:color="auto" w:fill="auto"/>
            <w:noWrap/>
            <w:vAlign w:val="bottom"/>
            <w:hideMark/>
          </w:tcPr>
          <w:p w:rsidR="00830BE0" w:rsidRDefault="00830BE0" w:rsidP="00831584">
            <w:pPr>
              <w:rPr>
                <w:rFonts w:ascii="SWISS" w:hAnsi="SWISS" w:cs="Arial"/>
                <w:sz w:val="20"/>
                <w:szCs w:val="20"/>
                <w:u w:val="double"/>
              </w:rPr>
            </w:pPr>
          </w:p>
        </w:tc>
        <w:tc>
          <w:tcPr>
            <w:tcW w:w="231" w:type="dxa"/>
            <w:tcBorders>
              <w:top w:val="nil"/>
              <w:left w:val="nil"/>
              <w:bottom w:val="single" w:sz="4" w:space="0" w:color="auto"/>
              <w:right w:val="single" w:sz="4" w:space="0" w:color="auto"/>
            </w:tcBorders>
            <w:shd w:val="clear" w:color="auto" w:fill="auto"/>
            <w:noWrap/>
            <w:vAlign w:val="bottom"/>
            <w:hideMark/>
          </w:tcPr>
          <w:p w:rsidR="00830BE0" w:rsidRDefault="00830BE0">
            <w:pPr>
              <w:rPr>
                <w:rFonts w:ascii="SWISS" w:hAnsi="SWISS" w:cs="Arial"/>
                <w:sz w:val="20"/>
                <w:szCs w:val="20"/>
              </w:rPr>
            </w:pPr>
            <w:r>
              <w:rPr>
                <w:rFonts w:ascii="SWISS" w:hAnsi="SWISS" w:cs="Arial"/>
                <w:sz w:val="20"/>
                <w:szCs w:val="20"/>
              </w:rPr>
              <w:t> </w:t>
            </w:r>
          </w:p>
        </w:tc>
      </w:tr>
    </w:tbl>
    <w:p w:rsidR="009F4054" w:rsidRDefault="009F4054" w:rsidP="00212B92"/>
    <w:p w:rsidR="00830BE0" w:rsidRDefault="00830BE0" w:rsidP="00212B92"/>
    <w:tbl>
      <w:tblPr>
        <w:tblW w:w="9440" w:type="dxa"/>
        <w:tblInd w:w="93" w:type="dxa"/>
        <w:tblLook w:val="04A0" w:firstRow="1" w:lastRow="0" w:firstColumn="1" w:lastColumn="0" w:noHBand="0" w:noVBand="1"/>
      </w:tblPr>
      <w:tblGrid>
        <w:gridCol w:w="520"/>
        <w:gridCol w:w="6340"/>
        <w:gridCol w:w="2342"/>
        <w:gridCol w:w="266"/>
      </w:tblGrid>
      <w:tr w:rsidR="00831584" w:rsidTr="00831584">
        <w:trPr>
          <w:trHeight w:val="300"/>
        </w:trPr>
        <w:tc>
          <w:tcPr>
            <w:tcW w:w="520" w:type="dxa"/>
            <w:tcBorders>
              <w:top w:val="single" w:sz="4" w:space="0" w:color="auto"/>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single" w:sz="4" w:space="0" w:color="auto"/>
              <w:left w:val="nil"/>
              <w:bottom w:val="nil"/>
              <w:right w:val="nil"/>
            </w:tcBorders>
            <w:shd w:val="clear" w:color="auto" w:fill="auto"/>
            <w:noWrap/>
            <w:vAlign w:val="bottom"/>
            <w:hideMark/>
          </w:tcPr>
          <w:p w:rsidR="00831584" w:rsidRDefault="00831584">
            <w:pPr>
              <w:rPr>
                <w:rFonts w:ascii="SWISS" w:hAnsi="SWISS" w:cs="Arial"/>
                <w:b/>
                <w:bCs/>
                <w:color w:val="000000"/>
                <w:sz w:val="20"/>
                <w:szCs w:val="20"/>
              </w:rPr>
            </w:pPr>
            <w:r>
              <w:rPr>
                <w:rFonts w:ascii="SWISS" w:hAnsi="SWISS" w:cs="Arial"/>
                <w:b/>
                <w:bCs/>
                <w:color w:val="000000"/>
                <w:sz w:val="20"/>
                <w:szCs w:val="20"/>
              </w:rPr>
              <w:t>CEDAR ACRES, INC.</w:t>
            </w:r>
          </w:p>
        </w:tc>
        <w:tc>
          <w:tcPr>
            <w:tcW w:w="2580" w:type="dxa"/>
            <w:gridSpan w:val="2"/>
            <w:tcBorders>
              <w:top w:val="single" w:sz="4" w:space="0" w:color="auto"/>
              <w:left w:val="nil"/>
              <w:bottom w:val="nil"/>
              <w:right w:val="single" w:sz="4" w:space="0" w:color="000000"/>
            </w:tcBorders>
            <w:shd w:val="clear" w:color="auto" w:fill="auto"/>
            <w:noWrap/>
            <w:vAlign w:val="bottom"/>
            <w:hideMark/>
          </w:tcPr>
          <w:p w:rsidR="00831584" w:rsidRDefault="00831584">
            <w:pPr>
              <w:jc w:val="right"/>
              <w:rPr>
                <w:rFonts w:ascii="SWISS" w:hAnsi="SWISS" w:cs="Arial"/>
                <w:b/>
                <w:bCs/>
                <w:sz w:val="20"/>
                <w:szCs w:val="20"/>
              </w:rPr>
            </w:pPr>
            <w:r>
              <w:rPr>
                <w:rFonts w:ascii="SWISS" w:hAnsi="SWISS" w:cs="Arial"/>
                <w:b/>
                <w:bCs/>
                <w:sz w:val="20"/>
                <w:szCs w:val="20"/>
              </w:rPr>
              <w:t>SCHEDULE NO. 3-B</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b/>
                <w:bCs/>
                <w:color w:val="000000"/>
                <w:sz w:val="20"/>
                <w:szCs w:val="20"/>
              </w:rPr>
            </w:pPr>
            <w:r>
              <w:rPr>
                <w:rFonts w:ascii="SWISS" w:hAnsi="SWISS" w:cs="Arial"/>
                <w:b/>
                <w:bCs/>
                <w:color w:val="000000"/>
                <w:sz w:val="20"/>
                <w:szCs w:val="20"/>
              </w:rPr>
              <w:t>TEST YEAR ENDED 09/30/14</w:t>
            </w:r>
          </w:p>
        </w:tc>
        <w:tc>
          <w:tcPr>
            <w:tcW w:w="2580" w:type="dxa"/>
            <w:gridSpan w:val="2"/>
            <w:tcBorders>
              <w:top w:val="nil"/>
              <w:left w:val="nil"/>
              <w:bottom w:val="nil"/>
              <w:right w:val="single" w:sz="4" w:space="0" w:color="000000"/>
            </w:tcBorders>
            <w:shd w:val="clear" w:color="auto" w:fill="auto"/>
            <w:noWrap/>
            <w:vAlign w:val="bottom"/>
            <w:hideMark/>
          </w:tcPr>
          <w:p w:rsidR="00831584" w:rsidRDefault="00831584">
            <w:pPr>
              <w:jc w:val="right"/>
              <w:rPr>
                <w:rFonts w:ascii="SWISS" w:hAnsi="SWISS" w:cs="Arial"/>
                <w:b/>
                <w:bCs/>
                <w:sz w:val="20"/>
                <w:szCs w:val="20"/>
              </w:rPr>
            </w:pPr>
            <w:r>
              <w:rPr>
                <w:rFonts w:ascii="SWISS" w:hAnsi="SWISS" w:cs="Arial"/>
                <w:b/>
                <w:bCs/>
                <w:sz w:val="20"/>
                <w:szCs w:val="20"/>
              </w:rPr>
              <w:t>DOCKET NO. 140217-WU</w:t>
            </w:r>
          </w:p>
        </w:tc>
      </w:tr>
      <w:tr w:rsidR="00831584" w:rsidTr="00831584">
        <w:trPr>
          <w:trHeight w:val="300"/>
        </w:trPr>
        <w:tc>
          <w:tcPr>
            <w:tcW w:w="520" w:type="dxa"/>
            <w:tcBorders>
              <w:top w:val="nil"/>
              <w:left w:val="single" w:sz="4" w:space="0" w:color="auto"/>
              <w:bottom w:val="single" w:sz="4" w:space="0" w:color="auto"/>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single" w:sz="4" w:space="0" w:color="auto"/>
              <w:right w:val="nil"/>
            </w:tcBorders>
            <w:shd w:val="clear" w:color="auto" w:fill="auto"/>
            <w:noWrap/>
            <w:vAlign w:val="bottom"/>
            <w:hideMark/>
          </w:tcPr>
          <w:p w:rsidR="00831584" w:rsidRDefault="00831584">
            <w:pPr>
              <w:rPr>
                <w:rFonts w:ascii="SWISS" w:hAnsi="SWISS" w:cs="Arial"/>
                <w:b/>
                <w:bCs/>
                <w:sz w:val="20"/>
                <w:szCs w:val="20"/>
              </w:rPr>
            </w:pPr>
            <w:r>
              <w:rPr>
                <w:rFonts w:ascii="SWISS" w:hAnsi="SWISS" w:cs="Arial"/>
                <w:b/>
                <w:bCs/>
                <w:sz w:val="20"/>
                <w:szCs w:val="20"/>
              </w:rPr>
              <w:t>ADJUSTMENTS TO OPERATING INCOME</w:t>
            </w:r>
          </w:p>
        </w:tc>
        <w:tc>
          <w:tcPr>
            <w:tcW w:w="2580" w:type="dxa"/>
            <w:gridSpan w:val="2"/>
            <w:tcBorders>
              <w:top w:val="nil"/>
              <w:left w:val="nil"/>
              <w:bottom w:val="single" w:sz="4" w:space="0" w:color="auto"/>
              <w:right w:val="single" w:sz="4" w:space="0" w:color="000000"/>
            </w:tcBorders>
            <w:shd w:val="clear" w:color="auto" w:fill="auto"/>
            <w:noWrap/>
            <w:vAlign w:val="bottom"/>
            <w:hideMark/>
          </w:tcPr>
          <w:p w:rsidR="00831584" w:rsidRDefault="00831584">
            <w:pPr>
              <w:jc w:val="right"/>
              <w:rPr>
                <w:rFonts w:ascii="SWISS" w:hAnsi="SWISS" w:cs="Arial"/>
                <w:b/>
                <w:bCs/>
                <w:sz w:val="20"/>
                <w:szCs w:val="20"/>
              </w:rPr>
            </w:pPr>
            <w:r>
              <w:rPr>
                <w:rFonts w:ascii="SWISS" w:hAnsi="SWISS" w:cs="Arial"/>
                <w:b/>
                <w:bCs/>
                <w:sz w:val="20"/>
                <w:szCs w:val="20"/>
              </w:rPr>
              <w:t>PAGE 2 OF 2</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b/>
                <w:bCs/>
                <w:sz w:val="20"/>
                <w:szCs w:val="20"/>
              </w:rPr>
            </w:pPr>
          </w:p>
        </w:tc>
        <w:tc>
          <w:tcPr>
            <w:tcW w:w="2342" w:type="dxa"/>
            <w:tcBorders>
              <w:top w:val="nil"/>
              <w:left w:val="nil"/>
              <w:bottom w:val="nil"/>
              <w:right w:val="nil"/>
            </w:tcBorders>
            <w:shd w:val="clear" w:color="auto" w:fill="auto"/>
            <w:noWrap/>
            <w:vAlign w:val="bottom"/>
            <w:hideMark/>
          </w:tcPr>
          <w:p w:rsidR="00831584" w:rsidRDefault="00831584">
            <w:pPr>
              <w:jc w:val="right"/>
              <w:rPr>
                <w:rFonts w:ascii="SWISS" w:hAnsi="SWISS" w:cs="Arial"/>
                <w:b/>
                <w:bCs/>
                <w:sz w:val="20"/>
                <w:szCs w:val="20"/>
              </w:rPr>
            </w:pPr>
          </w:p>
        </w:tc>
        <w:tc>
          <w:tcPr>
            <w:tcW w:w="238" w:type="dxa"/>
            <w:tcBorders>
              <w:top w:val="nil"/>
              <w:left w:val="nil"/>
              <w:bottom w:val="nil"/>
              <w:right w:val="single" w:sz="4" w:space="0" w:color="auto"/>
            </w:tcBorders>
            <w:shd w:val="clear" w:color="auto" w:fill="auto"/>
            <w:noWrap/>
            <w:vAlign w:val="bottom"/>
            <w:hideMark/>
          </w:tcPr>
          <w:p w:rsidR="00831584" w:rsidRDefault="00831584">
            <w:pPr>
              <w:jc w:val="right"/>
              <w:rPr>
                <w:rFonts w:ascii="SWISS" w:hAnsi="SWISS" w:cs="Arial"/>
                <w:b/>
                <w:bCs/>
                <w:sz w:val="20"/>
                <w:szCs w:val="20"/>
              </w:rPr>
            </w:pPr>
            <w:r>
              <w:rPr>
                <w:rFonts w:ascii="SWISS" w:hAnsi="SWISS" w:cs="Arial"/>
                <w:b/>
                <w:bCs/>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sz w:val="20"/>
                <w:szCs w:val="20"/>
              </w:rPr>
            </w:pPr>
          </w:p>
        </w:tc>
        <w:tc>
          <w:tcPr>
            <w:tcW w:w="2342" w:type="dxa"/>
            <w:tcBorders>
              <w:top w:val="nil"/>
              <w:left w:val="nil"/>
              <w:bottom w:val="nil"/>
              <w:right w:val="nil"/>
            </w:tcBorders>
            <w:shd w:val="clear" w:color="auto" w:fill="auto"/>
            <w:noWrap/>
            <w:vAlign w:val="bottom"/>
            <w:hideMark/>
          </w:tcPr>
          <w:p w:rsidR="00831584" w:rsidRDefault="00831584">
            <w:pPr>
              <w:jc w:val="center"/>
              <w:rPr>
                <w:rFonts w:ascii="SWISS" w:hAnsi="SWISS" w:cs="Arial"/>
                <w:b/>
                <w:bCs/>
                <w:sz w:val="20"/>
                <w:szCs w:val="20"/>
                <w:u w:val="single"/>
              </w:rPr>
            </w:pPr>
            <w:r>
              <w:rPr>
                <w:rFonts w:ascii="SWISS" w:hAnsi="SWISS" w:cs="Arial"/>
                <w:b/>
                <w:bCs/>
                <w:sz w:val="20"/>
                <w:szCs w:val="20"/>
                <w:u w:val="single"/>
              </w:rPr>
              <w:t>WATER</w:t>
            </w:r>
          </w:p>
        </w:tc>
        <w:tc>
          <w:tcPr>
            <w:tcW w:w="238" w:type="dxa"/>
            <w:tcBorders>
              <w:top w:val="nil"/>
              <w:left w:val="nil"/>
              <w:bottom w:val="nil"/>
              <w:right w:val="single" w:sz="4" w:space="0" w:color="auto"/>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8.</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Miscellaneous Expense (675)</w:t>
            </w:r>
          </w:p>
        </w:tc>
        <w:tc>
          <w:tcPr>
            <w:tcW w:w="2342" w:type="dxa"/>
            <w:tcBorders>
              <w:top w:val="nil"/>
              <w:left w:val="nil"/>
              <w:bottom w:val="nil"/>
              <w:right w:val="nil"/>
            </w:tcBorders>
            <w:shd w:val="clear" w:color="auto" w:fill="auto"/>
            <w:noWrap/>
            <w:vAlign w:val="bottom"/>
            <w:hideMark/>
          </w:tcPr>
          <w:p w:rsidR="00831584" w:rsidRDefault="00831584">
            <w:pPr>
              <w:jc w:val="right"/>
              <w:rPr>
                <w:rFonts w:ascii="SWISS" w:hAnsi="SWISS" w:cs="Arial"/>
                <w:sz w:val="20"/>
                <w:szCs w:val="20"/>
              </w:rPr>
            </w:pPr>
          </w:p>
        </w:tc>
        <w:tc>
          <w:tcPr>
            <w:tcW w:w="238" w:type="dxa"/>
            <w:tcBorders>
              <w:top w:val="nil"/>
              <w:left w:val="nil"/>
              <w:bottom w:val="nil"/>
              <w:right w:val="single" w:sz="4" w:space="0" w:color="auto"/>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 xml:space="preserve">Remove unsupported error on deposit. </w:t>
            </w:r>
          </w:p>
        </w:tc>
        <w:tc>
          <w:tcPr>
            <w:tcW w:w="2342" w:type="dxa"/>
            <w:tcBorders>
              <w:top w:val="nil"/>
              <w:left w:val="nil"/>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($18)</w:t>
            </w:r>
          </w:p>
        </w:tc>
        <w:tc>
          <w:tcPr>
            <w:tcW w:w="238" w:type="dxa"/>
            <w:tcBorders>
              <w:top w:val="nil"/>
              <w:left w:val="nil"/>
              <w:bottom w:val="nil"/>
              <w:right w:val="single" w:sz="4" w:space="0" w:color="auto"/>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 </w:t>
            </w:r>
          </w:p>
        </w:tc>
      </w:tr>
      <w:tr w:rsidR="00831584" w:rsidTr="00831584">
        <w:trPr>
          <w:trHeight w:val="315"/>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Remove lawn maintenance for unused parcel of land &amp; non-utility lot.</w:t>
            </w:r>
          </w:p>
        </w:tc>
        <w:tc>
          <w:tcPr>
            <w:tcW w:w="2342" w:type="dxa"/>
            <w:tcBorders>
              <w:top w:val="nil"/>
              <w:left w:val="nil"/>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(1,050)</w:t>
            </w:r>
          </w:p>
        </w:tc>
        <w:tc>
          <w:tcPr>
            <w:tcW w:w="238" w:type="dxa"/>
            <w:tcBorders>
              <w:top w:val="nil"/>
              <w:left w:val="nil"/>
              <w:bottom w:val="nil"/>
              <w:right w:val="single" w:sz="4" w:space="0" w:color="auto"/>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 </w:t>
            </w:r>
          </w:p>
        </w:tc>
      </w:tr>
      <w:tr w:rsidR="00831584" w:rsidTr="00831584">
        <w:trPr>
          <w:trHeight w:val="315"/>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To reflect amortization of plant repairs and maintenance.</w:t>
            </w:r>
          </w:p>
        </w:tc>
        <w:tc>
          <w:tcPr>
            <w:tcW w:w="2342" w:type="dxa"/>
            <w:tcBorders>
              <w:top w:val="nil"/>
              <w:left w:val="nil"/>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xml:space="preserve">875 </w:t>
            </w:r>
          </w:p>
        </w:tc>
        <w:tc>
          <w:tcPr>
            <w:tcW w:w="238" w:type="dxa"/>
            <w:tcBorders>
              <w:top w:val="nil"/>
              <w:left w:val="nil"/>
              <w:bottom w:val="nil"/>
              <w:right w:val="single" w:sz="4" w:space="0" w:color="auto"/>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Allowance for computer.</w:t>
            </w:r>
          </w:p>
        </w:tc>
        <w:tc>
          <w:tcPr>
            <w:tcW w:w="2342" w:type="dxa"/>
            <w:tcBorders>
              <w:top w:val="nil"/>
              <w:left w:val="nil"/>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xml:space="preserve">83 </w:t>
            </w:r>
          </w:p>
        </w:tc>
        <w:tc>
          <w:tcPr>
            <w:tcW w:w="238" w:type="dxa"/>
            <w:tcBorders>
              <w:top w:val="nil"/>
              <w:left w:val="nil"/>
              <w:bottom w:val="nil"/>
              <w:right w:val="single" w:sz="4" w:space="0" w:color="auto"/>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Allowance for printer.</w:t>
            </w:r>
          </w:p>
        </w:tc>
        <w:tc>
          <w:tcPr>
            <w:tcW w:w="2342" w:type="dxa"/>
            <w:tcBorders>
              <w:top w:val="nil"/>
              <w:left w:val="nil"/>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xml:space="preserve">25 </w:t>
            </w:r>
          </w:p>
        </w:tc>
        <w:tc>
          <w:tcPr>
            <w:tcW w:w="238" w:type="dxa"/>
            <w:tcBorders>
              <w:top w:val="nil"/>
              <w:left w:val="nil"/>
              <w:bottom w:val="nil"/>
              <w:right w:val="single" w:sz="4" w:space="0" w:color="auto"/>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rsidP="007E74E5">
            <w:pPr>
              <w:rPr>
                <w:rFonts w:ascii="SWISS" w:hAnsi="SWISS" w:cs="Arial"/>
                <w:sz w:val="20"/>
                <w:szCs w:val="20"/>
              </w:rPr>
            </w:pPr>
            <w:r>
              <w:rPr>
                <w:rFonts w:ascii="SWISS" w:hAnsi="SWISS" w:cs="Arial"/>
                <w:sz w:val="20"/>
                <w:szCs w:val="20"/>
              </w:rPr>
              <w:t xml:space="preserve">Allowance for </w:t>
            </w:r>
            <w:r w:rsidR="007E74E5">
              <w:rPr>
                <w:rFonts w:ascii="SWISS" w:hAnsi="SWISS" w:cs="Arial"/>
                <w:sz w:val="20"/>
                <w:szCs w:val="20"/>
              </w:rPr>
              <w:t>operating</w:t>
            </w:r>
            <w:r>
              <w:rPr>
                <w:rFonts w:ascii="SWISS" w:hAnsi="SWISS" w:cs="Arial"/>
                <w:sz w:val="20"/>
                <w:szCs w:val="20"/>
              </w:rPr>
              <w:t xml:space="preserve"> software.</w:t>
            </w:r>
          </w:p>
        </w:tc>
        <w:tc>
          <w:tcPr>
            <w:tcW w:w="2342" w:type="dxa"/>
            <w:tcBorders>
              <w:top w:val="nil"/>
              <w:left w:val="nil"/>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xml:space="preserve">150 </w:t>
            </w:r>
          </w:p>
        </w:tc>
        <w:tc>
          <w:tcPr>
            <w:tcW w:w="238" w:type="dxa"/>
            <w:tcBorders>
              <w:top w:val="nil"/>
              <w:left w:val="nil"/>
              <w:bottom w:val="nil"/>
              <w:right w:val="single" w:sz="4" w:space="0" w:color="auto"/>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rsidP="007E74E5">
            <w:pPr>
              <w:rPr>
                <w:rFonts w:ascii="SWISS" w:hAnsi="SWISS" w:cs="Arial"/>
                <w:sz w:val="20"/>
                <w:szCs w:val="20"/>
              </w:rPr>
            </w:pPr>
            <w:r>
              <w:rPr>
                <w:rFonts w:ascii="SWISS" w:hAnsi="SWISS" w:cs="Arial"/>
                <w:sz w:val="20"/>
                <w:szCs w:val="20"/>
              </w:rPr>
              <w:t xml:space="preserve">Allowance for </w:t>
            </w:r>
            <w:r w:rsidR="007E74E5">
              <w:rPr>
                <w:rFonts w:ascii="SWISS" w:hAnsi="SWISS" w:cs="Arial"/>
                <w:sz w:val="20"/>
                <w:szCs w:val="20"/>
              </w:rPr>
              <w:t>accounting</w:t>
            </w:r>
            <w:r>
              <w:rPr>
                <w:rFonts w:ascii="SWISS" w:hAnsi="SWISS" w:cs="Arial"/>
                <w:sz w:val="20"/>
                <w:szCs w:val="20"/>
              </w:rPr>
              <w:t xml:space="preserve"> software. </w:t>
            </w:r>
          </w:p>
        </w:tc>
        <w:tc>
          <w:tcPr>
            <w:tcW w:w="2342" w:type="dxa"/>
            <w:tcBorders>
              <w:top w:val="nil"/>
              <w:left w:val="nil"/>
              <w:bottom w:val="nil"/>
              <w:right w:val="nil"/>
            </w:tcBorders>
            <w:shd w:val="clear" w:color="auto" w:fill="auto"/>
            <w:noWrap/>
            <w:vAlign w:val="bottom"/>
            <w:hideMark/>
          </w:tcPr>
          <w:p w:rsidR="00831584" w:rsidRDefault="00831584">
            <w:pPr>
              <w:jc w:val="right"/>
              <w:rPr>
                <w:rFonts w:ascii="SWISS" w:hAnsi="SWISS" w:cs="Arial"/>
                <w:sz w:val="20"/>
                <w:szCs w:val="20"/>
                <w:u w:val="single"/>
              </w:rPr>
            </w:pPr>
            <w:r>
              <w:rPr>
                <w:rFonts w:ascii="SWISS" w:hAnsi="SWISS" w:cs="Arial"/>
                <w:sz w:val="20"/>
                <w:szCs w:val="20"/>
                <w:u w:val="single"/>
              </w:rPr>
              <w:t xml:space="preserve">283 </w:t>
            </w:r>
          </w:p>
        </w:tc>
        <w:tc>
          <w:tcPr>
            <w:tcW w:w="238" w:type="dxa"/>
            <w:tcBorders>
              <w:top w:val="nil"/>
              <w:left w:val="nil"/>
              <w:bottom w:val="nil"/>
              <w:right w:val="single" w:sz="4" w:space="0" w:color="auto"/>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 xml:space="preserve">     Total</w:t>
            </w:r>
          </w:p>
        </w:tc>
        <w:tc>
          <w:tcPr>
            <w:tcW w:w="2342" w:type="dxa"/>
            <w:tcBorders>
              <w:top w:val="nil"/>
              <w:left w:val="nil"/>
              <w:bottom w:val="nil"/>
              <w:right w:val="nil"/>
            </w:tcBorders>
            <w:shd w:val="clear" w:color="auto" w:fill="auto"/>
            <w:noWrap/>
            <w:vAlign w:val="bottom"/>
            <w:hideMark/>
          </w:tcPr>
          <w:p w:rsidR="00831584" w:rsidRPr="00CC294A" w:rsidRDefault="00831584">
            <w:pPr>
              <w:jc w:val="right"/>
              <w:rPr>
                <w:rFonts w:ascii="SWISS" w:hAnsi="SWISS" w:cs="Arial"/>
                <w:b/>
                <w:bCs/>
                <w:sz w:val="20"/>
                <w:szCs w:val="20"/>
                <w:u w:val="double"/>
              </w:rPr>
            </w:pPr>
            <w:r w:rsidRPr="00CC294A">
              <w:rPr>
                <w:rFonts w:ascii="SWISS" w:hAnsi="SWISS" w:cs="Arial"/>
                <w:b/>
                <w:bCs/>
                <w:sz w:val="20"/>
                <w:szCs w:val="20"/>
                <w:u w:val="double"/>
              </w:rPr>
              <w:t xml:space="preserve">$348 </w:t>
            </w:r>
          </w:p>
        </w:tc>
        <w:tc>
          <w:tcPr>
            <w:tcW w:w="238" w:type="dxa"/>
            <w:tcBorders>
              <w:top w:val="nil"/>
              <w:left w:val="nil"/>
              <w:bottom w:val="nil"/>
              <w:right w:val="single" w:sz="4" w:space="0" w:color="auto"/>
            </w:tcBorders>
            <w:shd w:val="clear" w:color="auto" w:fill="auto"/>
            <w:noWrap/>
            <w:vAlign w:val="bottom"/>
            <w:hideMark/>
          </w:tcPr>
          <w:p w:rsidR="00831584" w:rsidRPr="00CC294A" w:rsidRDefault="00831584">
            <w:pPr>
              <w:rPr>
                <w:rFonts w:ascii="SWISS" w:hAnsi="SWISS" w:cs="Arial"/>
                <w:sz w:val="20"/>
                <w:szCs w:val="20"/>
              </w:rPr>
            </w:pPr>
            <w:r w:rsidRPr="00CC294A">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sz w:val="20"/>
                <w:szCs w:val="20"/>
              </w:rPr>
            </w:pPr>
          </w:p>
        </w:tc>
        <w:tc>
          <w:tcPr>
            <w:tcW w:w="2342" w:type="dxa"/>
            <w:tcBorders>
              <w:top w:val="nil"/>
              <w:left w:val="nil"/>
              <w:bottom w:val="nil"/>
              <w:right w:val="nil"/>
            </w:tcBorders>
            <w:shd w:val="clear" w:color="auto" w:fill="auto"/>
            <w:noWrap/>
            <w:vAlign w:val="bottom"/>
            <w:hideMark/>
          </w:tcPr>
          <w:p w:rsidR="00831584" w:rsidRPr="00CC294A" w:rsidRDefault="00831584">
            <w:pPr>
              <w:jc w:val="right"/>
              <w:rPr>
                <w:rFonts w:ascii="SWISS" w:hAnsi="SWISS" w:cs="Arial"/>
                <w:b/>
                <w:bCs/>
                <w:sz w:val="20"/>
                <w:szCs w:val="20"/>
                <w:u w:val="double"/>
              </w:rPr>
            </w:pPr>
          </w:p>
        </w:tc>
        <w:tc>
          <w:tcPr>
            <w:tcW w:w="238" w:type="dxa"/>
            <w:tcBorders>
              <w:top w:val="nil"/>
              <w:left w:val="nil"/>
              <w:bottom w:val="nil"/>
              <w:right w:val="single" w:sz="4" w:space="0" w:color="auto"/>
            </w:tcBorders>
            <w:shd w:val="clear" w:color="auto" w:fill="auto"/>
            <w:noWrap/>
            <w:vAlign w:val="bottom"/>
            <w:hideMark/>
          </w:tcPr>
          <w:p w:rsidR="00831584" w:rsidRPr="00CC294A" w:rsidRDefault="00831584">
            <w:pPr>
              <w:rPr>
                <w:rFonts w:ascii="SWISS" w:hAnsi="SWISS" w:cs="Arial"/>
                <w:sz w:val="20"/>
                <w:szCs w:val="20"/>
              </w:rPr>
            </w:pPr>
            <w:r w:rsidRPr="00CC294A">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b/>
                <w:bCs/>
                <w:sz w:val="20"/>
                <w:szCs w:val="20"/>
              </w:rPr>
            </w:pPr>
            <w:r>
              <w:rPr>
                <w:rFonts w:ascii="SWISS" w:hAnsi="SWISS" w:cs="Arial"/>
                <w:b/>
                <w:bCs/>
                <w:sz w:val="20"/>
                <w:szCs w:val="20"/>
              </w:rPr>
              <w:t>TOTAL OPERATION &amp; MAINTENANCE ADJUSTMENTS</w:t>
            </w:r>
          </w:p>
        </w:tc>
        <w:tc>
          <w:tcPr>
            <w:tcW w:w="2342" w:type="dxa"/>
            <w:tcBorders>
              <w:top w:val="nil"/>
              <w:left w:val="nil"/>
              <w:bottom w:val="nil"/>
              <w:right w:val="nil"/>
            </w:tcBorders>
            <w:shd w:val="clear" w:color="auto" w:fill="auto"/>
            <w:noWrap/>
            <w:vAlign w:val="bottom"/>
            <w:hideMark/>
          </w:tcPr>
          <w:p w:rsidR="00831584" w:rsidRPr="00CC294A" w:rsidRDefault="00831584">
            <w:pPr>
              <w:jc w:val="right"/>
              <w:rPr>
                <w:rFonts w:ascii="SWISS" w:hAnsi="SWISS" w:cs="Arial"/>
                <w:b/>
                <w:bCs/>
                <w:sz w:val="20"/>
                <w:szCs w:val="20"/>
                <w:u w:val="double"/>
              </w:rPr>
            </w:pPr>
            <w:r w:rsidRPr="00CC294A">
              <w:rPr>
                <w:rFonts w:ascii="SWISS" w:hAnsi="SWISS" w:cs="Arial"/>
                <w:b/>
                <w:bCs/>
                <w:sz w:val="20"/>
                <w:szCs w:val="20"/>
                <w:u w:val="double"/>
              </w:rPr>
              <w:t xml:space="preserve">$854 </w:t>
            </w:r>
          </w:p>
        </w:tc>
        <w:tc>
          <w:tcPr>
            <w:tcW w:w="238" w:type="dxa"/>
            <w:tcBorders>
              <w:top w:val="nil"/>
              <w:left w:val="nil"/>
              <w:bottom w:val="nil"/>
              <w:right w:val="single" w:sz="4" w:space="0" w:color="auto"/>
            </w:tcBorders>
            <w:shd w:val="clear" w:color="auto" w:fill="auto"/>
            <w:noWrap/>
            <w:vAlign w:val="bottom"/>
            <w:hideMark/>
          </w:tcPr>
          <w:p w:rsidR="00831584" w:rsidRPr="00CC294A" w:rsidRDefault="00831584">
            <w:pPr>
              <w:rPr>
                <w:rFonts w:ascii="SWISS" w:hAnsi="SWISS" w:cs="Arial"/>
                <w:sz w:val="20"/>
                <w:szCs w:val="20"/>
              </w:rPr>
            </w:pPr>
            <w:r w:rsidRPr="00CC294A">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b/>
                <w:bCs/>
                <w:sz w:val="20"/>
                <w:szCs w:val="20"/>
              </w:rPr>
            </w:pPr>
          </w:p>
        </w:tc>
        <w:tc>
          <w:tcPr>
            <w:tcW w:w="2342" w:type="dxa"/>
            <w:tcBorders>
              <w:top w:val="nil"/>
              <w:left w:val="nil"/>
              <w:bottom w:val="nil"/>
              <w:right w:val="nil"/>
            </w:tcBorders>
            <w:shd w:val="clear" w:color="auto" w:fill="auto"/>
            <w:noWrap/>
            <w:vAlign w:val="bottom"/>
            <w:hideMark/>
          </w:tcPr>
          <w:p w:rsidR="00831584" w:rsidRPr="00CC294A" w:rsidRDefault="00831584">
            <w:pPr>
              <w:rPr>
                <w:rFonts w:ascii="SWISS" w:hAnsi="SWISS" w:cs="Arial"/>
                <w:b/>
                <w:bCs/>
                <w:sz w:val="20"/>
                <w:szCs w:val="20"/>
                <w:u w:val="double"/>
              </w:rPr>
            </w:pPr>
          </w:p>
        </w:tc>
        <w:tc>
          <w:tcPr>
            <w:tcW w:w="238" w:type="dxa"/>
            <w:tcBorders>
              <w:top w:val="nil"/>
              <w:left w:val="nil"/>
              <w:bottom w:val="nil"/>
              <w:right w:val="single" w:sz="4" w:space="0" w:color="auto"/>
            </w:tcBorders>
            <w:shd w:val="clear" w:color="auto" w:fill="auto"/>
            <w:noWrap/>
            <w:vAlign w:val="bottom"/>
            <w:hideMark/>
          </w:tcPr>
          <w:p w:rsidR="00831584" w:rsidRPr="00CC294A" w:rsidRDefault="00831584">
            <w:pPr>
              <w:rPr>
                <w:rFonts w:ascii="SWISS" w:hAnsi="SWISS" w:cs="Arial"/>
                <w:sz w:val="20"/>
                <w:szCs w:val="20"/>
              </w:rPr>
            </w:pPr>
            <w:r w:rsidRPr="00CC294A">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bookmarkStart w:id="44" w:name="RANGE!A60:D68"/>
            <w:r>
              <w:rPr>
                <w:rFonts w:ascii="SWISS" w:hAnsi="SWISS" w:cs="Arial"/>
                <w:sz w:val="20"/>
                <w:szCs w:val="20"/>
              </w:rPr>
              <w:t> </w:t>
            </w:r>
            <w:bookmarkEnd w:id="44"/>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b/>
                <w:bCs/>
                <w:sz w:val="20"/>
                <w:szCs w:val="20"/>
              </w:rPr>
            </w:pPr>
            <w:r>
              <w:rPr>
                <w:rFonts w:ascii="SWISS" w:hAnsi="SWISS" w:cs="Arial"/>
                <w:b/>
                <w:bCs/>
                <w:sz w:val="20"/>
                <w:szCs w:val="20"/>
              </w:rPr>
              <w:t>DEPRECIATION EXPENSE</w:t>
            </w:r>
          </w:p>
        </w:tc>
        <w:tc>
          <w:tcPr>
            <w:tcW w:w="2342" w:type="dxa"/>
            <w:tcBorders>
              <w:top w:val="nil"/>
              <w:left w:val="nil"/>
              <w:bottom w:val="nil"/>
              <w:right w:val="nil"/>
            </w:tcBorders>
            <w:shd w:val="clear" w:color="auto" w:fill="auto"/>
            <w:noWrap/>
            <w:vAlign w:val="bottom"/>
            <w:hideMark/>
          </w:tcPr>
          <w:p w:rsidR="00831584" w:rsidRPr="00CC294A" w:rsidRDefault="00831584">
            <w:pPr>
              <w:jc w:val="center"/>
              <w:rPr>
                <w:rFonts w:ascii="SWISS" w:hAnsi="SWISS" w:cs="Arial"/>
                <w:b/>
                <w:bCs/>
                <w:sz w:val="20"/>
                <w:szCs w:val="20"/>
                <w:u w:val="single"/>
              </w:rPr>
            </w:pPr>
          </w:p>
        </w:tc>
        <w:tc>
          <w:tcPr>
            <w:tcW w:w="238" w:type="dxa"/>
            <w:tcBorders>
              <w:top w:val="nil"/>
              <w:left w:val="nil"/>
              <w:bottom w:val="nil"/>
              <w:right w:val="single" w:sz="4" w:space="0" w:color="auto"/>
            </w:tcBorders>
            <w:shd w:val="clear" w:color="auto" w:fill="auto"/>
            <w:noWrap/>
            <w:vAlign w:val="bottom"/>
            <w:hideMark/>
          </w:tcPr>
          <w:p w:rsidR="00831584" w:rsidRPr="00CC294A" w:rsidRDefault="00831584">
            <w:pPr>
              <w:rPr>
                <w:rFonts w:ascii="SWISS" w:hAnsi="SWISS" w:cs="Arial"/>
                <w:sz w:val="20"/>
                <w:szCs w:val="20"/>
              </w:rPr>
            </w:pPr>
            <w:r w:rsidRPr="00CC294A">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rsidP="00555859">
            <w:pPr>
              <w:rPr>
                <w:rFonts w:ascii="SWISS" w:hAnsi="SWISS" w:cs="Arial"/>
                <w:sz w:val="20"/>
                <w:szCs w:val="20"/>
              </w:rPr>
            </w:pPr>
            <w:r>
              <w:rPr>
                <w:rFonts w:ascii="SWISS" w:hAnsi="SWISS" w:cs="Arial"/>
                <w:sz w:val="20"/>
                <w:szCs w:val="20"/>
              </w:rPr>
              <w:t>To reflect appropriate depreciation expense.</w:t>
            </w:r>
          </w:p>
        </w:tc>
        <w:tc>
          <w:tcPr>
            <w:tcW w:w="2342" w:type="dxa"/>
            <w:tcBorders>
              <w:top w:val="nil"/>
              <w:left w:val="nil"/>
              <w:bottom w:val="nil"/>
              <w:right w:val="nil"/>
            </w:tcBorders>
            <w:shd w:val="clear" w:color="auto" w:fill="auto"/>
            <w:noWrap/>
            <w:vAlign w:val="bottom"/>
            <w:hideMark/>
          </w:tcPr>
          <w:p w:rsidR="00831584" w:rsidRPr="00CC294A" w:rsidRDefault="00831584">
            <w:pPr>
              <w:jc w:val="right"/>
              <w:rPr>
                <w:rFonts w:ascii="SWISS" w:hAnsi="SWISS" w:cs="Arial"/>
                <w:sz w:val="20"/>
                <w:szCs w:val="20"/>
                <w:u w:val="double"/>
              </w:rPr>
            </w:pPr>
            <w:r w:rsidRPr="00CC294A">
              <w:rPr>
                <w:rFonts w:ascii="SWISS" w:hAnsi="SWISS" w:cs="Arial"/>
                <w:sz w:val="20"/>
                <w:szCs w:val="20"/>
                <w:u w:val="double"/>
              </w:rPr>
              <w:t>($4,464)</w:t>
            </w:r>
          </w:p>
        </w:tc>
        <w:tc>
          <w:tcPr>
            <w:tcW w:w="238" w:type="dxa"/>
            <w:tcBorders>
              <w:top w:val="nil"/>
              <w:left w:val="nil"/>
              <w:bottom w:val="nil"/>
              <w:right w:val="single" w:sz="4" w:space="0" w:color="auto"/>
            </w:tcBorders>
            <w:shd w:val="clear" w:color="auto" w:fill="auto"/>
            <w:noWrap/>
            <w:vAlign w:val="bottom"/>
            <w:hideMark/>
          </w:tcPr>
          <w:p w:rsidR="00831584" w:rsidRPr="00CC294A" w:rsidRDefault="00831584">
            <w:pPr>
              <w:rPr>
                <w:rFonts w:ascii="SWISS" w:hAnsi="SWISS" w:cs="Arial"/>
                <w:sz w:val="20"/>
                <w:szCs w:val="20"/>
              </w:rPr>
            </w:pPr>
            <w:r w:rsidRPr="00CC294A">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sz w:val="20"/>
                <w:szCs w:val="20"/>
              </w:rPr>
            </w:pPr>
          </w:p>
        </w:tc>
        <w:tc>
          <w:tcPr>
            <w:tcW w:w="2342" w:type="dxa"/>
            <w:tcBorders>
              <w:top w:val="nil"/>
              <w:left w:val="nil"/>
              <w:bottom w:val="nil"/>
              <w:right w:val="nil"/>
            </w:tcBorders>
            <w:shd w:val="clear" w:color="auto" w:fill="auto"/>
            <w:noWrap/>
            <w:vAlign w:val="bottom"/>
            <w:hideMark/>
          </w:tcPr>
          <w:p w:rsidR="00831584" w:rsidRPr="00CC294A" w:rsidRDefault="00831584">
            <w:pPr>
              <w:jc w:val="center"/>
              <w:rPr>
                <w:rFonts w:ascii="SWISS" w:hAnsi="SWISS" w:cs="Arial"/>
                <w:b/>
                <w:bCs/>
                <w:sz w:val="20"/>
                <w:szCs w:val="20"/>
                <w:u w:val="single"/>
              </w:rPr>
            </w:pPr>
          </w:p>
        </w:tc>
        <w:tc>
          <w:tcPr>
            <w:tcW w:w="238" w:type="dxa"/>
            <w:tcBorders>
              <w:top w:val="nil"/>
              <w:left w:val="nil"/>
              <w:bottom w:val="nil"/>
              <w:right w:val="single" w:sz="4" w:space="0" w:color="auto"/>
            </w:tcBorders>
            <w:shd w:val="clear" w:color="auto" w:fill="auto"/>
            <w:noWrap/>
            <w:vAlign w:val="bottom"/>
            <w:hideMark/>
          </w:tcPr>
          <w:p w:rsidR="00831584" w:rsidRPr="00CC294A" w:rsidRDefault="00831584">
            <w:pPr>
              <w:rPr>
                <w:rFonts w:ascii="SWISS" w:hAnsi="SWISS" w:cs="Arial"/>
                <w:sz w:val="20"/>
                <w:szCs w:val="20"/>
              </w:rPr>
            </w:pPr>
            <w:r w:rsidRPr="00CC294A">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b/>
                <w:bCs/>
                <w:sz w:val="20"/>
                <w:szCs w:val="20"/>
              </w:rPr>
            </w:pPr>
            <w:r>
              <w:rPr>
                <w:rFonts w:ascii="SWISS" w:hAnsi="SWISS" w:cs="Arial"/>
                <w:b/>
                <w:bCs/>
                <w:sz w:val="20"/>
                <w:szCs w:val="20"/>
              </w:rPr>
              <w:t>TAXES OTHER THAN INCOME</w:t>
            </w:r>
          </w:p>
        </w:tc>
        <w:tc>
          <w:tcPr>
            <w:tcW w:w="2342" w:type="dxa"/>
            <w:tcBorders>
              <w:top w:val="nil"/>
              <w:left w:val="nil"/>
              <w:bottom w:val="nil"/>
              <w:right w:val="nil"/>
            </w:tcBorders>
            <w:shd w:val="clear" w:color="auto" w:fill="auto"/>
            <w:noWrap/>
            <w:vAlign w:val="bottom"/>
            <w:hideMark/>
          </w:tcPr>
          <w:p w:rsidR="00831584" w:rsidRPr="00CC294A" w:rsidRDefault="00831584">
            <w:pPr>
              <w:jc w:val="right"/>
              <w:rPr>
                <w:rFonts w:ascii="SWISS" w:hAnsi="SWISS" w:cs="Arial"/>
                <w:sz w:val="20"/>
                <w:szCs w:val="20"/>
              </w:rPr>
            </w:pPr>
          </w:p>
        </w:tc>
        <w:tc>
          <w:tcPr>
            <w:tcW w:w="238" w:type="dxa"/>
            <w:tcBorders>
              <w:top w:val="nil"/>
              <w:left w:val="nil"/>
              <w:bottom w:val="nil"/>
              <w:right w:val="single" w:sz="4" w:space="0" w:color="auto"/>
            </w:tcBorders>
            <w:shd w:val="clear" w:color="auto" w:fill="auto"/>
            <w:noWrap/>
            <w:vAlign w:val="bottom"/>
            <w:hideMark/>
          </w:tcPr>
          <w:p w:rsidR="00831584" w:rsidRPr="00CC294A" w:rsidRDefault="00831584">
            <w:pPr>
              <w:rPr>
                <w:rFonts w:ascii="SWISS" w:hAnsi="SWISS" w:cs="Arial"/>
                <w:sz w:val="20"/>
                <w:szCs w:val="20"/>
              </w:rPr>
            </w:pPr>
            <w:r w:rsidRPr="00CC294A">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1.</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To adjust property tax for unused parcel of land.</w:t>
            </w:r>
          </w:p>
        </w:tc>
        <w:tc>
          <w:tcPr>
            <w:tcW w:w="2342" w:type="dxa"/>
            <w:tcBorders>
              <w:top w:val="nil"/>
              <w:left w:val="nil"/>
              <w:bottom w:val="nil"/>
              <w:right w:val="nil"/>
            </w:tcBorders>
            <w:shd w:val="clear" w:color="auto" w:fill="auto"/>
            <w:noWrap/>
            <w:vAlign w:val="bottom"/>
            <w:hideMark/>
          </w:tcPr>
          <w:p w:rsidR="00831584" w:rsidRPr="00CC294A" w:rsidRDefault="00831584">
            <w:pPr>
              <w:jc w:val="right"/>
              <w:rPr>
                <w:rFonts w:ascii="SWISS" w:hAnsi="SWISS" w:cs="Arial"/>
                <w:sz w:val="20"/>
                <w:szCs w:val="20"/>
              </w:rPr>
            </w:pPr>
            <w:r w:rsidRPr="00CC294A">
              <w:rPr>
                <w:rFonts w:ascii="SWISS" w:hAnsi="SWISS" w:cs="Arial"/>
                <w:sz w:val="20"/>
                <w:szCs w:val="20"/>
              </w:rPr>
              <w:t>($12)</w:t>
            </w:r>
          </w:p>
        </w:tc>
        <w:tc>
          <w:tcPr>
            <w:tcW w:w="238" w:type="dxa"/>
            <w:tcBorders>
              <w:top w:val="nil"/>
              <w:left w:val="nil"/>
              <w:bottom w:val="nil"/>
              <w:right w:val="single" w:sz="4" w:space="0" w:color="auto"/>
            </w:tcBorders>
            <w:shd w:val="clear" w:color="auto" w:fill="auto"/>
            <w:noWrap/>
            <w:vAlign w:val="bottom"/>
            <w:hideMark/>
          </w:tcPr>
          <w:p w:rsidR="00831584" w:rsidRPr="00CC294A" w:rsidRDefault="00831584">
            <w:pPr>
              <w:rPr>
                <w:rFonts w:ascii="SWISS" w:hAnsi="SWISS" w:cs="Arial"/>
                <w:sz w:val="20"/>
                <w:szCs w:val="20"/>
              </w:rPr>
            </w:pPr>
            <w:r w:rsidRPr="00CC294A">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2.</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To adjust payroll tax for recommended salaries.</w:t>
            </w:r>
          </w:p>
        </w:tc>
        <w:tc>
          <w:tcPr>
            <w:tcW w:w="2342" w:type="dxa"/>
            <w:tcBorders>
              <w:top w:val="nil"/>
              <w:left w:val="nil"/>
              <w:bottom w:val="nil"/>
              <w:right w:val="nil"/>
            </w:tcBorders>
            <w:shd w:val="clear" w:color="auto" w:fill="auto"/>
            <w:noWrap/>
            <w:vAlign w:val="bottom"/>
            <w:hideMark/>
          </w:tcPr>
          <w:p w:rsidR="00831584" w:rsidRPr="00CC294A" w:rsidRDefault="00831584">
            <w:pPr>
              <w:jc w:val="right"/>
              <w:rPr>
                <w:rFonts w:ascii="SWISS" w:hAnsi="SWISS" w:cs="Arial"/>
                <w:sz w:val="20"/>
                <w:szCs w:val="20"/>
              </w:rPr>
            </w:pPr>
            <w:r w:rsidRPr="00CC294A">
              <w:rPr>
                <w:rFonts w:ascii="SWISS" w:hAnsi="SWISS" w:cs="Arial"/>
                <w:sz w:val="20"/>
                <w:szCs w:val="20"/>
              </w:rPr>
              <w:t xml:space="preserve">2,916 </w:t>
            </w:r>
          </w:p>
        </w:tc>
        <w:tc>
          <w:tcPr>
            <w:tcW w:w="238" w:type="dxa"/>
            <w:tcBorders>
              <w:top w:val="nil"/>
              <w:left w:val="nil"/>
              <w:bottom w:val="nil"/>
              <w:right w:val="single" w:sz="4" w:space="0" w:color="auto"/>
            </w:tcBorders>
            <w:shd w:val="clear" w:color="auto" w:fill="auto"/>
            <w:noWrap/>
            <w:vAlign w:val="bottom"/>
            <w:hideMark/>
          </w:tcPr>
          <w:p w:rsidR="00831584" w:rsidRPr="00CC294A" w:rsidRDefault="00831584">
            <w:pPr>
              <w:rPr>
                <w:rFonts w:ascii="SWISS" w:hAnsi="SWISS" w:cs="Arial"/>
                <w:sz w:val="20"/>
                <w:szCs w:val="20"/>
              </w:rPr>
            </w:pPr>
            <w:r w:rsidRPr="00CC294A">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3.</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To adjust for regulatory assessment fees on test year revenue.</w:t>
            </w:r>
          </w:p>
        </w:tc>
        <w:tc>
          <w:tcPr>
            <w:tcW w:w="2342" w:type="dxa"/>
            <w:tcBorders>
              <w:top w:val="nil"/>
              <w:left w:val="nil"/>
              <w:bottom w:val="nil"/>
              <w:right w:val="nil"/>
            </w:tcBorders>
            <w:shd w:val="clear" w:color="auto" w:fill="auto"/>
            <w:noWrap/>
            <w:vAlign w:val="bottom"/>
            <w:hideMark/>
          </w:tcPr>
          <w:p w:rsidR="00831584" w:rsidRPr="00CC294A" w:rsidRDefault="00831584">
            <w:pPr>
              <w:jc w:val="right"/>
              <w:rPr>
                <w:rFonts w:ascii="SWISS" w:hAnsi="SWISS" w:cs="Arial"/>
                <w:sz w:val="20"/>
                <w:szCs w:val="20"/>
                <w:u w:val="single"/>
              </w:rPr>
            </w:pPr>
            <w:r w:rsidRPr="00CC294A">
              <w:rPr>
                <w:rFonts w:ascii="SWISS" w:hAnsi="SWISS" w:cs="Arial"/>
                <w:sz w:val="20"/>
                <w:szCs w:val="20"/>
                <w:u w:val="single"/>
              </w:rPr>
              <w:t xml:space="preserve">307 </w:t>
            </w:r>
          </w:p>
        </w:tc>
        <w:tc>
          <w:tcPr>
            <w:tcW w:w="238" w:type="dxa"/>
            <w:tcBorders>
              <w:top w:val="nil"/>
              <w:left w:val="nil"/>
              <w:bottom w:val="nil"/>
              <w:right w:val="single" w:sz="4" w:space="0" w:color="auto"/>
            </w:tcBorders>
            <w:shd w:val="clear" w:color="auto" w:fill="auto"/>
            <w:noWrap/>
            <w:vAlign w:val="bottom"/>
            <w:hideMark/>
          </w:tcPr>
          <w:p w:rsidR="00831584" w:rsidRPr="00CC294A" w:rsidRDefault="00831584">
            <w:pPr>
              <w:rPr>
                <w:rFonts w:ascii="SWISS" w:hAnsi="SWISS" w:cs="Arial"/>
                <w:sz w:val="20"/>
                <w:szCs w:val="20"/>
              </w:rPr>
            </w:pPr>
            <w:r w:rsidRPr="00CC294A">
              <w:rPr>
                <w:rFonts w:ascii="SWISS" w:hAnsi="SWISS" w:cs="Arial"/>
                <w:sz w:val="20"/>
                <w:szCs w:val="20"/>
              </w:rPr>
              <w:t> </w:t>
            </w:r>
          </w:p>
        </w:tc>
      </w:tr>
      <w:tr w:rsidR="00831584" w:rsidTr="00831584">
        <w:trPr>
          <w:trHeight w:val="300"/>
        </w:trPr>
        <w:tc>
          <w:tcPr>
            <w:tcW w:w="520" w:type="dxa"/>
            <w:tcBorders>
              <w:top w:val="nil"/>
              <w:left w:val="single" w:sz="4" w:space="0" w:color="auto"/>
              <w:bottom w:val="nil"/>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nil"/>
              <w:right w:val="nil"/>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 xml:space="preserve">     Total</w:t>
            </w:r>
          </w:p>
        </w:tc>
        <w:tc>
          <w:tcPr>
            <w:tcW w:w="2342" w:type="dxa"/>
            <w:tcBorders>
              <w:top w:val="nil"/>
              <w:left w:val="nil"/>
              <w:bottom w:val="nil"/>
              <w:right w:val="nil"/>
            </w:tcBorders>
            <w:shd w:val="clear" w:color="auto" w:fill="auto"/>
            <w:noWrap/>
            <w:vAlign w:val="bottom"/>
            <w:hideMark/>
          </w:tcPr>
          <w:p w:rsidR="00831584" w:rsidRPr="00CC294A" w:rsidRDefault="00831584">
            <w:pPr>
              <w:jc w:val="right"/>
              <w:rPr>
                <w:rFonts w:ascii="SWISS" w:hAnsi="SWISS" w:cs="Arial"/>
                <w:sz w:val="20"/>
                <w:szCs w:val="20"/>
                <w:u w:val="double"/>
              </w:rPr>
            </w:pPr>
            <w:r w:rsidRPr="00CC294A">
              <w:rPr>
                <w:rFonts w:ascii="SWISS" w:hAnsi="SWISS" w:cs="Arial"/>
                <w:sz w:val="20"/>
                <w:szCs w:val="20"/>
                <w:u w:val="double"/>
              </w:rPr>
              <w:t xml:space="preserve">$3,211 </w:t>
            </w:r>
          </w:p>
        </w:tc>
        <w:tc>
          <w:tcPr>
            <w:tcW w:w="238" w:type="dxa"/>
            <w:tcBorders>
              <w:top w:val="nil"/>
              <w:left w:val="nil"/>
              <w:bottom w:val="nil"/>
              <w:right w:val="single" w:sz="4" w:space="0" w:color="auto"/>
            </w:tcBorders>
            <w:shd w:val="clear" w:color="auto" w:fill="auto"/>
            <w:noWrap/>
            <w:vAlign w:val="bottom"/>
            <w:hideMark/>
          </w:tcPr>
          <w:p w:rsidR="00831584" w:rsidRPr="00CC294A" w:rsidRDefault="00831584">
            <w:pPr>
              <w:rPr>
                <w:rFonts w:ascii="SWISS" w:hAnsi="SWISS" w:cs="Arial"/>
                <w:sz w:val="20"/>
                <w:szCs w:val="20"/>
              </w:rPr>
            </w:pPr>
            <w:r w:rsidRPr="00CC294A">
              <w:rPr>
                <w:rFonts w:ascii="SWISS" w:hAnsi="SWISS" w:cs="Arial"/>
                <w:sz w:val="20"/>
                <w:szCs w:val="20"/>
              </w:rPr>
              <w:t> </w:t>
            </w:r>
          </w:p>
        </w:tc>
      </w:tr>
      <w:tr w:rsidR="00831584" w:rsidTr="00831584">
        <w:trPr>
          <w:trHeight w:val="300"/>
        </w:trPr>
        <w:tc>
          <w:tcPr>
            <w:tcW w:w="520" w:type="dxa"/>
            <w:tcBorders>
              <w:top w:val="nil"/>
              <w:left w:val="single" w:sz="4" w:space="0" w:color="auto"/>
              <w:bottom w:val="single" w:sz="4" w:space="0" w:color="auto"/>
              <w:right w:val="nil"/>
            </w:tcBorders>
            <w:shd w:val="clear" w:color="auto" w:fill="auto"/>
            <w:noWrap/>
            <w:vAlign w:val="bottom"/>
            <w:hideMark/>
          </w:tcPr>
          <w:p w:rsidR="00831584" w:rsidRDefault="00831584">
            <w:pPr>
              <w:jc w:val="right"/>
              <w:rPr>
                <w:rFonts w:ascii="SWISS" w:hAnsi="SWISS" w:cs="Arial"/>
                <w:sz w:val="20"/>
                <w:szCs w:val="20"/>
              </w:rPr>
            </w:pPr>
            <w:r>
              <w:rPr>
                <w:rFonts w:ascii="SWISS" w:hAnsi="SWISS" w:cs="Arial"/>
                <w:sz w:val="20"/>
                <w:szCs w:val="20"/>
              </w:rPr>
              <w:t> </w:t>
            </w:r>
          </w:p>
        </w:tc>
        <w:tc>
          <w:tcPr>
            <w:tcW w:w="6340" w:type="dxa"/>
            <w:tcBorders>
              <w:top w:val="nil"/>
              <w:left w:val="nil"/>
              <w:bottom w:val="single" w:sz="4" w:space="0" w:color="auto"/>
              <w:right w:val="nil"/>
            </w:tcBorders>
            <w:shd w:val="clear" w:color="auto" w:fill="auto"/>
            <w:noWrap/>
            <w:vAlign w:val="bottom"/>
            <w:hideMark/>
          </w:tcPr>
          <w:p w:rsidR="00831584" w:rsidRDefault="00831584">
            <w:pPr>
              <w:rPr>
                <w:rFonts w:ascii="SWISS" w:hAnsi="SWISS" w:cs="Arial"/>
                <w:sz w:val="20"/>
                <w:szCs w:val="20"/>
              </w:rPr>
            </w:pPr>
            <w:r>
              <w:rPr>
                <w:rFonts w:ascii="SWISS" w:hAnsi="SWISS" w:cs="Arial"/>
                <w:sz w:val="20"/>
                <w:szCs w:val="20"/>
              </w:rPr>
              <w:t> </w:t>
            </w:r>
          </w:p>
        </w:tc>
        <w:tc>
          <w:tcPr>
            <w:tcW w:w="2342" w:type="dxa"/>
            <w:tcBorders>
              <w:top w:val="nil"/>
              <w:left w:val="nil"/>
              <w:bottom w:val="single" w:sz="4" w:space="0" w:color="auto"/>
              <w:right w:val="nil"/>
            </w:tcBorders>
            <w:shd w:val="clear" w:color="auto" w:fill="auto"/>
            <w:noWrap/>
            <w:vAlign w:val="bottom"/>
            <w:hideMark/>
          </w:tcPr>
          <w:p w:rsidR="00831584" w:rsidRPr="00CC294A" w:rsidRDefault="00831584">
            <w:pPr>
              <w:jc w:val="right"/>
              <w:rPr>
                <w:rFonts w:ascii="SWISS" w:hAnsi="SWISS" w:cs="Arial"/>
                <w:sz w:val="20"/>
                <w:szCs w:val="20"/>
              </w:rPr>
            </w:pPr>
            <w:r w:rsidRPr="00CC294A">
              <w:rPr>
                <w:rFonts w:ascii="SWISS" w:hAnsi="SWISS" w:cs="Arial"/>
                <w:sz w:val="20"/>
                <w:szCs w:val="20"/>
              </w:rPr>
              <w:t> </w:t>
            </w:r>
          </w:p>
        </w:tc>
        <w:tc>
          <w:tcPr>
            <w:tcW w:w="238" w:type="dxa"/>
            <w:tcBorders>
              <w:top w:val="nil"/>
              <w:left w:val="nil"/>
              <w:bottom w:val="single" w:sz="4" w:space="0" w:color="auto"/>
              <w:right w:val="single" w:sz="4" w:space="0" w:color="auto"/>
            </w:tcBorders>
            <w:shd w:val="clear" w:color="auto" w:fill="auto"/>
            <w:noWrap/>
            <w:vAlign w:val="bottom"/>
            <w:hideMark/>
          </w:tcPr>
          <w:p w:rsidR="00831584" w:rsidRPr="00CC294A" w:rsidRDefault="00831584">
            <w:pPr>
              <w:rPr>
                <w:rFonts w:ascii="SWISS" w:hAnsi="SWISS" w:cs="Arial"/>
                <w:sz w:val="20"/>
                <w:szCs w:val="20"/>
              </w:rPr>
            </w:pPr>
            <w:r w:rsidRPr="00CC294A">
              <w:rPr>
                <w:rFonts w:ascii="SWISS" w:hAnsi="SWISS" w:cs="Arial"/>
                <w:sz w:val="20"/>
                <w:szCs w:val="20"/>
              </w:rPr>
              <w:t> </w:t>
            </w:r>
          </w:p>
        </w:tc>
      </w:tr>
    </w:tbl>
    <w:p w:rsidR="00830BE0" w:rsidRDefault="00830BE0" w:rsidP="00212B92">
      <w:pPr>
        <w:sectPr w:rsidR="00830BE0" w:rsidSect="0081264C">
          <w:headerReference w:type="default" r:id="rId22"/>
          <w:pgSz w:w="12240" w:h="15840" w:code="1"/>
          <w:pgMar w:top="1440" w:right="1440" w:bottom="1440" w:left="1440" w:header="720" w:footer="720" w:gutter="0"/>
          <w:cols w:space="720"/>
          <w:formProt w:val="0"/>
          <w:docGrid w:linePitch="360"/>
        </w:sectPr>
      </w:pPr>
    </w:p>
    <w:p w:rsidR="009F4054" w:rsidRDefault="009F4054" w:rsidP="009F4054">
      <w:pPr>
        <w:pStyle w:val="BodyText"/>
      </w:pPr>
      <w:r w:rsidRPr="000D060F">
        <w:lastRenderedPageBreak/>
        <w:fldChar w:fldCharType="begin"/>
      </w:r>
      <w:r w:rsidRPr="000D060F">
        <w:instrText xml:space="preserve"> TC "</w:instrText>
      </w:r>
      <w:bookmarkStart w:id="45" w:name="_Toc431459596"/>
      <w:r w:rsidRPr="000D060F">
        <w:tab/>
      </w:r>
      <w:r>
        <w:instrText>Schedule 3-C</w:instrText>
      </w:r>
      <w:bookmarkEnd w:id="45"/>
      <w:r w:rsidRPr="000D060F">
        <w:instrText xml:space="preserve">" \l 1 </w:instrText>
      </w:r>
      <w:r w:rsidRPr="000D060F">
        <w:fldChar w:fldCharType="end"/>
      </w:r>
    </w:p>
    <w:tbl>
      <w:tblPr>
        <w:tblW w:w="5000" w:type="pct"/>
        <w:tblLayout w:type="fixed"/>
        <w:tblLook w:val="04A0" w:firstRow="1" w:lastRow="0" w:firstColumn="1" w:lastColumn="0" w:noHBand="0" w:noVBand="1"/>
      </w:tblPr>
      <w:tblGrid>
        <w:gridCol w:w="271"/>
        <w:gridCol w:w="5150"/>
        <w:gridCol w:w="1078"/>
        <w:gridCol w:w="1078"/>
        <w:gridCol w:w="534"/>
        <w:gridCol w:w="1195"/>
        <w:gridCol w:w="270"/>
      </w:tblGrid>
      <w:tr w:rsidR="009F4054" w:rsidTr="009F4054">
        <w:trPr>
          <w:trHeight w:val="300"/>
        </w:trPr>
        <w:tc>
          <w:tcPr>
            <w:tcW w:w="141" w:type="pct"/>
            <w:tcBorders>
              <w:top w:val="single" w:sz="4" w:space="0" w:color="auto"/>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bookmarkStart w:id="46" w:name="RANGE!A1:G27"/>
            <w:r>
              <w:rPr>
                <w:rFonts w:ascii="SWISS" w:hAnsi="SWISS" w:cs="Arial"/>
                <w:color w:val="000000"/>
                <w:sz w:val="20"/>
                <w:szCs w:val="20"/>
              </w:rPr>
              <w:t> </w:t>
            </w:r>
            <w:bookmarkEnd w:id="46"/>
          </w:p>
        </w:tc>
        <w:tc>
          <w:tcPr>
            <w:tcW w:w="2689" w:type="pct"/>
            <w:tcBorders>
              <w:top w:val="single" w:sz="4" w:space="0" w:color="auto"/>
              <w:left w:val="nil"/>
              <w:bottom w:val="nil"/>
              <w:right w:val="nil"/>
            </w:tcBorders>
            <w:shd w:val="clear" w:color="auto" w:fill="auto"/>
            <w:noWrap/>
            <w:vAlign w:val="bottom"/>
            <w:hideMark/>
          </w:tcPr>
          <w:p w:rsidR="009F4054" w:rsidRDefault="009F4054">
            <w:pPr>
              <w:rPr>
                <w:rFonts w:ascii="SWISS" w:hAnsi="SWISS" w:cs="Arial"/>
                <w:b/>
                <w:bCs/>
                <w:color w:val="000000"/>
                <w:sz w:val="20"/>
                <w:szCs w:val="20"/>
              </w:rPr>
            </w:pPr>
            <w:r>
              <w:rPr>
                <w:rFonts w:ascii="SWISS" w:hAnsi="SWISS" w:cs="Arial"/>
                <w:b/>
                <w:bCs/>
                <w:color w:val="000000"/>
                <w:sz w:val="20"/>
                <w:szCs w:val="20"/>
              </w:rPr>
              <w:t>CEDAR ACRES, INC.</w:t>
            </w:r>
          </w:p>
        </w:tc>
        <w:tc>
          <w:tcPr>
            <w:tcW w:w="563" w:type="pct"/>
            <w:tcBorders>
              <w:top w:val="single" w:sz="4" w:space="0" w:color="auto"/>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1466" w:type="pct"/>
            <w:gridSpan w:val="3"/>
            <w:tcBorders>
              <w:top w:val="single" w:sz="4" w:space="0" w:color="auto"/>
              <w:left w:val="nil"/>
              <w:bottom w:val="nil"/>
              <w:right w:val="nil"/>
            </w:tcBorders>
            <w:shd w:val="clear" w:color="auto" w:fill="auto"/>
            <w:noWrap/>
            <w:vAlign w:val="bottom"/>
            <w:hideMark/>
          </w:tcPr>
          <w:p w:rsidR="009F4054" w:rsidRDefault="009F4054">
            <w:pPr>
              <w:jc w:val="right"/>
              <w:rPr>
                <w:rFonts w:ascii="SWISS" w:hAnsi="SWISS" w:cs="Arial"/>
                <w:b/>
                <w:bCs/>
                <w:color w:val="000000"/>
                <w:sz w:val="20"/>
                <w:szCs w:val="20"/>
              </w:rPr>
            </w:pPr>
            <w:r>
              <w:rPr>
                <w:rFonts w:ascii="SWISS" w:hAnsi="SWISS" w:cs="Arial"/>
                <w:b/>
                <w:bCs/>
                <w:color w:val="000000"/>
                <w:sz w:val="20"/>
                <w:szCs w:val="20"/>
              </w:rPr>
              <w:t>SCHEDULE NO. 3-C</w:t>
            </w:r>
          </w:p>
        </w:tc>
        <w:tc>
          <w:tcPr>
            <w:tcW w:w="141" w:type="pct"/>
            <w:tcBorders>
              <w:top w:val="single" w:sz="4" w:space="0" w:color="auto"/>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b/>
                <w:bCs/>
                <w:color w:val="000000"/>
                <w:sz w:val="20"/>
                <w:szCs w:val="20"/>
              </w:rPr>
            </w:pPr>
            <w:r>
              <w:rPr>
                <w:rFonts w:ascii="SWISS" w:hAnsi="SWISS" w:cs="Arial"/>
                <w:b/>
                <w:bCs/>
                <w:color w:val="000000"/>
                <w:sz w:val="20"/>
                <w:szCs w:val="20"/>
              </w:rPr>
              <w:t>TEST YEAR ENDED   09/30/14</w:t>
            </w:r>
          </w:p>
        </w:tc>
        <w:tc>
          <w:tcPr>
            <w:tcW w:w="563"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p>
        </w:tc>
        <w:tc>
          <w:tcPr>
            <w:tcW w:w="1466" w:type="pct"/>
            <w:gridSpan w:val="3"/>
            <w:tcBorders>
              <w:top w:val="nil"/>
              <w:left w:val="nil"/>
              <w:bottom w:val="nil"/>
              <w:right w:val="nil"/>
            </w:tcBorders>
            <w:shd w:val="clear" w:color="auto" w:fill="auto"/>
            <w:noWrap/>
            <w:vAlign w:val="center"/>
            <w:hideMark/>
          </w:tcPr>
          <w:p w:rsidR="009F4054" w:rsidRDefault="009F4054">
            <w:pPr>
              <w:jc w:val="right"/>
              <w:rPr>
                <w:rFonts w:ascii="SWISS" w:hAnsi="SWISS" w:cs="Arial"/>
                <w:b/>
                <w:bCs/>
                <w:color w:val="000000"/>
                <w:sz w:val="20"/>
                <w:szCs w:val="20"/>
              </w:rPr>
            </w:pPr>
            <w:r>
              <w:rPr>
                <w:rFonts w:ascii="SWISS" w:hAnsi="SWISS" w:cs="Arial"/>
                <w:b/>
                <w:bCs/>
                <w:color w:val="000000"/>
                <w:sz w:val="20"/>
                <w:szCs w:val="20"/>
              </w:rPr>
              <w:t>DOCKET NO</w:t>
            </w:r>
            <w:proofErr w:type="gramStart"/>
            <w:r>
              <w:rPr>
                <w:rFonts w:ascii="SWISS" w:hAnsi="SWISS" w:cs="Arial"/>
                <w:b/>
                <w:bCs/>
                <w:color w:val="000000"/>
                <w:sz w:val="20"/>
                <w:szCs w:val="20"/>
              </w:rPr>
              <w:t xml:space="preserve">.  </w:t>
            </w:r>
            <w:proofErr w:type="gramEnd"/>
            <w:r>
              <w:rPr>
                <w:rFonts w:ascii="SWISS" w:hAnsi="SWISS" w:cs="Arial"/>
                <w:b/>
                <w:bCs/>
                <w:color w:val="000000"/>
                <w:sz w:val="20"/>
                <w:szCs w:val="20"/>
              </w:rPr>
              <w:t>140217-WU</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3252" w:type="pct"/>
            <w:gridSpan w:val="2"/>
            <w:tcBorders>
              <w:top w:val="nil"/>
              <w:left w:val="nil"/>
              <w:bottom w:val="nil"/>
              <w:right w:val="nil"/>
            </w:tcBorders>
            <w:shd w:val="clear" w:color="auto" w:fill="auto"/>
            <w:noWrap/>
            <w:vAlign w:val="bottom"/>
            <w:hideMark/>
          </w:tcPr>
          <w:p w:rsidR="009F4054" w:rsidRDefault="00155BED" w:rsidP="00155BED">
            <w:pPr>
              <w:rPr>
                <w:rFonts w:ascii="SWISS" w:hAnsi="SWISS" w:cs="Arial"/>
                <w:b/>
                <w:bCs/>
                <w:color w:val="000000"/>
                <w:sz w:val="20"/>
                <w:szCs w:val="20"/>
              </w:rPr>
            </w:pPr>
            <w:r>
              <w:rPr>
                <w:rFonts w:ascii="SWISS" w:hAnsi="SWISS" w:cs="Arial"/>
                <w:b/>
                <w:bCs/>
                <w:color w:val="000000"/>
                <w:sz w:val="20"/>
                <w:szCs w:val="20"/>
              </w:rPr>
              <w:t>ANALYSIS OF WATER O&amp;</w:t>
            </w:r>
            <w:r w:rsidR="009F4054">
              <w:rPr>
                <w:rFonts w:ascii="SWISS" w:hAnsi="SWISS" w:cs="Arial"/>
                <w:b/>
                <w:bCs/>
                <w:color w:val="000000"/>
                <w:sz w:val="20"/>
                <w:szCs w:val="20"/>
              </w:rPr>
              <w:t>M EXPENSES</w:t>
            </w:r>
          </w:p>
        </w:tc>
        <w:tc>
          <w:tcPr>
            <w:tcW w:w="563"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p>
        </w:tc>
        <w:tc>
          <w:tcPr>
            <w:tcW w:w="27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p>
        </w:tc>
        <w:tc>
          <w:tcPr>
            <w:tcW w:w="623"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single" w:sz="4" w:space="0" w:color="000000"/>
              <w:left w:val="single" w:sz="4" w:space="0" w:color="auto"/>
              <w:bottom w:val="nil"/>
              <w:right w:val="nil"/>
            </w:tcBorders>
            <w:shd w:val="clear" w:color="000000" w:fill="F2F2F2"/>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single" w:sz="4" w:space="0" w:color="000000"/>
              <w:left w:val="nil"/>
              <w:bottom w:val="nil"/>
              <w:right w:val="nil"/>
            </w:tcBorders>
            <w:shd w:val="clear" w:color="000000" w:fill="F2F2F2"/>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563" w:type="pct"/>
            <w:tcBorders>
              <w:top w:val="single" w:sz="4" w:space="0" w:color="000000"/>
              <w:left w:val="nil"/>
              <w:bottom w:val="nil"/>
              <w:right w:val="nil"/>
            </w:tcBorders>
            <w:shd w:val="clear" w:color="000000" w:fill="F2F2F2"/>
            <w:noWrap/>
            <w:vAlign w:val="bottom"/>
            <w:hideMark/>
          </w:tcPr>
          <w:p w:rsidR="009F4054" w:rsidRDefault="009F4054">
            <w:pPr>
              <w:jc w:val="center"/>
              <w:rPr>
                <w:rFonts w:ascii="SWISS" w:hAnsi="SWISS" w:cs="Arial"/>
                <w:b/>
                <w:bCs/>
                <w:color w:val="000000"/>
                <w:sz w:val="20"/>
                <w:szCs w:val="20"/>
              </w:rPr>
            </w:pPr>
            <w:r>
              <w:rPr>
                <w:rFonts w:ascii="SWISS" w:hAnsi="SWISS" w:cs="Arial"/>
                <w:b/>
                <w:bCs/>
                <w:color w:val="000000"/>
                <w:sz w:val="20"/>
                <w:szCs w:val="20"/>
              </w:rPr>
              <w:t>TOTAL</w:t>
            </w:r>
          </w:p>
        </w:tc>
        <w:tc>
          <w:tcPr>
            <w:tcW w:w="563" w:type="pct"/>
            <w:tcBorders>
              <w:top w:val="single" w:sz="4" w:space="0" w:color="000000"/>
              <w:left w:val="nil"/>
              <w:bottom w:val="nil"/>
              <w:right w:val="nil"/>
            </w:tcBorders>
            <w:shd w:val="clear" w:color="000000" w:fill="F2F2F2"/>
            <w:noWrap/>
            <w:vAlign w:val="bottom"/>
            <w:hideMark/>
          </w:tcPr>
          <w:p w:rsidR="009F4054" w:rsidRDefault="009F4054">
            <w:pPr>
              <w:jc w:val="center"/>
              <w:rPr>
                <w:rFonts w:ascii="SWISS" w:hAnsi="SWISS" w:cs="Arial"/>
                <w:b/>
                <w:bCs/>
                <w:color w:val="000000"/>
                <w:sz w:val="20"/>
                <w:szCs w:val="20"/>
              </w:rPr>
            </w:pPr>
            <w:r>
              <w:rPr>
                <w:rFonts w:ascii="SWISS" w:hAnsi="SWISS" w:cs="Arial"/>
                <w:b/>
                <w:bCs/>
                <w:color w:val="000000"/>
                <w:sz w:val="20"/>
                <w:szCs w:val="20"/>
              </w:rPr>
              <w:t>STAFF</w:t>
            </w:r>
          </w:p>
        </w:tc>
        <w:tc>
          <w:tcPr>
            <w:tcW w:w="279" w:type="pct"/>
            <w:tcBorders>
              <w:top w:val="single" w:sz="4" w:space="0" w:color="000000"/>
              <w:left w:val="nil"/>
              <w:bottom w:val="nil"/>
              <w:right w:val="nil"/>
            </w:tcBorders>
            <w:shd w:val="clear" w:color="000000" w:fill="F2F2F2"/>
            <w:noWrap/>
            <w:vAlign w:val="bottom"/>
            <w:hideMark/>
          </w:tcPr>
          <w:p w:rsidR="009F4054" w:rsidRDefault="009F4054">
            <w:pPr>
              <w:jc w:val="center"/>
              <w:rPr>
                <w:rFonts w:ascii="SWISS" w:hAnsi="SWISS" w:cs="Arial"/>
                <w:b/>
                <w:bCs/>
                <w:color w:val="000000"/>
                <w:sz w:val="20"/>
                <w:szCs w:val="20"/>
              </w:rPr>
            </w:pPr>
            <w:r>
              <w:rPr>
                <w:rFonts w:ascii="SWISS" w:hAnsi="SWISS" w:cs="Arial"/>
                <w:b/>
                <w:bCs/>
                <w:color w:val="000000"/>
                <w:sz w:val="20"/>
                <w:szCs w:val="20"/>
              </w:rPr>
              <w:t> </w:t>
            </w:r>
          </w:p>
        </w:tc>
        <w:tc>
          <w:tcPr>
            <w:tcW w:w="623" w:type="pct"/>
            <w:tcBorders>
              <w:top w:val="single" w:sz="4" w:space="0" w:color="000000"/>
              <w:left w:val="nil"/>
              <w:bottom w:val="nil"/>
              <w:right w:val="nil"/>
            </w:tcBorders>
            <w:shd w:val="clear" w:color="000000" w:fill="F2F2F2"/>
            <w:noWrap/>
            <w:vAlign w:val="bottom"/>
            <w:hideMark/>
          </w:tcPr>
          <w:p w:rsidR="009F4054" w:rsidRDefault="009F4054">
            <w:pPr>
              <w:jc w:val="center"/>
              <w:rPr>
                <w:rFonts w:ascii="SWISS" w:hAnsi="SWISS" w:cs="Arial"/>
                <w:b/>
                <w:bCs/>
                <w:color w:val="000000"/>
                <w:sz w:val="20"/>
                <w:szCs w:val="20"/>
              </w:rPr>
            </w:pPr>
            <w:r>
              <w:rPr>
                <w:rFonts w:ascii="SWISS" w:hAnsi="SWISS" w:cs="Arial"/>
                <w:b/>
                <w:bCs/>
                <w:color w:val="000000"/>
                <w:sz w:val="20"/>
                <w:szCs w:val="20"/>
              </w:rPr>
              <w:t>TOTAL</w:t>
            </w:r>
          </w:p>
        </w:tc>
        <w:tc>
          <w:tcPr>
            <w:tcW w:w="141" w:type="pct"/>
            <w:tcBorders>
              <w:top w:val="single" w:sz="4" w:space="0" w:color="000000"/>
              <w:left w:val="nil"/>
              <w:bottom w:val="nil"/>
              <w:right w:val="single" w:sz="4" w:space="0" w:color="auto"/>
            </w:tcBorders>
            <w:shd w:val="clear" w:color="000000" w:fill="F2F2F2"/>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15"/>
        </w:trPr>
        <w:tc>
          <w:tcPr>
            <w:tcW w:w="141" w:type="pct"/>
            <w:tcBorders>
              <w:top w:val="nil"/>
              <w:left w:val="single" w:sz="4" w:space="0" w:color="auto"/>
              <w:bottom w:val="nil"/>
              <w:right w:val="nil"/>
            </w:tcBorders>
            <w:shd w:val="clear" w:color="000000" w:fill="F2F2F2"/>
            <w:noWrap/>
            <w:vAlign w:val="bottom"/>
            <w:hideMark/>
          </w:tcPr>
          <w:p w:rsidR="009F4054" w:rsidRDefault="009F4054">
            <w:pPr>
              <w:rPr>
                <w:rFonts w:ascii="SWISS" w:hAnsi="SWISS" w:cs="Arial"/>
                <w:color w:val="000000"/>
              </w:rPr>
            </w:pPr>
            <w:r>
              <w:rPr>
                <w:rFonts w:ascii="SWISS" w:hAnsi="SWISS" w:cs="Arial"/>
                <w:color w:val="000000"/>
              </w:rPr>
              <w:t> </w:t>
            </w:r>
          </w:p>
        </w:tc>
        <w:tc>
          <w:tcPr>
            <w:tcW w:w="2689" w:type="pct"/>
            <w:tcBorders>
              <w:top w:val="nil"/>
              <w:left w:val="nil"/>
              <w:bottom w:val="nil"/>
              <w:right w:val="nil"/>
            </w:tcBorders>
            <w:shd w:val="clear" w:color="000000" w:fill="F2F2F2"/>
            <w:noWrap/>
            <w:vAlign w:val="bottom"/>
            <w:hideMark/>
          </w:tcPr>
          <w:p w:rsidR="009F4054" w:rsidRDefault="009F4054">
            <w:pPr>
              <w:rPr>
                <w:rFonts w:ascii="SWISS" w:hAnsi="SWISS" w:cs="Arial"/>
                <w:color w:val="000000"/>
              </w:rPr>
            </w:pPr>
            <w:r>
              <w:rPr>
                <w:rFonts w:ascii="SWISS" w:hAnsi="SWISS" w:cs="Arial"/>
                <w:color w:val="000000"/>
              </w:rPr>
              <w:t> </w:t>
            </w:r>
          </w:p>
        </w:tc>
        <w:tc>
          <w:tcPr>
            <w:tcW w:w="563" w:type="pct"/>
            <w:tcBorders>
              <w:top w:val="nil"/>
              <w:left w:val="nil"/>
              <w:bottom w:val="nil"/>
              <w:right w:val="nil"/>
            </w:tcBorders>
            <w:shd w:val="clear" w:color="000000" w:fill="F2F2F2"/>
            <w:noWrap/>
            <w:vAlign w:val="bottom"/>
            <w:hideMark/>
          </w:tcPr>
          <w:p w:rsidR="009F4054" w:rsidRDefault="009F4054">
            <w:pPr>
              <w:jc w:val="center"/>
              <w:rPr>
                <w:rFonts w:ascii="SWISS" w:hAnsi="SWISS" w:cs="Arial"/>
                <w:b/>
                <w:bCs/>
                <w:color w:val="000000"/>
                <w:sz w:val="20"/>
                <w:szCs w:val="20"/>
              </w:rPr>
            </w:pPr>
            <w:r>
              <w:rPr>
                <w:rFonts w:ascii="SWISS" w:hAnsi="SWISS" w:cs="Arial"/>
                <w:b/>
                <w:bCs/>
                <w:color w:val="000000"/>
                <w:sz w:val="20"/>
                <w:szCs w:val="20"/>
              </w:rPr>
              <w:t>PER</w:t>
            </w:r>
          </w:p>
        </w:tc>
        <w:tc>
          <w:tcPr>
            <w:tcW w:w="563" w:type="pct"/>
            <w:tcBorders>
              <w:top w:val="nil"/>
              <w:left w:val="nil"/>
              <w:bottom w:val="nil"/>
              <w:right w:val="nil"/>
            </w:tcBorders>
            <w:shd w:val="clear" w:color="000000" w:fill="F2F2F2"/>
            <w:noWrap/>
            <w:vAlign w:val="bottom"/>
            <w:hideMark/>
          </w:tcPr>
          <w:p w:rsidR="009F4054" w:rsidRDefault="009F4054">
            <w:pPr>
              <w:jc w:val="center"/>
              <w:rPr>
                <w:rFonts w:ascii="SWISS" w:hAnsi="SWISS" w:cs="Arial"/>
                <w:b/>
                <w:bCs/>
                <w:color w:val="000000"/>
                <w:sz w:val="20"/>
                <w:szCs w:val="20"/>
              </w:rPr>
            </w:pPr>
            <w:r>
              <w:rPr>
                <w:rFonts w:ascii="SWISS" w:hAnsi="SWISS" w:cs="Arial"/>
                <w:b/>
                <w:bCs/>
                <w:color w:val="000000"/>
                <w:sz w:val="20"/>
                <w:szCs w:val="20"/>
              </w:rPr>
              <w:t>PER</w:t>
            </w:r>
          </w:p>
        </w:tc>
        <w:tc>
          <w:tcPr>
            <w:tcW w:w="279" w:type="pct"/>
            <w:tcBorders>
              <w:top w:val="nil"/>
              <w:left w:val="nil"/>
              <w:bottom w:val="nil"/>
              <w:right w:val="nil"/>
            </w:tcBorders>
            <w:shd w:val="clear" w:color="000000" w:fill="F2F2F2"/>
            <w:noWrap/>
            <w:vAlign w:val="bottom"/>
            <w:hideMark/>
          </w:tcPr>
          <w:p w:rsidR="009F4054" w:rsidRDefault="009F4054">
            <w:pPr>
              <w:rPr>
                <w:rFonts w:ascii="SWISS" w:hAnsi="SWISS" w:cs="Arial"/>
                <w:b/>
                <w:bCs/>
                <w:color w:val="000000"/>
              </w:rPr>
            </w:pPr>
            <w:r>
              <w:rPr>
                <w:rFonts w:ascii="SWISS" w:hAnsi="SWISS" w:cs="Arial"/>
                <w:b/>
                <w:bCs/>
                <w:color w:val="000000"/>
              </w:rPr>
              <w:t> </w:t>
            </w:r>
          </w:p>
        </w:tc>
        <w:tc>
          <w:tcPr>
            <w:tcW w:w="623" w:type="pct"/>
            <w:tcBorders>
              <w:top w:val="nil"/>
              <w:left w:val="nil"/>
              <w:bottom w:val="nil"/>
              <w:right w:val="nil"/>
            </w:tcBorders>
            <w:shd w:val="clear" w:color="000000" w:fill="F2F2F2"/>
            <w:noWrap/>
            <w:vAlign w:val="bottom"/>
            <w:hideMark/>
          </w:tcPr>
          <w:p w:rsidR="009F4054" w:rsidRDefault="009F4054">
            <w:pPr>
              <w:jc w:val="center"/>
              <w:rPr>
                <w:rFonts w:ascii="SWISS" w:hAnsi="SWISS" w:cs="Arial"/>
                <w:b/>
                <w:bCs/>
                <w:color w:val="000000"/>
                <w:sz w:val="20"/>
                <w:szCs w:val="20"/>
              </w:rPr>
            </w:pPr>
            <w:r>
              <w:rPr>
                <w:rFonts w:ascii="SWISS" w:hAnsi="SWISS" w:cs="Arial"/>
                <w:b/>
                <w:bCs/>
                <w:color w:val="000000"/>
                <w:sz w:val="20"/>
                <w:szCs w:val="20"/>
              </w:rPr>
              <w:t>PER</w:t>
            </w:r>
          </w:p>
        </w:tc>
        <w:tc>
          <w:tcPr>
            <w:tcW w:w="141" w:type="pct"/>
            <w:tcBorders>
              <w:top w:val="nil"/>
              <w:left w:val="nil"/>
              <w:bottom w:val="nil"/>
              <w:right w:val="single" w:sz="4" w:space="0" w:color="auto"/>
            </w:tcBorders>
            <w:shd w:val="clear" w:color="000000" w:fill="F2F2F2"/>
            <w:noWrap/>
            <w:vAlign w:val="bottom"/>
            <w:hideMark/>
          </w:tcPr>
          <w:p w:rsidR="009F4054" w:rsidRDefault="009F4054">
            <w:pPr>
              <w:rPr>
                <w:rFonts w:ascii="SWISS" w:hAnsi="SWISS" w:cs="Arial"/>
                <w:color w:val="000000"/>
              </w:rPr>
            </w:pPr>
            <w:r>
              <w:rPr>
                <w:rFonts w:ascii="SWISS" w:hAnsi="SWISS" w:cs="Arial"/>
                <w:color w:val="000000"/>
              </w:rPr>
              <w:t> </w:t>
            </w:r>
          </w:p>
        </w:tc>
      </w:tr>
      <w:tr w:rsidR="009F4054" w:rsidTr="009F4054">
        <w:trPr>
          <w:trHeight w:val="300"/>
        </w:trPr>
        <w:tc>
          <w:tcPr>
            <w:tcW w:w="141" w:type="pct"/>
            <w:tcBorders>
              <w:top w:val="nil"/>
              <w:left w:val="single" w:sz="4" w:space="0" w:color="auto"/>
              <w:bottom w:val="nil"/>
              <w:right w:val="nil"/>
            </w:tcBorders>
            <w:shd w:val="clear" w:color="000000" w:fill="F2F2F2"/>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000000" w:fill="F2F2F2"/>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563" w:type="pct"/>
            <w:tcBorders>
              <w:top w:val="nil"/>
              <w:left w:val="nil"/>
              <w:bottom w:val="nil"/>
              <w:right w:val="nil"/>
            </w:tcBorders>
            <w:shd w:val="clear" w:color="000000" w:fill="F2F2F2"/>
            <w:noWrap/>
            <w:vAlign w:val="bottom"/>
            <w:hideMark/>
          </w:tcPr>
          <w:p w:rsidR="009F4054" w:rsidRDefault="009F4054">
            <w:pPr>
              <w:jc w:val="center"/>
              <w:rPr>
                <w:rFonts w:ascii="SWISS" w:hAnsi="SWISS" w:cs="Arial"/>
                <w:b/>
                <w:bCs/>
                <w:color w:val="000000"/>
                <w:sz w:val="20"/>
                <w:szCs w:val="20"/>
              </w:rPr>
            </w:pPr>
            <w:r>
              <w:rPr>
                <w:rFonts w:ascii="SWISS" w:hAnsi="SWISS" w:cs="Arial"/>
                <w:b/>
                <w:bCs/>
                <w:color w:val="000000"/>
                <w:sz w:val="20"/>
                <w:szCs w:val="20"/>
              </w:rPr>
              <w:t>UTILITY</w:t>
            </w:r>
          </w:p>
        </w:tc>
        <w:tc>
          <w:tcPr>
            <w:tcW w:w="563" w:type="pct"/>
            <w:tcBorders>
              <w:top w:val="nil"/>
              <w:left w:val="nil"/>
              <w:bottom w:val="nil"/>
              <w:right w:val="nil"/>
            </w:tcBorders>
            <w:shd w:val="clear" w:color="000000" w:fill="F2F2F2"/>
            <w:noWrap/>
            <w:vAlign w:val="bottom"/>
            <w:hideMark/>
          </w:tcPr>
          <w:p w:rsidR="009F4054" w:rsidRDefault="009F4054">
            <w:pPr>
              <w:jc w:val="center"/>
              <w:rPr>
                <w:rFonts w:ascii="SWISS" w:hAnsi="SWISS" w:cs="Arial"/>
                <w:b/>
                <w:bCs/>
                <w:color w:val="000000"/>
                <w:sz w:val="20"/>
                <w:szCs w:val="20"/>
              </w:rPr>
            </w:pPr>
            <w:r>
              <w:rPr>
                <w:rFonts w:ascii="SWISS" w:hAnsi="SWISS" w:cs="Arial"/>
                <w:b/>
                <w:bCs/>
                <w:color w:val="000000"/>
                <w:sz w:val="20"/>
                <w:szCs w:val="20"/>
              </w:rPr>
              <w:t>ADJUST.</w:t>
            </w:r>
          </w:p>
        </w:tc>
        <w:tc>
          <w:tcPr>
            <w:tcW w:w="279" w:type="pct"/>
            <w:tcBorders>
              <w:top w:val="nil"/>
              <w:left w:val="nil"/>
              <w:bottom w:val="nil"/>
              <w:right w:val="nil"/>
            </w:tcBorders>
            <w:shd w:val="clear" w:color="000000" w:fill="F2F2F2"/>
            <w:noWrap/>
            <w:vAlign w:val="bottom"/>
            <w:hideMark/>
          </w:tcPr>
          <w:p w:rsidR="009F4054" w:rsidRDefault="009F4054">
            <w:pPr>
              <w:jc w:val="center"/>
              <w:rPr>
                <w:rFonts w:ascii="SWISS" w:hAnsi="SWISS" w:cs="Arial"/>
                <w:b/>
                <w:bCs/>
                <w:color w:val="000000"/>
                <w:sz w:val="20"/>
                <w:szCs w:val="20"/>
              </w:rPr>
            </w:pPr>
            <w:r>
              <w:rPr>
                <w:rFonts w:ascii="SWISS" w:hAnsi="SWISS" w:cs="Arial"/>
                <w:b/>
                <w:bCs/>
                <w:color w:val="000000"/>
                <w:sz w:val="20"/>
                <w:szCs w:val="20"/>
              </w:rPr>
              <w:t> </w:t>
            </w:r>
          </w:p>
        </w:tc>
        <w:tc>
          <w:tcPr>
            <w:tcW w:w="623" w:type="pct"/>
            <w:tcBorders>
              <w:top w:val="nil"/>
              <w:left w:val="nil"/>
              <w:bottom w:val="nil"/>
              <w:right w:val="nil"/>
            </w:tcBorders>
            <w:shd w:val="clear" w:color="000000" w:fill="F2F2F2"/>
            <w:noWrap/>
            <w:vAlign w:val="bottom"/>
            <w:hideMark/>
          </w:tcPr>
          <w:p w:rsidR="009F4054" w:rsidRDefault="009F4054">
            <w:pPr>
              <w:jc w:val="center"/>
              <w:rPr>
                <w:rFonts w:ascii="SWISS" w:hAnsi="SWISS" w:cs="Arial"/>
                <w:b/>
                <w:bCs/>
                <w:color w:val="000000"/>
                <w:sz w:val="20"/>
                <w:szCs w:val="20"/>
              </w:rPr>
            </w:pPr>
            <w:r>
              <w:rPr>
                <w:rFonts w:ascii="SWISS" w:hAnsi="SWISS" w:cs="Arial"/>
                <w:b/>
                <w:bCs/>
                <w:color w:val="000000"/>
                <w:sz w:val="20"/>
                <w:szCs w:val="20"/>
              </w:rPr>
              <w:t>PER STAFF</w:t>
            </w:r>
          </w:p>
        </w:tc>
        <w:tc>
          <w:tcPr>
            <w:tcW w:w="141" w:type="pct"/>
            <w:tcBorders>
              <w:top w:val="nil"/>
              <w:left w:val="nil"/>
              <w:bottom w:val="nil"/>
              <w:right w:val="single" w:sz="4" w:space="0" w:color="auto"/>
            </w:tcBorders>
            <w:shd w:val="clear" w:color="000000" w:fill="F2F2F2"/>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single" w:sz="4" w:space="0" w:color="000000"/>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single" w:sz="4" w:space="0" w:color="000000"/>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563" w:type="pct"/>
            <w:tcBorders>
              <w:top w:val="single" w:sz="4" w:space="0" w:color="000000"/>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563" w:type="pct"/>
            <w:tcBorders>
              <w:top w:val="single" w:sz="4" w:space="0" w:color="000000"/>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79" w:type="pct"/>
            <w:tcBorders>
              <w:top w:val="single" w:sz="4" w:space="0" w:color="000000"/>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623" w:type="pct"/>
            <w:tcBorders>
              <w:top w:val="single" w:sz="4" w:space="0" w:color="000000"/>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141" w:type="pct"/>
            <w:tcBorders>
              <w:top w:val="single" w:sz="4" w:space="0" w:color="000000"/>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(601) SALARIES AND WAGES - EMPLOYEES</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$50,837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($11,899)</w:t>
            </w:r>
          </w:p>
        </w:tc>
        <w:tc>
          <w:tcPr>
            <w:tcW w:w="279" w:type="pct"/>
            <w:tcBorders>
              <w:top w:val="nil"/>
              <w:left w:val="nil"/>
              <w:bottom w:val="nil"/>
              <w:right w:val="nil"/>
            </w:tcBorders>
            <w:shd w:val="clear" w:color="auto" w:fill="auto"/>
            <w:noWrap/>
            <w:vAlign w:val="bottom"/>
            <w:hideMark/>
          </w:tcPr>
          <w:p w:rsidR="009F4054" w:rsidRPr="00CC294A" w:rsidRDefault="009F4054">
            <w:pPr>
              <w:jc w:val="center"/>
              <w:rPr>
                <w:rFonts w:ascii="SWISS" w:hAnsi="SWISS" w:cs="Arial"/>
                <w:sz w:val="20"/>
                <w:szCs w:val="20"/>
              </w:rPr>
            </w:pPr>
            <w:r w:rsidRPr="00CC294A">
              <w:rPr>
                <w:rFonts w:ascii="SWISS" w:hAnsi="SWISS" w:cs="Arial"/>
                <w:sz w:val="20"/>
                <w:szCs w:val="20"/>
              </w:rPr>
              <w:t>[1]</w:t>
            </w: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$38,938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(603) SALARIES AND WAGES - OFFICERS</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1,350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3,106 </w:t>
            </w:r>
          </w:p>
        </w:tc>
        <w:tc>
          <w:tcPr>
            <w:tcW w:w="279" w:type="pct"/>
            <w:tcBorders>
              <w:top w:val="nil"/>
              <w:left w:val="nil"/>
              <w:bottom w:val="nil"/>
              <w:right w:val="nil"/>
            </w:tcBorders>
            <w:shd w:val="clear" w:color="auto" w:fill="auto"/>
            <w:noWrap/>
            <w:vAlign w:val="bottom"/>
            <w:hideMark/>
          </w:tcPr>
          <w:p w:rsidR="009F4054" w:rsidRPr="00CC294A" w:rsidRDefault="009F4054">
            <w:pPr>
              <w:jc w:val="center"/>
              <w:rPr>
                <w:rFonts w:ascii="SWISS" w:hAnsi="SWISS" w:cs="Arial"/>
                <w:sz w:val="20"/>
                <w:szCs w:val="20"/>
              </w:rPr>
            </w:pPr>
            <w:r w:rsidRPr="00CC294A">
              <w:rPr>
                <w:rFonts w:ascii="SWISS" w:hAnsi="SWISS" w:cs="Arial"/>
                <w:sz w:val="20"/>
                <w:szCs w:val="20"/>
              </w:rPr>
              <w:t>[2]</w:t>
            </w: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4,456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(604) EMPLOYEE PENSION &amp; BENEFITS</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279" w:type="pct"/>
            <w:tcBorders>
              <w:top w:val="nil"/>
              <w:left w:val="nil"/>
              <w:bottom w:val="nil"/>
              <w:right w:val="nil"/>
            </w:tcBorders>
            <w:shd w:val="clear" w:color="auto" w:fill="auto"/>
            <w:noWrap/>
            <w:vAlign w:val="bottom"/>
            <w:hideMark/>
          </w:tcPr>
          <w:p w:rsidR="009F4054" w:rsidRPr="00CC294A" w:rsidRDefault="009F4054">
            <w:pPr>
              <w:jc w:val="center"/>
              <w:rPr>
                <w:rFonts w:ascii="SWISS" w:hAnsi="SWISS" w:cs="Arial"/>
                <w:sz w:val="20"/>
                <w:szCs w:val="20"/>
              </w:rPr>
            </w:pP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(610) PURCHASED WATER</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279" w:type="pct"/>
            <w:tcBorders>
              <w:top w:val="nil"/>
              <w:left w:val="nil"/>
              <w:bottom w:val="nil"/>
              <w:right w:val="nil"/>
            </w:tcBorders>
            <w:shd w:val="clear" w:color="auto" w:fill="auto"/>
            <w:noWrap/>
            <w:vAlign w:val="bottom"/>
            <w:hideMark/>
          </w:tcPr>
          <w:p w:rsidR="009F4054" w:rsidRPr="00CC294A" w:rsidRDefault="009F4054">
            <w:pPr>
              <w:jc w:val="center"/>
              <w:rPr>
                <w:rFonts w:ascii="SWISS" w:hAnsi="SWISS" w:cs="Arial"/>
                <w:sz w:val="20"/>
                <w:szCs w:val="20"/>
              </w:rPr>
            </w:pP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(615) PURCHASED POWER</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3,449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(374)</w:t>
            </w:r>
          </w:p>
        </w:tc>
        <w:tc>
          <w:tcPr>
            <w:tcW w:w="279" w:type="pct"/>
            <w:tcBorders>
              <w:top w:val="nil"/>
              <w:left w:val="nil"/>
              <w:bottom w:val="nil"/>
              <w:right w:val="nil"/>
            </w:tcBorders>
            <w:shd w:val="clear" w:color="auto" w:fill="auto"/>
            <w:noWrap/>
            <w:vAlign w:val="bottom"/>
            <w:hideMark/>
          </w:tcPr>
          <w:p w:rsidR="009F4054" w:rsidRPr="00CC294A" w:rsidRDefault="009F4054">
            <w:pPr>
              <w:jc w:val="center"/>
              <w:rPr>
                <w:rFonts w:ascii="SWISS" w:hAnsi="SWISS" w:cs="Arial"/>
                <w:sz w:val="20"/>
                <w:szCs w:val="20"/>
              </w:rPr>
            </w:pPr>
            <w:r w:rsidRPr="00CC294A">
              <w:rPr>
                <w:rFonts w:ascii="SWISS" w:hAnsi="SWISS" w:cs="Arial"/>
                <w:sz w:val="20"/>
                <w:szCs w:val="20"/>
              </w:rPr>
              <w:t>[3]</w:t>
            </w: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3,075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(616) FUEL FOR POWER PRODUCTION</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315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279" w:type="pct"/>
            <w:tcBorders>
              <w:top w:val="nil"/>
              <w:left w:val="nil"/>
              <w:bottom w:val="nil"/>
              <w:right w:val="nil"/>
            </w:tcBorders>
            <w:shd w:val="clear" w:color="auto" w:fill="auto"/>
            <w:noWrap/>
            <w:vAlign w:val="bottom"/>
            <w:hideMark/>
          </w:tcPr>
          <w:p w:rsidR="009F4054" w:rsidRPr="00CC294A" w:rsidRDefault="009F4054">
            <w:pPr>
              <w:rPr>
                <w:rFonts w:ascii="SWISS" w:hAnsi="SWISS" w:cs="Arial"/>
              </w:rPr>
            </w:pP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315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(618) CHEMICALS</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1,477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279" w:type="pct"/>
            <w:tcBorders>
              <w:top w:val="nil"/>
              <w:left w:val="nil"/>
              <w:bottom w:val="nil"/>
              <w:right w:val="nil"/>
            </w:tcBorders>
            <w:shd w:val="clear" w:color="auto" w:fill="auto"/>
            <w:noWrap/>
            <w:vAlign w:val="bottom"/>
            <w:hideMark/>
          </w:tcPr>
          <w:p w:rsidR="009F4054" w:rsidRPr="00CC294A" w:rsidRDefault="009F4054">
            <w:pPr>
              <w:rPr>
                <w:rFonts w:ascii="SWISS" w:hAnsi="SWISS" w:cs="Arial"/>
              </w:rPr>
            </w:pP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1,477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(620) MATERIALS AND SUPPLIES</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279" w:type="pct"/>
            <w:tcBorders>
              <w:top w:val="nil"/>
              <w:left w:val="nil"/>
              <w:bottom w:val="nil"/>
              <w:right w:val="nil"/>
            </w:tcBorders>
            <w:shd w:val="clear" w:color="auto" w:fill="auto"/>
            <w:noWrap/>
            <w:vAlign w:val="bottom"/>
            <w:hideMark/>
          </w:tcPr>
          <w:p w:rsidR="009F4054" w:rsidRPr="00CC294A" w:rsidRDefault="009F4054">
            <w:pPr>
              <w:rPr>
                <w:rFonts w:ascii="SWISS" w:hAnsi="SWISS" w:cs="Arial"/>
              </w:rPr>
            </w:pP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(630) CONTRACTUAL SERVICES - BILLING</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12,062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279" w:type="pct"/>
            <w:tcBorders>
              <w:top w:val="nil"/>
              <w:left w:val="nil"/>
              <w:bottom w:val="nil"/>
              <w:right w:val="nil"/>
            </w:tcBorders>
            <w:shd w:val="clear" w:color="auto" w:fill="auto"/>
            <w:noWrap/>
            <w:vAlign w:val="bottom"/>
            <w:hideMark/>
          </w:tcPr>
          <w:p w:rsidR="009F4054" w:rsidRPr="00CC294A" w:rsidRDefault="009F4054">
            <w:pPr>
              <w:rPr>
                <w:rFonts w:ascii="SWISS" w:hAnsi="SWISS" w:cs="Arial"/>
              </w:rPr>
            </w:pP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12,062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(631) CONTRACTUAL SERVICES - PROFESSIONAL</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15,967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(102)</w:t>
            </w:r>
          </w:p>
        </w:tc>
        <w:tc>
          <w:tcPr>
            <w:tcW w:w="279" w:type="pct"/>
            <w:tcBorders>
              <w:top w:val="nil"/>
              <w:left w:val="nil"/>
              <w:bottom w:val="nil"/>
              <w:right w:val="nil"/>
            </w:tcBorders>
            <w:shd w:val="clear" w:color="auto" w:fill="auto"/>
            <w:noWrap/>
            <w:vAlign w:val="bottom"/>
            <w:hideMark/>
          </w:tcPr>
          <w:p w:rsidR="009F4054" w:rsidRPr="00CC294A" w:rsidRDefault="009F4054">
            <w:pPr>
              <w:jc w:val="center"/>
              <w:rPr>
                <w:rFonts w:ascii="SWISS" w:hAnsi="SWISS" w:cs="Arial"/>
                <w:sz w:val="20"/>
                <w:szCs w:val="20"/>
              </w:rPr>
            </w:pPr>
            <w:r w:rsidRPr="00CC294A">
              <w:rPr>
                <w:rFonts w:ascii="SWISS" w:hAnsi="SWISS" w:cs="Arial"/>
                <w:sz w:val="20"/>
                <w:szCs w:val="20"/>
              </w:rPr>
              <w:t>[4]</w:t>
            </w: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15,865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(635) CONTRACTUAL SERVICES - TESTING</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2,866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290 </w:t>
            </w:r>
          </w:p>
        </w:tc>
        <w:tc>
          <w:tcPr>
            <w:tcW w:w="279" w:type="pct"/>
            <w:tcBorders>
              <w:top w:val="nil"/>
              <w:left w:val="nil"/>
              <w:bottom w:val="nil"/>
              <w:right w:val="nil"/>
            </w:tcBorders>
            <w:shd w:val="clear" w:color="auto" w:fill="auto"/>
            <w:noWrap/>
            <w:vAlign w:val="bottom"/>
            <w:hideMark/>
          </w:tcPr>
          <w:p w:rsidR="009F4054" w:rsidRPr="00CC294A" w:rsidRDefault="009F4054">
            <w:pPr>
              <w:jc w:val="center"/>
              <w:rPr>
                <w:rFonts w:ascii="SWISS" w:hAnsi="SWISS" w:cs="Arial"/>
                <w:sz w:val="20"/>
                <w:szCs w:val="20"/>
              </w:rPr>
            </w:pPr>
            <w:r w:rsidRPr="00CC294A">
              <w:rPr>
                <w:rFonts w:ascii="SWISS" w:hAnsi="SWISS" w:cs="Arial"/>
                <w:sz w:val="20"/>
                <w:szCs w:val="20"/>
              </w:rPr>
              <w:t>[5]</w:t>
            </w: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3,156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(636) CONTRACTUAL SERVICES - OTHER</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279" w:type="pct"/>
            <w:tcBorders>
              <w:top w:val="nil"/>
              <w:left w:val="nil"/>
              <w:bottom w:val="nil"/>
              <w:right w:val="nil"/>
            </w:tcBorders>
            <w:shd w:val="clear" w:color="auto" w:fill="auto"/>
            <w:noWrap/>
            <w:vAlign w:val="bottom"/>
            <w:hideMark/>
          </w:tcPr>
          <w:p w:rsidR="009F4054" w:rsidRPr="00CC294A" w:rsidRDefault="009F4054">
            <w:pPr>
              <w:rPr>
                <w:rFonts w:ascii="SWISS" w:hAnsi="SWISS" w:cs="Arial"/>
              </w:rPr>
            </w:pP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(640) RENTS</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9,144 </w:t>
            </w:r>
          </w:p>
        </w:tc>
        <w:tc>
          <w:tcPr>
            <w:tcW w:w="279" w:type="pct"/>
            <w:tcBorders>
              <w:top w:val="nil"/>
              <w:left w:val="nil"/>
              <w:bottom w:val="nil"/>
              <w:right w:val="nil"/>
            </w:tcBorders>
            <w:shd w:val="clear" w:color="auto" w:fill="auto"/>
            <w:noWrap/>
            <w:vAlign w:val="bottom"/>
            <w:hideMark/>
          </w:tcPr>
          <w:p w:rsidR="009F4054" w:rsidRPr="00CC294A" w:rsidRDefault="009F4054">
            <w:pPr>
              <w:jc w:val="center"/>
              <w:rPr>
                <w:rFonts w:ascii="SWISS" w:hAnsi="SWISS" w:cs="Arial"/>
                <w:sz w:val="20"/>
                <w:szCs w:val="20"/>
              </w:rPr>
            </w:pPr>
            <w:r w:rsidRPr="00CC294A">
              <w:rPr>
                <w:rFonts w:ascii="SWISS" w:hAnsi="SWISS" w:cs="Arial"/>
                <w:sz w:val="20"/>
                <w:szCs w:val="20"/>
              </w:rPr>
              <w:t>[6]</w:t>
            </w: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9,144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(650) TRANSPORTATION EXPENSE</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279" w:type="pct"/>
            <w:tcBorders>
              <w:top w:val="nil"/>
              <w:left w:val="nil"/>
              <w:bottom w:val="nil"/>
              <w:right w:val="nil"/>
            </w:tcBorders>
            <w:shd w:val="clear" w:color="auto" w:fill="auto"/>
            <w:noWrap/>
            <w:vAlign w:val="bottom"/>
            <w:hideMark/>
          </w:tcPr>
          <w:p w:rsidR="009F4054" w:rsidRPr="00CC294A" w:rsidRDefault="009F4054">
            <w:pPr>
              <w:jc w:val="center"/>
              <w:rPr>
                <w:rFonts w:ascii="SWISS" w:hAnsi="SWISS" w:cs="Arial"/>
                <w:sz w:val="20"/>
                <w:szCs w:val="20"/>
              </w:rPr>
            </w:pP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(655) INSURANCE EXPENSE</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279" w:type="pct"/>
            <w:tcBorders>
              <w:top w:val="nil"/>
              <w:left w:val="nil"/>
              <w:bottom w:val="nil"/>
              <w:right w:val="nil"/>
            </w:tcBorders>
            <w:shd w:val="clear" w:color="auto" w:fill="auto"/>
            <w:noWrap/>
            <w:vAlign w:val="bottom"/>
            <w:hideMark/>
          </w:tcPr>
          <w:p w:rsidR="009F4054" w:rsidRPr="00CC294A" w:rsidRDefault="009F4054">
            <w:pPr>
              <w:jc w:val="center"/>
              <w:rPr>
                <w:rFonts w:ascii="SWISS" w:hAnsi="SWISS" w:cs="Arial"/>
                <w:sz w:val="20"/>
                <w:szCs w:val="20"/>
              </w:rPr>
            </w:pP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(665) REGULATORY COMMISSION EXPENSE</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341 </w:t>
            </w:r>
          </w:p>
        </w:tc>
        <w:tc>
          <w:tcPr>
            <w:tcW w:w="279" w:type="pct"/>
            <w:tcBorders>
              <w:top w:val="nil"/>
              <w:left w:val="nil"/>
              <w:bottom w:val="nil"/>
              <w:right w:val="nil"/>
            </w:tcBorders>
            <w:shd w:val="clear" w:color="auto" w:fill="auto"/>
            <w:noWrap/>
            <w:vAlign w:val="bottom"/>
            <w:hideMark/>
          </w:tcPr>
          <w:p w:rsidR="009F4054" w:rsidRPr="00CC294A" w:rsidRDefault="009F4054">
            <w:pPr>
              <w:jc w:val="center"/>
              <w:rPr>
                <w:rFonts w:ascii="SWISS" w:hAnsi="SWISS" w:cs="Arial"/>
                <w:sz w:val="20"/>
                <w:szCs w:val="20"/>
              </w:rPr>
            </w:pPr>
            <w:r w:rsidRPr="00CC294A">
              <w:rPr>
                <w:rFonts w:ascii="SWISS" w:hAnsi="SWISS" w:cs="Arial"/>
                <w:sz w:val="20"/>
                <w:szCs w:val="20"/>
              </w:rPr>
              <w:t>[7]</w:t>
            </w: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341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(670) BAD DEBT EXPENSE</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279" w:type="pct"/>
            <w:tcBorders>
              <w:top w:val="nil"/>
              <w:left w:val="nil"/>
              <w:bottom w:val="nil"/>
              <w:right w:val="nil"/>
            </w:tcBorders>
            <w:shd w:val="clear" w:color="auto" w:fill="auto"/>
            <w:noWrap/>
            <w:vAlign w:val="bottom"/>
            <w:hideMark/>
          </w:tcPr>
          <w:p w:rsidR="009F4054" w:rsidRPr="00CC294A" w:rsidRDefault="009F4054">
            <w:pPr>
              <w:rPr>
                <w:rFonts w:ascii="SWISS" w:hAnsi="SWISS" w:cs="Arial"/>
                <w:sz w:val="20"/>
                <w:szCs w:val="20"/>
              </w:rPr>
            </w:pP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rPr>
            </w:pPr>
            <w:r w:rsidRPr="00CC294A">
              <w:rPr>
                <w:rFonts w:ascii="SWISS" w:hAnsi="SWISS" w:cs="Arial"/>
                <w:sz w:val="20"/>
                <w:szCs w:val="20"/>
              </w:rPr>
              <w:t xml:space="preserve">0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(675) MISCELLANEOUS EXPENSES</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u w:val="single"/>
              </w:rPr>
            </w:pPr>
            <w:r w:rsidRPr="00CC294A">
              <w:rPr>
                <w:rFonts w:ascii="SWISS" w:hAnsi="SWISS" w:cs="Arial"/>
                <w:sz w:val="20"/>
                <w:szCs w:val="20"/>
                <w:u w:val="single"/>
              </w:rPr>
              <w:t xml:space="preserve">5,021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u w:val="single"/>
              </w:rPr>
            </w:pPr>
            <w:r w:rsidRPr="00CC294A">
              <w:rPr>
                <w:rFonts w:ascii="SWISS" w:hAnsi="SWISS" w:cs="Arial"/>
                <w:sz w:val="20"/>
                <w:szCs w:val="20"/>
                <w:u w:val="single"/>
              </w:rPr>
              <w:t xml:space="preserve">348 </w:t>
            </w:r>
          </w:p>
        </w:tc>
        <w:tc>
          <w:tcPr>
            <w:tcW w:w="279" w:type="pct"/>
            <w:tcBorders>
              <w:top w:val="nil"/>
              <w:left w:val="nil"/>
              <w:bottom w:val="nil"/>
              <w:right w:val="nil"/>
            </w:tcBorders>
            <w:shd w:val="clear" w:color="auto" w:fill="auto"/>
            <w:noWrap/>
            <w:vAlign w:val="bottom"/>
            <w:hideMark/>
          </w:tcPr>
          <w:p w:rsidR="009F4054" w:rsidRPr="00CC294A" w:rsidRDefault="009F4054">
            <w:pPr>
              <w:jc w:val="center"/>
              <w:rPr>
                <w:rFonts w:ascii="SWISS" w:hAnsi="SWISS" w:cs="Arial"/>
                <w:sz w:val="20"/>
                <w:szCs w:val="20"/>
              </w:rPr>
            </w:pPr>
            <w:r w:rsidRPr="00CC294A">
              <w:rPr>
                <w:rFonts w:ascii="SWISS" w:hAnsi="SWISS" w:cs="Arial"/>
                <w:sz w:val="20"/>
                <w:szCs w:val="20"/>
              </w:rPr>
              <w:t>[8]</w:t>
            </w: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u w:val="single"/>
              </w:rPr>
            </w:pPr>
            <w:r w:rsidRPr="00CC294A">
              <w:rPr>
                <w:rFonts w:ascii="SWISS" w:hAnsi="SWISS" w:cs="Arial"/>
                <w:sz w:val="20"/>
                <w:szCs w:val="20"/>
                <w:u w:val="single"/>
              </w:rPr>
              <w:t xml:space="preserve">5,369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nil"/>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nil"/>
              <w:right w:val="nil"/>
            </w:tcBorders>
            <w:shd w:val="clear" w:color="auto" w:fill="auto"/>
            <w:noWrap/>
            <w:vAlign w:val="bottom"/>
            <w:hideMark/>
          </w:tcPr>
          <w:p w:rsidR="009F4054" w:rsidRDefault="009F4054" w:rsidP="00155BED">
            <w:pPr>
              <w:rPr>
                <w:rFonts w:ascii="SWISS" w:hAnsi="SWISS" w:cs="Arial"/>
                <w:color w:val="000000"/>
                <w:sz w:val="20"/>
                <w:szCs w:val="20"/>
              </w:rPr>
            </w:pPr>
            <w:r>
              <w:rPr>
                <w:rFonts w:ascii="SWISS" w:hAnsi="SWISS" w:cs="Arial"/>
                <w:color w:val="000000"/>
                <w:sz w:val="20"/>
                <w:szCs w:val="20"/>
              </w:rPr>
              <w:t xml:space="preserve">    TOTAL W</w:t>
            </w:r>
            <w:r w:rsidR="00155BED">
              <w:rPr>
                <w:rFonts w:ascii="SWISS" w:hAnsi="SWISS" w:cs="Arial"/>
                <w:color w:val="000000"/>
                <w:sz w:val="20"/>
                <w:szCs w:val="20"/>
              </w:rPr>
              <w:t>ATER O&amp;M</w:t>
            </w:r>
            <w:r>
              <w:rPr>
                <w:rFonts w:ascii="SWISS" w:hAnsi="SWISS" w:cs="Arial"/>
                <w:color w:val="000000"/>
                <w:sz w:val="20"/>
                <w:szCs w:val="20"/>
              </w:rPr>
              <w:t xml:space="preserve"> EXPENSES</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u w:val="double"/>
              </w:rPr>
            </w:pPr>
            <w:r w:rsidRPr="00CC294A">
              <w:rPr>
                <w:rFonts w:ascii="SWISS" w:hAnsi="SWISS" w:cs="Arial"/>
                <w:sz w:val="20"/>
                <w:szCs w:val="20"/>
                <w:u w:val="double"/>
              </w:rPr>
              <w:t xml:space="preserve">$93,344 </w:t>
            </w:r>
          </w:p>
        </w:tc>
        <w:tc>
          <w:tcPr>
            <w:tcW w:w="56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u w:val="double"/>
              </w:rPr>
            </w:pPr>
            <w:r w:rsidRPr="00CC294A">
              <w:rPr>
                <w:rFonts w:ascii="SWISS" w:hAnsi="SWISS" w:cs="Arial"/>
                <w:sz w:val="20"/>
                <w:szCs w:val="20"/>
                <w:u w:val="double"/>
              </w:rPr>
              <w:t xml:space="preserve">$854 </w:t>
            </w:r>
          </w:p>
        </w:tc>
        <w:tc>
          <w:tcPr>
            <w:tcW w:w="279" w:type="pct"/>
            <w:tcBorders>
              <w:top w:val="nil"/>
              <w:left w:val="nil"/>
              <w:bottom w:val="nil"/>
              <w:right w:val="nil"/>
            </w:tcBorders>
            <w:shd w:val="clear" w:color="auto" w:fill="auto"/>
            <w:noWrap/>
            <w:vAlign w:val="bottom"/>
            <w:hideMark/>
          </w:tcPr>
          <w:p w:rsidR="009F4054" w:rsidRPr="00CC294A" w:rsidRDefault="009F4054">
            <w:pPr>
              <w:rPr>
                <w:rFonts w:ascii="SWISS" w:hAnsi="SWISS" w:cs="Arial"/>
                <w:sz w:val="20"/>
                <w:szCs w:val="20"/>
                <w:u w:val="double"/>
              </w:rPr>
            </w:pPr>
          </w:p>
        </w:tc>
        <w:tc>
          <w:tcPr>
            <w:tcW w:w="623" w:type="pct"/>
            <w:tcBorders>
              <w:top w:val="nil"/>
              <w:left w:val="nil"/>
              <w:bottom w:val="nil"/>
              <w:right w:val="nil"/>
            </w:tcBorders>
            <w:shd w:val="clear" w:color="auto" w:fill="auto"/>
            <w:noWrap/>
            <w:vAlign w:val="bottom"/>
            <w:hideMark/>
          </w:tcPr>
          <w:p w:rsidR="009F4054" w:rsidRPr="00CC294A" w:rsidRDefault="009F4054">
            <w:pPr>
              <w:jc w:val="right"/>
              <w:rPr>
                <w:rFonts w:ascii="SWISS" w:hAnsi="SWISS" w:cs="Arial"/>
                <w:sz w:val="20"/>
                <w:szCs w:val="20"/>
                <w:u w:val="double"/>
              </w:rPr>
            </w:pPr>
            <w:r w:rsidRPr="00CC294A">
              <w:rPr>
                <w:rFonts w:ascii="SWISS" w:hAnsi="SWISS" w:cs="Arial"/>
                <w:sz w:val="20"/>
                <w:szCs w:val="20"/>
                <w:u w:val="double"/>
              </w:rPr>
              <w:t xml:space="preserve">$94,198 </w:t>
            </w:r>
          </w:p>
        </w:tc>
        <w:tc>
          <w:tcPr>
            <w:tcW w:w="141" w:type="pct"/>
            <w:tcBorders>
              <w:top w:val="nil"/>
              <w:left w:val="nil"/>
              <w:bottom w:val="nil"/>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r w:rsidR="009F4054" w:rsidTr="009F4054">
        <w:trPr>
          <w:trHeight w:val="300"/>
        </w:trPr>
        <w:tc>
          <w:tcPr>
            <w:tcW w:w="141" w:type="pct"/>
            <w:tcBorders>
              <w:top w:val="nil"/>
              <w:left w:val="single" w:sz="4" w:space="0" w:color="auto"/>
              <w:bottom w:val="single" w:sz="4" w:space="0" w:color="auto"/>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689" w:type="pct"/>
            <w:tcBorders>
              <w:top w:val="nil"/>
              <w:left w:val="nil"/>
              <w:bottom w:val="single" w:sz="4" w:space="0" w:color="auto"/>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563" w:type="pct"/>
            <w:tcBorders>
              <w:top w:val="nil"/>
              <w:left w:val="nil"/>
              <w:bottom w:val="single" w:sz="4" w:space="0" w:color="auto"/>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563" w:type="pct"/>
            <w:tcBorders>
              <w:top w:val="nil"/>
              <w:left w:val="nil"/>
              <w:bottom w:val="single" w:sz="4" w:space="0" w:color="auto"/>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279" w:type="pct"/>
            <w:tcBorders>
              <w:top w:val="nil"/>
              <w:left w:val="nil"/>
              <w:bottom w:val="single" w:sz="4" w:space="0" w:color="auto"/>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623" w:type="pct"/>
            <w:tcBorders>
              <w:top w:val="nil"/>
              <w:left w:val="nil"/>
              <w:bottom w:val="single" w:sz="4" w:space="0" w:color="auto"/>
              <w:right w:val="nil"/>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c>
          <w:tcPr>
            <w:tcW w:w="141" w:type="pct"/>
            <w:tcBorders>
              <w:top w:val="nil"/>
              <w:left w:val="nil"/>
              <w:bottom w:val="single" w:sz="4" w:space="0" w:color="auto"/>
              <w:right w:val="single" w:sz="4" w:space="0" w:color="auto"/>
            </w:tcBorders>
            <w:shd w:val="clear" w:color="auto" w:fill="auto"/>
            <w:noWrap/>
            <w:vAlign w:val="bottom"/>
            <w:hideMark/>
          </w:tcPr>
          <w:p w:rsidR="009F4054" w:rsidRDefault="009F4054">
            <w:pPr>
              <w:rPr>
                <w:rFonts w:ascii="SWISS" w:hAnsi="SWISS" w:cs="Arial"/>
                <w:color w:val="000000"/>
                <w:sz w:val="20"/>
                <w:szCs w:val="20"/>
              </w:rPr>
            </w:pPr>
            <w:r>
              <w:rPr>
                <w:rFonts w:ascii="SWISS" w:hAnsi="SWISS" w:cs="Arial"/>
                <w:color w:val="000000"/>
                <w:sz w:val="20"/>
                <w:szCs w:val="20"/>
              </w:rPr>
              <w:t> </w:t>
            </w:r>
          </w:p>
        </w:tc>
      </w:tr>
    </w:tbl>
    <w:p w:rsidR="009F4054" w:rsidRPr="00212B92" w:rsidRDefault="009F4054" w:rsidP="00212B92">
      <w:pPr>
        <w:sectPr w:rsidR="009F4054" w:rsidRPr="00212B92" w:rsidSect="0081264C">
          <w:headerReference w:type="default" r:id="rId23"/>
          <w:pgSz w:w="12240" w:h="15840" w:code="1"/>
          <w:pgMar w:top="1440" w:right="1440" w:bottom="1440" w:left="1440" w:header="720" w:footer="720" w:gutter="0"/>
          <w:cols w:space="720"/>
          <w:formProt w:val="0"/>
          <w:docGrid w:linePitch="360"/>
        </w:sectPr>
      </w:pPr>
    </w:p>
    <w:p w:rsidR="00EA4E16" w:rsidRDefault="005E7859" w:rsidP="00E275D8">
      <w:pPr>
        <w:pStyle w:val="BodyText"/>
      </w:pPr>
      <w:r w:rsidRPr="000D060F">
        <w:lastRenderedPageBreak/>
        <w:fldChar w:fldCharType="begin"/>
      </w:r>
      <w:r w:rsidRPr="000D060F">
        <w:instrText xml:space="preserve"> TC "</w:instrText>
      </w:r>
      <w:bookmarkStart w:id="47" w:name="_Toc431459597"/>
      <w:r w:rsidRPr="000D060F">
        <w:tab/>
      </w:r>
      <w:r>
        <w:instrText>Schedule 4-A</w:instrText>
      </w:r>
      <w:bookmarkEnd w:id="47"/>
      <w:r w:rsidRPr="000D060F">
        <w:instrText xml:space="preserve">" \l 1 </w:instrText>
      </w:r>
      <w:r w:rsidRPr="000D060F">
        <w:fldChar w:fldCharType="end"/>
      </w:r>
    </w:p>
    <w:tbl>
      <w:tblPr>
        <w:tblW w:w="0" w:type="auto"/>
        <w:jc w:val="center"/>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1153"/>
        <w:gridCol w:w="236"/>
        <w:gridCol w:w="3111"/>
        <w:gridCol w:w="1824"/>
      </w:tblGrid>
      <w:tr w:rsidR="00EA4E16" w:rsidRPr="002D3580" w:rsidTr="001D3526">
        <w:trPr>
          <w:jc w:val="center"/>
        </w:trPr>
        <w:tc>
          <w:tcPr>
            <w:tcW w:w="10343" w:type="dxa"/>
            <w:gridSpan w:val="5"/>
            <w:tcBorders>
              <w:top w:val="single" w:sz="12" w:space="0" w:color="auto"/>
              <w:left w:val="single" w:sz="12" w:space="0" w:color="auto"/>
              <w:bottom w:val="single" w:sz="12" w:space="0" w:color="auto"/>
              <w:right w:val="single" w:sz="12" w:space="0" w:color="auto"/>
            </w:tcBorders>
            <w:shd w:val="clear" w:color="auto" w:fill="auto"/>
          </w:tcPr>
          <w:p w:rsidR="00EA4E16" w:rsidRPr="0020404D" w:rsidRDefault="00EA4E16" w:rsidP="001D3526">
            <w:pPr>
              <w:jc w:val="center"/>
              <w:rPr>
                <w:b/>
              </w:rPr>
            </w:pPr>
            <w:r w:rsidRPr="0020404D">
              <w:rPr>
                <w:b/>
              </w:rPr>
              <w:t>CEDAR ACRES, INC.</w:t>
            </w:r>
          </w:p>
          <w:p w:rsidR="00EA4E16" w:rsidRPr="0020404D" w:rsidRDefault="00EA4E16" w:rsidP="001D3526">
            <w:pPr>
              <w:jc w:val="center"/>
              <w:rPr>
                <w:b/>
              </w:rPr>
            </w:pPr>
            <w:r w:rsidRPr="0020404D">
              <w:rPr>
                <w:b/>
              </w:rPr>
              <w:t>DOCKET NO. 140217-WU</w:t>
            </w:r>
          </w:p>
          <w:p w:rsidR="00EA4E16" w:rsidRPr="0020404D" w:rsidRDefault="00EA4E16" w:rsidP="001D3526">
            <w:pPr>
              <w:jc w:val="center"/>
              <w:rPr>
                <w:b/>
              </w:rPr>
            </w:pPr>
            <w:r w:rsidRPr="0020404D">
              <w:rPr>
                <w:b/>
              </w:rPr>
              <w:t>STAFF’S RECOMMENDED AND ALTERNATIVE</w:t>
            </w:r>
          </w:p>
          <w:p w:rsidR="00EA4E16" w:rsidRPr="002D3580" w:rsidRDefault="00EA4E16" w:rsidP="001D3526">
            <w:pPr>
              <w:jc w:val="center"/>
              <w:rPr>
                <w:sz w:val="16"/>
                <w:szCs w:val="16"/>
              </w:rPr>
            </w:pPr>
            <w:r w:rsidRPr="0020404D">
              <w:rPr>
                <w:b/>
              </w:rPr>
              <w:t xml:space="preserve">WATER RATE STRUCTURES AND RATES </w:t>
            </w:r>
            <w:r w:rsidRPr="002D3580">
              <w:t xml:space="preserve"> </w:t>
            </w:r>
          </w:p>
        </w:tc>
      </w:tr>
      <w:tr w:rsidR="00EA4E16" w:rsidRPr="002D3580" w:rsidTr="001D3526">
        <w:trPr>
          <w:trHeight w:val="313"/>
          <w:jc w:val="center"/>
        </w:trPr>
        <w:tc>
          <w:tcPr>
            <w:tcW w:w="5172" w:type="dxa"/>
            <w:gridSpan w:val="2"/>
            <w:tcBorders>
              <w:top w:val="single" w:sz="12" w:space="0" w:color="auto"/>
              <w:left w:val="single" w:sz="12" w:space="0" w:color="auto"/>
              <w:bottom w:val="single" w:sz="8" w:space="0" w:color="auto"/>
              <w:right w:val="single" w:sz="4" w:space="0" w:color="auto"/>
            </w:tcBorders>
            <w:shd w:val="clear" w:color="auto" w:fill="auto"/>
            <w:vAlign w:val="center"/>
          </w:tcPr>
          <w:p w:rsidR="00EA4E16" w:rsidRPr="002D3580" w:rsidRDefault="00EA4E16" w:rsidP="001D3526">
            <w:pPr>
              <w:jc w:val="center"/>
              <w:rPr>
                <w:sz w:val="20"/>
                <w:szCs w:val="20"/>
              </w:rPr>
            </w:pPr>
            <w:r w:rsidRPr="002D3580">
              <w:rPr>
                <w:sz w:val="20"/>
                <w:szCs w:val="20"/>
              </w:rPr>
              <w:t>Test Year Rate Structure and Rates</w:t>
            </w:r>
          </w:p>
        </w:tc>
        <w:tc>
          <w:tcPr>
            <w:tcW w:w="236" w:type="dxa"/>
            <w:tcBorders>
              <w:top w:val="single" w:sz="12" w:space="0" w:color="auto"/>
              <w:left w:val="single" w:sz="4" w:space="0" w:color="auto"/>
              <w:bottom w:val="single" w:sz="8" w:space="0" w:color="auto"/>
              <w:right w:val="single" w:sz="8" w:space="0" w:color="auto"/>
            </w:tcBorders>
            <w:shd w:val="clear" w:color="auto" w:fill="E6E6E6"/>
            <w:vAlign w:val="center"/>
          </w:tcPr>
          <w:p w:rsidR="00EA4E16" w:rsidRPr="002D3580" w:rsidRDefault="00EA4E16" w:rsidP="001D3526">
            <w:pPr>
              <w:jc w:val="center"/>
              <w:rPr>
                <w:sz w:val="20"/>
                <w:szCs w:val="20"/>
              </w:rPr>
            </w:pPr>
          </w:p>
        </w:tc>
        <w:tc>
          <w:tcPr>
            <w:tcW w:w="4935" w:type="dxa"/>
            <w:gridSpan w:val="2"/>
            <w:tcBorders>
              <w:top w:val="single" w:sz="12" w:space="0" w:color="auto"/>
              <w:left w:val="single" w:sz="8" w:space="0" w:color="auto"/>
              <w:bottom w:val="single" w:sz="8" w:space="0" w:color="auto"/>
              <w:right w:val="single" w:sz="12" w:space="0" w:color="auto"/>
            </w:tcBorders>
            <w:shd w:val="clear" w:color="auto" w:fill="auto"/>
            <w:vAlign w:val="center"/>
          </w:tcPr>
          <w:p w:rsidR="00EA4E16" w:rsidRPr="002D3580" w:rsidRDefault="00EA4E16" w:rsidP="001D3526">
            <w:pPr>
              <w:jc w:val="center"/>
              <w:rPr>
                <w:sz w:val="20"/>
                <w:szCs w:val="20"/>
              </w:rPr>
            </w:pPr>
            <w:r w:rsidRPr="002D3580">
              <w:rPr>
                <w:sz w:val="20"/>
                <w:szCs w:val="20"/>
              </w:rPr>
              <w:t>Recommended Rate Structure and Rates</w:t>
            </w:r>
          </w:p>
        </w:tc>
      </w:tr>
      <w:tr w:rsidR="00EA4E16" w:rsidRPr="002D3580" w:rsidTr="001D3526">
        <w:trPr>
          <w:trHeight w:val="475"/>
          <w:jc w:val="center"/>
        </w:trPr>
        <w:tc>
          <w:tcPr>
            <w:tcW w:w="5172" w:type="dxa"/>
            <w:gridSpan w:val="2"/>
            <w:tcBorders>
              <w:top w:val="single" w:sz="8" w:space="0" w:color="auto"/>
              <w:left w:val="single" w:sz="12" w:space="0" w:color="auto"/>
              <w:bottom w:val="single" w:sz="8" w:space="0" w:color="auto"/>
              <w:right w:val="single" w:sz="4" w:space="0" w:color="auto"/>
            </w:tcBorders>
            <w:shd w:val="clear" w:color="auto" w:fill="auto"/>
            <w:vAlign w:val="center"/>
          </w:tcPr>
          <w:p w:rsidR="00EA4E16" w:rsidRPr="002D3580" w:rsidRDefault="00EA4E16" w:rsidP="001D3526">
            <w:pPr>
              <w:jc w:val="center"/>
              <w:rPr>
                <w:sz w:val="20"/>
                <w:szCs w:val="20"/>
              </w:rPr>
            </w:pPr>
            <w:r>
              <w:rPr>
                <w:sz w:val="20"/>
                <w:szCs w:val="20"/>
              </w:rPr>
              <w:t xml:space="preserve">Monthly BFC/Uniform </w:t>
            </w:r>
            <w:proofErr w:type="spellStart"/>
            <w:r>
              <w:rPr>
                <w:sz w:val="20"/>
                <w:szCs w:val="20"/>
              </w:rPr>
              <w:t>Gallonage</w:t>
            </w:r>
            <w:proofErr w:type="spellEnd"/>
            <w:r>
              <w:rPr>
                <w:sz w:val="20"/>
                <w:szCs w:val="20"/>
              </w:rPr>
              <w:t xml:space="preserve"> Charge Rate Structure</w:t>
            </w: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EA4E16" w:rsidRPr="002D3580" w:rsidRDefault="00EA4E16" w:rsidP="001D3526">
            <w:pPr>
              <w:jc w:val="both"/>
              <w:rPr>
                <w:sz w:val="20"/>
                <w:szCs w:val="20"/>
              </w:rPr>
            </w:pPr>
          </w:p>
        </w:tc>
        <w:tc>
          <w:tcPr>
            <w:tcW w:w="4935" w:type="dxa"/>
            <w:gridSpan w:val="2"/>
            <w:tcBorders>
              <w:top w:val="single" w:sz="8" w:space="0" w:color="auto"/>
              <w:left w:val="single" w:sz="8" w:space="0" w:color="auto"/>
              <w:bottom w:val="single" w:sz="8" w:space="0" w:color="auto"/>
              <w:right w:val="single" w:sz="12" w:space="0" w:color="auto"/>
            </w:tcBorders>
            <w:shd w:val="clear" w:color="auto" w:fill="auto"/>
            <w:vAlign w:val="bottom"/>
          </w:tcPr>
          <w:p w:rsidR="00EA4E16" w:rsidRPr="002D3580" w:rsidRDefault="00EA4E16" w:rsidP="001D3526">
            <w:pPr>
              <w:jc w:val="center"/>
              <w:rPr>
                <w:sz w:val="20"/>
                <w:szCs w:val="20"/>
              </w:rPr>
            </w:pPr>
            <w:r>
              <w:rPr>
                <w:sz w:val="20"/>
                <w:szCs w:val="20"/>
              </w:rPr>
              <w:t xml:space="preserve">Monthly BFC/Uniform </w:t>
            </w:r>
            <w:proofErr w:type="spellStart"/>
            <w:r>
              <w:rPr>
                <w:sz w:val="20"/>
                <w:szCs w:val="20"/>
              </w:rPr>
              <w:t>Gallonage</w:t>
            </w:r>
            <w:proofErr w:type="spellEnd"/>
            <w:r>
              <w:rPr>
                <w:sz w:val="20"/>
                <w:szCs w:val="20"/>
              </w:rPr>
              <w:t xml:space="preserve"> Charge</w:t>
            </w:r>
            <w:r w:rsidRPr="002D3580">
              <w:rPr>
                <w:sz w:val="20"/>
                <w:szCs w:val="20"/>
              </w:rPr>
              <w:t xml:space="preserve"> Rate Structure</w:t>
            </w:r>
          </w:p>
          <w:p w:rsidR="00EA4E16" w:rsidRPr="002D3580" w:rsidRDefault="00EA4E16" w:rsidP="001D3526">
            <w:pPr>
              <w:jc w:val="center"/>
              <w:rPr>
                <w:sz w:val="20"/>
                <w:szCs w:val="20"/>
              </w:rPr>
            </w:pPr>
            <w:r>
              <w:rPr>
                <w:sz w:val="20"/>
                <w:szCs w:val="20"/>
              </w:rPr>
              <w:t>BFC = 40</w:t>
            </w:r>
            <w:r w:rsidRPr="002D3580">
              <w:rPr>
                <w:sz w:val="20"/>
                <w:szCs w:val="20"/>
              </w:rPr>
              <w:t>%</w:t>
            </w:r>
          </w:p>
        </w:tc>
      </w:tr>
      <w:tr w:rsidR="00EA4E16" w:rsidRPr="002D3580" w:rsidTr="001D3526">
        <w:trPr>
          <w:jc w:val="center"/>
        </w:trPr>
        <w:tc>
          <w:tcPr>
            <w:tcW w:w="4019" w:type="dxa"/>
            <w:tcBorders>
              <w:top w:val="single" w:sz="8" w:space="0" w:color="auto"/>
              <w:left w:val="single" w:sz="12"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sidRPr="002D3580">
              <w:rPr>
                <w:sz w:val="20"/>
                <w:szCs w:val="20"/>
              </w:rPr>
              <w:t>BFC</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EA4E16" w:rsidRPr="002D3580" w:rsidRDefault="00EA4E16" w:rsidP="001D3526">
            <w:pPr>
              <w:jc w:val="right"/>
              <w:rPr>
                <w:sz w:val="20"/>
                <w:szCs w:val="20"/>
              </w:rPr>
            </w:pPr>
            <w:r w:rsidRPr="002D3580">
              <w:rPr>
                <w:sz w:val="20"/>
                <w:szCs w:val="20"/>
              </w:rPr>
              <w:t>$</w:t>
            </w:r>
            <w:r>
              <w:rPr>
                <w:sz w:val="20"/>
                <w:szCs w:val="20"/>
              </w:rPr>
              <w:t>9.00</w:t>
            </w: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EA4E16" w:rsidRPr="002D3580" w:rsidRDefault="00EA4E16" w:rsidP="001D3526">
            <w:pPr>
              <w:jc w:val="both"/>
              <w:rPr>
                <w:sz w:val="20"/>
                <w:szCs w:val="20"/>
              </w:rPr>
            </w:pPr>
          </w:p>
        </w:tc>
        <w:tc>
          <w:tcPr>
            <w:tcW w:w="3111" w:type="dxa"/>
            <w:tcBorders>
              <w:top w:val="single" w:sz="8" w:space="0" w:color="auto"/>
              <w:left w:val="single" w:sz="8"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sidRPr="002D3580">
              <w:rPr>
                <w:sz w:val="20"/>
                <w:szCs w:val="20"/>
              </w:rPr>
              <w:t>BFC</w:t>
            </w:r>
          </w:p>
        </w:tc>
        <w:tc>
          <w:tcPr>
            <w:tcW w:w="1824" w:type="dxa"/>
            <w:tcBorders>
              <w:top w:val="single" w:sz="8" w:space="0" w:color="auto"/>
              <w:left w:val="single" w:sz="8" w:space="0" w:color="auto"/>
              <w:bottom w:val="single" w:sz="8" w:space="0" w:color="auto"/>
              <w:right w:val="single" w:sz="12" w:space="0" w:color="auto"/>
            </w:tcBorders>
            <w:shd w:val="clear" w:color="auto" w:fill="auto"/>
          </w:tcPr>
          <w:p w:rsidR="00EA4E16" w:rsidRPr="002D3580" w:rsidRDefault="00EA4E16" w:rsidP="001D3526">
            <w:pPr>
              <w:jc w:val="right"/>
              <w:rPr>
                <w:sz w:val="20"/>
                <w:szCs w:val="20"/>
              </w:rPr>
            </w:pPr>
            <w:r w:rsidRPr="002D3580">
              <w:rPr>
                <w:sz w:val="20"/>
                <w:szCs w:val="20"/>
              </w:rPr>
              <w:t>$</w:t>
            </w:r>
            <w:r>
              <w:rPr>
                <w:sz w:val="20"/>
                <w:szCs w:val="20"/>
              </w:rPr>
              <w:t>11.92</w:t>
            </w:r>
          </w:p>
        </w:tc>
      </w:tr>
      <w:tr w:rsidR="00EA4E16" w:rsidRPr="002D3580" w:rsidTr="001D3526">
        <w:trPr>
          <w:jc w:val="center"/>
        </w:trPr>
        <w:tc>
          <w:tcPr>
            <w:tcW w:w="4019" w:type="dxa"/>
            <w:tcBorders>
              <w:top w:val="single" w:sz="8" w:space="0" w:color="auto"/>
              <w:left w:val="single" w:sz="12"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Pr>
                <w:sz w:val="20"/>
                <w:szCs w:val="20"/>
              </w:rPr>
              <w:t xml:space="preserve">Charge per </w:t>
            </w:r>
            <w:proofErr w:type="spellStart"/>
            <w:r>
              <w:rPr>
                <w:sz w:val="20"/>
                <w:szCs w:val="20"/>
              </w:rPr>
              <w:t>kgals</w:t>
            </w:r>
            <w:proofErr w:type="spellEnd"/>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EA4E16" w:rsidRPr="002D3580" w:rsidRDefault="00EA4E16" w:rsidP="001D3526">
            <w:pPr>
              <w:jc w:val="right"/>
              <w:rPr>
                <w:sz w:val="20"/>
                <w:szCs w:val="20"/>
              </w:rPr>
            </w:pPr>
            <w:r>
              <w:rPr>
                <w:sz w:val="20"/>
                <w:szCs w:val="20"/>
              </w:rPr>
              <w:t>$0.045</w:t>
            </w: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EA4E16" w:rsidRPr="002D3580" w:rsidRDefault="00EA4E16" w:rsidP="001D3526">
            <w:pPr>
              <w:jc w:val="both"/>
              <w:rPr>
                <w:sz w:val="20"/>
                <w:szCs w:val="20"/>
              </w:rPr>
            </w:pPr>
          </w:p>
        </w:tc>
        <w:tc>
          <w:tcPr>
            <w:tcW w:w="3111" w:type="dxa"/>
            <w:tcBorders>
              <w:top w:val="single" w:sz="8" w:space="0" w:color="auto"/>
              <w:left w:val="single" w:sz="8" w:space="0" w:color="auto"/>
              <w:bottom w:val="single" w:sz="8" w:space="0" w:color="auto"/>
              <w:right w:val="single" w:sz="8" w:space="0" w:color="auto"/>
            </w:tcBorders>
            <w:shd w:val="clear" w:color="auto" w:fill="auto"/>
            <w:vAlign w:val="bottom"/>
          </w:tcPr>
          <w:p w:rsidR="00EA4E16" w:rsidRPr="002D3580" w:rsidRDefault="00EA4E16" w:rsidP="001D3526">
            <w:pPr>
              <w:rPr>
                <w:sz w:val="20"/>
                <w:szCs w:val="20"/>
              </w:rPr>
            </w:pPr>
            <w:r>
              <w:rPr>
                <w:sz w:val="20"/>
                <w:szCs w:val="20"/>
              </w:rPr>
              <w:t xml:space="preserve">Charge per </w:t>
            </w:r>
            <w:proofErr w:type="spellStart"/>
            <w:r>
              <w:rPr>
                <w:sz w:val="20"/>
                <w:szCs w:val="20"/>
              </w:rPr>
              <w:t>kgal</w:t>
            </w:r>
            <w:proofErr w:type="spellEnd"/>
          </w:p>
        </w:tc>
        <w:tc>
          <w:tcPr>
            <w:tcW w:w="1824" w:type="dxa"/>
            <w:tcBorders>
              <w:top w:val="single" w:sz="8" w:space="0" w:color="auto"/>
              <w:left w:val="single" w:sz="8" w:space="0" w:color="auto"/>
              <w:bottom w:val="single" w:sz="8" w:space="0" w:color="auto"/>
              <w:right w:val="single" w:sz="12" w:space="0" w:color="auto"/>
            </w:tcBorders>
            <w:shd w:val="clear" w:color="auto" w:fill="auto"/>
            <w:vAlign w:val="bottom"/>
          </w:tcPr>
          <w:p w:rsidR="00EA4E16" w:rsidRPr="002D3580" w:rsidRDefault="00EA4E16" w:rsidP="001D3526">
            <w:pPr>
              <w:jc w:val="right"/>
              <w:rPr>
                <w:sz w:val="20"/>
                <w:szCs w:val="20"/>
              </w:rPr>
            </w:pPr>
            <w:r>
              <w:rPr>
                <w:sz w:val="20"/>
                <w:szCs w:val="20"/>
              </w:rPr>
              <w:t>$4.36</w:t>
            </w:r>
          </w:p>
        </w:tc>
      </w:tr>
      <w:tr w:rsidR="00EA4E16" w:rsidRPr="002D3580" w:rsidTr="001D3526">
        <w:trPr>
          <w:trHeight w:val="187"/>
          <w:jc w:val="center"/>
        </w:trPr>
        <w:tc>
          <w:tcPr>
            <w:tcW w:w="5172" w:type="dxa"/>
            <w:gridSpan w:val="2"/>
            <w:tcBorders>
              <w:top w:val="single" w:sz="8" w:space="0" w:color="auto"/>
              <w:left w:val="single" w:sz="12" w:space="0" w:color="auto"/>
              <w:bottom w:val="single" w:sz="8" w:space="0" w:color="auto"/>
              <w:right w:val="single" w:sz="4" w:space="0" w:color="auto"/>
            </w:tcBorders>
            <w:shd w:val="clear" w:color="auto" w:fill="auto"/>
            <w:vAlign w:val="center"/>
          </w:tcPr>
          <w:p w:rsidR="00EA4E16" w:rsidRPr="002D3580" w:rsidRDefault="00EA4E16" w:rsidP="001D3526">
            <w:pPr>
              <w:jc w:val="center"/>
              <w:rPr>
                <w:sz w:val="18"/>
                <w:szCs w:val="18"/>
              </w:rPr>
            </w:pPr>
            <w:r w:rsidRPr="002D3580">
              <w:rPr>
                <w:sz w:val="18"/>
                <w:szCs w:val="18"/>
              </w:rPr>
              <w:t>Typical Monthly Bills</w:t>
            </w: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EA4E16" w:rsidRPr="002D3580" w:rsidRDefault="00EA4E16" w:rsidP="001D3526">
            <w:pPr>
              <w:jc w:val="both"/>
              <w:rPr>
                <w:sz w:val="18"/>
                <w:szCs w:val="18"/>
              </w:rPr>
            </w:pPr>
          </w:p>
        </w:tc>
        <w:tc>
          <w:tcPr>
            <w:tcW w:w="4935" w:type="dxa"/>
            <w:gridSpan w:val="2"/>
            <w:tcBorders>
              <w:top w:val="single" w:sz="8" w:space="0" w:color="auto"/>
              <w:left w:val="single" w:sz="8" w:space="0" w:color="auto"/>
              <w:bottom w:val="single" w:sz="8" w:space="0" w:color="auto"/>
              <w:right w:val="single" w:sz="12" w:space="0" w:color="auto"/>
            </w:tcBorders>
            <w:shd w:val="clear" w:color="auto" w:fill="auto"/>
          </w:tcPr>
          <w:p w:rsidR="00EA4E16" w:rsidRPr="002D3580" w:rsidRDefault="00EA4E16" w:rsidP="001D3526">
            <w:pPr>
              <w:jc w:val="center"/>
              <w:rPr>
                <w:sz w:val="18"/>
                <w:szCs w:val="18"/>
              </w:rPr>
            </w:pPr>
            <w:r w:rsidRPr="002D3580">
              <w:rPr>
                <w:sz w:val="18"/>
                <w:szCs w:val="18"/>
              </w:rPr>
              <w:t>Typical Monthly Bills</w:t>
            </w:r>
          </w:p>
        </w:tc>
      </w:tr>
      <w:tr w:rsidR="00EA4E16" w:rsidRPr="002D3580" w:rsidTr="001D3526">
        <w:trPr>
          <w:jc w:val="center"/>
        </w:trPr>
        <w:tc>
          <w:tcPr>
            <w:tcW w:w="4019" w:type="dxa"/>
            <w:tcBorders>
              <w:top w:val="single" w:sz="8" w:space="0" w:color="auto"/>
              <w:left w:val="single" w:sz="12"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sidRPr="002D3580">
              <w:rPr>
                <w:sz w:val="20"/>
                <w:szCs w:val="20"/>
              </w:rPr>
              <w:t>Consumption (</w:t>
            </w:r>
            <w:proofErr w:type="spellStart"/>
            <w:r w:rsidRPr="002D3580">
              <w:rPr>
                <w:sz w:val="20"/>
                <w:szCs w:val="20"/>
              </w:rPr>
              <w:t>kgals</w:t>
            </w:r>
            <w:proofErr w:type="spellEnd"/>
            <w:r w:rsidRPr="002D3580">
              <w:rPr>
                <w:sz w:val="20"/>
                <w:szCs w:val="20"/>
              </w:rPr>
              <w:t>)</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EA4E16" w:rsidRPr="002D3580" w:rsidRDefault="00EA4E16" w:rsidP="001D3526">
            <w:pPr>
              <w:jc w:val="right"/>
              <w:rPr>
                <w:sz w:val="20"/>
                <w:szCs w:val="20"/>
              </w:rPr>
            </w:pP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EA4E16" w:rsidRPr="002D3580" w:rsidRDefault="00EA4E16" w:rsidP="001D3526">
            <w:pPr>
              <w:jc w:val="both"/>
              <w:rPr>
                <w:sz w:val="20"/>
                <w:szCs w:val="20"/>
              </w:rPr>
            </w:pPr>
          </w:p>
        </w:tc>
        <w:tc>
          <w:tcPr>
            <w:tcW w:w="3111" w:type="dxa"/>
            <w:tcBorders>
              <w:top w:val="single" w:sz="8" w:space="0" w:color="auto"/>
              <w:left w:val="single" w:sz="8"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sidRPr="002D3580">
              <w:rPr>
                <w:sz w:val="20"/>
                <w:szCs w:val="20"/>
              </w:rPr>
              <w:t>Consumption (</w:t>
            </w:r>
            <w:proofErr w:type="spellStart"/>
            <w:r w:rsidRPr="002D3580">
              <w:rPr>
                <w:sz w:val="20"/>
                <w:szCs w:val="20"/>
              </w:rPr>
              <w:t>kgals</w:t>
            </w:r>
            <w:proofErr w:type="spellEnd"/>
            <w:r w:rsidRPr="002D3580">
              <w:rPr>
                <w:sz w:val="20"/>
                <w:szCs w:val="20"/>
              </w:rPr>
              <w:t>)</w:t>
            </w:r>
          </w:p>
        </w:tc>
        <w:tc>
          <w:tcPr>
            <w:tcW w:w="1824" w:type="dxa"/>
            <w:tcBorders>
              <w:top w:val="single" w:sz="8" w:space="0" w:color="auto"/>
              <w:left w:val="single" w:sz="8" w:space="0" w:color="auto"/>
              <w:bottom w:val="single" w:sz="8" w:space="0" w:color="auto"/>
              <w:right w:val="single" w:sz="12" w:space="0" w:color="auto"/>
            </w:tcBorders>
            <w:shd w:val="clear" w:color="auto" w:fill="auto"/>
          </w:tcPr>
          <w:p w:rsidR="00EA4E16" w:rsidRPr="002D3580" w:rsidRDefault="00EA4E16" w:rsidP="001D3526">
            <w:pPr>
              <w:jc w:val="right"/>
              <w:rPr>
                <w:sz w:val="20"/>
                <w:szCs w:val="20"/>
              </w:rPr>
            </w:pPr>
          </w:p>
        </w:tc>
      </w:tr>
      <w:tr w:rsidR="00EA4E16" w:rsidRPr="002D3580" w:rsidTr="001D3526">
        <w:trPr>
          <w:jc w:val="center"/>
        </w:trPr>
        <w:tc>
          <w:tcPr>
            <w:tcW w:w="4019" w:type="dxa"/>
            <w:tcBorders>
              <w:top w:val="single" w:sz="8" w:space="0" w:color="auto"/>
              <w:left w:val="single" w:sz="12"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sidRPr="002D3580">
              <w:rPr>
                <w:sz w:val="20"/>
                <w:szCs w:val="20"/>
              </w:rPr>
              <w:t>0</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EA4E16" w:rsidRPr="002D3580" w:rsidRDefault="00EA4E16" w:rsidP="001D3526">
            <w:pPr>
              <w:jc w:val="right"/>
              <w:rPr>
                <w:sz w:val="20"/>
                <w:szCs w:val="20"/>
              </w:rPr>
            </w:pPr>
            <w:r w:rsidRPr="002D3580">
              <w:rPr>
                <w:sz w:val="20"/>
                <w:szCs w:val="20"/>
              </w:rPr>
              <w:t>$</w:t>
            </w:r>
            <w:r>
              <w:rPr>
                <w:sz w:val="20"/>
                <w:szCs w:val="20"/>
              </w:rPr>
              <w:t>9.00</w:t>
            </w: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EA4E16" w:rsidRPr="002D3580" w:rsidRDefault="00EA4E16" w:rsidP="001D3526">
            <w:pPr>
              <w:jc w:val="both"/>
              <w:rPr>
                <w:sz w:val="20"/>
                <w:szCs w:val="20"/>
              </w:rPr>
            </w:pPr>
          </w:p>
        </w:tc>
        <w:tc>
          <w:tcPr>
            <w:tcW w:w="3111" w:type="dxa"/>
            <w:tcBorders>
              <w:top w:val="single" w:sz="8" w:space="0" w:color="auto"/>
              <w:left w:val="single" w:sz="8"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sidRPr="002D3580">
              <w:rPr>
                <w:sz w:val="20"/>
                <w:szCs w:val="20"/>
              </w:rPr>
              <w:t>0</w:t>
            </w:r>
          </w:p>
        </w:tc>
        <w:tc>
          <w:tcPr>
            <w:tcW w:w="1824" w:type="dxa"/>
            <w:tcBorders>
              <w:top w:val="single" w:sz="8" w:space="0" w:color="auto"/>
              <w:left w:val="single" w:sz="8" w:space="0" w:color="auto"/>
              <w:bottom w:val="single" w:sz="8" w:space="0" w:color="auto"/>
              <w:right w:val="single" w:sz="12" w:space="0" w:color="auto"/>
            </w:tcBorders>
            <w:shd w:val="clear" w:color="auto" w:fill="auto"/>
          </w:tcPr>
          <w:p w:rsidR="00EA4E16" w:rsidRPr="002D3580" w:rsidRDefault="00EA4E16" w:rsidP="001D3526">
            <w:pPr>
              <w:jc w:val="right"/>
              <w:rPr>
                <w:sz w:val="20"/>
                <w:szCs w:val="20"/>
              </w:rPr>
            </w:pPr>
            <w:r>
              <w:rPr>
                <w:sz w:val="20"/>
                <w:szCs w:val="20"/>
              </w:rPr>
              <w:t>$11.92</w:t>
            </w:r>
          </w:p>
        </w:tc>
      </w:tr>
      <w:tr w:rsidR="00EA4E16" w:rsidRPr="002D3580" w:rsidTr="001D3526">
        <w:trPr>
          <w:jc w:val="center"/>
        </w:trPr>
        <w:tc>
          <w:tcPr>
            <w:tcW w:w="4019" w:type="dxa"/>
            <w:tcBorders>
              <w:top w:val="single" w:sz="8" w:space="0" w:color="auto"/>
              <w:left w:val="single" w:sz="12"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Pr>
                <w:sz w:val="20"/>
                <w:szCs w:val="20"/>
              </w:rPr>
              <w:t>4</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EA4E16" w:rsidRPr="00F006A3" w:rsidRDefault="00EA4E16" w:rsidP="001D3526">
            <w:pPr>
              <w:jc w:val="right"/>
              <w:rPr>
                <w:sz w:val="20"/>
                <w:szCs w:val="20"/>
              </w:rPr>
            </w:pPr>
            <w:r w:rsidRPr="00F006A3">
              <w:rPr>
                <w:sz w:val="20"/>
                <w:szCs w:val="20"/>
              </w:rPr>
              <w:t>$</w:t>
            </w:r>
            <w:r>
              <w:rPr>
                <w:sz w:val="20"/>
                <w:szCs w:val="20"/>
              </w:rPr>
              <w:t>9.18</w:t>
            </w: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EA4E16" w:rsidRPr="002D3580" w:rsidRDefault="00EA4E16" w:rsidP="001D3526">
            <w:pPr>
              <w:jc w:val="both"/>
              <w:rPr>
                <w:sz w:val="20"/>
                <w:szCs w:val="20"/>
              </w:rPr>
            </w:pPr>
          </w:p>
        </w:tc>
        <w:tc>
          <w:tcPr>
            <w:tcW w:w="3111" w:type="dxa"/>
            <w:tcBorders>
              <w:top w:val="single" w:sz="8" w:space="0" w:color="auto"/>
              <w:left w:val="single" w:sz="8"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Pr>
                <w:sz w:val="20"/>
                <w:szCs w:val="20"/>
              </w:rPr>
              <w:t>4</w:t>
            </w:r>
          </w:p>
        </w:tc>
        <w:tc>
          <w:tcPr>
            <w:tcW w:w="1824" w:type="dxa"/>
            <w:tcBorders>
              <w:top w:val="single" w:sz="8" w:space="0" w:color="auto"/>
              <w:left w:val="single" w:sz="8" w:space="0" w:color="auto"/>
              <w:bottom w:val="single" w:sz="8" w:space="0" w:color="auto"/>
              <w:right w:val="single" w:sz="12" w:space="0" w:color="auto"/>
            </w:tcBorders>
            <w:shd w:val="clear" w:color="auto" w:fill="auto"/>
          </w:tcPr>
          <w:p w:rsidR="00EA4E16" w:rsidRPr="002D3580" w:rsidRDefault="00EA4E16" w:rsidP="001D3526">
            <w:pPr>
              <w:jc w:val="right"/>
              <w:rPr>
                <w:sz w:val="20"/>
                <w:szCs w:val="20"/>
              </w:rPr>
            </w:pPr>
            <w:r>
              <w:rPr>
                <w:sz w:val="20"/>
                <w:szCs w:val="20"/>
              </w:rPr>
              <w:t>$29.36</w:t>
            </w:r>
          </w:p>
        </w:tc>
      </w:tr>
      <w:tr w:rsidR="00EA4E16" w:rsidRPr="002D3580" w:rsidTr="001D3526">
        <w:trPr>
          <w:jc w:val="center"/>
        </w:trPr>
        <w:tc>
          <w:tcPr>
            <w:tcW w:w="4019" w:type="dxa"/>
            <w:tcBorders>
              <w:top w:val="single" w:sz="8" w:space="0" w:color="auto"/>
              <w:left w:val="single" w:sz="12"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Pr>
                <w:sz w:val="20"/>
                <w:szCs w:val="20"/>
              </w:rPr>
              <w:t>6</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EA4E16" w:rsidRPr="00F006A3" w:rsidRDefault="00EA4E16" w:rsidP="001D3526">
            <w:pPr>
              <w:jc w:val="right"/>
              <w:rPr>
                <w:sz w:val="20"/>
                <w:szCs w:val="20"/>
              </w:rPr>
            </w:pPr>
            <w:r>
              <w:rPr>
                <w:sz w:val="20"/>
                <w:szCs w:val="20"/>
              </w:rPr>
              <w:t>$9.27</w:t>
            </w: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EA4E16" w:rsidRPr="002D3580" w:rsidRDefault="00EA4E16" w:rsidP="001D3526">
            <w:pPr>
              <w:jc w:val="both"/>
              <w:rPr>
                <w:sz w:val="20"/>
                <w:szCs w:val="20"/>
              </w:rPr>
            </w:pPr>
          </w:p>
        </w:tc>
        <w:tc>
          <w:tcPr>
            <w:tcW w:w="3111" w:type="dxa"/>
            <w:tcBorders>
              <w:top w:val="single" w:sz="8" w:space="0" w:color="auto"/>
              <w:left w:val="single" w:sz="8"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Pr>
                <w:sz w:val="20"/>
                <w:szCs w:val="20"/>
              </w:rPr>
              <w:t>6</w:t>
            </w:r>
          </w:p>
        </w:tc>
        <w:tc>
          <w:tcPr>
            <w:tcW w:w="1824" w:type="dxa"/>
            <w:tcBorders>
              <w:top w:val="single" w:sz="8" w:space="0" w:color="auto"/>
              <w:left w:val="single" w:sz="8" w:space="0" w:color="auto"/>
              <w:bottom w:val="single" w:sz="8" w:space="0" w:color="auto"/>
              <w:right w:val="single" w:sz="12" w:space="0" w:color="auto"/>
            </w:tcBorders>
            <w:shd w:val="clear" w:color="auto" w:fill="auto"/>
          </w:tcPr>
          <w:p w:rsidR="00EA4E16" w:rsidRPr="002D3580" w:rsidRDefault="00EA4E16" w:rsidP="001D3526">
            <w:pPr>
              <w:jc w:val="right"/>
              <w:rPr>
                <w:sz w:val="20"/>
                <w:szCs w:val="20"/>
              </w:rPr>
            </w:pPr>
            <w:r>
              <w:rPr>
                <w:sz w:val="20"/>
                <w:szCs w:val="20"/>
              </w:rPr>
              <w:t>$38.08</w:t>
            </w:r>
          </w:p>
        </w:tc>
      </w:tr>
      <w:tr w:rsidR="00EA4E16" w:rsidRPr="002D3580" w:rsidTr="001D3526">
        <w:trPr>
          <w:jc w:val="center"/>
        </w:trPr>
        <w:tc>
          <w:tcPr>
            <w:tcW w:w="4019" w:type="dxa"/>
            <w:tcBorders>
              <w:top w:val="single" w:sz="8" w:space="0" w:color="auto"/>
              <w:left w:val="single" w:sz="12"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Pr>
                <w:sz w:val="20"/>
                <w:szCs w:val="20"/>
              </w:rPr>
              <w:t>10</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EA4E16" w:rsidRPr="00F006A3" w:rsidRDefault="00EA4E16" w:rsidP="001D3526">
            <w:pPr>
              <w:jc w:val="right"/>
              <w:rPr>
                <w:sz w:val="20"/>
                <w:szCs w:val="20"/>
              </w:rPr>
            </w:pPr>
            <w:r>
              <w:rPr>
                <w:sz w:val="20"/>
                <w:szCs w:val="20"/>
              </w:rPr>
              <w:t>$9.45</w:t>
            </w:r>
          </w:p>
        </w:tc>
        <w:tc>
          <w:tcPr>
            <w:tcW w:w="236" w:type="dxa"/>
            <w:tcBorders>
              <w:top w:val="single" w:sz="8" w:space="0" w:color="auto"/>
              <w:left w:val="single" w:sz="4" w:space="0" w:color="auto"/>
              <w:bottom w:val="single" w:sz="8" w:space="0" w:color="auto"/>
              <w:right w:val="single" w:sz="8" w:space="0" w:color="auto"/>
            </w:tcBorders>
            <w:shd w:val="clear" w:color="auto" w:fill="E6E6E6"/>
          </w:tcPr>
          <w:p w:rsidR="00EA4E16" w:rsidRPr="002D3580" w:rsidRDefault="00EA4E16" w:rsidP="001D3526">
            <w:pPr>
              <w:jc w:val="both"/>
              <w:rPr>
                <w:sz w:val="20"/>
                <w:szCs w:val="20"/>
              </w:rPr>
            </w:pPr>
          </w:p>
        </w:tc>
        <w:tc>
          <w:tcPr>
            <w:tcW w:w="3111" w:type="dxa"/>
            <w:tcBorders>
              <w:top w:val="single" w:sz="8" w:space="0" w:color="auto"/>
              <w:left w:val="single" w:sz="8"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Pr>
                <w:sz w:val="20"/>
                <w:szCs w:val="20"/>
              </w:rPr>
              <w:t>10</w:t>
            </w:r>
          </w:p>
        </w:tc>
        <w:tc>
          <w:tcPr>
            <w:tcW w:w="1824" w:type="dxa"/>
            <w:tcBorders>
              <w:top w:val="single" w:sz="8" w:space="0" w:color="auto"/>
              <w:left w:val="single" w:sz="8" w:space="0" w:color="auto"/>
              <w:bottom w:val="single" w:sz="8" w:space="0" w:color="auto"/>
              <w:right w:val="single" w:sz="12" w:space="0" w:color="auto"/>
            </w:tcBorders>
            <w:shd w:val="clear" w:color="auto" w:fill="auto"/>
          </w:tcPr>
          <w:p w:rsidR="00EA4E16" w:rsidRPr="002D3580" w:rsidRDefault="00EA4E16" w:rsidP="001D3526">
            <w:pPr>
              <w:jc w:val="right"/>
              <w:rPr>
                <w:sz w:val="20"/>
                <w:szCs w:val="20"/>
              </w:rPr>
            </w:pPr>
            <w:r>
              <w:rPr>
                <w:sz w:val="20"/>
                <w:szCs w:val="20"/>
              </w:rPr>
              <w:t>$55.52</w:t>
            </w:r>
          </w:p>
        </w:tc>
      </w:tr>
      <w:tr w:rsidR="00EA4E16" w:rsidRPr="002D3580" w:rsidTr="001D3526">
        <w:trPr>
          <w:trHeight w:val="340"/>
          <w:jc w:val="center"/>
        </w:trPr>
        <w:tc>
          <w:tcPr>
            <w:tcW w:w="5172" w:type="dxa"/>
            <w:gridSpan w:val="2"/>
            <w:tcBorders>
              <w:top w:val="single" w:sz="12" w:space="0" w:color="auto"/>
              <w:left w:val="single" w:sz="12" w:space="0" w:color="auto"/>
              <w:bottom w:val="single" w:sz="8" w:space="0" w:color="auto"/>
              <w:right w:val="single" w:sz="4" w:space="0" w:color="auto"/>
            </w:tcBorders>
            <w:shd w:val="clear" w:color="auto" w:fill="auto"/>
            <w:vAlign w:val="center"/>
          </w:tcPr>
          <w:p w:rsidR="00EA4E16" w:rsidRPr="002D3580" w:rsidRDefault="00EA4E16" w:rsidP="001D3526">
            <w:pPr>
              <w:jc w:val="center"/>
              <w:rPr>
                <w:sz w:val="20"/>
                <w:szCs w:val="20"/>
              </w:rPr>
            </w:pPr>
            <w:r w:rsidRPr="002D3580">
              <w:rPr>
                <w:sz w:val="20"/>
                <w:szCs w:val="20"/>
              </w:rPr>
              <w:t>Alternative 1 Rate Structure and Rates</w:t>
            </w:r>
          </w:p>
        </w:tc>
        <w:tc>
          <w:tcPr>
            <w:tcW w:w="236" w:type="dxa"/>
            <w:tcBorders>
              <w:top w:val="single" w:sz="12" w:space="0" w:color="auto"/>
              <w:left w:val="single" w:sz="4" w:space="0" w:color="auto"/>
              <w:bottom w:val="single" w:sz="8" w:space="0" w:color="auto"/>
              <w:right w:val="single" w:sz="4" w:space="0" w:color="auto"/>
            </w:tcBorders>
            <w:shd w:val="clear" w:color="auto" w:fill="E6E6E6"/>
            <w:vAlign w:val="center"/>
          </w:tcPr>
          <w:p w:rsidR="00EA4E16" w:rsidRPr="002D3580" w:rsidRDefault="00EA4E16" w:rsidP="001D3526">
            <w:pPr>
              <w:jc w:val="center"/>
              <w:rPr>
                <w:sz w:val="20"/>
                <w:szCs w:val="20"/>
              </w:rPr>
            </w:pPr>
          </w:p>
        </w:tc>
        <w:tc>
          <w:tcPr>
            <w:tcW w:w="4935" w:type="dxa"/>
            <w:gridSpan w:val="2"/>
            <w:tcBorders>
              <w:top w:val="single" w:sz="12" w:space="0" w:color="auto"/>
              <w:left w:val="single" w:sz="4" w:space="0" w:color="auto"/>
              <w:bottom w:val="single" w:sz="8" w:space="0" w:color="auto"/>
              <w:right w:val="single" w:sz="12" w:space="0" w:color="auto"/>
            </w:tcBorders>
            <w:shd w:val="clear" w:color="auto" w:fill="auto"/>
            <w:vAlign w:val="center"/>
          </w:tcPr>
          <w:p w:rsidR="00EA4E16" w:rsidRPr="002D3580" w:rsidRDefault="00EA4E16" w:rsidP="001D3526">
            <w:pPr>
              <w:jc w:val="center"/>
              <w:rPr>
                <w:sz w:val="20"/>
                <w:szCs w:val="20"/>
              </w:rPr>
            </w:pPr>
            <w:r w:rsidRPr="002D3580">
              <w:rPr>
                <w:sz w:val="20"/>
                <w:szCs w:val="20"/>
              </w:rPr>
              <w:t>Alternative 2 Rate Structure and Rates</w:t>
            </w:r>
          </w:p>
        </w:tc>
      </w:tr>
      <w:tr w:rsidR="00EA4E16" w:rsidRPr="002D3580" w:rsidTr="001D3526">
        <w:trPr>
          <w:jc w:val="center"/>
        </w:trPr>
        <w:tc>
          <w:tcPr>
            <w:tcW w:w="5172" w:type="dxa"/>
            <w:gridSpan w:val="2"/>
            <w:tcBorders>
              <w:top w:val="single" w:sz="8" w:space="0" w:color="auto"/>
              <w:left w:val="single" w:sz="12" w:space="0" w:color="auto"/>
              <w:bottom w:val="single" w:sz="8" w:space="0" w:color="auto"/>
              <w:right w:val="single" w:sz="4" w:space="0" w:color="auto"/>
            </w:tcBorders>
            <w:shd w:val="clear" w:color="auto" w:fill="auto"/>
          </w:tcPr>
          <w:p w:rsidR="00EA4E16" w:rsidRPr="002D3580" w:rsidRDefault="00EA4E16" w:rsidP="001D3526">
            <w:pPr>
              <w:jc w:val="center"/>
              <w:rPr>
                <w:sz w:val="20"/>
                <w:szCs w:val="20"/>
              </w:rPr>
            </w:pPr>
            <w:r>
              <w:rPr>
                <w:sz w:val="20"/>
                <w:szCs w:val="20"/>
              </w:rPr>
              <w:t xml:space="preserve">Monthly BFC/Uniform </w:t>
            </w:r>
            <w:proofErr w:type="spellStart"/>
            <w:r>
              <w:rPr>
                <w:sz w:val="20"/>
                <w:szCs w:val="20"/>
              </w:rPr>
              <w:t>Gallonage</w:t>
            </w:r>
            <w:proofErr w:type="spellEnd"/>
            <w:r>
              <w:rPr>
                <w:sz w:val="20"/>
                <w:szCs w:val="20"/>
              </w:rPr>
              <w:t xml:space="preserve"> Charge</w:t>
            </w:r>
            <w:r w:rsidRPr="002D3580">
              <w:rPr>
                <w:sz w:val="20"/>
                <w:szCs w:val="20"/>
              </w:rPr>
              <w:t xml:space="preserve"> Rate Structure</w:t>
            </w:r>
          </w:p>
          <w:p w:rsidR="00EA4E16" w:rsidRPr="002D3580" w:rsidRDefault="00EA4E16" w:rsidP="001D3526">
            <w:pPr>
              <w:jc w:val="center"/>
              <w:rPr>
                <w:sz w:val="20"/>
                <w:szCs w:val="20"/>
              </w:rPr>
            </w:pPr>
            <w:r w:rsidRPr="002D3580">
              <w:rPr>
                <w:sz w:val="20"/>
                <w:szCs w:val="20"/>
              </w:rPr>
              <w:t xml:space="preserve">BFC = </w:t>
            </w:r>
            <w:r>
              <w:rPr>
                <w:sz w:val="20"/>
                <w:szCs w:val="20"/>
              </w:rPr>
              <w:t>35</w:t>
            </w:r>
            <w:r w:rsidRPr="002D3580">
              <w:rPr>
                <w:sz w:val="20"/>
                <w:szCs w:val="20"/>
              </w:rPr>
              <w:t>%</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EA4E16" w:rsidRPr="002D3580" w:rsidRDefault="00EA4E16" w:rsidP="001D3526">
            <w:pPr>
              <w:jc w:val="both"/>
              <w:rPr>
                <w:sz w:val="20"/>
                <w:szCs w:val="20"/>
              </w:rPr>
            </w:pPr>
          </w:p>
        </w:tc>
        <w:tc>
          <w:tcPr>
            <w:tcW w:w="4935" w:type="dxa"/>
            <w:gridSpan w:val="2"/>
            <w:tcBorders>
              <w:top w:val="single" w:sz="8" w:space="0" w:color="auto"/>
              <w:left w:val="single" w:sz="4" w:space="0" w:color="auto"/>
              <w:bottom w:val="single" w:sz="8" w:space="0" w:color="auto"/>
              <w:right w:val="single" w:sz="12" w:space="0" w:color="auto"/>
            </w:tcBorders>
            <w:shd w:val="clear" w:color="auto" w:fill="auto"/>
          </w:tcPr>
          <w:p w:rsidR="00EA4E16" w:rsidRPr="002D3580" w:rsidRDefault="00EA4E16" w:rsidP="001D3526">
            <w:pPr>
              <w:jc w:val="center"/>
              <w:rPr>
                <w:sz w:val="20"/>
                <w:szCs w:val="20"/>
              </w:rPr>
            </w:pPr>
            <w:r>
              <w:rPr>
                <w:sz w:val="20"/>
                <w:szCs w:val="20"/>
              </w:rPr>
              <w:t xml:space="preserve">Monthly BFC/Uniform </w:t>
            </w:r>
            <w:proofErr w:type="spellStart"/>
            <w:r>
              <w:rPr>
                <w:sz w:val="20"/>
                <w:szCs w:val="20"/>
              </w:rPr>
              <w:t>Gallonage</w:t>
            </w:r>
            <w:proofErr w:type="spellEnd"/>
            <w:r>
              <w:rPr>
                <w:sz w:val="20"/>
                <w:szCs w:val="20"/>
              </w:rPr>
              <w:t xml:space="preserve"> Charge</w:t>
            </w:r>
            <w:r w:rsidRPr="002D3580">
              <w:rPr>
                <w:sz w:val="20"/>
                <w:szCs w:val="20"/>
              </w:rPr>
              <w:t xml:space="preserve"> Rate Structure</w:t>
            </w:r>
          </w:p>
          <w:p w:rsidR="00EA4E16" w:rsidRPr="002D3580" w:rsidRDefault="00EA4E16" w:rsidP="001D3526">
            <w:pPr>
              <w:jc w:val="center"/>
              <w:rPr>
                <w:sz w:val="20"/>
                <w:szCs w:val="20"/>
              </w:rPr>
            </w:pPr>
            <w:r w:rsidRPr="002D3580">
              <w:rPr>
                <w:sz w:val="20"/>
                <w:szCs w:val="20"/>
              </w:rPr>
              <w:t>BFC =</w:t>
            </w:r>
            <w:r>
              <w:rPr>
                <w:sz w:val="20"/>
                <w:szCs w:val="20"/>
              </w:rPr>
              <w:t>45</w:t>
            </w:r>
            <w:r w:rsidRPr="002D3580">
              <w:rPr>
                <w:sz w:val="20"/>
                <w:szCs w:val="20"/>
              </w:rPr>
              <w:t>%</w:t>
            </w:r>
          </w:p>
        </w:tc>
      </w:tr>
      <w:tr w:rsidR="00EA4E16" w:rsidRPr="002D3580" w:rsidTr="001D3526">
        <w:trPr>
          <w:jc w:val="center"/>
        </w:trPr>
        <w:tc>
          <w:tcPr>
            <w:tcW w:w="4019" w:type="dxa"/>
            <w:tcBorders>
              <w:top w:val="single" w:sz="8" w:space="0" w:color="auto"/>
              <w:left w:val="single" w:sz="12"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sidRPr="002D3580">
              <w:rPr>
                <w:sz w:val="20"/>
                <w:szCs w:val="20"/>
              </w:rPr>
              <w:t>BFC</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EA4E16" w:rsidRPr="002D3580" w:rsidRDefault="00EA4E16" w:rsidP="001D3526">
            <w:pPr>
              <w:jc w:val="right"/>
              <w:rPr>
                <w:sz w:val="20"/>
                <w:szCs w:val="20"/>
              </w:rPr>
            </w:pPr>
            <w:r>
              <w:rPr>
                <w:sz w:val="20"/>
                <w:szCs w:val="20"/>
              </w:rPr>
              <w:t>$10.45</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EA4E16" w:rsidRPr="002D3580" w:rsidRDefault="00EA4E16" w:rsidP="001D3526">
            <w:pPr>
              <w:jc w:val="both"/>
              <w:rPr>
                <w:sz w:val="20"/>
                <w:szCs w:val="20"/>
              </w:rPr>
            </w:pPr>
          </w:p>
        </w:tc>
        <w:tc>
          <w:tcPr>
            <w:tcW w:w="3111" w:type="dxa"/>
            <w:tcBorders>
              <w:top w:val="single" w:sz="8" w:space="0" w:color="auto"/>
              <w:left w:val="single" w:sz="4"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sidRPr="002D3580">
              <w:rPr>
                <w:sz w:val="20"/>
                <w:szCs w:val="20"/>
              </w:rPr>
              <w:t>BFC</w:t>
            </w:r>
          </w:p>
        </w:tc>
        <w:tc>
          <w:tcPr>
            <w:tcW w:w="1824" w:type="dxa"/>
            <w:tcBorders>
              <w:top w:val="single" w:sz="8" w:space="0" w:color="auto"/>
              <w:left w:val="single" w:sz="8" w:space="0" w:color="auto"/>
              <w:bottom w:val="single" w:sz="8" w:space="0" w:color="auto"/>
              <w:right w:val="single" w:sz="12" w:space="0" w:color="auto"/>
            </w:tcBorders>
            <w:shd w:val="clear" w:color="auto" w:fill="auto"/>
          </w:tcPr>
          <w:p w:rsidR="00EA4E16" w:rsidRPr="002D3580" w:rsidRDefault="00EA4E16" w:rsidP="001D3526">
            <w:pPr>
              <w:jc w:val="right"/>
              <w:rPr>
                <w:sz w:val="20"/>
                <w:szCs w:val="20"/>
              </w:rPr>
            </w:pPr>
            <w:r>
              <w:rPr>
                <w:sz w:val="20"/>
                <w:szCs w:val="20"/>
              </w:rPr>
              <w:t>$13.37</w:t>
            </w:r>
          </w:p>
        </w:tc>
      </w:tr>
      <w:tr w:rsidR="00EA4E16" w:rsidRPr="002D3580" w:rsidTr="001D3526">
        <w:trPr>
          <w:jc w:val="center"/>
        </w:trPr>
        <w:tc>
          <w:tcPr>
            <w:tcW w:w="4019" w:type="dxa"/>
            <w:tcBorders>
              <w:top w:val="single" w:sz="8" w:space="0" w:color="auto"/>
              <w:left w:val="single" w:sz="12" w:space="0" w:color="auto"/>
              <w:bottom w:val="single" w:sz="8" w:space="0" w:color="auto"/>
              <w:right w:val="single" w:sz="8" w:space="0" w:color="auto"/>
            </w:tcBorders>
            <w:shd w:val="clear" w:color="auto" w:fill="auto"/>
            <w:vAlign w:val="bottom"/>
          </w:tcPr>
          <w:p w:rsidR="00EA4E16" w:rsidRPr="002D3580" w:rsidRDefault="00EA4E16" w:rsidP="001D3526">
            <w:pPr>
              <w:rPr>
                <w:sz w:val="20"/>
                <w:szCs w:val="20"/>
              </w:rPr>
            </w:pPr>
            <w:r>
              <w:rPr>
                <w:sz w:val="20"/>
                <w:szCs w:val="20"/>
              </w:rPr>
              <w:t xml:space="preserve">Charge per </w:t>
            </w:r>
            <w:proofErr w:type="spellStart"/>
            <w:r>
              <w:rPr>
                <w:sz w:val="20"/>
                <w:szCs w:val="20"/>
              </w:rPr>
              <w:t>kgals</w:t>
            </w:r>
            <w:proofErr w:type="spellEnd"/>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EA4E16" w:rsidRDefault="00EA4E16" w:rsidP="001D3526">
            <w:pPr>
              <w:jc w:val="right"/>
              <w:rPr>
                <w:sz w:val="20"/>
                <w:szCs w:val="20"/>
              </w:rPr>
            </w:pPr>
            <w:r>
              <w:rPr>
                <w:sz w:val="20"/>
                <w:szCs w:val="20"/>
              </w:rPr>
              <w:t>$4.38</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EA4E16" w:rsidRPr="002D3580" w:rsidRDefault="00EA4E16" w:rsidP="001D3526">
            <w:pPr>
              <w:jc w:val="both"/>
              <w:rPr>
                <w:sz w:val="20"/>
                <w:szCs w:val="20"/>
              </w:rPr>
            </w:pPr>
          </w:p>
        </w:tc>
        <w:tc>
          <w:tcPr>
            <w:tcW w:w="3111" w:type="dxa"/>
            <w:tcBorders>
              <w:top w:val="single" w:sz="8" w:space="0" w:color="auto"/>
              <w:left w:val="single" w:sz="4" w:space="0" w:color="auto"/>
              <w:bottom w:val="single" w:sz="4" w:space="0" w:color="auto"/>
              <w:right w:val="single" w:sz="8" w:space="0" w:color="auto"/>
            </w:tcBorders>
            <w:shd w:val="clear" w:color="auto" w:fill="auto"/>
            <w:vAlign w:val="bottom"/>
          </w:tcPr>
          <w:p w:rsidR="00EA4E16" w:rsidRPr="002D3580" w:rsidRDefault="00EA4E16" w:rsidP="001D3526">
            <w:pPr>
              <w:rPr>
                <w:sz w:val="20"/>
                <w:szCs w:val="20"/>
              </w:rPr>
            </w:pPr>
            <w:r>
              <w:rPr>
                <w:sz w:val="20"/>
                <w:szCs w:val="20"/>
              </w:rPr>
              <w:t xml:space="preserve">Charge per </w:t>
            </w:r>
            <w:proofErr w:type="spellStart"/>
            <w:r>
              <w:rPr>
                <w:sz w:val="20"/>
                <w:szCs w:val="20"/>
              </w:rPr>
              <w:t>kgal</w:t>
            </w:r>
            <w:proofErr w:type="spellEnd"/>
          </w:p>
        </w:tc>
        <w:tc>
          <w:tcPr>
            <w:tcW w:w="1824" w:type="dxa"/>
            <w:tcBorders>
              <w:top w:val="single" w:sz="8" w:space="0" w:color="auto"/>
              <w:left w:val="single" w:sz="8" w:space="0" w:color="auto"/>
              <w:bottom w:val="single" w:sz="4" w:space="0" w:color="auto"/>
              <w:right w:val="single" w:sz="12" w:space="0" w:color="auto"/>
            </w:tcBorders>
            <w:shd w:val="clear" w:color="auto" w:fill="auto"/>
          </w:tcPr>
          <w:p w:rsidR="00EA4E16" w:rsidRDefault="00EA4E16" w:rsidP="001D3526">
            <w:pPr>
              <w:jc w:val="right"/>
              <w:rPr>
                <w:sz w:val="20"/>
                <w:szCs w:val="20"/>
              </w:rPr>
            </w:pPr>
            <w:r>
              <w:rPr>
                <w:sz w:val="20"/>
                <w:szCs w:val="20"/>
              </w:rPr>
              <w:t>$4.32</w:t>
            </w:r>
          </w:p>
        </w:tc>
      </w:tr>
      <w:tr w:rsidR="00EA4E16" w:rsidRPr="002D3580" w:rsidTr="001D3526">
        <w:trPr>
          <w:trHeight w:val="188"/>
          <w:jc w:val="center"/>
        </w:trPr>
        <w:tc>
          <w:tcPr>
            <w:tcW w:w="5172" w:type="dxa"/>
            <w:gridSpan w:val="2"/>
            <w:tcBorders>
              <w:top w:val="single" w:sz="8" w:space="0" w:color="auto"/>
              <w:left w:val="single" w:sz="12" w:space="0" w:color="auto"/>
              <w:bottom w:val="single" w:sz="8" w:space="0" w:color="auto"/>
              <w:right w:val="single" w:sz="4" w:space="0" w:color="auto"/>
            </w:tcBorders>
            <w:shd w:val="clear" w:color="auto" w:fill="auto"/>
            <w:vAlign w:val="center"/>
          </w:tcPr>
          <w:p w:rsidR="00EA4E16" w:rsidRPr="002D3580" w:rsidRDefault="00EA4E16" w:rsidP="001D3526">
            <w:pPr>
              <w:jc w:val="center"/>
              <w:rPr>
                <w:sz w:val="18"/>
                <w:szCs w:val="18"/>
              </w:rPr>
            </w:pPr>
            <w:r w:rsidRPr="002D3580">
              <w:rPr>
                <w:sz w:val="18"/>
                <w:szCs w:val="18"/>
              </w:rPr>
              <w:t>Typical Monthly Bills</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EA4E16" w:rsidRPr="002D3580" w:rsidRDefault="00EA4E16" w:rsidP="001D3526">
            <w:pPr>
              <w:jc w:val="both"/>
              <w:rPr>
                <w:sz w:val="18"/>
                <w:szCs w:val="18"/>
              </w:rPr>
            </w:pPr>
          </w:p>
        </w:tc>
        <w:tc>
          <w:tcPr>
            <w:tcW w:w="4935" w:type="dxa"/>
            <w:gridSpan w:val="2"/>
            <w:tcBorders>
              <w:top w:val="single" w:sz="4" w:space="0" w:color="auto"/>
              <w:left w:val="single" w:sz="4" w:space="0" w:color="auto"/>
              <w:bottom w:val="single" w:sz="8" w:space="0" w:color="auto"/>
              <w:right w:val="single" w:sz="12" w:space="0" w:color="auto"/>
            </w:tcBorders>
            <w:shd w:val="clear" w:color="auto" w:fill="auto"/>
          </w:tcPr>
          <w:p w:rsidR="00EA4E16" w:rsidRPr="002D3580" w:rsidRDefault="00EA4E16" w:rsidP="001D3526">
            <w:pPr>
              <w:jc w:val="center"/>
              <w:rPr>
                <w:sz w:val="18"/>
                <w:szCs w:val="18"/>
              </w:rPr>
            </w:pPr>
            <w:r w:rsidRPr="002D3580">
              <w:rPr>
                <w:sz w:val="18"/>
                <w:szCs w:val="18"/>
              </w:rPr>
              <w:t>Typical Monthly Bills</w:t>
            </w:r>
          </w:p>
        </w:tc>
      </w:tr>
      <w:tr w:rsidR="00EA4E16" w:rsidRPr="002D3580" w:rsidTr="001D3526">
        <w:trPr>
          <w:jc w:val="center"/>
        </w:trPr>
        <w:tc>
          <w:tcPr>
            <w:tcW w:w="4019" w:type="dxa"/>
            <w:tcBorders>
              <w:top w:val="single" w:sz="8" w:space="0" w:color="auto"/>
              <w:left w:val="single" w:sz="12"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sidRPr="002D3580">
              <w:rPr>
                <w:sz w:val="20"/>
                <w:szCs w:val="20"/>
              </w:rPr>
              <w:t>Consumption (</w:t>
            </w:r>
            <w:proofErr w:type="spellStart"/>
            <w:r w:rsidRPr="002D3580">
              <w:rPr>
                <w:sz w:val="20"/>
                <w:szCs w:val="20"/>
              </w:rPr>
              <w:t>kgals</w:t>
            </w:r>
            <w:proofErr w:type="spellEnd"/>
            <w:r w:rsidRPr="002D3580">
              <w:rPr>
                <w:sz w:val="20"/>
                <w:szCs w:val="20"/>
              </w:rPr>
              <w:t>)</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EA4E16" w:rsidRPr="002D3580" w:rsidRDefault="00EA4E16" w:rsidP="001D3526">
            <w:pPr>
              <w:jc w:val="right"/>
              <w:rPr>
                <w:sz w:val="20"/>
                <w:szCs w:val="20"/>
              </w:rPr>
            </w:pP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EA4E16" w:rsidRPr="002D3580" w:rsidRDefault="00EA4E16" w:rsidP="001D3526">
            <w:pPr>
              <w:jc w:val="both"/>
              <w:rPr>
                <w:sz w:val="20"/>
                <w:szCs w:val="20"/>
              </w:rPr>
            </w:pPr>
          </w:p>
        </w:tc>
        <w:tc>
          <w:tcPr>
            <w:tcW w:w="3111" w:type="dxa"/>
            <w:tcBorders>
              <w:top w:val="single" w:sz="8" w:space="0" w:color="auto"/>
              <w:left w:val="single" w:sz="4"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sidRPr="002D3580">
              <w:rPr>
                <w:sz w:val="20"/>
                <w:szCs w:val="20"/>
              </w:rPr>
              <w:t>Consumption (</w:t>
            </w:r>
            <w:proofErr w:type="spellStart"/>
            <w:r w:rsidRPr="002D3580">
              <w:rPr>
                <w:sz w:val="20"/>
                <w:szCs w:val="20"/>
              </w:rPr>
              <w:t>kgals</w:t>
            </w:r>
            <w:proofErr w:type="spellEnd"/>
            <w:r w:rsidRPr="002D3580">
              <w:rPr>
                <w:sz w:val="20"/>
                <w:szCs w:val="20"/>
              </w:rPr>
              <w:t>)</w:t>
            </w:r>
          </w:p>
        </w:tc>
        <w:tc>
          <w:tcPr>
            <w:tcW w:w="1824" w:type="dxa"/>
            <w:tcBorders>
              <w:top w:val="single" w:sz="8" w:space="0" w:color="auto"/>
              <w:left w:val="single" w:sz="8" w:space="0" w:color="auto"/>
              <w:bottom w:val="single" w:sz="8" w:space="0" w:color="auto"/>
              <w:right w:val="single" w:sz="12" w:space="0" w:color="auto"/>
            </w:tcBorders>
            <w:shd w:val="clear" w:color="auto" w:fill="auto"/>
          </w:tcPr>
          <w:p w:rsidR="00EA4E16" w:rsidRPr="002D3580" w:rsidRDefault="00EA4E16" w:rsidP="001D3526">
            <w:pPr>
              <w:jc w:val="both"/>
              <w:rPr>
                <w:sz w:val="20"/>
                <w:szCs w:val="20"/>
              </w:rPr>
            </w:pPr>
          </w:p>
        </w:tc>
      </w:tr>
      <w:tr w:rsidR="00EA4E16" w:rsidRPr="002D3580" w:rsidTr="001D3526">
        <w:trPr>
          <w:jc w:val="center"/>
        </w:trPr>
        <w:tc>
          <w:tcPr>
            <w:tcW w:w="4019" w:type="dxa"/>
            <w:tcBorders>
              <w:top w:val="single" w:sz="8" w:space="0" w:color="auto"/>
              <w:left w:val="single" w:sz="12"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sidRPr="002D3580">
              <w:rPr>
                <w:sz w:val="20"/>
                <w:szCs w:val="20"/>
              </w:rPr>
              <w:t>0</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EA4E16" w:rsidRPr="002D3580" w:rsidRDefault="00EA4E16" w:rsidP="001D3526">
            <w:pPr>
              <w:jc w:val="right"/>
              <w:rPr>
                <w:sz w:val="20"/>
                <w:szCs w:val="20"/>
              </w:rPr>
            </w:pPr>
            <w:r>
              <w:rPr>
                <w:sz w:val="20"/>
                <w:szCs w:val="20"/>
              </w:rPr>
              <w:t>$10.45</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EA4E16" w:rsidRPr="002D3580" w:rsidRDefault="00EA4E16" w:rsidP="001D3526">
            <w:pPr>
              <w:jc w:val="both"/>
              <w:rPr>
                <w:sz w:val="20"/>
                <w:szCs w:val="20"/>
              </w:rPr>
            </w:pPr>
          </w:p>
        </w:tc>
        <w:tc>
          <w:tcPr>
            <w:tcW w:w="3111" w:type="dxa"/>
            <w:tcBorders>
              <w:top w:val="single" w:sz="8" w:space="0" w:color="auto"/>
              <w:left w:val="single" w:sz="4"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sidRPr="002D3580">
              <w:rPr>
                <w:sz w:val="20"/>
                <w:szCs w:val="20"/>
              </w:rPr>
              <w:t>0</w:t>
            </w:r>
          </w:p>
        </w:tc>
        <w:tc>
          <w:tcPr>
            <w:tcW w:w="1824" w:type="dxa"/>
            <w:tcBorders>
              <w:top w:val="single" w:sz="8" w:space="0" w:color="auto"/>
              <w:left w:val="single" w:sz="8" w:space="0" w:color="auto"/>
              <w:bottom w:val="single" w:sz="8" w:space="0" w:color="auto"/>
              <w:right w:val="single" w:sz="12" w:space="0" w:color="auto"/>
            </w:tcBorders>
            <w:shd w:val="clear" w:color="auto" w:fill="auto"/>
          </w:tcPr>
          <w:p w:rsidR="00EA4E16" w:rsidRPr="002D3580" w:rsidRDefault="00EA4E16" w:rsidP="001D3526">
            <w:pPr>
              <w:jc w:val="right"/>
              <w:rPr>
                <w:sz w:val="20"/>
                <w:szCs w:val="20"/>
              </w:rPr>
            </w:pPr>
            <w:r>
              <w:rPr>
                <w:sz w:val="20"/>
                <w:szCs w:val="20"/>
              </w:rPr>
              <w:t>$13.37</w:t>
            </w:r>
          </w:p>
        </w:tc>
      </w:tr>
      <w:tr w:rsidR="00EA4E16" w:rsidRPr="002D3580" w:rsidTr="001D3526">
        <w:trPr>
          <w:jc w:val="center"/>
        </w:trPr>
        <w:tc>
          <w:tcPr>
            <w:tcW w:w="4019" w:type="dxa"/>
            <w:tcBorders>
              <w:top w:val="single" w:sz="8" w:space="0" w:color="auto"/>
              <w:left w:val="single" w:sz="12"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Pr>
                <w:sz w:val="20"/>
                <w:szCs w:val="20"/>
              </w:rPr>
              <w:t>4</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EA4E16" w:rsidRPr="002D3580" w:rsidRDefault="00EA4E16" w:rsidP="001D3526">
            <w:pPr>
              <w:jc w:val="right"/>
              <w:rPr>
                <w:sz w:val="20"/>
                <w:szCs w:val="20"/>
              </w:rPr>
            </w:pPr>
            <w:r>
              <w:rPr>
                <w:sz w:val="20"/>
                <w:szCs w:val="20"/>
              </w:rPr>
              <w:t>$27.97</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EA4E16" w:rsidRPr="002D3580" w:rsidRDefault="00EA4E16" w:rsidP="001D3526">
            <w:pPr>
              <w:jc w:val="both"/>
              <w:rPr>
                <w:sz w:val="20"/>
                <w:szCs w:val="20"/>
              </w:rPr>
            </w:pPr>
          </w:p>
        </w:tc>
        <w:tc>
          <w:tcPr>
            <w:tcW w:w="3111" w:type="dxa"/>
            <w:tcBorders>
              <w:top w:val="single" w:sz="8" w:space="0" w:color="auto"/>
              <w:left w:val="single" w:sz="4"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Pr>
                <w:sz w:val="20"/>
                <w:szCs w:val="20"/>
              </w:rPr>
              <w:t>4</w:t>
            </w:r>
          </w:p>
        </w:tc>
        <w:tc>
          <w:tcPr>
            <w:tcW w:w="1824" w:type="dxa"/>
            <w:tcBorders>
              <w:top w:val="single" w:sz="8" w:space="0" w:color="auto"/>
              <w:left w:val="single" w:sz="8" w:space="0" w:color="auto"/>
              <w:bottom w:val="single" w:sz="8" w:space="0" w:color="auto"/>
              <w:right w:val="single" w:sz="12" w:space="0" w:color="auto"/>
            </w:tcBorders>
            <w:shd w:val="clear" w:color="auto" w:fill="auto"/>
          </w:tcPr>
          <w:p w:rsidR="00EA4E16" w:rsidRPr="002D3580" w:rsidRDefault="00EA4E16" w:rsidP="001D3526">
            <w:pPr>
              <w:jc w:val="right"/>
              <w:rPr>
                <w:sz w:val="20"/>
                <w:szCs w:val="20"/>
              </w:rPr>
            </w:pPr>
            <w:r>
              <w:rPr>
                <w:sz w:val="20"/>
                <w:szCs w:val="20"/>
              </w:rPr>
              <w:t>$30.65</w:t>
            </w:r>
          </w:p>
        </w:tc>
      </w:tr>
      <w:tr w:rsidR="00EA4E16" w:rsidRPr="002D3580" w:rsidTr="001D3526">
        <w:trPr>
          <w:jc w:val="center"/>
        </w:trPr>
        <w:tc>
          <w:tcPr>
            <w:tcW w:w="4019" w:type="dxa"/>
            <w:tcBorders>
              <w:top w:val="single" w:sz="8" w:space="0" w:color="auto"/>
              <w:left w:val="single" w:sz="12"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Pr>
                <w:sz w:val="20"/>
                <w:szCs w:val="20"/>
              </w:rPr>
              <w:t>6</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EA4E16" w:rsidRPr="002D3580" w:rsidRDefault="00EA4E16" w:rsidP="001D3526">
            <w:pPr>
              <w:jc w:val="right"/>
              <w:rPr>
                <w:sz w:val="20"/>
                <w:szCs w:val="20"/>
              </w:rPr>
            </w:pPr>
            <w:r>
              <w:rPr>
                <w:sz w:val="20"/>
                <w:szCs w:val="20"/>
              </w:rPr>
              <w:t>$36.73</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EA4E16" w:rsidRPr="002D3580" w:rsidRDefault="00EA4E16" w:rsidP="001D3526">
            <w:pPr>
              <w:jc w:val="both"/>
              <w:rPr>
                <w:sz w:val="20"/>
                <w:szCs w:val="20"/>
              </w:rPr>
            </w:pPr>
          </w:p>
        </w:tc>
        <w:tc>
          <w:tcPr>
            <w:tcW w:w="3111" w:type="dxa"/>
            <w:tcBorders>
              <w:top w:val="single" w:sz="8" w:space="0" w:color="auto"/>
              <w:left w:val="single" w:sz="4" w:space="0" w:color="auto"/>
              <w:bottom w:val="single" w:sz="8" w:space="0" w:color="auto"/>
              <w:right w:val="single" w:sz="8" w:space="0" w:color="auto"/>
            </w:tcBorders>
            <w:shd w:val="clear" w:color="auto" w:fill="auto"/>
          </w:tcPr>
          <w:p w:rsidR="00EA4E16" w:rsidRPr="002D3580" w:rsidRDefault="00EA4E16" w:rsidP="001D3526">
            <w:pPr>
              <w:jc w:val="both"/>
              <w:rPr>
                <w:sz w:val="20"/>
                <w:szCs w:val="20"/>
              </w:rPr>
            </w:pPr>
            <w:r>
              <w:rPr>
                <w:sz w:val="20"/>
                <w:szCs w:val="20"/>
              </w:rPr>
              <w:t>6</w:t>
            </w:r>
          </w:p>
        </w:tc>
        <w:tc>
          <w:tcPr>
            <w:tcW w:w="1824" w:type="dxa"/>
            <w:tcBorders>
              <w:top w:val="single" w:sz="8" w:space="0" w:color="auto"/>
              <w:left w:val="single" w:sz="8" w:space="0" w:color="auto"/>
              <w:bottom w:val="single" w:sz="8" w:space="0" w:color="auto"/>
              <w:right w:val="single" w:sz="12" w:space="0" w:color="auto"/>
            </w:tcBorders>
            <w:shd w:val="clear" w:color="auto" w:fill="auto"/>
          </w:tcPr>
          <w:p w:rsidR="00EA4E16" w:rsidRPr="002D3580" w:rsidRDefault="00EA4E16" w:rsidP="001D3526">
            <w:pPr>
              <w:jc w:val="right"/>
              <w:rPr>
                <w:sz w:val="20"/>
                <w:szCs w:val="20"/>
              </w:rPr>
            </w:pPr>
            <w:r>
              <w:rPr>
                <w:sz w:val="20"/>
                <w:szCs w:val="20"/>
              </w:rPr>
              <w:t>$39.29</w:t>
            </w:r>
          </w:p>
        </w:tc>
      </w:tr>
      <w:tr w:rsidR="00EA4E16" w:rsidRPr="002D3580" w:rsidTr="001D3526">
        <w:trPr>
          <w:jc w:val="center"/>
        </w:trPr>
        <w:tc>
          <w:tcPr>
            <w:tcW w:w="4019" w:type="dxa"/>
            <w:tcBorders>
              <w:top w:val="single" w:sz="8" w:space="0" w:color="auto"/>
              <w:left w:val="single" w:sz="12" w:space="0" w:color="auto"/>
              <w:bottom w:val="single" w:sz="12" w:space="0" w:color="auto"/>
              <w:right w:val="single" w:sz="8" w:space="0" w:color="auto"/>
            </w:tcBorders>
            <w:shd w:val="clear" w:color="auto" w:fill="auto"/>
          </w:tcPr>
          <w:p w:rsidR="00EA4E16" w:rsidRPr="002D3580" w:rsidRDefault="00EA4E16" w:rsidP="001D3526">
            <w:pPr>
              <w:jc w:val="both"/>
              <w:rPr>
                <w:sz w:val="20"/>
                <w:szCs w:val="20"/>
              </w:rPr>
            </w:pPr>
            <w:r>
              <w:rPr>
                <w:sz w:val="20"/>
                <w:szCs w:val="20"/>
              </w:rPr>
              <w:t>10</w:t>
            </w:r>
          </w:p>
        </w:tc>
        <w:tc>
          <w:tcPr>
            <w:tcW w:w="1153" w:type="dxa"/>
            <w:tcBorders>
              <w:top w:val="single" w:sz="8" w:space="0" w:color="auto"/>
              <w:left w:val="single" w:sz="8" w:space="0" w:color="auto"/>
              <w:bottom w:val="single" w:sz="12" w:space="0" w:color="auto"/>
              <w:right w:val="single" w:sz="4" w:space="0" w:color="auto"/>
            </w:tcBorders>
            <w:shd w:val="clear" w:color="auto" w:fill="auto"/>
          </w:tcPr>
          <w:p w:rsidR="00EA4E16" w:rsidRPr="002D3580" w:rsidRDefault="00EA4E16" w:rsidP="001D3526">
            <w:pPr>
              <w:jc w:val="right"/>
              <w:rPr>
                <w:sz w:val="20"/>
                <w:szCs w:val="20"/>
              </w:rPr>
            </w:pPr>
            <w:r>
              <w:rPr>
                <w:sz w:val="20"/>
                <w:szCs w:val="20"/>
              </w:rPr>
              <w:t>$54.25</w:t>
            </w:r>
          </w:p>
        </w:tc>
        <w:tc>
          <w:tcPr>
            <w:tcW w:w="236" w:type="dxa"/>
            <w:tcBorders>
              <w:top w:val="single" w:sz="8" w:space="0" w:color="auto"/>
              <w:left w:val="single" w:sz="4" w:space="0" w:color="auto"/>
              <w:bottom w:val="single" w:sz="12" w:space="0" w:color="auto"/>
              <w:right w:val="single" w:sz="4" w:space="0" w:color="auto"/>
            </w:tcBorders>
            <w:shd w:val="clear" w:color="auto" w:fill="E6E6E6"/>
          </w:tcPr>
          <w:p w:rsidR="00EA4E16" w:rsidRPr="002D3580" w:rsidRDefault="00EA4E16" w:rsidP="001D3526">
            <w:pPr>
              <w:jc w:val="both"/>
              <w:rPr>
                <w:sz w:val="20"/>
                <w:szCs w:val="20"/>
              </w:rPr>
            </w:pPr>
          </w:p>
        </w:tc>
        <w:tc>
          <w:tcPr>
            <w:tcW w:w="3111" w:type="dxa"/>
            <w:tcBorders>
              <w:top w:val="single" w:sz="8" w:space="0" w:color="auto"/>
              <w:left w:val="single" w:sz="4" w:space="0" w:color="auto"/>
              <w:bottom w:val="single" w:sz="12" w:space="0" w:color="auto"/>
              <w:right w:val="single" w:sz="8" w:space="0" w:color="auto"/>
            </w:tcBorders>
            <w:shd w:val="clear" w:color="auto" w:fill="auto"/>
          </w:tcPr>
          <w:p w:rsidR="00EA4E16" w:rsidRPr="002D3580" w:rsidRDefault="00EA4E16" w:rsidP="001D3526">
            <w:pPr>
              <w:jc w:val="both"/>
              <w:rPr>
                <w:sz w:val="20"/>
                <w:szCs w:val="20"/>
              </w:rPr>
            </w:pPr>
            <w:r>
              <w:rPr>
                <w:sz w:val="20"/>
                <w:szCs w:val="20"/>
              </w:rPr>
              <w:t>10</w:t>
            </w:r>
          </w:p>
        </w:tc>
        <w:tc>
          <w:tcPr>
            <w:tcW w:w="1824" w:type="dxa"/>
            <w:tcBorders>
              <w:top w:val="single" w:sz="8" w:space="0" w:color="auto"/>
              <w:left w:val="single" w:sz="8" w:space="0" w:color="auto"/>
              <w:bottom w:val="single" w:sz="12" w:space="0" w:color="auto"/>
              <w:right w:val="single" w:sz="12" w:space="0" w:color="auto"/>
            </w:tcBorders>
            <w:shd w:val="clear" w:color="auto" w:fill="auto"/>
          </w:tcPr>
          <w:p w:rsidR="00EA4E16" w:rsidRPr="002D3580" w:rsidRDefault="00EA4E16" w:rsidP="001D3526">
            <w:pPr>
              <w:jc w:val="right"/>
              <w:rPr>
                <w:sz w:val="20"/>
                <w:szCs w:val="20"/>
              </w:rPr>
            </w:pPr>
            <w:r>
              <w:rPr>
                <w:sz w:val="20"/>
                <w:szCs w:val="20"/>
              </w:rPr>
              <w:t>$56.57</w:t>
            </w:r>
          </w:p>
        </w:tc>
      </w:tr>
    </w:tbl>
    <w:p w:rsidR="00EA4E16" w:rsidRDefault="00EA4E16" w:rsidP="00E275D8">
      <w:pPr>
        <w:pStyle w:val="BodyText"/>
      </w:pPr>
    </w:p>
    <w:p w:rsidR="00E43D1B" w:rsidRDefault="00E43D1B" w:rsidP="00E275D8">
      <w:pPr>
        <w:pStyle w:val="BodyText"/>
        <w:sectPr w:rsidR="00E43D1B" w:rsidSect="0068481F">
          <w:headerReference w:type="default" r:id="rId24"/>
          <w:pgSz w:w="12240" w:h="15840" w:code="1"/>
          <w:pgMar w:top="1584" w:right="1440" w:bottom="1440" w:left="1440" w:header="720" w:footer="720" w:gutter="0"/>
          <w:cols w:space="720"/>
          <w:formProt w:val="0"/>
          <w:docGrid w:linePitch="360"/>
        </w:sectPr>
      </w:pPr>
    </w:p>
    <w:p w:rsidR="00E43D1B" w:rsidRDefault="003A6E73" w:rsidP="00E275D8">
      <w:pPr>
        <w:pStyle w:val="BodyText"/>
      </w:pPr>
      <w:r w:rsidRPr="000D060F">
        <w:lastRenderedPageBreak/>
        <w:fldChar w:fldCharType="begin"/>
      </w:r>
      <w:r w:rsidRPr="000D060F">
        <w:instrText xml:space="preserve"> TC "</w:instrText>
      </w:r>
      <w:bookmarkStart w:id="48" w:name="_Toc430263953"/>
      <w:bookmarkStart w:id="49" w:name="_Toc431459598"/>
      <w:r w:rsidRPr="000D060F">
        <w:tab/>
      </w:r>
      <w:bookmarkEnd w:id="48"/>
      <w:r>
        <w:instrText>Schedule 4</w:instrText>
      </w:r>
      <w:r w:rsidR="00FB0A92">
        <w:instrText>-B</w:instrText>
      </w:r>
      <w:bookmarkEnd w:id="49"/>
      <w:r w:rsidRPr="000D060F">
        <w:instrText xml:space="preserve">" \l 1 </w:instrText>
      </w:r>
      <w:r w:rsidRPr="000D060F">
        <w:fldChar w:fldCharType="end"/>
      </w:r>
    </w:p>
    <w:tbl>
      <w:tblPr>
        <w:tblW w:w="10952" w:type="dxa"/>
        <w:tblInd w:w="-788" w:type="dxa"/>
        <w:tblLook w:val="04A0" w:firstRow="1" w:lastRow="0" w:firstColumn="1" w:lastColumn="0" w:noHBand="0" w:noVBand="1"/>
      </w:tblPr>
      <w:tblGrid>
        <w:gridCol w:w="380"/>
        <w:gridCol w:w="5580"/>
        <w:gridCol w:w="1540"/>
        <w:gridCol w:w="506"/>
        <w:gridCol w:w="1366"/>
        <w:gridCol w:w="1580"/>
      </w:tblGrid>
      <w:tr w:rsidR="00E43D1B" w:rsidTr="00450A22">
        <w:trPr>
          <w:trHeight w:val="300"/>
        </w:trPr>
        <w:tc>
          <w:tcPr>
            <w:tcW w:w="380" w:type="dxa"/>
            <w:tcBorders>
              <w:top w:val="single" w:sz="8" w:space="0" w:color="000000"/>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single" w:sz="8" w:space="0" w:color="000000"/>
              <w:left w:val="nil"/>
              <w:bottom w:val="nil"/>
              <w:right w:val="nil"/>
            </w:tcBorders>
            <w:shd w:val="clear" w:color="auto" w:fill="auto"/>
            <w:noWrap/>
            <w:vAlign w:val="bottom"/>
            <w:hideMark/>
          </w:tcPr>
          <w:p w:rsidR="00E43D1B" w:rsidRDefault="00E43D1B" w:rsidP="001D3526">
            <w:pPr>
              <w:rPr>
                <w:rFonts w:ascii="SWISS" w:hAnsi="SWISS" w:cs="Arial"/>
                <w:b/>
                <w:bCs/>
                <w:color w:val="000000"/>
                <w:sz w:val="20"/>
                <w:szCs w:val="20"/>
              </w:rPr>
            </w:pPr>
            <w:r>
              <w:rPr>
                <w:rFonts w:ascii="SWISS" w:hAnsi="SWISS" w:cs="Arial"/>
                <w:b/>
                <w:bCs/>
                <w:color w:val="000000"/>
                <w:sz w:val="20"/>
                <w:szCs w:val="20"/>
              </w:rPr>
              <w:t>CEDAR ACRES, INC.</w:t>
            </w:r>
          </w:p>
        </w:tc>
        <w:tc>
          <w:tcPr>
            <w:tcW w:w="1540" w:type="dxa"/>
            <w:tcBorders>
              <w:top w:val="single" w:sz="8" w:space="0" w:color="000000"/>
              <w:left w:val="nil"/>
              <w:bottom w:val="nil"/>
              <w:right w:val="nil"/>
            </w:tcBorders>
            <w:shd w:val="clear" w:color="auto" w:fill="auto"/>
            <w:noWrap/>
            <w:vAlign w:val="bottom"/>
            <w:hideMark/>
          </w:tcPr>
          <w:p w:rsidR="00E43D1B" w:rsidRDefault="00E43D1B" w:rsidP="001D3526">
            <w:pPr>
              <w:rPr>
                <w:rFonts w:ascii="Arial" w:hAnsi="Arial" w:cs="Arial"/>
              </w:rPr>
            </w:pPr>
            <w:r>
              <w:rPr>
                <w:rFonts w:ascii="Arial" w:hAnsi="Arial" w:cs="Arial"/>
              </w:rPr>
              <w:t> </w:t>
            </w:r>
          </w:p>
        </w:tc>
        <w:tc>
          <w:tcPr>
            <w:tcW w:w="506" w:type="dxa"/>
            <w:tcBorders>
              <w:top w:val="single" w:sz="8" w:space="0" w:color="000000"/>
              <w:left w:val="nil"/>
              <w:bottom w:val="nil"/>
              <w:right w:val="nil"/>
            </w:tcBorders>
            <w:shd w:val="clear" w:color="auto" w:fill="auto"/>
            <w:noWrap/>
            <w:vAlign w:val="bottom"/>
            <w:hideMark/>
          </w:tcPr>
          <w:p w:rsidR="00E43D1B" w:rsidRDefault="00E43D1B" w:rsidP="001D3526">
            <w:pPr>
              <w:rPr>
                <w:rFonts w:ascii="Arial" w:hAnsi="Arial" w:cs="Arial"/>
              </w:rPr>
            </w:pPr>
            <w:r>
              <w:rPr>
                <w:rFonts w:ascii="Arial" w:hAnsi="Arial" w:cs="Arial"/>
              </w:rPr>
              <w:t> </w:t>
            </w:r>
          </w:p>
        </w:tc>
        <w:tc>
          <w:tcPr>
            <w:tcW w:w="2946" w:type="dxa"/>
            <w:gridSpan w:val="2"/>
            <w:tcBorders>
              <w:top w:val="single" w:sz="8" w:space="0" w:color="000000"/>
              <w:left w:val="nil"/>
              <w:bottom w:val="nil"/>
              <w:right w:val="single" w:sz="8" w:space="0" w:color="auto"/>
            </w:tcBorders>
            <w:shd w:val="clear" w:color="auto" w:fill="auto"/>
            <w:noWrap/>
            <w:vAlign w:val="bottom"/>
            <w:hideMark/>
          </w:tcPr>
          <w:p w:rsidR="00E43D1B" w:rsidRDefault="00E43D1B" w:rsidP="001D3526">
            <w:pPr>
              <w:rPr>
                <w:rFonts w:ascii="Arial" w:hAnsi="Arial" w:cs="Arial"/>
              </w:rPr>
            </w:pPr>
            <w:r>
              <w:rPr>
                <w:rFonts w:ascii="Arial" w:hAnsi="Arial" w:cs="Arial"/>
              </w:rPr>
              <w:t> </w:t>
            </w:r>
            <w:r w:rsidR="00450A22">
              <w:rPr>
                <w:rFonts w:ascii="Arial" w:hAnsi="Arial" w:cs="Arial"/>
              </w:rPr>
              <w:t xml:space="preserve">     </w:t>
            </w:r>
            <w:r w:rsidR="00450A22">
              <w:rPr>
                <w:rFonts w:ascii="SWISS" w:hAnsi="SWISS" w:cs="Arial"/>
                <w:b/>
                <w:bCs/>
                <w:color w:val="000000"/>
                <w:sz w:val="20"/>
                <w:szCs w:val="20"/>
              </w:rPr>
              <w:t>DOCKET NO. 140217-WU</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b/>
                <w:bCs/>
                <w:color w:val="000000"/>
                <w:sz w:val="20"/>
                <w:szCs w:val="20"/>
              </w:rPr>
            </w:pPr>
            <w:r>
              <w:rPr>
                <w:rFonts w:ascii="SWISS" w:hAnsi="SWISS" w:cs="Arial"/>
                <w:b/>
                <w:bCs/>
                <w:color w:val="000000"/>
                <w:sz w:val="20"/>
                <w:szCs w:val="20"/>
              </w:rPr>
              <w:t>TEST YEAR ENDED SEPTEMBER 30, 2014</w:t>
            </w:r>
          </w:p>
        </w:tc>
        <w:tc>
          <w:tcPr>
            <w:tcW w:w="4992" w:type="dxa"/>
            <w:gridSpan w:val="4"/>
            <w:tcBorders>
              <w:top w:val="nil"/>
              <w:left w:val="nil"/>
              <w:bottom w:val="nil"/>
              <w:right w:val="single" w:sz="8" w:space="0" w:color="000000"/>
            </w:tcBorders>
            <w:shd w:val="clear" w:color="auto" w:fill="auto"/>
            <w:noWrap/>
            <w:vAlign w:val="bottom"/>
            <w:hideMark/>
          </w:tcPr>
          <w:p w:rsidR="00E43D1B" w:rsidRDefault="00E43D1B" w:rsidP="001D3526">
            <w:pPr>
              <w:jc w:val="right"/>
              <w:rPr>
                <w:rFonts w:ascii="SWISS" w:hAnsi="SWISS" w:cs="Arial"/>
                <w:b/>
                <w:bCs/>
                <w:color w:val="000000"/>
                <w:sz w:val="20"/>
                <w:szCs w:val="20"/>
              </w:rPr>
            </w:pPr>
            <w:r>
              <w:rPr>
                <w:rFonts w:ascii="SWISS" w:hAnsi="SWISS" w:cs="Arial"/>
                <w:b/>
                <w:bCs/>
                <w:color w:val="000000"/>
                <w:sz w:val="20"/>
                <w:szCs w:val="20"/>
              </w:rPr>
              <w:t>SCHEDULE NO. 4</w:t>
            </w:r>
            <w:r w:rsidR="00FA5348">
              <w:rPr>
                <w:rFonts w:ascii="SWISS" w:hAnsi="SWISS" w:cs="Arial"/>
                <w:b/>
                <w:bCs/>
                <w:color w:val="000000"/>
                <w:sz w:val="20"/>
                <w:szCs w:val="20"/>
              </w:rPr>
              <w:t>-B</w:t>
            </w:r>
          </w:p>
        </w:tc>
      </w:tr>
      <w:tr w:rsidR="00E43D1B" w:rsidTr="001D3526">
        <w:trPr>
          <w:trHeight w:val="315"/>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b/>
                <w:bCs/>
                <w:color w:val="000000"/>
                <w:sz w:val="20"/>
                <w:szCs w:val="20"/>
              </w:rPr>
            </w:pPr>
            <w:r>
              <w:rPr>
                <w:rFonts w:ascii="SWISS" w:hAnsi="SWISS" w:cs="Arial"/>
                <w:b/>
                <w:bCs/>
                <w:color w:val="000000"/>
                <w:sz w:val="20"/>
                <w:szCs w:val="20"/>
              </w:rPr>
              <w:t>MONTHLY WATER RATES</w:t>
            </w:r>
          </w:p>
        </w:tc>
        <w:tc>
          <w:tcPr>
            <w:tcW w:w="4992" w:type="dxa"/>
            <w:gridSpan w:val="4"/>
            <w:tcBorders>
              <w:top w:val="nil"/>
              <w:left w:val="nil"/>
              <w:bottom w:val="single" w:sz="8" w:space="0" w:color="auto"/>
              <w:right w:val="single" w:sz="8" w:space="0" w:color="000000"/>
            </w:tcBorders>
            <w:shd w:val="clear" w:color="auto" w:fill="auto"/>
            <w:noWrap/>
            <w:vAlign w:val="bottom"/>
            <w:hideMark/>
          </w:tcPr>
          <w:p w:rsidR="00E43D1B" w:rsidRDefault="00E43D1B" w:rsidP="00450A22">
            <w:pPr>
              <w:jc w:val="right"/>
              <w:rPr>
                <w:rFonts w:ascii="SWISS" w:hAnsi="SWISS" w:cs="Arial"/>
                <w:b/>
                <w:bCs/>
                <w:color w:val="000000"/>
                <w:sz w:val="20"/>
                <w:szCs w:val="20"/>
              </w:rPr>
            </w:pPr>
          </w:p>
        </w:tc>
      </w:tr>
      <w:tr w:rsidR="00E43D1B" w:rsidTr="001D3526">
        <w:trPr>
          <w:trHeight w:val="300"/>
        </w:trPr>
        <w:tc>
          <w:tcPr>
            <w:tcW w:w="380" w:type="dxa"/>
            <w:tcBorders>
              <w:top w:val="single" w:sz="8" w:space="0" w:color="000000"/>
              <w:left w:val="single" w:sz="8" w:space="0" w:color="000000"/>
              <w:bottom w:val="nil"/>
              <w:right w:val="nil"/>
            </w:tcBorders>
            <w:shd w:val="clear" w:color="000000" w:fill="D9D9D9"/>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single" w:sz="8" w:space="0" w:color="000000"/>
              <w:left w:val="nil"/>
              <w:bottom w:val="nil"/>
              <w:right w:val="nil"/>
            </w:tcBorders>
            <w:shd w:val="clear" w:color="000000" w:fill="D9D9D9"/>
            <w:noWrap/>
            <w:vAlign w:val="bottom"/>
            <w:hideMark/>
          </w:tcPr>
          <w:p w:rsidR="00E43D1B" w:rsidRDefault="00E43D1B" w:rsidP="001D3526">
            <w:pPr>
              <w:rPr>
                <w:rFonts w:ascii="SWISS" w:hAnsi="SWISS" w:cs="Arial"/>
                <w:b/>
                <w:bCs/>
                <w:sz w:val="20"/>
                <w:szCs w:val="20"/>
              </w:rPr>
            </w:pPr>
            <w:r>
              <w:rPr>
                <w:rFonts w:ascii="SWISS" w:hAnsi="SWISS" w:cs="Arial"/>
                <w:b/>
                <w:bCs/>
                <w:sz w:val="20"/>
                <w:szCs w:val="20"/>
              </w:rPr>
              <w:t> </w:t>
            </w:r>
          </w:p>
        </w:tc>
        <w:tc>
          <w:tcPr>
            <w:tcW w:w="1540" w:type="dxa"/>
            <w:tcBorders>
              <w:top w:val="nil"/>
              <w:left w:val="nil"/>
              <w:bottom w:val="nil"/>
              <w:right w:val="nil"/>
            </w:tcBorders>
            <w:shd w:val="clear" w:color="000000" w:fill="D9D9D9"/>
            <w:noWrap/>
            <w:vAlign w:val="bottom"/>
            <w:hideMark/>
          </w:tcPr>
          <w:p w:rsidR="00E43D1B" w:rsidRDefault="00E43D1B" w:rsidP="001D3526">
            <w:pPr>
              <w:rPr>
                <w:rFonts w:ascii="Arial" w:hAnsi="Arial" w:cs="Arial"/>
              </w:rPr>
            </w:pPr>
            <w:r>
              <w:rPr>
                <w:rFonts w:ascii="Arial" w:hAnsi="Arial" w:cs="Arial"/>
              </w:rPr>
              <w:t> </w:t>
            </w:r>
          </w:p>
        </w:tc>
        <w:tc>
          <w:tcPr>
            <w:tcW w:w="1872" w:type="dxa"/>
            <w:gridSpan w:val="2"/>
            <w:tcBorders>
              <w:top w:val="nil"/>
              <w:left w:val="nil"/>
              <w:bottom w:val="nil"/>
              <w:right w:val="nil"/>
            </w:tcBorders>
            <w:shd w:val="clear" w:color="000000" w:fill="D9D9D9"/>
            <w:noWrap/>
            <w:vAlign w:val="bottom"/>
            <w:hideMark/>
          </w:tcPr>
          <w:p w:rsidR="00E43D1B" w:rsidRDefault="00E43D1B" w:rsidP="001D3526">
            <w:pPr>
              <w:jc w:val="center"/>
              <w:rPr>
                <w:rFonts w:ascii="SWISS" w:hAnsi="SWISS" w:cs="Arial"/>
                <w:b/>
                <w:bCs/>
                <w:color w:val="000000"/>
                <w:sz w:val="20"/>
                <w:szCs w:val="20"/>
              </w:rPr>
            </w:pPr>
            <w:r>
              <w:rPr>
                <w:rFonts w:ascii="SWISS" w:hAnsi="SWISS" w:cs="Arial"/>
                <w:b/>
                <w:bCs/>
                <w:color w:val="000000"/>
                <w:sz w:val="20"/>
                <w:szCs w:val="20"/>
              </w:rPr>
              <w:t> </w:t>
            </w:r>
          </w:p>
        </w:tc>
        <w:tc>
          <w:tcPr>
            <w:tcW w:w="1580" w:type="dxa"/>
            <w:tcBorders>
              <w:top w:val="nil"/>
              <w:left w:val="nil"/>
              <w:bottom w:val="nil"/>
              <w:right w:val="single" w:sz="8" w:space="0" w:color="auto"/>
            </w:tcBorders>
            <w:shd w:val="clear" w:color="000000" w:fill="D9D9D9"/>
            <w:noWrap/>
            <w:vAlign w:val="bottom"/>
            <w:hideMark/>
          </w:tcPr>
          <w:p w:rsidR="00E43D1B" w:rsidRDefault="00E43D1B" w:rsidP="001D3526">
            <w:pPr>
              <w:jc w:val="center"/>
              <w:rPr>
                <w:rFonts w:ascii="SWISS" w:hAnsi="SWISS" w:cs="Arial"/>
                <w:b/>
                <w:bCs/>
                <w:sz w:val="20"/>
                <w:szCs w:val="20"/>
              </w:rPr>
            </w:pPr>
            <w:r>
              <w:rPr>
                <w:rFonts w:ascii="SWISS" w:hAnsi="SWISS" w:cs="Arial"/>
                <w:b/>
                <w:bCs/>
                <w:sz w:val="20"/>
                <w:szCs w:val="20"/>
              </w:rPr>
              <w:t> </w:t>
            </w:r>
          </w:p>
        </w:tc>
      </w:tr>
      <w:tr w:rsidR="00E43D1B" w:rsidTr="001D3526">
        <w:trPr>
          <w:trHeight w:val="300"/>
        </w:trPr>
        <w:tc>
          <w:tcPr>
            <w:tcW w:w="380" w:type="dxa"/>
            <w:tcBorders>
              <w:top w:val="nil"/>
              <w:left w:val="single" w:sz="8" w:space="0" w:color="000000"/>
              <w:bottom w:val="nil"/>
              <w:right w:val="nil"/>
            </w:tcBorders>
            <w:shd w:val="clear" w:color="000000" w:fill="D9D9D9"/>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000000" w:fill="D9D9D9"/>
            <w:noWrap/>
            <w:vAlign w:val="bottom"/>
            <w:hideMark/>
          </w:tcPr>
          <w:p w:rsidR="00E43D1B" w:rsidRDefault="00E43D1B" w:rsidP="001D3526">
            <w:pPr>
              <w:rPr>
                <w:rFonts w:ascii="SWISS" w:hAnsi="SWISS" w:cs="Arial"/>
                <w:b/>
                <w:bCs/>
                <w:sz w:val="20"/>
                <w:szCs w:val="20"/>
              </w:rPr>
            </w:pPr>
            <w:r>
              <w:rPr>
                <w:rFonts w:ascii="SWISS" w:hAnsi="SWISS" w:cs="Arial"/>
                <w:b/>
                <w:bCs/>
                <w:sz w:val="20"/>
                <w:szCs w:val="20"/>
              </w:rPr>
              <w:t> </w:t>
            </w:r>
          </w:p>
        </w:tc>
        <w:tc>
          <w:tcPr>
            <w:tcW w:w="1540" w:type="dxa"/>
            <w:tcBorders>
              <w:top w:val="nil"/>
              <w:left w:val="nil"/>
              <w:bottom w:val="nil"/>
              <w:right w:val="nil"/>
            </w:tcBorders>
            <w:shd w:val="clear" w:color="000000" w:fill="D9D9D9"/>
            <w:noWrap/>
            <w:vAlign w:val="bottom"/>
            <w:hideMark/>
          </w:tcPr>
          <w:p w:rsidR="00E43D1B" w:rsidRDefault="00E43D1B" w:rsidP="001D3526">
            <w:pPr>
              <w:jc w:val="center"/>
              <w:rPr>
                <w:rFonts w:ascii="SWISS" w:hAnsi="SWISS" w:cs="Arial"/>
                <w:b/>
                <w:bCs/>
                <w:color w:val="000000"/>
                <w:sz w:val="20"/>
                <w:szCs w:val="20"/>
              </w:rPr>
            </w:pPr>
            <w:r>
              <w:rPr>
                <w:rFonts w:ascii="SWISS" w:hAnsi="SWISS" w:cs="Arial"/>
                <w:b/>
                <w:bCs/>
                <w:color w:val="000000"/>
                <w:sz w:val="20"/>
                <w:szCs w:val="20"/>
              </w:rPr>
              <w:t>UTILITY</w:t>
            </w:r>
          </w:p>
        </w:tc>
        <w:tc>
          <w:tcPr>
            <w:tcW w:w="1872" w:type="dxa"/>
            <w:gridSpan w:val="2"/>
            <w:tcBorders>
              <w:top w:val="nil"/>
              <w:left w:val="nil"/>
              <w:bottom w:val="nil"/>
              <w:right w:val="nil"/>
            </w:tcBorders>
            <w:shd w:val="clear" w:color="000000" w:fill="D9D9D9"/>
            <w:noWrap/>
            <w:vAlign w:val="bottom"/>
            <w:hideMark/>
          </w:tcPr>
          <w:p w:rsidR="00E43D1B" w:rsidRDefault="00E43D1B" w:rsidP="001D3526">
            <w:pPr>
              <w:jc w:val="center"/>
              <w:rPr>
                <w:rFonts w:ascii="SWISS" w:hAnsi="SWISS" w:cs="Arial"/>
                <w:b/>
                <w:bCs/>
                <w:color w:val="000000"/>
                <w:sz w:val="20"/>
                <w:szCs w:val="20"/>
              </w:rPr>
            </w:pPr>
            <w:r>
              <w:rPr>
                <w:rFonts w:ascii="SWISS" w:hAnsi="SWISS" w:cs="Arial"/>
                <w:b/>
                <w:bCs/>
                <w:color w:val="000000"/>
                <w:sz w:val="20"/>
                <w:szCs w:val="20"/>
              </w:rPr>
              <w:t>STAFF</w:t>
            </w:r>
          </w:p>
        </w:tc>
        <w:tc>
          <w:tcPr>
            <w:tcW w:w="1580" w:type="dxa"/>
            <w:tcBorders>
              <w:top w:val="nil"/>
              <w:left w:val="nil"/>
              <w:bottom w:val="nil"/>
              <w:right w:val="single" w:sz="8" w:space="0" w:color="auto"/>
            </w:tcBorders>
            <w:shd w:val="clear" w:color="000000" w:fill="D9D9D9"/>
            <w:noWrap/>
            <w:vAlign w:val="bottom"/>
            <w:hideMark/>
          </w:tcPr>
          <w:p w:rsidR="00E43D1B" w:rsidRDefault="00E43D1B" w:rsidP="001D3526">
            <w:pPr>
              <w:jc w:val="center"/>
              <w:rPr>
                <w:rFonts w:ascii="SWISS" w:hAnsi="SWISS" w:cs="Arial"/>
                <w:b/>
                <w:bCs/>
                <w:sz w:val="20"/>
                <w:szCs w:val="20"/>
              </w:rPr>
            </w:pPr>
            <w:r>
              <w:rPr>
                <w:rFonts w:ascii="SWISS" w:hAnsi="SWISS" w:cs="Arial"/>
                <w:b/>
                <w:bCs/>
                <w:sz w:val="20"/>
                <w:szCs w:val="20"/>
              </w:rPr>
              <w:t>4 YEAR</w:t>
            </w:r>
          </w:p>
        </w:tc>
      </w:tr>
      <w:tr w:rsidR="00E43D1B" w:rsidTr="001D3526">
        <w:trPr>
          <w:trHeight w:val="300"/>
        </w:trPr>
        <w:tc>
          <w:tcPr>
            <w:tcW w:w="380" w:type="dxa"/>
            <w:tcBorders>
              <w:top w:val="nil"/>
              <w:left w:val="single" w:sz="8" w:space="0" w:color="000000"/>
              <w:bottom w:val="nil"/>
              <w:right w:val="nil"/>
            </w:tcBorders>
            <w:shd w:val="clear" w:color="000000" w:fill="D9D9D9"/>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000000" w:fill="D9D9D9"/>
            <w:noWrap/>
            <w:vAlign w:val="bottom"/>
            <w:hideMark/>
          </w:tcPr>
          <w:p w:rsidR="00E43D1B" w:rsidRDefault="00E43D1B" w:rsidP="001D3526">
            <w:pPr>
              <w:rPr>
                <w:rFonts w:ascii="SWISS" w:hAnsi="SWISS" w:cs="Arial"/>
                <w:b/>
                <w:bCs/>
                <w:sz w:val="20"/>
                <w:szCs w:val="20"/>
                <w:u w:val="single"/>
              </w:rPr>
            </w:pPr>
          </w:p>
        </w:tc>
        <w:tc>
          <w:tcPr>
            <w:tcW w:w="1540" w:type="dxa"/>
            <w:tcBorders>
              <w:top w:val="nil"/>
              <w:left w:val="nil"/>
              <w:bottom w:val="nil"/>
              <w:right w:val="nil"/>
            </w:tcBorders>
            <w:shd w:val="clear" w:color="000000" w:fill="D9D9D9"/>
            <w:noWrap/>
            <w:vAlign w:val="bottom"/>
            <w:hideMark/>
          </w:tcPr>
          <w:p w:rsidR="00E43D1B" w:rsidRDefault="00E43D1B" w:rsidP="001D3526">
            <w:pPr>
              <w:jc w:val="center"/>
              <w:rPr>
                <w:rFonts w:ascii="SWISS" w:hAnsi="SWISS" w:cs="Arial"/>
                <w:b/>
                <w:bCs/>
                <w:color w:val="000000"/>
                <w:sz w:val="20"/>
                <w:szCs w:val="20"/>
              </w:rPr>
            </w:pPr>
            <w:r>
              <w:rPr>
                <w:rFonts w:ascii="SWISS" w:hAnsi="SWISS" w:cs="Arial"/>
                <w:b/>
                <w:bCs/>
                <w:color w:val="000000"/>
                <w:sz w:val="20"/>
                <w:szCs w:val="20"/>
              </w:rPr>
              <w:t>CURRENT</w:t>
            </w:r>
          </w:p>
        </w:tc>
        <w:tc>
          <w:tcPr>
            <w:tcW w:w="1872" w:type="dxa"/>
            <w:gridSpan w:val="2"/>
            <w:tcBorders>
              <w:top w:val="nil"/>
              <w:left w:val="nil"/>
              <w:bottom w:val="nil"/>
              <w:right w:val="nil"/>
            </w:tcBorders>
            <w:shd w:val="clear" w:color="000000" w:fill="D9D9D9"/>
            <w:noWrap/>
            <w:vAlign w:val="bottom"/>
            <w:hideMark/>
          </w:tcPr>
          <w:p w:rsidR="00E43D1B" w:rsidRDefault="00E43D1B" w:rsidP="001D3526">
            <w:pPr>
              <w:jc w:val="center"/>
              <w:rPr>
                <w:rFonts w:ascii="SWISS" w:hAnsi="SWISS" w:cs="Arial"/>
                <w:b/>
                <w:bCs/>
                <w:color w:val="000000"/>
                <w:sz w:val="20"/>
                <w:szCs w:val="20"/>
              </w:rPr>
            </w:pPr>
            <w:r>
              <w:rPr>
                <w:rFonts w:ascii="SWISS" w:hAnsi="SWISS" w:cs="Arial"/>
                <w:b/>
                <w:bCs/>
                <w:color w:val="000000"/>
                <w:sz w:val="20"/>
                <w:szCs w:val="20"/>
              </w:rPr>
              <w:t>RECOMMENDED</w:t>
            </w:r>
          </w:p>
        </w:tc>
        <w:tc>
          <w:tcPr>
            <w:tcW w:w="1580" w:type="dxa"/>
            <w:tcBorders>
              <w:top w:val="nil"/>
              <w:left w:val="nil"/>
              <w:bottom w:val="nil"/>
              <w:right w:val="single" w:sz="8" w:space="0" w:color="auto"/>
            </w:tcBorders>
            <w:shd w:val="clear" w:color="000000" w:fill="D9D9D9"/>
            <w:noWrap/>
            <w:vAlign w:val="bottom"/>
            <w:hideMark/>
          </w:tcPr>
          <w:p w:rsidR="00E43D1B" w:rsidRDefault="00E43D1B" w:rsidP="001D3526">
            <w:pPr>
              <w:jc w:val="center"/>
              <w:rPr>
                <w:rFonts w:ascii="SWISS" w:hAnsi="SWISS" w:cs="Arial"/>
                <w:b/>
                <w:bCs/>
                <w:sz w:val="20"/>
                <w:szCs w:val="20"/>
              </w:rPr>
            </w:pPr>
            <w:r>
              <w:rPr>
                <w:rFonts w:ascii="SWISS" w:hAnsi="SWISS" w:cs="Arial"/>
                <w:b/>
                <w:bCs/>
                <w:sz w:val="20"/>
                <w:szCs w:val="20"/>
              </w:rPr>
              <w:t>RATE</w:t>
            </w:r>
          </w:p>
        </w:tc>
      </w:tr>
      <w:tr w:rsidR="00E43D1B" w:rsidTr="001D3526">
        <w:trPr>
          <w:trHeight w:val="315"/>
        </w:trPr>
        <w:tc>
          <w:tcPr>
            <w:tcW w:w="380" w:type="dxa"/>
            <w:tcBorders>
              <w:top w:val="nil"/>
              <w:left w:val="single" w:sz="8" w:space="0" w:color="000000"/>
              <w:bottom w:val="single" w:sz="8" w:space="0" w:color="000000"/>
              <w:right w:val="nil"/>
            </w:tcBorders>
            <w:shd w:val="clear" w:color="000000" w:fill="D9D9D9"/>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single" w:sz="8" w:space="0" w:color="000000"/>
              <w:right w:val="nil"/>
            </w:tcBorders>
            <w:shd w:val="clear" w:color="000000" w:fill="D9D9D9"/>
            <w:noWrap/>
            <w:vAlign w:val="bottom"/>
            <w:hideMark/>
          </w:tcPr>
          <w:p w:rsidR="00E43D1B" w:rsidRDefault="00E43D1B" w:rsidP="001D3526">
            <w:pPr>
              <w:rPr>
                <w:rFonts w:ascii="SWISS" w:hAnsi="SWISS" w:cs="Arial"/>
                <w:b/>
                <w:bCs/>
                <w:sz w:val="20"/>
                <w:szCs w:val="20"/>
                <w:u w:val="single"/>
              </w:rPr>
            </w:pPr>
          </w:p>
        </w:tc>
        <w:tc>
          <w:tcPr>
            <w:tcW w:w="1540" w:type="dxa"/>
            <w:tcBorders>
              <w:top w:val="nil"/>
              <w:left w:val="nil"/>
              <w:bottom w:val="single" w:sz="8" w:space="0" w:color="000000"/>
              <w:right w:val="nil"/>
            </w:tcBorders>
            <w:shd w:val="clear" w:color="000000" w:fill="D9D9D9"/>
            <w:noWrap/>
            <w:vAlign w:val="bottom"/>
            <w:hideMark/>
          </w:tcPr>
          <w:p w:rsidR="00E43D1B" w:rsidRDefault="00E43D1B" w:rsidP="001D3526">
            <w:pPr>
              <w:jc w:val="center"/>
              <w:rPr>
                <w:rFonts w:ascii="SWISS" w:hAnsi="SWISS" w:cs="Arial"/>
                <w:b/>
                <w:bCs/>
                <w:color w:val="000000"/>
                <w:sz w:val="20"/>
                <w:szCs w:val="20"/>
              </w:rPr>
            </w:pPr>
            <w:r>
              <w:rPr>
                <w:rFonts w:ascii="SWISS" w:hAnsi="SWISS" w:cs="Arial"/>
                <w:b/>
                <w:bCs/>
                <w:color w:val="000000"/>
                <w:sz w:val="20"/>
                <w:szCs w:val="20"/>
              </w:rPr>
              <w:t>RATES</w:t>
            </w:r>
          </w:p>
        </w:tc>
        <w:tc>
          <w:tcPr>
            <w:tcW w:w="1872" w:type="dxa"/>
            <w:gridSpan w:val="2"/>
            <w:tcBorders>
              <w:top w:val="nil"/>
              <w:left w:val="nil"/>
              <w:bottom w:val="single" w:sz="8" w:space="0" w:color="000000"/>
              <w:right w:val="nil"/>
            </w:tcBorders>
            <w:shd w:val="clear" w:color="000000" w:fill="D9D9D9"/>
            <w:noWrap/>
            <w:vAlign w:val="bottom"/>
            <w:hideMark/>
          </w:tcPr>
          <w:p w:rsidR="00E43D1B" w:rsidRDefault="00E43D1B" w:rsidP="001D3526">
            <w:pPr>
              <w:jc w:val="center"/>
              <w:rPr>
                <w:rFonts w:ascii="SWISS" w:hAnsi="SWISS" w:cs="Arial"/>
                <w:b/>
                <w:bCs/>
                <w:color w:val="000000"/>
                <w:sz w:val="20"/>
                <w:szCs w:val="20"/>
              </w:rPr>
            </w:pPr>
            <w:r>
              <w:rPr>
                <w:rFonts w:ascii="SWISS" w:hAnsi="SWISS" w:cs="Arial"/>
                <w:b/>
                <w:bCs/>
                <w:color w:val="000000"/>
                <w:sz w:val="20"/>
                <w:szCs w:val="20"/>
              </w:rPr>
              <w:t>RATES</w:t>
            </w:r>
          </w:p>
        </w:tc>
        <w:tc>
          <w:tcPr>
            <w:tcW w:w="1580" w:type="dxa"/>
            <w:tcBorders>
              <w:top w:val="nil"/>
              <w:left w:val="nil"/>
              <w:bottom w:val="single" w:sz="8" w:space="0" w:color="auto"/>
              <w:right w:val="single" w:sz="8" w:space="0" w:color="auto"/>
            </w:tcBorders>
            <w:shd w:val="clear" w:color="000000" w:fill="D9D9D9"/>
            <w:noWrap/>
            <w:vAlign w:val="bottom"/>
            <w:hideMark/>
          </w:tcPr>
          <w:p w:rsidR="00E43D1B" w:rsidRDefault="00E43D1B" w:rsidP="001D3526">
            <w:pPr>
              <w:jc w:val="center"/>
              <w:rPr>
                <w:rFonts w:ascii="SWISS" w:hAnsi="SWISS" w:cs="Arial"/>
                <w:b/>
                <w:bCs/>
                <w:sz w:val="20"/>
                <w:szCs w:val="20"/>
              </w:rPr>
            </w:pPr>
            <w:r>
              <w:rPr>
                <w:rFonts w:ascii="SWISS" w:hAnsi="SWISS" w:cs="Arial"/>
                <w:b/>
                <w:bCs/>
                <w:sz w:val="20"/>
                <w:szCs w:val="20"/>
              </w:rPr>
              <w:t>REDUCTION</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b/>
                <w:bCs/>
                <w:color w:val="000000"/>
                <w:sz w:val="20"/>
                <w:szCs w:val="20"/>
                <w:u w:val="single"/>
              </w:rPr>
            </w:pPr>
            <w:r>
              <w:rPr>
                <w:rFonts w:ascii="SWISS" w:hAnsi="SWISS" w:cs="Arial"/>
                <w:b/>
                <w:bCs/>
                <w:color w:val="000000"/>
                <w:sz w:val="20"/>
                <w:szCs w:val="20"/>
                <w:u w:val="single"/>
              </w:rPr>
              <w:t>Residential and  General Service</w:t>
            </w:r>
          </w:p>
        </w:tc>
        <w:tc>
          <w:tcPr>
            <w:tcW w:w="1540" w:type="dxa"/>
            <w:tcBorders>
              <w:top w:val="nil"/>
              <w:left w:val="nil"/>
              <w:bottom w:val="nil"/>
              <w:right w:val="nil"/>
            </w:tcBorders>
            <w:shd w:val="clear" w:color="auto" w:fill="auto"/>
            <w:noWrap/>
            <w:vAlign w:val="bottom"/>
            <w:hideMark/>
          </w:tcPr>
          <w:p w:rsidR="00E43D1B" w:rsidRDefault="00E43D1B" w:rsidP="001D3526">
            <w:pPr>
              <w:jc w:val="center"/>
              <w:rPr>
                <w:rFonts w:ascii="SWISS" w:hAnsi="SWISS" w:cs="Arial"/>
                <w:b/>
                <w:bCs/>
                <w:color w:val="000000"/>
                <w:sz w:val="20"/>
                <w:szCs w:val="20"/>
              </w:rPr>
            </w:pPr>
          </w:p>
        </w:tc>
        <w:tc>
          <w:tcPr>
            <w:tcW w:w="1872" w:type="dxa"/>
            <w:gridSpan w:val="2"/>
            <w:tcBorders>
              <w:top w:val="nil"/>
              <w:left w:val="nil"/>
              <w:bottom w:val="nil"/>
              <w:right w:val="nil"/>
            </w:tcBorders>
            <w:shd w:val="clear" w:color="auto" w:fill="auto"/>
            <w:noWrap/>
            <w:vAlign w:val="bottom"/>
            <w:hideMark/>
          </w:tcPr>
          <w:p w:rsidR="00E43D1B" w:rsidRDefault="00E43D1B" w:rsidP="001D3526">
            <w:pPr>
              <w:jc w:val="center"/>
              <w:rPr>
                <w:rFonts w:ascii="SWISS" w:hAnsi="SWISS" w:cs="Arial"/>
                <w:b/>
                <w:bCs/>
                <w:color w:val="000000"/>
                <w:sz w:val="20"/>
                <w:szCs w:val="20"/>
              </w:rPr>
            </w:pPr>
            <w:r>
              <w:rPr>
                <w:rFonts w:ascii="SWISS" w:hAnsi="SWISS" w:cs="Arial"/>
                <w:b/>
                <w:bCs/>
                <w:color w:val="000000"/>
                <w:sz w:val="20"/>
                <w:szCs w:val="20"/>
              </w:rPr>
              <w:t> </w:t>
            </w: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rPr>
                <w:rFonts w:ascii="SWISS" w:hAnsi="SWISS" w:cs="Arial"/>
              </w:rPr>
            </w:pPr>
            <w:r>
              <w:rPr>
                <w:rFonts w:ascii="SWISS" w:hAnsi="SWISS" w:cs="Arial"/>
              </w:rPr>
              <w:t> </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color w:val="000000"/>
                <w:sz w:val="20"/>
                <w:szCs w:val="20"/>
              </w:rPr>
            </w:pPr>
            <w:r>
              <w:rPr>
                <w:rFonts w:ascii="SWISS" w:hAnsi="SWISS" w:cs="Arial"/>
                <w:color w:val="000000"/>
                <w:sz w:val="20"/>
                <w:szCs w:val="20"/>
              </w:rPr>
              <w:t>Base Facility Charge all Meter Sizes</w:t>
            </w:r>
          </w:p>
        </w:tc>
        <w:tc>
          <w:tcPr>
            <w:tcW w:w="1540" w:type="dxa"/>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$9.00</w:t>
            </w:r>
          </w:p>
        </w:tc>
        <w:tc>
          <w:tcPr>
            <w:tcW w:w="1872" w:type="dxa"/>
            <w:gridSpan w:val="2"/>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N/A</w:t>
            </w: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jc w:val="right"/>
              <w:rPr>
                <w:rFonts w:ascii="SWISS" w:hAnsi="SWISS" w:cs="Arial"/>
                <w:sz w:val="20"/>
                <w:szCs w:val="20"/>
              </w:rPr>
            </w:pPr>
            <w:r>
              <w:rPr>
                <w:rFonts w:ascii="SWISS" w:hAnsi="SWISS" w:cs="Arial"/>
                <w:sz w:val="20"/>
                <w:szCs w:val="20"/>
              </w:rPr>
              <w:t> N/A</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color w:val="000000"/>
                <w:sz w:val="20"/>
                <w:szCs w:val="20"/>
              </w:rPr>
            </w:pPr>
            <w:r>
              <w:rPr>
                <w:rFonts w:ascii="SWISS" w:hAnsi="SWISS" w:cs="Arial"/>
                <w:color w:val="000000"/>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p>
        </w:tc>
        <w:tc>
          <w:tcPr>
            <w:tcW w:w="1872" w:type="dxa"/>
            <w:gridSpan w:val="2"/>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color w:val="000000"/>
                <w:sz w:val="20"/>
                <w:szCs w:val="20"/>
              </w:rPr>
            </w:pPr>
            <w:r>
              <w:rPr>
                <w:rFonts w:ascii="SWISS" w:hAnsi="SWISS" w:cs="Arial"/>
                <w:color w:val="000000"/>
                <w:sz w:val="20"/>
                <w:szCs w:val="20"/>
              </w:rPr>
              <w:t>5/8"x3/4"</w:t>
            </w:r>
          </w:p>
        </w:tc>
        <w:tc>
          <w:tcPr>
            <w:tcW w:w="1540" w:type="dxa"/>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$11.92</w:t>
            </w: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jc w:val="right"/>
              <w:rPr>
                <w:rFonts w:ascii="SWISS" w:hAnsi="SWISS" w:cs="Arial"/>
                <w:sz w:val="20"/>
                <w:szCs w:val="20"/>
              </w:rPr>
            </w:pPr>
            <w:r>
              <w:rPr>
                <w:rFonts w:ascii="SWISS" w:hAnsi="SWISS" w:cs="Arial"/>
                <w:sz w:val="20"/>
                <w:szCs w:val="20"/>
              </w:rPr>
              <w:t>$0.04</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color w:val="000000"/>
                <w:sz w:val="20"/>
                <w:szCs w:val="20"/>
              </w:rPr>
            </w:pPr>
            <w:r>
              <w:rPr>
                <w:rFonts w:ascii="SWISS" w:hAnsi="SWISS" w:cs="Arial"/>
                <w:color w:val="000000"/>
                <w:sz w:val="20"/>
                <w:szCs w:val="20"/>
              </w:rPr>
              <w:t>3/4"</w:t>
            </w:r>
          </w:p>
        </w:tc>
        <w:tc>
          <w:tcPr>
            <w:tcW w:w="1540" w:type="dxa"/>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$17.88</w:t>
            </w: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jc w:val="right"/>
              <w:rPr>
                <w:rFonts w:ascii="SWISS" w:hAnsi="SWISS" w:cs="Arial"/>
                <w:sz w:val="20"/>
                <w:szCs w:val="20"/>
              </w:rPr>
            </w:pPr>
            <w:r>
              <w:rPr>
                <w:rFonts w:ascii="SWISS" w:hAnsi="SWISS" w:cs="Arial"/>
                <w:sz w:val="20"/>
                <w:szCs w:val="20"/>
              </w:rPr>
              <w:t>$0.06</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color w:val="000000"/>
                <w:sz w:val="20"/>
                <w:szCs w:val="20"/>
              </w:rPr>
            </w:pPr>
            <w:r>
              <w:rPr>
                <w:rFonts w:ascii="SWISS" w:hAnsi="SWISS" w:cs="Arial"/>
                <w:color w:val="000000"/>
                <w:sz w:val="20"/>
                <w:szCs w:val="20"/>
              </w:rPr>
              <w:t>1"</w:t>
            </w:r>
          </w:p>
        </w:tc>
        <w:tc>
          <w:tcPr>
            <w:tcW w:w="1540" w:type="dxa"/>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$29.80</w:t>
            </w: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jc w:val="right"/>
              <w:rPr>
                <w:rFonts w:ascii="SWISS" w:hAnsi="SWISS" w:cs="Arial"/>
                <w:sz w:val="20"/>
                <w:szCs w:val="20"/>
              </w:rPr>
            </w:pPr>
            <w:r>
              <w:rPr>
                <w:rFonts w:ascii="SWISS" w:hAnsi="SWISS" w:cs="Arial"/>
                <w:sz w:val="20"/>
                <w:szCs w:val="20"/>
              </w:rPr>
              <w:t>$0.10</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color w:val="000000"/>
                <w:sz w:val="20"/>
                <w:szCs w:val="20"/>
              </w:rPr>
            </w:pPr>
            <w:r>
              <w:rPr>
                <w:rFonts w:ascii="SWISS" w:hAnsi="SWISS" w:cs="Arial"/>
                <w:color w:val="000000"/>
                <w:sz w:val="20"/>
                <w:szCs w:val="20"/>
              </w:rPr>
              <w:t>1-1/2"</w:t>
            </w:r>
          </w:p>
        </w:tc>
        <w:tc>
          <w:tcPr>
            <w:tcW w:w="1540" w:type="dxa"/>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$59.60</w:t>
            </w: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jc w:val="right"/>
              <w:rPr>
                <w:rFonts w:ascii="SWISS" w:hAnsi="SWISS" w:cs="Arial"/>
                <w:sz w:val="20"/>
                <w:szCs w:val="20"/>
              </w:rPr>
            </w:pPr>
            <w:r>
              <w:rPr>
                <w:rFonts w:ascii="SWISS" w:hAnsi="SWISS" w:cs="Arial"/>
                <w:sz w:val="20"/>
                <w:szCs w:val="20"/>
              </w:rPr>
              <w:t>$0.20</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color w:val="000000"/>
                <w:sz w:val="20"/>
                <w:szCs w:val="20"/>
              </w:rPr>
            </w:pPr>
            <w:r>
              <w:rPr>
                <w:rFonts w:ascii="SWISS" w:hAnsi="SWISS" w:cs="Arial"/>
                <w:color w:val="000000"/>
                <w:sz w:val="20"/>
                <w:szCs w:val="20"/>
              </w:rPr>
              <w:t>2"</w:t>
            </w:r>
          </w:p>
        </w:tc>
        <w:tc>
          <w:tcPr>
            <w:tcW w:w="1540" w:type="dxa"/>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$95.36</w:t>
            </w: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jc w:val="right"/>
              <w:rPr>
                <w:rFonts w:ascii="SWISS" w:hAnsi="SWISS" w:cs="Arial"/>
                <w:sz w:val="20"/>
                <w:szCs w:val="20"/>
              </w:rPr>
            </w:pPr>
            <w:r>
              <w:rPr>
                <w:rFonts w:ascii="SWISS" w:hAnsi="SWISS" w:cs="Arial"/>
                <w:sz w:val="20"/>
                <w:szCs w:val="20"/>
              </w:rPr>
              <w:t>$0.33</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color w:val="000000"/>
                <w:sz w:val="20"/>
                <w:szCs w:val="20"/>
              </w:rPr>
            </w:pPr>
            <w:r>
              <w:rPr>
                <w:rFonts w:ascii="SWISS" w:hAnsi="SWISS" w:cs="Arial"/>
                <w:color w:val="000000"/>
                <w:sz w:val="20"/>
                <w:szCs w:val="20"/>
              </w:rPr>
              <w:t>3"</w:t>
            </w:r>
          </w:p>
        </w:tc>
        <w:tc>
          <w:tcPr>
            <w:tcW w:w="1540" w:type="dxa"/>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$190.72</w:t>
            </w: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jc w:val="right"/>
              <w:rPr>
                <w:rFonts w:ascii="SWISS" w:hAnsi="SWISS" w:cs="Arial"/>
                <w:sz w:val="20"/>
                <w:szCs w:val="20"/>
              </w:rPr>
            </w:pPr>
            <w:r>
              <w:rPr>
                <w:rFonts w:ascii="SWISS" w:hAnsi="SWISS" w:cs="Arial"/>
                <w:sz w:val="20"/>
                <w:szCs w:val="20"/>
              </w:rPr>
              <w:t>$0.66</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color w:val="000000"/>
                <w:sz w:val="20"/>
                <w:szCs w:val="20"/>
              </w:rPr>
            </w:pPr>
            <w:r>
              <w:rPr>
                <w:rFonts w:ascii="SWISS" w:hAnsi="SWISS" w:cs="Arial"/>
                <w:color w:val="000000"/>
                <w:sz w:val="20"/>
                <w:szCs w:val="20"/>
              </w:rPr>
              <w:t>4"</w:t>
            </w:r>
          </w:p>
        </w:tc>
        <w:tc>
          <w:tcPr>
            <w:tcW w:w="1540" w:type="dxa"/>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$298.00</w:t>
            </w: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jc w:val="right"/>
              <w:rPr>
                <w:rFonts w:ascii="SWISS" w:hAnsi="SWISS" w:cs="Arial"/>
                <w:sz w:val="20"/>
                <w:szCs w:val="20"/>
              </w:rPr>
            </w:pPr>
            <w:r>
              <w:rPr>
                <w:rFonts w:ascii="SWISS" w:hAnsi="SWISS" w:cs="Arial"/>
                <w:sz w:val="20"/>
                <w:szCs w:val="20"/>
              </w:rPr>
              <w:t>$1.03</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color w:val="000000"/>
                <w:sz w:val="20"/>
                <w:szCs w:val="20"/>
              </w:rPr>
            </w:pPr>
            <w:r>
              <w:rPr>
                <w:rFonts w:ascii="SWISS" w:hAnsi="SWISS" w:cs="Arial"/>
                <w:color w:val="000000"/>
                <w:sz w:val="20"/>
                <w:szCs w:val="20"/>
              </w:rPr>
              <w:t>6"</w:t>
            </w:r>
          </w:p>
        </w:tc>
        <w:tc>
          <w:tcPr>
            <w:tcW w:w="1540" w:type="dxa"/>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N/A</w:t>
            </w:r>
          </w:p>
        </w:tc>
        <w:tc>
          <w:tcPr>
            <w:tcW w:w="1872" w:type="dxa"/>
            <w:gridSpan w:val="2"/>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$596.00</w:t>
            </w: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jc w:val="right"/>
              <w:rPr>
                <w:rFonts w:ascii="SWISS" w:hAnsi="SWISS" w:cs="Arial"/>
                <w:sz w:val="20"/>
                <w:szCs w:val="20"/>
              </w:rPr>
            </w:pPr>
            <w:r>
              <w:rPr>
                <w:rFonts w:ascii="SWISS" w:hAnsi="SWISS" w:cs="Arial"/>
                <w:sz w:val="20"/>
                <w:szCs w:val="20"/>
              </w:rPr>
              <w:t>$2.05</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color w:val="000000"/>
                <w:sz w:val="20"/>
                <w:szCs w:val="20"/>
              </w:rPr>
            </w:pPr>
          </w:p>
        </w:tc>
        <w:tc>
          <w:tcPr>
            <w:tcW w:w="1540" w:type="dxa"/>
            <w:tcBorders>
              <w:top w:val="nil"/>
              <w:left w:val="nil"/>
              <w:bottom w:val="nil"/>
              <w:right w:val="nil"/>
            </w:tcBorders>
            <w:shd w:val="clear" w:color="auto" w:fill="auto"/>
            <w:noWrap/>
            <w:vAlign w:val="bottom"/>
            <w:hideMark/>
          </w:tcPr>
          <w:p w:rsidR="00E43D1B" w:rsidRDefault="00E43D1B" w:rsidP="001D3526">
            <w:pPr>
              <w:rPr>
                <w:rFonts w:ascii="Arial" w:hAnsi="Arial" w:cs="Arial"/>
              </w:rPr>
            </w:pPr>
          </w:p>
        </w:tc>
        <w:tc>
          <w:tcPr>
            <w:tcW w:w="1872" w:type="dxa"/>
            <w:gridSpan w:val="2"/>
            <w:tcBorders>
              <w:top w:val="nil"/>
              <w:left w:val="nil"/>
              <w:bottom w:val="nil"/>
              <w:right w:val="nil"/>
            </w:tcBorders>
            <w:shd w:val="clear" w:color="auto" w:fill="auto"/>
            <w:noWrap/>
            <w:vAlign w:val="bottom"/>
            <w:hideMark/>
          </w:tcPr>
          <w:p w:rsidR="00E43D1B" w:rsidRDefault="00E43D1B" w:rsidP="001D3526">
            <w:pPr>
              <w:rPr>
                <w:rFonts w:ascii="Arial" w:hAnsi="Arial" w:cs="Arial"/>
              </w:rPr>
            </w:pP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rPr>
                <w:rFonts w:ascii="Arial" w:hAnsi="Arial" w:cs="Arial"/>
              </w:rPr>
            </w:pPr>
            <w:r>
              <w:rPr>
                <w:rFonts w:ascii="Arial" w:hAnsi="Arial" w:cs="Arial"/>
              </w:rPr>
              <w:t> </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Charge per 1,000 gallons</w:t>
            </w:r>
          </w:p>
        </w:tc>
        <w:tc>
          <w:tcPr>
            <w:tcW w:w="1540" w:type="dxa"/>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 xml:space="preserve">$0.045 </w:t>
            </w:r>
          </w:p>
        </w:tc>
        <w:tc>
          <w:tcPr>
            <w:tcW w:w="1872" w:type="dxa"/>
            <w:gridSpan w:val="2"/>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 xml:space="preserve">$4.36 </w:t>
            </w: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jc w:val="right"/>
              <w:rPr>
                <w:rFonts w:ascii="SWISS" w:hAnsi="SWISS" w:cs="Arial"/>
                <w:sz w:val="20"/>
                <w:szCs w:val="20"/>
              </w:rPr>
            </w:pPr>
            <w:r>
              <w:rPr>
                <w:rFonts w:ascii="SWISS" w:hAnsi="SWISS" w:cs="Arial"/>
                <w:sz w:val="20"/>
                <w:szCs w:val="20"/>
              </w:rPr>
              <w:t>$0.02</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Arial" w:hAnsi="Arial" w:cs="Arial"/>
              </w:rPr>
            </w:pPr>
          </w:p>
        </w:tc>
        <w:tc>
          <w:tcPr>
            <w:tcW w:w="1540" w:type="dxa"/>
            <w:tcBorders>
              <w:top w:val="nil"/>
              <w:left w:val="nil"/>
              <w:bottom w:val="nil"/>
              <w:right w:val="nil"/>
            </w:tcBorders>
            <w:shd w:val="clear" w:color="auto" w:fill="auto"/>
            <w:noWrap/>
            <w:vAlign w:val="bottom"/>
            <w:hideMark/>
          </w:tcPr>
          <w:p w:rsidR="00E43D1B" w:rsidRDefault="00E43D1B" w:rsidP="001D3526">
            <w:pPr>
              <w:rPr>
                <w:rFonts w:ascii="Arial" w:hAnsi="Arial" w:cs="Arial"/>
              </w:rPr>
            </w:pPr>
          </w:p>
        </w:tc>
        <w:tc>
          <w:tcPr>
            <w:tcW w:w="1872" w:type="dxa"/>
            <w:gridSpan w:val="2"/>
            <w:tcBorders>
              <w:top w:val="nil"/>
              <w:left w:val="nil"/>
              <w:bottom w:val="nil"/>
              <w:right w:val="nil"/>
            </w:tcBorders>
            <w:shd w:val="clear" w:color="auto" w:fill="auto"/>
            <w:noWrap/>
            <w:vAlign w:val="bottom"/>
            <w:hideMark/>
          </w:tcPr>
          <w:p w:rsidR="00E43D1B" w:rsidRDefault="00E43D1B" w:rsidP="001D3526">
            <w:pPr>
              <w:rPr>
                <w:rFonts w:ascii="Arial" w:hAnsi="Arial" w:cs="Arial"/>
              </w:rPr>
            </w:pP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rPr>
                <w:rFonts w:ascii="Arial" w:hAnsi="Arial" w:cs="Arial"/>
              </w:rPr>
            </w:pPr>
            <w:r>
              <w:rPr>
                <w:rFonts w:ascii="Arial" w:hAnsi="Arial" w:cs="Arial"/>
              </w:rPr>
              <w:t> </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b/>
                <w:bCs/>
                <w:color w:val="000000"/>
                <w:sz w:val="20"/>
                <w:szCs w:val="20"/>
                <w:u w:val="single"/>
              </w:rPr>
            </w:pPr>
            <w:r>
              <w:rPr>
                <w:rFonts w:ascii="SWISS" w:hAnsi="SWISS" w:cs="Arial"/>
                <w:b/>
                <w:bCs/>
                <w:color w:val="000000"/>
                <w:sz w:val="20"/>
                <w:szCs w:val="20"/>
                <w:u w:val="single"/>
              </w:rPr>
              <w:t>Typical Residential 5/8" x 3/4" Meter Bill Comparison</w:t>
            </w:r>
          </w:p>
        </w:tc>
        <w:tc>
          <w:tcPr>
            <w:tcW w:w="1540" w:type="dxa"/>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p>
        </w:tc>
        <w:tc>
          <w:tcPr>
            <w:tcW w:w="1872" w:type="dxa"/>
            <w:gridSpan w:val="2"/>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color w:val="000000"/>
                <w:sz w:val="20"/>
                <w:szCs w:val="20"/>
              </w:rPr>
            </w:pPr>
            <w:r>
              <w:rPr>
                <w:rFonts w:ascii="SWISS" w:hAnsi="SWISS" w:cs="Arial"/>
                <w:color w:val="000000"/>
                <w:sz w:val="20"/>
                <w:szCs w:val="20"/>
              </w:rPr>
              <w:t>4,000 Gallons</w:t>
            </w:r>
          </w:p>
        </w:tc>
        <w:tc>
          <w:tcPr>
            <w:tcW w:w="1540" w:type="dxa"/>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 xml:space="preserve">$9.18 </w:t>
            </w:r>
          </w:p>
        </w:tc>
        <w:tc>
          <w:tcPr>
            <w:tcW w:w="1872" w:type="dxa"/>
            <w:gridSpan w:val="2"/>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 xml:space="preserve">$29.36 </w:t>
            </w: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 </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color w:val="000000"/>
                <w:sz w:val="20"/>
                <w:szCs w:val="20"/>
              </w:rPr>
            </w:pPr>
            <w:r>
              <w:rPr>
                <w:rFonts w:ascii="SWISS" w:hAnsi="SWISS" w:cs="Arial"/>
                <w:color w:val="000000"/>
                <w:sz w:val="20"/>
                <w:szCs w:val="20"/>
              </w:rPr>
              <w:t>6,000 Gallons</w:t>
            </w:r>
          </w:p>
        </w:tc>
        <w:tc>
          <w:tcPr>
            <w:tcW w:w="1540" w:type="dxa"/>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 xml:space="preserve">$9.27 </w:t>
            </w:r>
          </w:p>
        </w:tc>
        <w:tc>
          <w:tcPr>
            <w:tcW w:w="1872" w:type="dxa"/>
            <w:gridSpan w:val="2"/>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 xml:space="preserve">$38.08 </w:t>
            </w: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 </w:t>
            </w:r>
          </w:p>
        </w:tc>
      </w:tr>
      <w:tr w:rsidR="00E43D1B" w:rsidTr="001D3526">
        <w:trPr>
          <w:trHeight w:val="300"/>
        </w:trPr>
        <w:tc>
          <w:tcPr>
            <w:tcW w:w="380" w:type="dxa"/>
            <w:tcBorders>
              <w:top w:val="nil"/>
              <w:left w:val="single" w:sz="8" w:space="0" w:color="000000"/>
              <w:bottom w:val="nil"/>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E43D1B" w:rsidRDefault="00E43D1B" w:rsidP="001D3526">
            <w:pPr>
              <w:rPr>
                <w:rFonts w:ascii="SWISS" w:hAnsi="SWISS" w:cs="Arial"/>
                <w:color w:val="000000"/>
                <w:sz w:val="20"/>
                <w:szCs w:val="20"/>
              </w:rPr>
            </w:pPr>
            <w:r>
              <w:rPr>
                <w:rFonts w:ascii="SWISS" w:hAnsi="SWISS" w:cs="Arial"/>
                <w:color w:val="000000"/>
                <w:sz w:val="20"/>
                <w:szCs w:val="20"/>
              </w:rPr>
              <w:t>10,000 Gallons</w:t>
            </w:r>
          </w:p>
        </w:tc>
        <w:tc>
          <w:tcPr>
            <w:tcW w:w="1540" w:type="dxa"/>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 xml:space="preserve">$9.45 </w:t>
            </w:r>
          </w:p>
        </w:tc>
        <w:tc>
          <w:tcPr>
            <w:tcW w:w="1872" w:type="dxa"/>
            <w:gridSpan w:val="2"/>
            <w:tcBorders>
              <w:top w:val="nil"/>
              <w:left w:val="nil"/>
              <w:bottom w:val="nil"/>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 xml:space="preserve">$55.52 </w:t>
            </w:r>
          </w:p>
        </w:tc>
        <w:tc>
          <w:tcPr>
            <w:tcW w:w="1580" w:type="dxa"/>
            <w:tcBorders>
              <w:top w:val="nil"/>
              <w:left w:val="nil"/>
              <w:bottom w:val="nil"/>
              <w:right w:val="single" w:sz="8" w:space="0" w:color="auto"/>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 </w:t>
            </w:r>
          </w:p>
        </w:tc>
      </w:tr>
      <w:tr w:rsidR="00E43D1B" w:rsidTr="001D3526">
        <w:trPr>
          <w:trHeight w:val="315"/>
        </w:trPr>
        <w:tc>
          <w:tcPr>
            <w:tcW w:w="380" w:type="dxa"/>
            <w:tcBorders>
              <w:top w:val="nil"/>
              <w:left w:val="single" w:sz="8" w:space="0" w:color="000000"/>
              <w:bottom w:val="single" w:sz="8" w:space="0" w:color="000000"/>
              <w:right w:val="nil"/>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c>
          <w:tcPr>
            <w:tcW w:w="5580" w:type="dxa"/>
            <w:tcBorders>
              <w:top w:val="nil"/>
              <w:left w:val="nil"/>
              <w:bottom w:val="single" w:sz="8" w:space="0" w:color="000000"/>
              <w:right w:val="nil"/>
            </w:tcBorders>
            <w:shd w:val="clear" w:color="auto" w:fill="auto"/>
            <w:noWrap/>
            <w:vAlign w:val="bottom"/>
            <w:hideMark/>
          </w:tcPr>
          <w:p w:rsidR="00E43D1B" w:rsidRDefault="00E43D1B" w:rsidP="001D3526">
            <w:pPr>
              <w:rPr>
                <w:rFonts w:ascii="SWISS" w:hAnsi="SWISS" w:cs="Arial"/>
                <w:color w:val="000000"/>
                <w:sz w:val="20"/>
                <w:szCs w:val="20"/>
              </w:rPr>
            </w:pPr>
            <w:r>
              <w:rPr>
                <w:rFonts w:ascii="SWISS" w:hAnsi="SWISS" w:cs="Arial"/>
                <w:color w:val="000000"/>
                <w:sz w:val="20"/>
                <w:szCs w:val="20"/>
              </w:rPr>
              <w:t> </w:t>
            </w:r>
          </w:p>
        </w:tc>
        <w:tc>
          <w:tcPr>
            <w:tcW w:w="1540" w:type="dxa"/>
            <w:tcBorders>
              <w:top w:val="nil"/>
              <w:left w:val="nil"/>
              <w:bottom w:val="single" w:sz="8" w:space="0" w:color="000000"/>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 </w:t>
            </w:r>
          </w:p>
        </w:tc>
        <w:tc>
          <w:tcPr>
            <w:tcW w:w="1872" w:type="dxa"/>
            <w:gridSpan w:val="2"/>
            <w:tcBorders>
              <w:top w:val="nil"/>
              <w:left w:val="nil"/>
              <w:bottom w:val="single" w:sz="8" w:space="0" w:color="000000"/>
              <w:right w:val="nil"/>
            </w:tcBorders>
            <w:shd w:val="clear" w:color="auto" w:fill="auto"/>
            <w:noWrap/>
            <w:vAlign w:val="bottom"/>
            <w:hideMark/>
          </w:tcPr>
          <w:p w:rsidR="00E43D1B" w:rsidRDefault="00E43D1B" w:rsidP="001D3526">
            <w:pPr>
              <w:jc w:val="right"/>
              <w:rPr>
                <w:rFonts w:ascii="SWISS" w:hAnsi="SWISS" w:cs="Arial"/>
                <w:color w:val="000000"/>
                <w:sz w:val="20"/>
                <w:szCs w:val="20"/>
              </w:rPr>
            </w:pPr>
            <w:r>
              <w:rPr>
                <w:rFonts w:ascii="SWISS" w:hAnsi="SWISS" w:cs="Arial"/>
                <w:color w:val="000000"/>
                <w:sz w:val="20"/>
                <w:szCs w:val="20"/>
              </w:rPr>
              <w:t> </w:t>
            </w:r>
          </w:p>
        </w:tc>
        <w:tc>
          <w:tcPr>
            <w:tcW w:w="1580" w:type="dxa"/>
            <w:tcBorders>
              <w:top w:val="nil"/>
              <w:left w:val="nil"/>
              <w:bottom w:val="single" w:sz="8" w:space="0" w:color="000000"/>
              <w:right w:val="single" w:sz="8" w:space="0" w:color="auto"/>
            </w:tcBorders>
            <w:shd w:val="clear" w:color="auto" w:fill="auto"/>
            <w:noWrap/>
            <w:vAlign w:val="bottom"/>
            <w:hideMark/>
          </w:tcPr>
          <w:p w:rsidR="00E43D1B" w:rsidRDefault="00E43D1B" w:rsidP="001D3526">
            <w:pPr>
              <w:rPr>
                <w:rFonts w:ascii="SWISS" w:hAnsi="SWISS" w:cs="Arial"/>
                <w:sz w:val="20"/>
                <w:szCs w:val="20"/>
              </w:rPr>
            </w:pPr>
            <w:r>
              <w:rPr>
                <w:rFonts w:ascii="SWISS" w:hAnsi="SWISS" w:cs="Arial"/>
                <w:sz w:val="20"/>
                <w:szCs w:val="20"/>
              </w:rPr>
              <w:t> </w:t>
            </w:r>
          </w:p>
        </w:tc>
      </w:tr>
    </w:tbl>
    <w:p w:rsidR="0074035A" w:rsidRDefault="0074035A" w:rsidP="0074035A">
      <w:pPr>
        <w:pStyle w:val="BodyText"/>
        <w:sectPr w:rsidR="0074035A" w:rsidSect="0068481F">
          <w:headerReference w:type="default" r:id="rId25"/>
          <w:pgSz w:w="12240" w:h="15840" w:code="1"/>
          <w:pgMar w:top="1584" w:right="1440" w:bottom="1440" w:left="1440" w:header="720" w:footer="720" w:gutter="0"/>
          <w:cols w:space="720"/>
          <w:formProt w:val="0"/>
          <w:docGrid w:linePitch="360"/>
        </w:sectPr>
      </w:pPr>
    </w:p>
    <w:p w:rsidR="0074035A" w:rsidRDefault="0074035A" w:rsidP="0074035A">
      <w:pPr>
        <w:pStyle w:val="BodyText"/>
      </w:pPr>
      <w:r w:rsidRPr="000D060F">
        <w:lastRenderedPageBreak/>
        <w:fldChar w:fldCharType="begin"/>
      </w:r>
      <w:r w:rsidRPr="000D060F">
        <w:instrText xml:space="preserve"> TC "</w:instrText>
      </w:r>
      <w:bookmarkStart w:id="50" w:name="_Toc431459599"/>
      <w:r w:rsidRPr="000D060F">
        <w:tab/>
      </w:r>
      <w:r>
        <w:instrText>Attachment A</w:instrText>
      </w:r>
      <w:bookmarkEnd w:id="50"/>
      <w:r w:rsidRPr="000D060F">
        <w:instrText xml:space="preserve">" \l 1 </w:instrText>
      </w:r>
      <w:r w:rsidRPr="000D060F">
        <w:fldChar w:fldCharType="end"/>
      </w:r>
    </w:p>
    <w:tbl>
      <w:tblPr>
        <w:tblW w:w="9000" w:type="dxa"/>
        <w:tblInd w:w="93" w:type="dxa"/>
        <w:tblLook w:val="04A0" w:firstRow="1" w:lastRow="0" w:firstColumn="1" w:lastColumn="0" w:noHBand="0" w:noVBand="1"/>
      </w:tblPr>
      <w:tblGrid>
        <w:gridCol w:w="1221"/>
        <w:gridCol w:w="3919"/>
        <w:gridCol w:w="185"/>
        <w:gridCol w:w="1235"/>
        <w:gridCol w:w="480"/>
        <w:gridCol w:w="1960"/>
      </w:tblGrid>
      <w:tr w:rsidR="0074035A" w:rsidTr="0074035A">
        <w:trPr>
          <w:trHeight w:val="315"/>
        </w:trPr>
        <w:tc>
          <w:tcPr>
            <w:tcW w:w="5140" w:type="dxa"/>
            <w:gridSpan w:val="2"/>
            <w:tcBorders>
              <w:top w:val="single" w:sz="4" w:space="0" w:color="auto"/>
              <w:left w:val="single" w:sz="4" w:space="0" w:color="auto"/>
              <w:bottom w:val="nil"/>
              <w:right w:val="nil"/>
            </w:tcBorders>
            <w:shd w:val="clear" w:color="auto" w:fill="auto"/>
            <w:noWrap/>
            <w:vAlign w:val="bottom"/>
            <w:hideMark/>
          </w:tcPr>
          <w:p w:rsidR="0074035A" w:rsidRPr="00A20CCB" w:rsidRDefault="0074035A">
            <w:pPr>
              <w:rPr>
                <w:rFonts w:ascii="Arial" w:hAnsi="Arial" w:cs="Arial"/>
                <w:b/>
                <w:bCs/>
              </w:rPr>
            </w:pPr>
            <w:r w:rsidRPr="00A20CCB">
              <w:rPr>
                <w:rFonts w:ascii="Arial" w:hAnsi="Arial" w:cs="Arial"/>
                <w:b/>
                <w:bCs/>
              </w:rPr>
              <w:t>Cedar Acres, Inc.</w:t>
            </w:r>
          </w:p>
        </w:tc>
        <w:tc>
          <w:tcPr>
            <w:tcW w:w="1420" w:type="dxa"/>
            <w:gridSpan w:val="2"/>
            <w:tcBorders>
              <w:top w:val="single" w:sz="4" w:space="0" w:color="auto"/>
              <w:left w:val="nil"/>
              <w:bottom w:val="nil"/>
              <w:right w:val="nil"/>
            </w:tcBorders>
            <w:shd w:val="clear" w:color="auto" w:fill="auto"/>
            <w:noWrap/>
            <w:vAlign w:val="bottom"/>
            <w:hideMark/>
          </w:tcPr>
          <w:p w:rsidR="0074035A" w:rsidRDefault="0074035A">
            <w:pPr>
              <w:rPr>
                <w:rFonts w:ascii="Arial" w:hAnsi="Arial" w:cs="Arial"/>
                <w:b/>
                <w:bCs/>
              </w:rPr>
            </w:pPr>
            <w:r>
              <w:rPr>
                <w:rFonts w:ascii="Arial" w:hAnsi="Arial" w:cs="Arial"/>
                <w:b/>
                <w:bCs/>
              </w:rPr>
              <w:t> </w:t>
            </w:r>
          </w:p>
        </w:tc>
        <w:tc>
          <w:tcPr>
            <w:tcW w:w="480" w:type="dxa"/>
            <w:tcBorders>
              <w:top w:val="single" w:sz="4" w:space="0" w:color="auto"/>
              <w:left w:val="nil"/>
              <w:bottom w:val="nil"/>
              <w:right w:val="nil"/>
            </w:tcBorders>
            <w:shd w:val="clear" w:color="auto" w:fill="auto"/>
            <w:noWrap/>
            <w:vAlign w:val="bottom"/>
            <w:hideMark/>
          </w:tcPr>
          <w:p w:rsidR="0074035A" w:rsidRDefault="0074035A">
            <w:pPr>
              <w:rPr>
                <w:rFonts w:ascii="Arial" w:hAnsi="Arial" w:cs="Arial"/>
                <w:b/>
                <w:bCs/>
              </w:rPr>
            </w:pPr>
            <w:r>
              <w:rPr>
                <w:rFonts w:ascii="Arial" w:hAnsi="Arial" w:cs="Arial"/>
                <w:b/>
                <w:bCs/>
              </w:rPr>
              <w:t> </w:t>
            </w:r>
          </w:p>
        </w:tc>
        <w:tc>
          <w:tcPr>
            <w:tcW w:w="1960" w:type="dxa"/>
            <w:tcBorders>
              <w:top w:val="single" w:sz="4" w:space="0" w:color="auto"/>
              <w:left w:val="nil"/>
              <w:bottom w:val="nil"/>
              <w:right w:val="single" w:sz="4" w:space="0" w:color="auto"/>
            </w:tcBorders>
            <w:shd w:val="clear" w:color="auto" w:fill="auto"/>
            <w:noWrap/>
            <w:vAlign w:val="bottom"/>
            <w:hideMark/>
          </w:tcPr>
          <w:p w:rsidR="0074035A" w:rsidRDefault="0074035A">
            <w:pPr>
              <w:rPr>
                <w:rFonts w:ascii="Arial" w:hAnsi="Arial" w:cs="Arial"/>
                <w:b/>
                <w:bCs/>
              </w:rPr>
            </w:pPr>
          </w:p>
        </w:tc>
      </w:tr>
      <w:tr w:rsidR="0074035A" w:rsidTr="00A20CCB">
        <w:trPr>
          <w:trHeight w:val="315"/>
        </w:trPr>
        <w:tc>
          <w:tcPr>
            <w:tcW w:w="5325" w:type="dxa"/>
            <w:gridSpan w:val="3"/>
            <w:tcBorders>
              <w:top w:val="nil"/>
              <w:left w:val="single" w:sz="4" w:space="0" w:color="auto"/>
              <w:bottom w:val="nil"/>
              <w:right w:val="nil"/>
            </w:tcBorders>
            <w:shd w:val="clear" w:color="auto" w:fill="auto"/>
            <w:noWrap/>
            <w:vAlign w:val="bottom"/>
            <w:hideMark/>
          </w:tcPr>
          <w:p w:rsidR="0074035A" w:rsidRPr="00A20CCB" w:rsidRDefault="0074035A">
            <w:pPr>
              <w:rPr>
                <w:rFonts w:ascii="Arial" w:hAnsi="Arial" w:cs="Arial"/>
                <w:b/>
                <w:bCs/>
              </w:rPr>
            </w:pPr>
            <w:r w:rsidRPr="00A20CCB">
              <w:rPr>
                <w:rFonts w:ascii="Arial" w:hAnsi="Arial" w:cs="Arial"/>
                <w:b/>
                <w:bCs/>
              </w:rPr>
              <w:t>Plant &amp; Accumulated Depreciation Balances</w:t>
            </w:r>
          </w:p>
        </w:tc>
        <w:tc>
          <w:tcPr>
            <w:tcW w:w="1235" w:type="dxa"/>
            <w:tcBorders>
              <w:top w:val="nil"/>
              <w:left w:val="nil"/>
              <w:bottom w:val="nil"/>
              <w:right w:val="nil"/>
            </w:tcBorders>
            <w:shd w:val="clear" w:color="auto" w:fill="auto"/>
            <w:noWrap/>
            <w:vAlign w:val="bottom"/>
            <w:hideMark/>
          </w:tcPr>
          <w:p w:rsidR="0074035A" w:rsidRDefault="0074035A">
            <w:pPr>
              <w:rPr>
                <w:rFonts w:ascii="Arial" w:hAnsi="Arial" w:cs="Arial"/>
                <w:b/>
                <w:bCs/>
              </w:rPr>
            </w:pPr>
          </w:p>
        </w:tc>
        <w:tc>
          <w:tcPr>
            <w:tcW w:w="480" w:type="dxa"/>
            <w:tcBorders>
              <w:top w:val="nil"/>
              <w:left w:val="nil"/>
              <w:bottom w:val="nil"/>
              <w:right w:val="nil"/>
            </w:tcBorders>
            <w:shd w:val="clear" w:color="auto" w:fill="auto"/>
            <w:noWrap/>
            <w:vAlign w:val="bottom"/>
            <w:hideMark/>
          </w:tcPr>
          <w:p w:rsidR="0074035A" w:rsidRDefault="0074035A">
            <w:pPr>
              <w:rPr>
                <w:rFonts w:ascii="Arial" w:hAnsi="Arial" w:cs="Arial"/>
                <w:b/>
                <w:bCs/>
              </w:rPr>
            </w:pPr>
          </w:p>
        </w:tc>
        <w:tc>
          <w:tcPr>
            <w:tcW w:w="1960" w:type="dxa"/>
            <w:tcBorders>
              <w:top w:val="nil"/>
              <w:left w:val="nil"/>
              <w:bottom w:val="nil"/>
              <w:right w:val="single" w:sz="4" w:space="0" w:color="auto"/>
            </w:tcBorders>
            <w:shd w:val="clear" w:color="auto" w:fill="auto"/>
            <w:noWrap/>
            <w:vAlign w:val="bottom"/>
            <w:hideMark/>
          </w:tcPr>
          <w:p w:rsidR="0074035A" w:rsidRDefault="0074035A">
            <w:pPr>
              <w:rPr>
                <w:rFonts w:ascii="Arial" w:hAnsi="Arial" w:cs="Arial"/>
                <w:b/>
                <w:bCs/>
              </w:rPr>
            </w:pPr>
            <w:r>
              <w:rPr>
                <w:rFonts w:ascii="Arial" w:hAnsi="Arial" w:cs="Arial"/>
                <w:b/>
                <w:bCs/>
              </w:rPr>
              <w:t> </w:t>
            </w:r>
          </w:p>
        </w:tc>
      </w:tr>
      <w:tr w:rsidR="0074035A" w:rsidTr="0074035A">
        <w:trPr>
          <w:trHeight w:val="315"/>
        </w:trPr>
        <w:tc>
          <w:tcPr>
            <w:tcW w:w="5140" w:type="dxa"/>
            <w:gridSpan w:val="2"/>
            <w:tcBorders>
              <w:top w:val="nil"/>
              <w:left w:val="single" w:sz="4" w:space="0" w:color="auto"/>
              <w:bottom w:val="nil"/>
              <w:right w:val="nil"/>
            </w:tcBorders>
            <w:shd w:val="clear" w:color="auto" w:fill="auto"/>
            <w:noWrap/>
            <w:vAlign w:val="bottom"/>
            <w:hideMark/>
          </w:tcPr>
          <w:p w:rsidR="0074035A" w:rsidRDefault="0074035A">
            <w:pPr>
              <w:rPr>
                <w:rFonts w:ascii="Arial" w:hAnsi="Arial" w:cs="Arial"/>
                <w:b/>
                <w:bCs/>
              </w:rPr>
            </w:pPr>
            <w:r>
              <w:rPr>
                <w:rFonts w:ascii="Arial" w:hAnsi="Arial" w:cs="Arial"/>
                <w:b/>
                <w:bCs/>
              </w:rPr>
              <w:t>Docket No. 140217-WU</w:t>
            </w:r>
          </w:p>
        </w:tc>
        <w:tc>
          <w:tcPr>
            <w:tcW w:w="1420" w:type="dxa"/>
            <w:gridSpan w:val="2"/>
            <w:tcBorders>
              <w:top w:val="nil"/>
              <w:left w:val="nil"/>
              <w:bottom w:val="nil"/>
              <w:right w:val="nil"/>
            </w:tcBorders>
            <w:shd w:val="clear" w:color="auto" w:fill="auto"/>
            <w:noWrap/>
            <w:vAlign w:val="bottom"/>
            <w:hideMark/>
          </w:tcPr>
          <w:p w:rsidR="0074035A" w:rsidRDefault="0074035A">
            <w:pPr>
              <w:rPr>
                <w:rFonts w:ascii="Arial" w:hAnsi="Arial" w:cs="Arial"/>
                <w:b/>
                <w:bCs/>
              </w:rPr>
            </w:pPr>
          </w:p>
        </w:tc>
        <w:tc>
          <w:tcPr>
            <w:tcW w:w="480" w:type="dxa"/>
            <w:tcBorders>
              <w:top w:val="nil"/>
              <w:left w:val="nil"/>
              <w:bottom w:val="nil"/>
              <w:right w:val="nil"/>
            </w:tcBorders>
            <w:shd w:val="clear" w:color="auto" w:fill="auto"/>
            <w:noWrap/>
            <w:vAlign w:val="bottom"/>
            <w:hideMark/>
          </w:tcPr>
          <w:p w:rsidR="0074035A" w:rsidRDefault="0074035A">
            <w:pPr>
              <w:rPr>
                <w:rFonts w:ascii="Arial" w:hAnsi="Arial" w:cs="Arial"/>
                <w:b/>
                <w:bCs/>
              </w:rPr>
            </w:pPr>
          </w:p>
        </w:tc>
        <w:tc>
          <w:tcPr>
            <w:tcW w:w="1960" w:type="dxa"/>
            <w:tcBorders>
              <w:top w:val="nil"/>
              <w:left w:val="nil"/>
              <w:bottom w:val="nil"/>
              <w:right w:val="single" w:sz="4" w:space="0" w:color="auto"/>
            </w:tcBorders>
            <w:shd w:val="clear" w:color="auto" w:fill="auto"/>
            <w:noWrap/>
            <w:vAlign w:val="bottom"/>
            <w:hideMark/>
          </w:tcPr>
          <w:p w:rsidR="0074035A" w:rsidRDefault="0074035A">
            <w:pPr>
              <w:rPr>
                <w:rFonts w:ascii="Arial" w:hAnsi="Arial" w:cs="Arial"/>
                <w:b/>
                <w:bCs/>
              </w:rPr>
            </w:pPr>
            <w:r>
              <w:rPr>
                <w:rFonts w:ascii="Arial" w:hAnsi="Arial" w:cs="Arial"/>
                <w:b/>
                <w:bCs/>
              </w:rPr>
              <w:t> </w:t>
            </w:r>
          </w:p>
        </w:tc>
      </w:tr>
      <w:tr w:rsidR="0074035A" w:rsidTr="0074035A">
        <w:trPr>
          <w:trHeight w:val="315"/>
        </w:trPr>
        <w:tc>
          <w:tcPr>
            <w:tcW w:w="9000" w:type="dxa"/>
            <w:gridSpan w:val="6"/>
            <w:tcBorders>
              <w:top w:val="single" w:sz="4" w:space="0" w:color="auto"/>
              <w:left w:val="single" w:sz="4" w:space="0" w:color="auto"/>
              <w:bottom w:val="nil"/>
              <w:right w:val="single" w:sz="4" w:space="0" w:color="000000"/>
            </w:tcBorders>
            <w:shd w:val="clear" w:color="auto" w:fill="auto"/>
            <w:noWrap/>
            <w:vAlign w:val="bottom"/>
            <w:hideMark/>
          </w:tcPr>
          <w:p w:rsidR="0074035A" w:rsidRDefault="0074035A">
            <w:pPr>
              <w:jc w:val="center"/>
              <w:rPr>
                <w:rFonts w:ascii="Arial" w:hAnsi="Arial" w:cs="Arial"/>
                <w:b/>
                <w:bCs/>
              </w:rPr>
            </w:pPr>
            <w:bookmarkStart w:id="51" w:name="RANGE!A4:E13"/>
            <w:r>
              <w:rPr>
                <w:rFonts w:ascii="Arial" w:hAnsi="Arial" w:cs="Arial"/>
                <w:b/>
                <w:bCs/>
              </w:rPr>
              <w:t>Water</w:t>
            </w:r>
            <w:bookmarkEnd w:id="51"/>
          </w:p>
        </w:tc>
      </w:tr>
      <w:tr w:rsidR="0074035A" w:rsidTr="0074035A">
        <w:trPr>
          <w:trHeight w:val="315"/>
        </w:trPr>
        <w:tc>
          <w:tcPr>
            <w:tcW w:w="9000" w:type="dxa"/>
            <w:gridSpan w:val="6"/>
            <w:tcBorders>
              <w:top w:val="nil"/>
              <w:left w:val="single" w:sz="4" w:space="0" w:color="auto"/>
              <w:bottom w:val="single" w:sz="4" w:space="0" w:color="auto"/>
              <w:right w:val="single" w:sz="4" w:space="0" w:color="000000"/>
            </w:tcBorders>
            <w:shd w:val="clear" w:color="auto" w:fill="auto"/>
            <w:noWrap/>
            <w:vAlign w:val="bottom"/>
            <w:hideMark/>
          </w:tcPr>
          <w:p w:rsidR="0074035A" w:rsidRDefault="0074035A">
            <w:pPr>
              <w:jc w:val="center"/>
              <w:rPr>
                <w:rFonts w:ascii="Arial" w:hAnsi="Arial" w:cs="Arial"/>
                <w:b/>
                <w:bCs/>
              </w:rPr>
            </w:pPr>
            <w:r>
              <w:rPr>
                <w:rFonts w:ascii="Arial" w:hAnsi="Arial" w:cs="Arial"/>
                <w:b/>
                <w:bCs/>
              </w:rPr>
              <w:t>Test Year Ended 9/30/14</w:t>
            </w:r>
          </w:p>
        </w:tc>
      </w:tr>
      <w:tr w:rsidR="0074035A" w:rsidTr="0074035A">
        <w:trPr>
          <w:trHeight w:val="315"/>
        </w:trPr>
        <w:tc>
          <w:tcPr>
            <w:tcW w:w="1221" w:type="dxa"/>
            <w:tcBorders>
              <w:top w:val="nil"/>
              <w:left w:val="single" w:sz="4" w:space="0" w:color="auto"/>
              <w:bottom w:val="nil"/>
              <w:right w:val="nil"/>
            </w:tcBorders>
            <w:shd w:val="clear" w:color="auto" w:fill="auto"/>
            <w:noWrap/>
            <w:vAlign w:val="bottom"/>
            <w:hideMark/>
          </w:tcPr>
          <w:p w:rsidR="0074035A" w:rsidRDefault="0074035A">
            <w:pPr>
              <w:jc w:val="center"/>
              <w:rPr>
                <w:rFonts w:ascii="Arial" w:hAnsi="Arial" w:cs="Arial"/>
                <w:b/>
                <w:bCs/>
              </w:rPr>
            </w:pPr>
            <w:r>
              <w:rPr>
                <w:rFonts w:ascii="Arial" w:hAnsi="Arial" w:cs="Arial"/>
                <w:b/>
                <w:bCs/>
              </w:rPr>
              <w:t>Account</w:t>
            </w:r>
          </w:p>
        </w:tc>
        <w:tc>
          <w:tcPr>
            <w:tcW w:w="3919" w:type="dxa"/>
            <w:tcBorders>
              <w:top w:val="nil"/>
              <w:left w:val="nil"/>
              <w:bottom w:val="nil"/>
              <w:right w:val="nil"/>
            </w:tcBorders>
            <w:shd w:val="clear" w:color="auto" w:fill="auto"/>
            <w:noWrap/>
            <w:vAlign w:val="bottom"/>
            <w:hideMark/>
          </w:tcPr>
          <w:p w:rsidR="0074035A" w:rsidRDefault="0074035A">
            <w:pPr>
              <w:rPr>
                <w:rFonts w:ascii="Arial" w:hAnsi="Arial" w:cs="Arial"/>
              </w:rPr>
            </w:pPr>
            <w:r>
              <w:rPr>
                <w:rFonts w:ascii="Arial" w:hAnsi="Arial" w:cs="Arial"/>
              </w:rPr>
              <w:t> </w:t>
            </w:r>
          </w:p>
        </w:tc>
        <w:tc>
          <w:tcPr>
            <w:tcW w:w="1420" w:type="dxa"/>
            <w:gridSpan w:val="2"/>
            <w:tcBorders>
              <w:top w:val="nil"/>
              <w:left w:val="nil"/>
              <w:bottom w:val="nil"/>
              <w:right w:val="nil"/>
            </w:tcBorders>
            <w:shd w:val="clear" w:color="auto" w:fill="auto"/>
            <w:noWrap/>
            <w:vAlign w:val="bottom"/>
            <w:hideMark/>
          </w:tcPr>
          <w:p w:rsidR="0074035A" w:rsidRDefault="0074035A">
            <w:pPr>
              <w:rPr>
                <w:rFonts w:ascii="Arial" w:hAnsi="Arial" w:cs="Arial"/>
              </w:rPr>
            </w:pPr>
            <w:r>
              <w:rPr>
                <w:rFonts w:ascii="Arial" w:hAnsi="Arial" w:cs="Arial"/>
              </w:rPr>
              <w:t> </w:t>
            </w:r>
          </w:p>
        </w:tc>
        <w:tc>
          <w:tcPr>
            <w:tcW w:w="480" w:type="dxa"/>
            <w:tcBorders>
              <w:top w:val="nil"/>
              <w:left w:val="nil"/>
              <w:bottom w:val="nil"/>
              <w:right w:val="nil"/>
            </w:tcBorders>
            <w:shd w:val="clear" w:color="auto" w:fill="auto"/>
            <w:noWrap/>
            <w:vAlign w:val="bottom"/>
            <w:hideMark/>
          </w:tcPr>
          <w:p w:rsidR="0074035A" w:rsidRDefault="0074035A">
            <w:pPr>
              <w:rPr>
                <w:rFonts w:ascii="Arial" w:hAnsi="Arial" w:cs="Arial"/>
              </w:rPr>
            </w:pPr>
            <w:r>
              <w:rPr>
                <w:rFonts w:ascii="Arial" w:hAnsi="Arial" w:cs="Arial"/>
              </w:rPr>
              <w:t> </w:t>
            </w:r>
          </w:p>
        </w:tc>
        <w:tc>
          <w:tcPr>
            <w:tcW w:w="1960" w:type="dxa"/>
            <w:tcBorders>
              <w:top w:val="nil"/>
              <w:left w:val="nil"/>
              <w:bottom w:val="nil"/>
              <w:right w:val="single" w:sz="4" w:space="0" w:color="auto"/>
            </w:tcBorders>
            <w:shd w:val="clear" w:color="auto" w:fill="auto"/>
            <w:noWrap/>
            <w:vAlign w:val="bottom"/>
            <w:hideMark/>
          </w:tcPr>
          <w:p w:rsidR="0074035A" w:rsidRDefault="0074035A">
            <w:pPr>
              <w:jc w:val="center"/>
              <w:rPr>
                <w:rFonts w:ascii="Arial" w:hAnsi="Arial" w:cs="Arial"/>
                <w:b/>
                <w:bCs/>
              </w:rPr>
            </w:pPr>
            <w:r>
              <w:rPr>
                <w:rFonts w:ascii="Arial" w:hAnsi="Arial" w:cs="Arial"/>
                <w:b/>
                <w:bCs/>
              </w:rPr>
              <w:t>Accumulated</w:t>
            </w:r>
          </w:p>
        </w:tc>
      </w:tr>
      <w:tr w:rsidR="0074035A" w:rsidTr="0074035A">
        <w:trPr>
          <w:trHeight w:val="315"/>
        </w:trPr>
        <w:tc>
          <w:tcPr>
            <w:tcW w:w="1221" w:type="dxa"/>
            <w:tcBorders>
              <w:top w:val="nil"/>
              <w:left w:val="single" w:sz="4" w:space="0" w:color="auto"/>
              <w:bottom w:val="single" w:sz="4" w:space="0" w:color="auto"/>
              <w:right w:val="nil"/>
            </w:tcBorders>
            <w:shd w:val="clear" w:color="auto" w:fill="auto"/>
            <w:noWrap/>
            <w:vAlign w:val="bottom"/>
            <w:hideMark/>
          </w:tcPr>
          <w:p w:rsidR="0074035A" w:rsidRDefault="0074035A">
            <w:pPr>
              <w:jc w:val="center"/>
              <w:rPr>
                <w:rFonts w:ascii="Arial" w:hAnsi="Arial" w:cs="Arial"/>
                <w:b/>
                <w:bCs/>
              </w:rPr>
            </w:pPr>
            <w:r>
              <w:rPr>
                <w:rFonts w:ascii="Arial" w:hAnsi="Arial" w:cs="Arial"/>
                <w:b/>
                <w:bCs/>
              </w:rPr>
              <w:t>No.</w:t>
            </w:r>
          </w:p>
        </w:tc>
        <w:tc>
          <w:tcPr>
            <w:tcW w:w="3919" w:type="dxa"/>
            <w:tcBorders>
              <w:top w:val="nil"/>
              <w:left w:val="nil"/>
              <w:bottom w:val="single" w:sz="4" w:space="0" w:color="auto"/>
              <w:right w:val="nil"/>
            </w:tcBorders>
            <w:shd w:val="clear" w:color="auto" w:fill="auto"/>
            <w:noWrap/>
            <w:vAlign w:val="bottom"/>
            <w:hideMark/>
          </w:tcPr>
          <w:p w:rsidR="0074035A" w:rsidRDefault="0074035A">
            <w:pPr>
              <w:rPr>
                <w:rFonts w:ascii="Arial" w:hAnsi="Arial" w:cs="Arial"/>
                <w:b/>
                <w:bCs/>
              </w:rPr>
            </w:pPr>
            <w:r>
              <w:rPr>
                <w:rFonts w:ascii="Arial" w:hAnsi="Arial" w:cs="Arial"/>
                <w:b/>
                <w:bCs/>
              </w:rPr>
              <w:t>Description</w:t>
            </w:r>
          </w:p>
        </w:tc>
        <w:tc>
          <w:tcPr>
            <w:tcW w:w="1420" w:type="dxa"/>
            <w:gridSpan w:val="2"/>
            <w:tcBorders>
              <w:top w:val="nil"/>
              <w:left w:val="nil"/>
              <w:bottom w:val="single" w:sz="4" w:space="0" w:color="auto"/>
              <w:right w:val="nil"/>
            </w:tcBorders>
            <w:shd w:val="clear" w:color="auto" w:fill="auto"/>
            <w:noWrap/>
            <w:vAlign w:val="bottom"/>
            <w:hideMark/>
          </w:tcPr>
          <w:p w:rsidR="0074035A" w:rsidRDefault="0074035A">
            <w:pPr>
              <w:jc w:val="center"/>
              <w:rPr>
                <w:rFonts w:ascii="Arial" w:hAnsi="Arial" w:cs="Arial"/>
                <w:b/>
                <w:bCs/>
              </w:rPr>
            </w:pPr>
            <w:r>
              <w:rPr>
                <w:rFonts w:ascii="Arial" w:hAnsi="Arial" w:cs="Arial"/>
                <w:b/>
                <w:bCs/>
              </w:rPr>
              <w:t>UPIS</w:t>
            </w:r>
          </w:p>
        </w:tc>
        <w:tc>
          <w:tcPr>
            <w:tcW w:w="480" w:type="dxa"/>
            <w:tcBorders>
              <w:top w:val="nil"/>
              <w:left w:val="nil"/>
              <w:bottom w:val="single" w:sz="4" w:space="0" w:color="auto"/>
              <w:right w:val="nil"/>
            </w:tcBorders>
            <w:shd w:val="clear" w:color="auto" w:fill="auto"/>
            <w:noWrap/>
            <w:vAlign w:val="bottom"/>
            <w:hideMark/>
          </w:tcPr>
          <w:p w:rsidR="0074035A" w:rsidRDefault="0074035A">
            <w:pPr>
              <w:rPr>
                <w:rFonts w:ascii="Arial" w:hAnsi="Arial" w:cs="Arial"/>
              </w:rPr>
            </w:pPr>
            <w:r>
              <w:rPr>
                <w:rFonts w:ascii="Arial" w:hAnsi="Arial" w:cs="Arial"/>
              </w:rPr>
              <w:t> </w:t>
            </w:r>
          </w:p>
        </w:tc>
        <w:tc>
          <w:tcPr>
            <w:tcW w:w="1960" w:type="dxa"/>
            <w:tcBorders>
              <w:top w:val="nil"/>
              <w:left w:val="nil"/>
              <w:bottom w:val="single" w:sz="4" w:space="0" w:color="auto"/>
              <w:right w:val="single" w:sz="4" w:space="0" w:color="auto"/>
            </w:tcBorders>
            <w:shd w:val="clear" w:color="auto" w:fill="auto"/>
            <w:noWrap/>
            <w:vAlign w:val="bottom"/>
            <w:hideMark/>
          </w:tcPr>
          <w:p w:rsidR="0074035A" w:rsidRDefault="0074035A">
            <w:pPr>
              <w:jc w:val="center"/>
              <w:rPr>
                <w:rFonts w:ascii="Arial" w:hAnsi="Arial" w:cs="Arial"/>
                <w:b/>
                <w:bCs/>
              </w:rPr>
            </w:pPr>
            <w:r>
              <w:rPr>
                <w:rFonts w:ascii="Arial" w:hAnsi="Arial" w:cs="Arial"/>
                <w:b/>
                <w:bCs/>
              </w:rPr>
              <w:t>Depreciation</w:t>
            </w:r>
          </w:p>
        </w:tc>
      </w:tr>
      <w:tr w:rsidR="0074035A" w:rsidTr="0074035A">
        <w:trPr>
          <w:trHeight w:val="300"/>
        </w:trPr>
        <w:tc>
          <w:tcPr>
            <w:tcW w:w="1221" w:type="dxa"/>
            <w:tcBorders>
              <w:top w:val="nil"/>
              <w:left w:val="single" w:sz="4" w:space="0" w:color="auto"/>
              <w:bottom w:val="nil"/>
              <w:right w:val="nil"/>
            </w:tcBorders>
            <w:shd w:val="clear" w:color="auto" w:fill="auto"/>
            <w:noWrap/>
            <w:vAlign w:val="bottom"/>
            <w:hideMark/>
          </w:tcPr>
          <w:p w:rsidR="0074035A" w:rsidRDefault="0074035A">
            <w:pPr>
              <w:jc w:val="right"/>
              <w:rPr>
                <w:rFonts w:ascii="Arial" w:hAnsi="Arial" w:cs="Arial"/>
              </w:rPr>
            </w:pPr>
            <w:r>
              <w:rPr>
                <w:rFonts w:ascii="Arial" w:hAnsi="Arial" w:cs="Arial"/>
              </w:rPr>
              <w:t>307</w:t>
            </w:r>
          </w:p>
        </w:tc>
        <w:tc>
          <w:tcPr>
            <w:tcW w:w="3919" w:type="dxa"/>
            <w:tcBorders>
              <w:top w:val="nil"/>
              <w:left w:val="nil"/>
              <w:bottom w:val="nil"/>
              <w:right w:val="nil"/>
            </w:tcBorders>
            <w:shd w:val="clear" w:color="auto" w:fill="auto"/>
            <w:noWrap/>
            <w:vAlign w:val="bottom"/>
            <w:hideMark/>
          </w:tcPr>
          <w:p w:rsidR="0074035A" w:rsidRDefault="0074035A">
            <w:pPr>
              <w:rPr>
                <w:rFonts w:ascii="Arial" w:hAnsi="Arial" w:cs="Arial"/>
              </w:rPr>
            </w:pPr>
            <w:r>
              <w:rPr>
                <w:rFonts w:ascii="Arial" w:hAnsi="Arial" w:cs="Arial"/>
              </w:rPr>
              <w:t>Wells and Springs</w:t>
            </w:r>
          </w:p>
        </w:tc>
        <w:tc>
          <w:tcPr>
            <w:tcW w:w="1420" w:type="dxa"/>
            <w:gridSpan w:val="2"/>
            <w:tcBorders>
              <w:top w:val="nil"/>
              <w:left w:val="nil"/>
              <w:bottom w:val="nil"/>
              <w:right w:val="nil"/>
            </w:tcBorders>
            <w:shd w:val="clear" w:color="auto" w:fill="auto"/>
            <w:noWrap/>
            <w:vAlign w:val="bottom"/>
            <w:hideMark/>
          </w:tcPr>
          <w:p w:rsidR="0074035A" w:rsidRDefault="0074035A">
            <w:pPr>
              <w:jc w:val="right"/>
              <w:rPr>
                <w:rFonts w:ascii="Arial" w:hAnsi="Arial" w:cs="Arial"/>
                <w:color w:val="000000"/>
              </w:rPr>
            </w:pPr>
            <w:r>
              <w:rPr>
                <w:rFonts w:ascii="Arial" w:hAnsi="Arial" w:cs="Arial"/>
                <w:color w:val="000000"/>
              </w:rPr>
              <w:t xml:space="preserve">$32,158 </w:t>
            </w:r>
          </w:p>
        </w:tc>
        <w:tc>
          <w:tcPr>
            <w:tcW w:w="480" w:type="dxa"/>
            <w:tcBorders>
              <w:top w:val="nil"/>
              <w:left w:val="nil"/>
              <w:bottom w:val="nil"/>
              <w:right w:val="nil"/>
            </w:tcBorders>
            <w:shd w:val="clear" w:color="auto" w:fill="auto"/>
            <w:noWrap/>
            <w:vAlign w:val="bottom"/>
            <w:hideMark/>
          </w:tcPr>
          <w:p w:rsidR="0074035A" w:rsidRDefault="0074035A">
            <w:pPr>
              <w:rPr>
                <w:rFonts w:ascii="Arial" w:hAnsi="Arial" w:cs="Arial"/>
                <w:color w:val="000000"/>
              </w:rPr>
            </w:pPr>
          </w:p>
        </w:tc>
        <w:tc>
          <w:tcPr>
            <w:tcW w:w="1960" w:type="dxa"/>
            <w:tcBorders>
              <w:top w:val="nil"/>
              <w:left w:val="nil"/>
              <w:bottom w:val="nil"/>
              <w:right w:val="single" w:sz="4" w:space="0" w:color="auto"/>
            </w:tcBorders>
            <w:shd w:val="clear" w:color="auto" w:fill="auto"/>
            <w:noWrap/>
            <w:vAlign w:val="bottom"/>
            <w:hideMark/>
          </w:tcPr>
          <w:p w:rsidR="0074035A" w:rsidRDefault="0074035A">
            <w:pPr>
              <w:jc w:val="right"/>
              <w:rPr>
                <w:rFonts w:ascii="Arial" w:hAnsi="Arial" w:cs="Arial"/>
                <w:color w:val="000000"/>
              </w:rPr>
            </w:pPr>
            <w:r>
              <w:rPr>
                <w:rFonts w:ascii="Arial" w:hAnsi="Arial" w:cs="Arial"/>
                <w:color w:val="000000"/>
              </w:rPr>
              <w:t xml:space="preserve">$4,183 </w:t>
            </w:r>
          </w:p>
        </w:tc>
      </w:tr>
      <w:tr w:rsidR="0074035A" w:rsidTr="0074035A">
        <w:trPr>
          <w:trHeight w:val="300"/>
        </w:trPr>
        <w:tc>
          <w:tcPr>
            <w:tcW w:w="1221" w:type="dxa"/>
            <w:tcBorders>
              <w:top w:val="nil"/>
              <w:left w:val="single" w:sz="4" w:space="0" w:color="auto"/>
              <w:bottom w:val="nil"/>
              <w:right w:val="nil"/>
            </w:tcBorders>
            <w:shd w:val="clear" w:color="auto" w:fill="auto"/>
            <w:noWrap/>
            <w:vAlign w:val="bottom"/>
            <w:hideMark/>
          </w:tcPr>
          <w:p w:rsidR="0074035A" w:rsidRDefault="0074035A">
            <w:pPr>
              <w:jc w:val="right"/>
              <w:rPr>
                <w:rFonts w:ascii="Arial" w:hAnsi="Arial" w:cs="Arial"/>
              </w:rPr>
            </w:pPr>
            <w:r>
              <w:rPr>
                <w:rFonts w:ascii="Arial" w:hAnsi="Arial" w:cs="Arial"/>
              </w:rPr>
              <w:t>310</w:t>
            </w:r>
          </w:p>
        </w:tc>
        <w:tc>
          <w:tcPr>
            <w:tcW w:w="3919" w:type="dxa"/>
            <w:tcBorders>
              <w:top w:val="nil"/>
              <w:left w:val="nil"/>
              <w:bottom w:val="nil"/>
              <w:right w:val="nil"/>
            </w:tcBorders>
            <w:shd w:val="clear" w:color="auto" w:fill="auto"/>
            <w:noWrap/>
            <w:vAlign w:val="bottom"/>
            <w:hideMark/>
          </w:tcPr>
          <w:p w:rsidR="0074035A" w:rsidRDefault="0074035A">
            <w:pPr>
              <w:rPr>
                <w:rFonts w:ascii="Arial" w:hAnsi="Arial" w:cs="Arial"/>
              </w:rPr>
            </w:pPr>
            <w:r>
              <w:rPr>
                <w:rFonts w:ascii="Arial" w:hAnsi="Arial" w:cs="Arial"/>
              </w:rPr>
              <w:t>Power Generation Equipment</w:t>
            </w:r>
          </w:p>
        </w:tc>
        <w:tc>
          <w:tcPr>
            <w:tcW w:w="1420" w:type="dxa"/>
            <w:gridSpan w:val="2"/>
            <w:tcBorders>
              <w:top w:val="nil"/>
              <w:left w:val="nil"/>
              <w:bottom w:val="nil"/>
              <w:right w:val="nil"/>
            </w:tcBorders>
            <w:shd w:val="clear" w:color="auto" w:fill="auto"/>
            <w:noWrap/>
            <w:vAlign w:val="bottom"/>
            <w:hideMark/>
          </w:tcPr>
          <w:p w:rsidR="0074035A" w:rsidRDefault="0074035A">
            <w:pPr>
              <w:jc w:val="right"/>
              <w:rPr>
                <w:rFonts w:ascii="Arial" w:hAnsi="Arial" w:cs="Arial"/>
                <w:color w:val="000000"/>
              </w:rPr>
            </w:pPr>
            <w:r>
              <w:rPr>
                <w:rFonts w:ascii="Arial" w:hAnsi="Arial" w:cs="Arial"/>
                <w:color w:val="000000"/>
              </w:rPr>
              <w:t xml:space="preserve">23,971 </w:t>
            </w:r>
          </w:p>
        </w:tc>
        <w:tc>
          <w:tcPr>
            <w:tcW w:w="480" w:type="dxa"/>
            <w:tcBorders>
              <w:top w:val="nil"/>
              <w:left w:val="nil"/>
              <w:bottom w:val="nil"/>
              <w:right w:val="nil"/>
            </w:tcBorders>
            <w:shd w:val="clear" w:color="auto" w:fill="auto"/>
            <w:noWrap/>
            <w:vAlign w:val="bottom"/>
            <w:hideMark/>
          </w:tcPr>
          <w:p w:rsidR="0074035A" w:rsidRDefault="0074035A">
            <w:pPr>
              <w:rPr>
                <w:rFonts w:ascii="Arial" w:hAnsi="Arial" w:cs="Arial"/>
                <w:color w:val="000000"/>
              </w:rPr>
            </w:pPr>
          </w:p>
        </w:tc>
        <w:tc>
          <w:tcPr>
            <w:tcW w:w="1960" w:type="dxa"/>
            <w:tcBorders>
              <w:top w:val="nil"/>
              <w:left w:val="nil"/>
              <w:bottom w:val="nil"/>
              <w:right w:val="single" w:sz="4" w:space="0" w:color="auto"/>
            </w:tcBorders>
            <w:shd w:val="clear" w:color="auto" w:fill="auto"/>
            <w:noWrap/>
            <w:vAlign w:val="bottom"/>
            <w:hideMark/>
          </w:tcPr>
          <w:p w:rsidR="0074035A" w:rsidRDefault="0074035A">
            <w:pPr>
              <w:jc w:val="right"/>
              <w:rPr>
                <w:rFonts w:ascii="Arial" w:hAnsi="Arial" w:cs="Arial"/>
              </w:rPr>
            </w:pPr>
            <w:r>
              <w:rPr>
                <w:rFonts w:ascii="Arial" w:hAnsi="Arial" w:cs="Arial"/>
              </w:rPr>
              <w:t xml:space="preserve">3,878 </w:t>
            </w:r>
          </w:p>
        </w:tc>
      </w:tr>
      <w:tr w:rsidR="0074035A" w:rsidTr="0074035A">
        <w:trPr>
          <w:trHeight w:val="300"/>
        </w:trPr>
        <w:tc>
          <w:tcPr>
            <w:tcW w:w="1221" w:type="dxa"/>
            <w:tcBorders>
              <w:top w:val="nil"/>
              <w:left w:val="single" w:sz="4" w:space="0" w:color="auto"/>
              <w:bottom w:val="nil"/>
              <w:right w:val="nil"/>
            </w:tcBorders>
            <w:shd w:val="clear" w:color="auto" w:fill="auto"/>
            <w:noWrap/>
            <w:vAlign w:val="bottom"/>
            <w:hideMark/>
          </w:tcPr>
          <w:p w:rsidR="0074035A" w:rsidRDefault="0074035A">
            <w:pPr>
              <w:jc w:val="right"/>
              <w:rPr>
                <w:rFonts w:ascii="Arial" w:hAnsi="Arial" w:cs="Arial"/>
              </w:rPr>
            </w:pPr>
            <w:r>
              <w:rPr>
                <w:rFonts w:ascii="Arial" w:hAnsi="Arial" w:cs="Arial"/>
              </w:rPr>
              <w:t>311</w:t>
            </w:r>
          </w:p>
        </w:tc>
        <w:tc>
          <w:tcPr>
            <w:tcW w:w="3919" w:type="dxa"/>
            <w:tcBorders>
              <w:top w:val="nil"/>
              <w:left w:val="nil"/>
              <w:bottom w:val="nil"/>
              <w:right w:val="nil"/>
            </w:tcBorders>
            <w:shd w:val="clear" w:color="auto" w:fill="auto"/>
            <w:noWrap/>
            <w:vAlign w:val="bottom"/>
            <w:hideMark/>
          </w:tcPr>
          <w:p w:rsidR="0074035A" w:rsidRDefault="0074035A">
            <w:pPr>
              <w:rPr>
                <w:rFonts w:ascii="Arial" w:hAnsi="Arial" w:cs="Arial"/>
              </w:rPr>
            </w:pPr>
            <w:r>
              <w:rPr>
                <w:rFonts w:ascii="Arial" w:hAnsi="Arial" w:cs="Arial"/>
              </w:rPr>
              <w:t>Pumping Equipment</w:t>
            </w:r>
          </w:p>
        </w:tc>
        <w:tc>
          <w:tcPr>
            <w:tcW w:w="1420" w:type="dxa"/>
            <w:gridSpan w:val="2"/>
            <w:tcBorders>
              <w:top w:val="nil"/>
              <w:left w:val="nil"/>
              <w:bottom w:val="nil"/>
              <w:right w:val="nil"/>
            </w:tcBorders>
            <w:shd w:val="clear" w:color="auto" w:fill="auto"/>
            <w:noWrap/>
            <w:vAlign w:val="bottom"/>
            <w:hideMark/>
          </w:tcPr>
          <w:p w:rsidR="0074035A" w:rsidRDefault="0074035A">
            <w:pPr>
              <w:jc w:val="right"/>
              <w:rPr>
                <w:rFonts w:ascii="Arial" w:hAnsi="Arial" w:cs="Arial"/>
                <w:color w:val="000000"/>
                <w:u w:val="single"/>
              </w:rPr>
            </w:pPr>
            <w:r>
              <w:rPr>
                <w:rFonts w:ascii="Arial" w:hAnsi="Arial" w:cs="Arial"/>
                <w:color w:val="000000"/>
                <w:u w:val="single"/>
              </w:rPr>
              <w:t xml:space="preserve">890 </w:t>
            </w:r>
          </w:p>
        </w:tc>
        <w:tc>
          <w:tcPr>
            <w:tcW w:w="480" w:type="dxa"/>
            <w:tcBorders>
              <w:top w:val="nil"/>
              <w:left w:val="nil"/>
              <w:bottom w:val="nil"/>
              <w:right w:val="nil"/>
            </w:tcBorders>
            <w:shd w:val="clear" w:color="auto" w:fill="auto"/>
            <w:noWrap/>
            <w:vAlign w:val="bottom"/>
            <w:hideMark/>
          </w:tcPr>
          <w:p w:rsidR="0074035A" w:rsidRDefault="0074035A">
            <w:pPr>
              <w:rPr>
                <w:rFonts w:ascii="Arial" w:hAnsi="Arial" w:cs="Arial"/>
                <w:color w:val="000000"/>
              </w:rPr>
            </w:pPr>
          </w:p>
        </w:tc>
        <w:tc>
          <w:tcPr>
            <w:tcW w:w="1960" w:type="dxa"/>
            <w:tcBorders>
              <w:top w:val="nil"/>
              <w:left w:val="nil"/>
              <w:bottom w:val="nil"/>
              <w:right w:val="single" w:sz="4" w:space="0" w:color="auto"/>
            </w:tcBorders>
            <w:shd w:val="clear" w:color="auto" w:fill="auto"/>
            <w:noWrap/>
            <w:vAlign w:val="bottom"/>
            <w:hideMark/>
          </w:tcPr>
          <w:p w:rsidR="0074035A" w:rsidRDefault="0074035A">
            <w:pPr>
              <w:jc w:val="right"/>
              <w:rPr>
                <w:rFonts w:ascii="Arial" w:hAnsi="Arial" w:cs="Arial"/>
                <w:u w:val="single"/>
              </w:rPr>
            </w:pPr>
            <w:r>
              <w:rPr>
                <w:rFonts w:ascii="Arial" w:hAnsi="Arial" w:cs="Arial"/>
                <w:u w:val="single"/>
              </w:rPr>
              <w:t xml:space="preserve">144 </w:t>
            </w:r>
          </w:p>
        </w:tc>
      </w:tr>
      <w:tr w:rsidR="0074035A" w:rsidTr="0074035A">
        <w:trPr>
          <w:trHeight w:val="300"/>
        </w:trPr>
        <w:tc>
          <w:tcPr>
            <w:tcW w:w="1221" w:type="dxa"/>
            <w:tcBorders>
              <w:top w:val="nil"/>
              <w:left w:val="single" w:sz="4" w:space="0" w:color="auto"/>
              <w:bottom w:val="nil"/>
              <w:right w:val="nil"/>
            </w:tcBorders>
            <w:shd w:val="clear" w:color="auto" w:fill="auto"/>
            <w:noWrap/>
            <w:vAlign w:val="bottom"/>
            <w:hideMark/>
          </w:tcPr>
          <w:p w:rsidR="0074035A" w:rsidRDefault="0074035A">
            <w:pPr>
              <w:rPr>
                <w:rFonts w:ascii="Arial" w:hAnsi="Arial" w:cs="Arial"/>
              </w:rPr>
            </w:pPr>
            <w:r>
              <w:rPr>
                <w:rFonts w:ascii="Arial" w:hAnsi="Arial" w:cs="Arial"/>
              </w:rPr>
              <w:t> </w:t>
            </w:r>
          </w:p>
        </w:tc>
        <w:tc>
          <w:tcPr>
            <w:tcW w:w="3919" w:type="dxa"/>
            <w:tcBorders>
              <w:top w:val="nil"/>
              <w:left w:val="nil"/>
              <w:bottom w:val="nil"/>
              <w:right w:val="nil"/>
            </w:tcBorders>
            <w:shd w:val="clear" w:color="auto" w:fill="auto"/>
            <w:noWrap/>
            <w:vAlign w:val="bottom"/>
            <w:hideMark/>
          </w:tcPr>
          <w:p w:rsidR="0074035A" w:rsidRDefault="0074035A">
            <w:pPr>
              <w:rPr>
                <w:rFonts w:ascii="Arial" w:hAnsi="Arial" w:cs="Arial"/>
              </w:rPr>
            </w:pPr>
          </w:p>
        </w:tc>
        <w:tc>
          <w:tcPr>
            <w:tcW w:w="1420" w:type="dxa"/>
            <w:gridSpan w:val="2"/>
            <w:tcBorders>
              <w:top w:val="nil"/>
              <w:left w:val="nil"/>
              <w:bottom w:val="nil"/>
              <w:right w:val="nil"/>
            </w:tcBorders>
            <w:shd w:val="clear" w:color="auto" w:fill="auto"/>
            <w:noWrap/>
            <w:vAlign w:val="bottom"/>
            <w:hideMark/>
          </w:tcPr>
          <w:p w:rsidR="0074035A" w:rsidRDefault="0074035A">
            <w:pPr>
              <w:jc w:val="right"/>
              <w:rPr>
                <w:rFonts w:ascii="Arial" w:hAnsi="Arial" w:cs="Arial"/>
                <w:color w:val="000000"/>
                <w:u w:val="double"/>
              </w:rPr>
            </w:pPr>
            <w:r>
              <w:rPr>
                <w:rFonts w:ascii="Arial" w:hAnsi="Arial" w:cs="Arial"/>
                <w:color w:val="000000"/>
                <w:u w:val="double"/>
              </w:rPr>
              <w:t xml:space="preserve">$57,019 </w:t>
            </w:r>
          </w:p>
        </w:tc>
        <w:tc>
          <w:tcPr>
            <w:tcW w:w="480" w:type="dxa"/>
            <w:tcBorders>
              <w:top w:val="nil"/>
              <w:left w:val="nil"/>
              <w:bottom w:val="nil"/>
              <w:right w:val="nil"/>
            </w:tcBorders>
            <w:shd w:val="clear" w:color="auto" w:fill="auto"/>
            <w:noWrap/>
            <w:vAlign w:val="bottom"/>
            <w:hideMark/>
          </w:tcPr>
          <w:p w:rsidR="0074035A" w:rsidRDefault="0074035A">
            <w:pPr>
              <w:rPr>
                <w:rFonts w:ascii="Arial" w:hAnsi="Arial" w:cs="Arial"/>
              </w:rPr>
            </w:pPr>
          </w:p>
        </w:tc>
        <w:tc>
          <w:tcPr>
            <w:tcW w:w="1960" w:type="dxa"/>
            <w:tcBorders>
              <w:top w:val="nil"/>
              <w:left w:val="nil"/>
              <w:bottom w:val="nil"/>
              <w:right w:val="single" w:sz="4" w:space="0" w:color="auto"/>
            </w:tcBorders>
            <w:shd w:val="clear" w:color="auto" w:fill="auto"/>
            <w:noWrap/>
            <w:vAlign w:val="bottom"/>
            <w:hideMark/>
          </w:tcPr>
          <w:p w:rsidR="0074035A" w:rsidRDefault="0074035A">
            <w:pPr>
              <w:jc w:val="right"/>
              <w:rPr>
                <w:rFonts w:ascii="Arial" w:hAnsi="Arial" w:cs="Arial"/>
                <w:color w:val="000000"/>
                <w:u w:val="double"/>
              </w:rPr>
            </w:pPr>
            <w:r>
              <w:rPr>
                <w:rFonts w:ascii="Arial" w:hAnsi="Arial" w:cs="Arial"/>
                <w:color w:val="000000"/>
                <w:u w:val="double"/>
              </w:rPr>
              <w:t xml:space="preserve">$8,205 </w:t>
            </w:r>
          </w:p>
        </w:tc>
      </w:tr>
      <w:tr w:rsidR="0074035A" w:rsidTr="0074035A">
        <w:trPr>
          <w:trHeight w:val="300"/>
        </w:trPr>
        <w:tc>
          <w:tcPr>
            <w:tcW w:w="1221" w:type="dxa"/>
            <w:tcBorders>
              <w:top w:val="nil"/>
              <w:left w:val="single" w:sz="4" w:space="0" w:color="auto"/>
              <w:bottom w:val="nil"/>
              <w:right w:val="nil"/>
            </w:tcBorders>
            <w:shd w:val="clear" w:color="auto" w:fill="auto"/>
            <w:noWrap/>
            <w:vAlign w:val="bottom"/>
            <w:hideMark/>
          </w:tcPr>
          <w:p w:rsidR="0074035A" w:rsidRDefault="0074035A">
            <w:pPr>
              <w:rPr>
                <w:rFonts w:ascii="Arial" w:hAnsi="Arial" w:cs="Arial"/>
              </w:rPr>
            </w:pPr>
            <w:r>
              <w:rPr>
                <w:rFonts w:ascii="Arial" w:hAnsi="Arial" w:cs="Arial"/>
              </w:rPr>
              <w:t> </w:t>
            </w:r>
          </w:p>
        </w:tc>
        <w:tc>
          <w:tcPr>
            <w:tcW w:w="3919" w:type="dxa"/>
            <w:tcBorders>
              <w:top w:val="nil"/>
              <w:left w:val="nil"/>
              <w:bottom w:val="nil"/>
              <w:right w:val="nil"/>
            </w:tcBorders>
            <w:shd w:val="clear" w:color="auto" w:fill="auto"/>
            <w:noWrap/>
            <w:vAlign w:val="bottom"/>
            <w:hideMark/>
          </w:tcPr>
          <w:p w:rsidR="0074035A" w:rsidRDefault="0074035A">
            <w:pPr>
              <w:rPr>
                <w:rFonts w:ascii="Arial" w:hAnsi="Arial" w:cs="Arial"/>
              </w:rPr>
            </w:pPr>
          </w:p>
        </w:tc>
        <w:tc>
          <w:tcPr>
            <w:tcW w:w="1420" w:type="dxa"/>
            <w:gridSpan w:val="2"/>
            <w:tcBorders>
              <w:top w:val="nil"/>
              <w:left w:val="nil"/>
              <w:bottom w:val="nil"/>
              <w:right w:val="nil"/>
            </w:tcBorders>
            <w:shd w:val="clear" w:color="auto" w:fill="auto"/>
            <w:noWrap/>
            <w:vAlign w:val="bottom"/>
            <w:hideMark/>
          </w:tcPr>
          <w:p w:rsidR="0074035A" w:rsidRDefault="0074035A">
            <w:pPr>
              <w:rPr>
                <w:rFonts w:ascii="Arial" w:hAnsi="Arial" w:cs="Arial"/>
              </w:rPr>
            </w:pPr>
          </w:p>
        </w:tc>
        <w:tc>
          <w:tcPr>
            <w:tcW w:w="480" w:type="dxa"/>
            <w:tcBorders>
              <w:top w:val="nil"/>
              <w:left w:val="nil"/>
              <w:bottom w:val="nil"/>
              <w:right w:val="nil"/>
            </w:tcBorders>
            <w:shd w:val="clear" w:color="auto" w:fill="auto"/>
            <w:noWrap/>
            <w:vAlign w:val="bottom"/>
            <w:hideMark/>
          </w:tcPr>
          <w:p w:rsidR="0074035A" w:rsidRDefault="0074035A">
            <w:pPr>
              <w:rPr>
                <w:rFonts w:ascii="Arial" w:hAnsi="Arial" w:cs="Arial"/>
              </w:rPr>
            </w:pPr>
          </w:p>
        </w:tc>
        <w:tc>
          <w:tcPr>
            <w:tcW w:w="1960" w:type="dxa"/>
            <w:tcBorders>
              <w:top w:val="nil"/>
              <w:left w:val="nil"/>
              <w:bottom w:val="nil"/>
              <w:right w:val="single" w:sz="4" w:space="0" w:color="auto"/>
            </w:tcBorders>
            <w:shd w:val="clear" w:color="auto" w:fill="auto"/>
            <w:noWrap/>
            <w:vAlign w:val="bottom"/>
            <w:hideMark/>
          </w:tcPr>
          <w:p w:rsidR="0074035A" w:rsidRDefault="0074035A">
            <w:pPr>
              <w:rPr>
                <w:rFonts w:ascii="Arial" w:hAnsi="Arial" w:cs="Arial"/>
              </w:rPr>
            </w:pPr>
            <w:r>
              <w:rPr>
                <w:rFonts w:ascii="Arial" w:hAnsi="Arial" w:cs="Arial"/>
              </w:rPr>
              <w:t> </w:t>
            </w:r>
          </w:p>
        </w:tc>
      </w:tr>
      <w:tr w:rsidR="0074035A" w:rsidTr="0074035A">
        <w:trPr>
          <w:trHeight w:val="300"/>
        </w:trPr>
        <w:tc>
          <w:tcPr>
            <w:tcW w:w="1221" w:type="dxa"/>
            <w:tcBorders>
              <w:top w:val="nil"/>
              <w:left w:val="single" w:sz="4" w:space="0" w:color="auto"/>
              <w:bottom w:val="single" w:sz="4" w:space="0" w:color="auto"/>
              <w:right w:val="nil"/>
            </w:tcBorders>
            <w:shd w:val="clear" w:color="auto" w:fill="auto"/>
            <w:noWrap/>
            <w:vAlign w:val="bottom"/>
            <w:hideMark/>
          </w:tcPr>
          <w:p w:rsidR="0074035A" w:rsidRDefault="0074035A">
            <w:pPr>
              <w:rPr>
                <w:rFonts w:ascii="Arial" w:hAnsi="Arial" w:cs="Arial"/>
              </w:rPr>
            </w:pPr>
            <w:r>
              <w:rPr>
                <w:rFonts w:ascii="Arial" w:hAnsi="Arial" w:cs="Arial"/>
              </w:rPr>
              <w:t> </w:t>
            </w:r>
          </w:p>
        </w:tc>
        <w:tc>
          <w:tcPr>
            <w:tcW w:w="3919" w:type="dxa"/>
            <w:tcBorders>
              <w:top w:val="nil"/>
              <w:left w:val="nil"/>
              <w:bottom w:val="single" w:sz="4" w:space="0" w:color="auto"/>
              <w:right w:val="nil"/>
            </w:tcBorders>
            <w:shd w:val="clear" w:color="auto" w:fill="auto"/>
            <w:noWrap/>
            <w:vAlign w:val="bottom"/>
            <w:hideMark/>
          </w:tcPr>
          <w:p w:rsidR="0074035A" w:rsidRDefault="0074035A">
            <w:pPr>
              <w:rPr>
                <w:rFonts w:ascii="Arial" w:hAnsi="Arial" w:cs="Arial"/>
              </w:rPr>
            </w:pPr>
            <w:r>
              <w:rPr>
                <w:rFonts w:ascii="Arial" w:hAnsi="Arial" w:cs="Arial"/>
              </w:rPr>
              <w:t> </w:t>
            </w:r>
          </w:p>
        </w:tc>
        <w:tc>
          <w:tcPr>
            <w:tcW w:w="1420" w:type="dxa"/>
            <w:gridSpan w:val="2"/>
            <w:tcBorders>
              <w:top w:val="nil"/>
              <w:left w:val="nil"/>
              <w:bottom w:val="single" w:sz="4" w:space="0" w:color="auto"/>
              <w:right w:val="nil"/>
            </w:tcBorders>
            <w:shd w:val="clear" w:color="auto" w:fill="auto"/>
            <w:noWrap/>
            <w:vAlign w:val="bottom"/>
            <w:hideMark/>
          </w:tcPr>
          <w:p w:rsidR="0074035A" w:rsidRDefault="0074035A">
            <w:pPr>
              <w:rPr>
                <w:rFonts w:ascii="Arial" w:hAnsi="Arial" w:cs="Arial"/>
                <w:color w:val="000000"/>
                <w:u w:val="double"/>
              </w:rPr>
            </w:pPr>
          </w:p>
        </w:tc>
        <w:tc>
          <w:tcPr>
            <w:tcW w:w="480" w:type="dxa"/>
            <w:tcBorders>
              <w:top w:val="nil"/>
              <w:left w:val="nil"/>
              <w:bottom w:val="single" w:sz="4" w:space="0" w:color="auto"/>
              <w:right w:val="nil"/>
            </w:tcBorders>
            <w:shd w:val="clear" w:color="auto" w:fill="auto"/>
            <w:noWrap/>
            <w:vAlign w:val="bottom"/>
            <w:hideMark/>
          </w:tcPr>
          <w:p w:rsidR="0074035A" w:rsidRDefault="0074035A">
            <w:pPr>
              <w:rPr>
                <w:rFonts w:ascii="Arial" w:hAnsi="Arial" w:cs="Arial"/>
              </w:rPr>
            </w:pPr>
          </w:p>
        </w:tc>
        <w:tc>
          <w:tcPr>
            <w:tcW w:w="1960" w:type="dxa"/>
            <w:tcBorders>
              <w:top w:val="nil"/>
              <w:left w:val="nil"/>
              <w:bottom w:val="single" w:sz="4" w:space="0" w:color="auto"/>
              <w:right w:val="single" w:sz="4" w:space="0" w:color="auto"/>
            </w:tcBorders>
            <w:shd w:val="clear" w:color="auto" w:fill="auto"/>
            <w:noWrap/>
            <w:vAlign w:val="bottom"/>
            <w:hideMark/>
          </w:tcPr>
          <w:p w:rsidR="0074035A" w:rsidRDefault="0074035A">
            <w:pPr>
              <w:rPr>
                <w:rFonts w:ascii="Arial" w:hAnsi="Arial" w:cs="Arial"/>
                <w:color w:val="000000"/>
                <w:u w:val="double"/>
              </w:rPr>
            </w:pPr>
          </w:p>
        </w:tc>
      </w:tr>
    </w:tbl>
    <w:p w:rsidR="00E43D1B" w:rsidRDefault="00E43D1B" w:rsidP="0074035A">
      <w:pPr>
        <w:pStyle w:val="BodyText"/>
      </w:pPr>
    </w:p>
    <w:sectPr w:rsidR="00E43D1B" w:rsidSect="0068481F">
      <w:headerReference w:type="default" r:id="rId2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EBA" w:rsidRDefault="00E77EBA">
      <w:r>
        <w:separator/>
      </w:r>
    </w:p>
  </w:endnote>
  <w:endnote w:type="continuationSeparator" w:id="0">
    <w:p w:rsidR="00E77EBA" w:rsidRDefault="00E7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BA" w:rsidRDefault="00E77EBA" w:rsidP="001B2C49">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4B75B5">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BA" w:rsidRDefault="00E77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EBA" w:rsidRDefault="00E77EBA">
      <w:r>
        <w:separator/>
      </w:r>
    </w:p>
  </w:footnote>
  <w:footnote w:type="continuationSeparator" w:id="0">
    <w:p w:rsidR="00E77EBA" w:rsidRDefault="00E77EBA">
      <w:r>
        <w:continuationSeparator/>
      </w:r>
    </w:p>
  </w:footnote>
  <w:footnote w:id="1">
    <w:p w:rsidR="00E77EBA" w:rsidRDefault="00E77EBA">
      <w:pPr>
        <w:pStyle w:val="FootnoteText"/>
      </w:pPr>
      <w:r>
        <w:rPr>
          <w:rStyle w:val="FootnoteReference"/>
        </w:rPr>
        <w:footnoteRef/>
      </w:r>
      <w:r>
        <w:t xml:space="preserve"> </w:t>
      </w:r>
      <w:proofErr w:type="gramStart"/>
      <w:r>
        <w:t>Order No.</w:t>
      </w:r>
      <w:proofErr w:type="gramEnd"/>
      <w:r>
        <w:t xml:space="preserve"> PSC-09-0541-FOF-WU, issued August 4, 2009, in Docket No. 080098-WU, In re: Application for certificate to provide water service in Sumter County by Cedar Acres, Inc.</w:t>
      </w:r>
    </w:p>
  </w:footnote>
  <w:footnote w:id="2">
    <w:p w:rsidR="00E77EBA" w:rsidRPr="0073059C" w:rsidRDefault="00E77EBA" w:rsidP="000F7E60">
      <w:pPr>
        <w:pStyle w:val="FootnoteText"/>
      </w:pPr>
      <w:r>
        <w:rPr>
          <w:rStyle w:val="FootnoteReference"/>
        </w:rPr>
        <w:footnoteRef/>
      </w:r>
      <w:r>
        <w:t>Order Nos. PSC-13-0140-PAA-WU, issued March 25, 2013, in Docket No. 120183-WU,</w:t>
      </w:r>
      <w:r w:rsidRPr="0073059C">
        <w:t xml:space="preserve"> In re: Application for staff assisted rate case in Lake County by TLP Water, Inc.; PSC-12-0410-PAA-SU, issued August 13, 2012, in Docket No. 110165-SU, In re: Application for staff-assisted rate case in Highlands County by Utility Corporation of Florida, Inc.; and PSC-10-0681-PAA-WU, issued November 15, 2010, in Docket No. 090414-WU, In re: Application for staff-assisted rate case in Polk County by </w:t>
      </w:r>
      <w:proofErr w:type="spellStart"/>
      <w:r w:rsidRPr="0073059C">
        <w:t>Pinecrest</w:t>
      </w:r>
      <w:proofErr w:type="spellEnd"/>
      <w:r w:rsidRPr="0073059C">
        <w:t xml:space="preserve"> Ranches, Inc.</w:t>
      </w:r>
    </w:p>
  </w:footnote>
  <w:footnote w:id="3">
    <w:p w:rsidR="00E77EBA" w:rsidRPr="0073059C" w:rsidRDefault="00E77EBA" w:rsidP="000F7E60">
      <w:pPr>
        <w:pStyle w:val="FootnoteText"/>
      </w:pPr>
      <w:r w:rsidRPr="0073059C">
        <w:rPr>
          <w:rStyle w:val="FootnoteReference"/>
        </w:rPr>
        <w:footnoteRef/>
      </w:r>
      <w:r w:rsidRPr="0073059C">
        <w:t>Order Nos. PSC-14-0272-PAA-WS, issued May 29, 2014, and PSC-14-0323-CO-WS, issued June 24, 2014, in Docket No. 140006-WS, In re: Water and Wastewater Industry Annual Reestablishment of Authorized Range of Return on Common Equity for Water and Wastewater Utilities Pursuant to Section 367.081(4</w:t>
      </w:r>
      <w:proofErr w:type="gramStart"/>
      <w:r w:rsidRPr="0073059C">
        <w:t>)(</w:t>
      </w:r>
      <w:proofErr w:type="gramEnd"/>
      <w:r w:rsidRPr="0073059C">
        <w:t>f), Florida Statutes.</w:t>
      </w:r>
    </w:p>
  </w:footnote>
  <w:footnote w:id="4">
    <w:p w:rsidR="00E77EBA" w:rsidRPr="0073059C" w:rsidRDefault="00E77EBA" w:rsidP="00F970C7">
      <w:pPr>
        <w:pStyle w:val="FootnoteText"/>
      </w:pPr>
      <w:r>
        <w:rPr>
          <w:rStyle w:val="FootnoteReference"/>
        </w:rPr>
        <w:footnoteRef/>
      </w:r>
      <w:r w:rsidRPr="0073059C">
        <w:t xml:space="preserve"> </w:t>
      </w:r>
      <w:proofErr w:type="gramStart"/>
      <w:r w:rsidRPr="0073059C">
        <w:t>Order No.</w:t>
      </w:r>
      <w:proofErr w:type="gramEnd"/>
      <w:r w:rsidRPr="0073059C">
        <w:t xml:space="preserve"> PSC-11-0368-PAA-WU, issued September 1, 2011, in Docket No. 100128-WU, In re: Application for increase in water rates in Gulf County by Lighthouse Utilities Company, Inc.</w:t>
      </w:r>
    </w:p>
    <w:p w:rsidR="00E77EBA" w:rsidRPr="0073059C" w:rsidRDefault="00E77EBA" w:rsidP="00F970C7">
      <w:pPr>
        <w:pStyle w:val="FootnoteText"/>
      </w:pPr>
    </w:p>
  </w:footnote>
  <w:footnote w:id="5">
    <w:p w:rsidR="00E77EBA" w:rsidRPr="0073059C" w:rsidRDefault="00E77EBA" w:rsidP="00F970C7">
      <w:pPr>
        <w:pStyle w:val="FootnoteText"/>
      </w:pPr>
      <w:r w:rsidRPr="0073059C">
        <w:rPr>
          <w:rStyle w:val="FootnoteReference"/>
        </w:rPr>
        <w:footnoteRef/>
      </w:r>
      <w:r w:rsidRPr="0073059C">
        <w:t xml:space="preserve"> </w:t>
      </w:r>
      <w:proofErr w:type="gramStart"/>
      <w:r w:rsidRPr="0073059C">
        <w:t>Order No.</w:t>
      </w:r>
      <w:proofErr w:type="gramEnd"/>
      <w:r w:rsidRPr="0073059C">
        <w:t xml:space="preserve"> PSC-11-0444-PAA-SU, issued October 7, 2011, in Docket No. 100471-SU, In re:  Application for staff-assisted rate case in Marion County by S &amp; L Utilities, Inc.</w:t>
      </w:r>
    </w:p>
  </w:footnote>
  <w:footnote w:id="6">
    <w:p w:rsidR="00E77EBA" w:rsidRPr="0073059C" w:rsidRDefault="00E77EBA" w:rsidP="00F970C7">
      <w:pPr>
        <w:pStyle w:val="FootnoteText"/>
      </w:pPr>
      <w:r w:rsidRPr="0073059C">
        <w:rPr>
          <w:rStyle w:val="FootnoteReference"/>
        </w:rPr>
        <w:footnoteRef/>
      </w:r>
      <w:r w:rsidRPr="0073059C">
        <w:t xml:space="preserve"> Sunshine Utilities of Central Florida v. Florida Public Service Commission, 624 So. 2d 306 (Fla. 1st DCA 1993)</w:t>
      </w:r>
    </w:p>
  </w:footnote>
  <w:footnote w:id="7">
    <w:p w:rsidR="00E77EBA" w:rsidRPr="0073059C" w:rsidRDefault="00E77EBA" w:rsidP="00F970C7">
      <w:pPr>
        <w:pStyle w:val="FootnoteText"/>
      </w:pPr>
      <w:r w:rsidRPr="0073059C">
        <w:rPr>
          <w:rStyle w:val="FootnoteReference"/>
        </w:rPr>
        <w:footnoteRef/>
      </w:r>
      <w:r w:rsidRPr="0073059C">
        <w:t xml:space="preserve"> In reaching its decision, the First DCA cited Metropolitan Dade County Water &amp; Wastewater Bd. v. Community Utilities Corp., 200 </w:t>
      </w:r>
      <w:proofErr w:type="gramStart"/>
      <w:r w:rsidRPr="0073059C">
        <w:t>So</w:t>
      </w:r>
      <w:proofErr w:type="gramEnd"/>
      <w:r w:rsidRPr="0073059C">
        <w:t>. 2d 831, 833 (Fla. 3d DCA 1967)</w:t>
      </w:r>
    </w:p>
  </w:footnote>
  <w:footnote w:id="8">
    <w:p w:rsidR="00E77EBA" w:rsidRPr="0073059C" w:rsidRDefault="00E77EBA" w:rsidP="00F970C7">
      <w:pPr>
        <w:pStyle w:val="FootnoteText"/>
      </w:pPr>
      <w:r w:rsidRPr="0073059C">
        <w:rPr>
          <w:rStyle w:val="FootnoteReference"/>
        </w:rPr>
        <w:footnoteRef/>
      </w:r>
      <w:r w:rsidRPr="0073059C">
        <w:t xml:space="preserve"> Specifically, the Commission price indices used were 2.41 percent for 2012, 1.63 percent for 2013, 1.41 percent for 2014, and 1.57 percent for 2015.</w:t>
      </w:r>
    </w:p>
  </w:footnote>
  <w:footnote w:id="9">
    <w:p w:rsidR="00E77EBA" w:rsidRPr="0073059C" w:rsidRDefault="00E77EBA" w:rsidP="00F970C7">
      <w:pPr>
        <w:pStyle w:val="FootnoteText"/>
      </w:pPr>
      <w:r>
        <w:rPr>
          <w:rStyle w:val="FootnoteReference"/>
        </w:rPr>
        <w:footnoteRef/>
      </w:r>
      <w:r w:rsidRPr="0073059C">
        <w:t xml:space="preserve"> Order Nos. PSC-10-0124-PAA-WU, issued March 1, 2010, in Docket No. 090244-WU, In re: Application for staff-assisted rate case in Lake County by TLP Water, Inc.; and PSC-09-0790-PAA-WU, issued November 30, 2009, in Docket No. 090170-WU,  In re: Application for staff-assisted rate case in Lee County by Mobile Manor Water.</w:t>
      </w:r>
    </w:p>
  </w:footnote>
  <w:footnote w:id="10">
    <w:p w:rsidR="00E77EBA" w:rsidRPr="0073059C" w:rsidRDefault="00E77EBA" w:rsidP="00877001">
      <w:pPr>
        <w:pStyle w:val="FootnoteText"/>
      </w:pPr>
      <w:r>
        <w:rPr>
          <w:rStyle w:val="FootnoteReference"/>
        </w:rPr>
        <w:footnoteRef/>
      </w:r>
      <w:r>
        <w:t xml:space="preserve"> </w:t>
      </w:r>
      <w:proofErr w:type="gramStart"/>
      <w:r w:rsidRPr="0073059C">
        <w:t>Issued March 13, 1996, in Docket No. 950641-WU, In re: Application for staff-assisted rate case in Palm Beach County by Lake Osborne Utilities Company, Inc.</w:t>
      </w:r>
      <w:proofErr w:type="gramEnd"/>
    </w:p>
  </w:footnote>
  <w:footnote w:id="11">
    <w:p w:rsidR="00E77EBA" w:rsidRPr="0073059C" w:rsidRDefault="00E77EBA" w:rsidP="00877001">
      <w:pPr>
        <w:pStyle w:val="FootnoteText"/>
      </w:pPr>
      <w:r w:rsidRPr="0073059C">
        <w:rPr>
          <w:rStyle w:val="FootnoteReference"/>
        </w:rPr>
        <w:footnoteRef/>
      </w:r>
      <w:r w:rsidRPr="0073059C">
        <w:t xml:space="preserve"> </w:t>
      </w:r>
      <w:proofErr w:type="gramStart"/>
      <w:r w:rsidRPr="0073059C">
        <w:t>Issued February 10, 1997, in Docket No. 960561-SU, In re: Application for staff-assisted rate case in Citrus County by Indian Springs Utilities, Inc.</w:t>
      </w:r>
      <w:proofErr w:type="gramEnd"/>
      <w:r w:rsidRPr="0073059C">
        <w:t xml:space="preserve"> </w:t>
      </w:r>
    </w:p>
  </w:footnote>
  <w:footnote w:id="12">
    <w:p w:rsidR="00E77EBA" w:rsidRPr="0073059C" w:rsidRDefault="00E77EBA" w:rsidP="00877001">
      <w:pPr>
        <w:pStyle w:val="FootnoteText"/>
      </w:pPr>
      <w:r w:rsidRPr="0073059C">
        <w:rPr>
          <w:rStyle w:val="FootnoteReference"/>
        </w:rPr>
        <w:footnoteRef/>
      </w:r>
      <w:r w:rsidRPr="0073059C">
        <w:t xml:space="preserve"> </w:t>
      </w:r>
      <w:proofErr w:type="gramStart"/>
      <w:r w:rsidRPr="0073059C">
        <w:t>Issued July 16, 2013, in Docket No. 120270-SU, In re: Application for staff-assisted rate case in Polk County by West Lakeland Wastewater, LLC.</w:t>
      </w:r>
      <w:proofErr w:type="gramEnd"/>
    </w:p>
  </w:footnote>
  <w:footnote w:id="13">
    <w:p w:rsidR="00E77EBA" w:rsidRDefault="00E77EBA" w:rsidP="00877001">
      <w:pPr>
        <w:pStyle w:val="FootnoteText"/>
      </w:pPr>
      <w:r>
        <w:rPr>
          <w:rStyle w:val="FootnoteReference"/>
        </w:rPr>
        <w:footnoteRef/>
      </w:r>
      <w:r>
        <w:t>The operating margin using operating ratio methodology equals $9,420 and the return on investment using rate base methodology equals $5,606.</w:t>
      </w:r>
    </w:p>
  </w:footnote>
  <w:footnote w:id="14">
    <w:p w:rsidR="00E77EBA" w:rsidRPr="00821A87" w:rsidRDefault="00E77EBA" w:rsidP="00C87B35">
      <w:pPr>
        <w:pStyle w:val="FootnoteText"/>
      </w:pPr>
      <w:r w:rsidRPr="00821A87">
        <w:rPr>
          <w:rStyle w:val="FootnoteReference"/>
        </w:rPr>
        <w:footnoteRef/>
      </w:r>
      <w:r w:rsidRPr="00821A87">
        <w:t>Order Nos. PSC-11-0204-TRF-SU, in Docket No. 100413-SU, issued April 25, 2011, In re:  Request for approval of tariff amendment to include a late fee of $14.00 in Polk County by West Lakeland Wastewater.; PSC-08-0255-PAA-WS, in Docket No. 070391-WS, issued April 24, 2008, In re:  Application for certificates to provide water and wastewater service in Sumter County by Orange Blossom Utilities, Inc.; and PSC-01-2101-TRF-WS, in Docket No. 011122-WS, issued October 22, 2001, In re: Tariff filing to establish a late payment charge in Highlands County by Damon Utilities, Inc.</w:t>
      </w:r>
    </w:p>
  </w:footnote>
  <w:footnote w:id="15">
    <w:p w:rsidR="00E77EBA" w:rsidRPr="00821A87" w:rsidRDefault="00E77EBA" w:rsidP="00C87B35">
      <w:pPr>
        <w:pStyle w:val="FootnoteText"/>
      </w:pPr>
      <w:r>
        <w:rPr>
          <w:rStyle w:val="FootnoteReference"/>
        </w:rPr>
        <w:footnoteRef/>
      </w:r>
      <w:r>
        <w:t>O</w:t>
      </w:r>
      <w:r w:rsidRPr="00821A87">
        <w:t xml:space="preserve">rder Nos. PSC-01-2101-TRF-WS, in Docket No. 011122-WS, issued October 22, 2001, In re: Tariff filing to establish a late payment charge in Highlands County by Damon Utilities, Inc.; PSC-08-0255-PAA-WS, in Docket No. 070391-WS, issued April 24, 2008, In re:  Application for certificates to provide water and wastewater service in Sumter County by Orange Blossom Utilities, Inc.; PSC-09-0752-PAA-WU, in Docket No. 090185-WU, issued November 16, 2009, In re: Application for grandfather certificate to operate water utility in St. Johns County by </w:t>
      </w:r>
      <w:proofErr w:type="spellStart"/>
      <w:r w:rsidRPr="00821A87">
        <w:t>Camachee</w:t>
      </w:r>
      <w:proofErr w:type="spellEnd"/>
      <w:r w:rsidRPr="00821A87">
        <w:t xml:space="preserve"> Island Company, Inc. d/b/a </w:t>
      </w:r>
      <w:proofErr w:type="spellStart"/>
      <w:r w:rsidRPr="00821A87">
        <w:t>Camachee</w:t>
      </w:r>
      <w:proofErr w:type="spellEnd"/>
      <w:r w:rsidRPr="00821A87">
        <w:t xml:space="preserve"> Cove Yacht Harbor Utility.; PSC-10-0257-TRF-WU, in Docket No. 090429-WU, issued April 26, 2010, In re: Request for approval of imposition of miscellaneous service charges, delinquent payment charge and meter tampering charge in Lake County, by Pine </w:t>
      </w:r>
      <w:proofErr w:type="spellStart"/>
      <w:r w:rsidRPr="00821A87">
        <w:t>Harbour</w:t>
      </w:r>
      <w:proofErr w:type="spellEnd"/>
      <w:r w:rsidRPr="00821A87">
        <w:t xml:space="preserve"> Water Utilities, LLC.; and  PSC-11-0204-TRF-SU, in Docket No. 100413-SU, issued April 25, 2011, In re:  Request for approval of tariff amendment to include a late fee of $14.00 in Polk County by West Lakeland Wastewater.PSC-14-0105-TRF-WS, in Docket No. 130288-WS, issued February 20, 2014, In re: Request for approval of late payment charge in Brevard County by </w:t>
      </w:r>
      <w:proofErr w:type="spellStart"/>
      <w:r w:rsidRPr="00821A87">
        <w:t>Aquarina</w:t>
      </w:r>
      <w:proofErr w:type="spellEnd"/>
      <w:r w:rsidRPr="00821A87">
        <w:t xml:space="preserve"> Utilities, Inc.</w:t>
      </w:r>
    </w:p>
  </w:footnote>
  <w:footnote w:id="16">
    <w:p w:rsidR="00E77EBA" w:rsidRDefault="00E77EBA" w:rsidP="00035306">
      <w:pPr>
        <w:pStyle w:val="FootnoteText"/>
      </w:pPr>
      <w:r>
        <w:rPr>
          <w:rStyle w:val="FootnoteReference"/>
        </w:rPr>
        <w:footnoteRef/>
      </w:r>
      <w:proofErr w:type="gramStart"/>
      <w:r>
        <w:t>Order No.</w:t>
      </w:r>
      <w:proofErr w:type="gramEnd"/>
      <w:r>
        <w:t xml:space="preserve"> PSC-09-0263-TRF-WU, in Docket No. 080562-WU,  issued April 27, 2009, </w:t>
      </w:r>
      <w:r w:rsidRPr="00BA4FA0">
        <w:t xml:space="preserve">In re: </w:t>
      </w:r>
      <w:bookmarkStart w:id="32" w:name="SSInRe"/>
      <w:bookmarkEnd w:id="32"/>
      <w:r w:rsidRPr="00BA4FA0">
        <w:t xml:space="preserve">Request for approval of amendment to connection/transfer sheets, increase in returned check charge, amendment to miscellaneous service charges, increase in meter installation charges, and imposition of new tap-in fee, in Marion County, by East Marion Sanitary Systems Inc., </w:t>
      </w:r>
      <w:r>
        <w:t>the Commission approved a normal  hour $45 disconnection charge and a $50 reconnection charge for a combined total of $90 for the violation reconnection. The combined after hours charge was approved at $155 for the violation reconnection.</w:t>
      </w:r>
    </w:p>
  </w:footnote>
  <w:footnote w:id="17">
    <w:p w:rsidR="00E77EBA" w:rsidRPr="00BA4FA0" w:rsidRDefault="00E77EBA" w:rsidP="00FB1921">
      <w:pPr>
        <w:pStyle w:val="FootnoteText"/>
      </w:pPr>
      <w:r>
        <w:rPr>
          <w:rStyle w:val="FootnoteReference"/>
        </w:rPr>
        <w:footnoteRef/>
      </w:r>
      <w:r>
        <w:t xml:space="preserve">Order Nos. PSC-14-0198-TRF-SU, issued May 2, 2014, in Docket No. 140030-SU, </w:t>
      </w:r>
      <w:r w:rsidRPr="00BA4FA0">
        <w:t>In re: Request for approval to amend Miscellaneous Service charges to include all NSF charges by Environmental Protection Systems of Pine Island, Inc., and PSC-13-0646-PAA-WU, issued December 5, 2013, in Docket No. 130025-WU, In re: Application for increase in water rates in Highlands County by Placid Lakes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BA" w:rsidRDefault="00E77EBA" w:rsidP="00220732">
    <w:pPr>
      <w:pStyle w:val="Header"/>
      <w:tabs>
        <w:tab w:val="clear" w:pos="4320"/>
        <w:tab w:val="clear" w:pos="8640"/>
        <w:tab w:val="right" w:pos="9360"/>
      </w:tabs>
    </w:pPr>
    <w:bookmarkStart w:id="14" w:name="DocketLabel"/>
    <w:r>
      <w:t>Docket No.</w:t>
    </w:r>
    <w:bookmarkEnd w:id="14"/>
    <w:r>
      <w:t xml:space="preserve"> </w:t>
    </w:r>
    <w:bookmarkStart w:id="15" w:name="DocketList"/>
    <w:r>
      <w:t>140217-WU</w:t>
    </w:r>
    <w:bookmarkEnd w:id="15"/>
  </w:p>
  <w:p w:rsidR="00E77EBA" w:rsidRDefault="00E77EBA">
    <w:pPr>
      <w:pStyle w:val="Header"/>
    </w:pPr>
    <w:r>
      <w:t xml:space="preserve">Date: </w:t>
    </w:r>
    <w:r w:rsidR="00BC3D1A">
      <w:fldChar w:fldCharType="begin"/>
    </w:r>
    <w:r w:rsidR="00BC3D1A">
      <w:instrText xml:space="preserve"> REF FilingDate </w:instrText>
    </w:r>
    <w:r w:rsidR="00BC3D1A">
      <w:fldChar w:fldCharType="separate"/>
    </w:r>
    <w:r w:rsidR="000C12D8">
      <w:t>October 1, 2015</w:t>
    </w:r>
    <w:r w:rsidR="00BC3D1A">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BA" w:rsidRPr="00A25E7A" w:rsidRDefault="00E77EBA" w:rsidP="00220732">
    <w:pPr>
      <w:pStyle w:val="Header"/>
      <w:tabs>
        <w:tab w:val="clear" w:pos="4320"/>
        <w:tab w:val="clear" w:pos="8640"/>
        <w:tab w:val="right" w:pos="9360"/>
      </w:tabs>
    </w:pPr>
    <w:r>
      <w:fldChar w:fldCharType="begin"/>
    </w:r>
    <w:r>
      <w:instrText xml:space="preserve"> REF DocketLabel</w:instrText>
    </w:r>
    <w:r>
      <w:fldChar w:fldCharType="separate"/>
    </w:r>
    <w:r w:rsidR="000C12D8">
      <w:t>Docket No.</w:t>
    </w:r>
    <w:r>
      <w:fldChar w:fldCharType="end"/>
    </w:r>
    <w:r>
      <w:t xml:space="preserve"> </w:t>
    </w:r>
    <w:r>
      <w:fldChar w:fldCharType="begin"/>
    </w:r>
    <w:r>
      <w:instrText xml:space="preserve"> REF DocketList</w:instrText>
    </w:r>
    <w:r>
      <w:fldChar w:fldCharType="separate"/>
    </w:r>
    <w:r w:rsidR="000C12D8">
      <w:t>140217-WU</w:t>
    </w:r>
    <w:r>
      <w:fldChar w:fldCharType="end"/>
    </w:r>
    <w:r>
      <w:tab/>
      <w:t>Schedule 3-C</w:t>
    </w:r>
  </w:p>
  <w:p w:rsidR="00E77EBA" w:rsidRDefault="00E77EBA">
    <w:pPr>
      <w:pStyle w:val="Header"/>
    </w:pPr>
    <w:r>
      <w:t xml:space="preserve">Date: </w:t>
    </w:r>
    <w:r w:rsidR="00BC3D1A">
      <w:fldChar w:fldCharType="begin"/>
    </w:r>
    <w:r w:rsidR="00BC3D1A">
      <w:instrText xml:space="preserve"> REF FilingDate </w:instrText>
    </w:r>
    <w:r w:rsidR="00BC3D1A">
      <w:fldChar w:fldCharType="separate"/>
    </w:r>
    <w:r w:rsidR="000C12D8">
      <w:t>October 1, 2015</w:t>
    </w:r>
    <w:r w:rsidR="00BC3D1A">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BA" w:rsidRDefault="00E77EBA" w:rsidP="00220732">
    <w:pPr>
      <w:pStyle w:val="Header"/>
      <w:tabs>
        <w:tab w:val="clear" w:pos="4320"/>
        <w:tab w:val="clear" w:pos="8640"/>
        <w:tab w:val="right" w:pos="9360"/>
      </w:tabs>
    </w:pPr>
    <w:r>
      <w:fldChar w:fldCharType="begin"/>
    </w:r>
    <w:r>
      <w:instrText xml:space="preserve"> REF DocketLabel</w:instrText>
    </w:r>
    <w:r>
      <w:fldChar w:fldCharType="separate"/>
    </w:r>
    <w:r w:rsidR="000C12D8">
      <w:t>Docket No.</w:t>
    </w:r>
    <w:r>
      <w:fldChar w:fldCharType="end"/>
    </w:r>
    <w:r>
      <w:t xml:space="preserve"> </w:t>
    </w:r>
    <w:r>
      <w:fldChar w:fldCharType="begin"/>
    </w:r>
    <w:r>
      <w:instrText xml:space="preserve"> REF DocketList</w:instrText>
    </w:r>
    <w:r>
      <w:fldChar w:fldCharType="separate"/>
    </w:r>
    <w:r w:rsidR="000C12D8">
      <w:t>140217-WU</w:t>
    </w:r>
    <w:r>
      <w:fldChar w:fldCharType="end"/>
    </w:r>
    <w:r>
      <w:tab/>
      <w:t>Schedule 4-A</w:t>
    </w:r>
  </w:p>
  <w:p w:rsidR="00E77EBA" w:rsidRDefault="00E77EBA">
    <w:pPr>
      <w:pStyle w:val="Header"/>
    </w:pPr>
    <w:r>
      <w:t xml:space="preserve">Date: </w:t>
    </w:r>
    <w:r w:rsidR="00BC3D1A">
      <w:fldChar w:fldCharType="begin"/>
    </w:r>
    <w:r w:rsidR="00BC3D1A">
      <w:instrText xml:space="preserve"> REF FilingDate </w:instrText>
    </w:r>
    <w:r w:rsidR="00BC3D1A">
      <w:fldChar w:fldCharType="separate"/>
    </w:r>
    <w:r w:rsidR="000C12D8">
      <w:t>October 1, 2015</w:t>
    </w:r>
    <w:r w:rsidR="00BC3D1A">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BA" w:rsidRDefault="00E77EBA" w:rsidP="00220732">
    <w:pPr>
      <w:pStyle w:val="Header"/>
      <w:tabs>
        <w:tab w:val="clear" w:pos="4320"/>
        <w:tab w:val="clear" w:pos="8640"/>
        <w:tab w:val="right" w:pos="9360"/>
      </w:tabs>
    </w:pPr>
    <w:r>
      <w:fldChar w:fldCharType="begin"/>
    </w:r>
    <w:r>
      <w:instrText xml:space="preserve"> REF DocketLabel</w:instrText>
    </w:r>
    <w:r>
      <w:fldChar w:fldCharType="separate"/>
    </w:r>
    <w:r w:rsidR="000C12D8">
      <w:t>Docket No.</w:t>
    </w:r>
    <w:r>
      <w:fldChar w:fldCharType="end"/>
    </w:r>
    <w:r>
      <w:t xml:space="preserve"> </w:t>
    </w:r>
    <w:r>
      <w:fldChar w:fldCharType="begin"/>
    </w:r>
    <w:r>
      <w:instrText xml:space="preserve"> REF DocketList</w:instrText>
    </w:r>
    <w:r>
      <w:fldChar w:fldCharType="separate"/>
    </w:r>
    <w:r w:rsidR="000C12D8">
      <w:t>140217-WU</w:t>
    </w:r>
    <w:r>
      <w:fldChar w:fldCharType="end"/>
    </w:r>
    <w:r>
      <w:tab/>
      <w:t>Schedule 4-B</w:t>
    </w:r>
  </w:p>
  <w:p w:rsidR="00E77EBA" w:rsidRDefault="00E77EBA">
    <w:pPr>
      <w:pStyle w:val="Header"/>
    </w:pPr>
    <w:r>
      <w:t xml:space="preserve">Date: </w:t>
    </w:r>
    <w:r w:rsidR="00BC3D1A">
      <w:fldChar w:fldCharType="begin"/>
    </w:r>
    <w:r w:rsidR="00BC3D1A">
      <w:instrText xml:space="preserve"> REF FilingDate </w:instrText>
    </w:r>
    <w:r w:rsidR="00BC3D1A">
      <w:fldChar w:fldCharType="separate"/>
    </w:r>
    <w:r w:rsidR="000C12D8">
      <w:t>October 1, 2015</w:t>
    </w:r>
    <w:r w:rsidR="00BC3D1A">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BA" w:rsidRDefault="00E77EBA" w:rsidP="00220732">
    <w:pPr>
      <w:pStyle w:val="Header"/>
      <w:tabs>
        <w:tab w:val="clear" w:pos="4320"/>
        <w:tab w:val="clear" w:pos="8640"/>
        <w:tab w:val="right" w:pos="9360"/>
      </w:tabs>
    </w:pPr>
    <w:r>
      <w:fldChar w:fldCharType="begin"/>
    </w:r>
    <w:r>
      <w:instrText xml:space="preserve"> REF DocketLabel</w:instrText>
    </w:r>
    <w:r>
      <w:fldChar w:fldCharType="separate"/>
    </w:r>
    <w:r w:rsidR="000C12D8">
      <w:t>Docket No.</w:t>
    </w:r>
    <w:r>
      <w:fldChar w:fldCharType="end"/>
    </w:r>
    <w:r>
      <w:t xml:space="preserve"> </w:t>
    </w:r>
    <w:r>
      <w:fldChar w:fldCharType="begin"/>
    </w:r>
    <w:r>
      <w:instrText xml:space="preserve"> REF DocketList</w:instrText>
    </w:r>
    <w:r>
      <w:fldChar w:fldCharType="separate"/>
    </w:r>
    <w:r w:rsidR="000C12D8">
      <w:t>140217-WU</w:t>
    </w:r>
    <w:r>
      <w:fldChar w:fldCharType="end"/>
    </w:r>
    <w:r>
      <w:tab/>
      <w:t>Attachment A</w:t>
    </w:r>
  </w:p>
  <w:p w:rsidR="00E77EBA" w:rsidRDefault="00E77EBA">
    <w:pPr>
      <w:pStyle w:val="Header"/>
    </w:pPr>
    <w:r>
      <w:t xml:space="preserve">Date: </w:t>
    </w:r>
    <w:r w:rsidR="00BC3D1A">
      <w:fldChar w:fldCharType="begin"/>
    </w:r>
    <w:r w:rsidR="00BC3D1A">
      <w:instrText xml:space="preserve"> REF FilingDate </w:instrText>
    </w:r>
    <w:r w:rsidR="00BC3D1A">
      <w:fldChar w:fldCharType="separate"/>
    </w:r>
    <w:r w:rsidR="000C12D8">
      <w:t>October 1, 2015</w:t>
    </w:r>
    <w:r w:rsidR="00BC3D1A">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BA" w:rsidRDefault="00E77EBA" w:rsidP="0022721E">
    <w:pPr>
      <w:pStyle w:val="Header"/>
      <w:tabs>
        <w:tab w:val="clear" w:pos="4320"/>
        <w:tab w:val="clear" w:pos="8640"/>
        <w:tab w:val="right" w:pos="9360"/>
      </w:tabs>
    </w:pPr>
    <w:r>
      <w:t>Docket No. 140217-WU</w:t>
    </w:r>
    <w:r>
      <w:tab/>
      <w:t xml:space="preserve">Issue </w:t>
    </w:r>
    <w:r w:rsidR="00BC3D1A">
      <w:fldChar w:fldCharType="begin"/>
    </w:r>
    <w:r w:rsidR="00BC3D1A">
      <w:instrText xml:space="preserve"> Seq Issue \c \* Arabic </w:instrText>
    </w:r>
    <w:r w:rsidR="00BC3D1A">
      <w:fldChar w:fldCharType="separate"/>
    </w:r>
    <w:r w:rsidR="004B75B5">
      <w:rPr>
        <w:noProof/>
      </w:rPr>
      <w:t>1</w:t>
    </w:r>
    <w:r w:rsidR="00BC3D1A">
      <w:rPr>
        <w:noProof/>
      </w:rPr>
      <w:fldChar w:fldCharType="end"/>
    </w:r>
  </w:p>
  <w:p w:rsidR="00E77EBA" w:rsidRDefault="00E77EBA" w:rsidP="0022721E">
    <w:pPr>
      <w:pStyle w:val="Header"/>
    </w:pPr>
    <w:r>
      <w:t xml:space="preserve">Date: </w:t>
    </w:r>
    <w:r w:rsidR="00BC3D1A">
      <w:fldChar w:fldCharType="begin"/>
    </w:r>
    <w:r w:rsidR="00BC3D1A">
      <w:instrText xml:space="preserve"> REF FilingDate </w:instrText>
    </w:r>
    <w:r w:rsidR="00BC3D1A">
      <w:fldChar w:fldCharType="separate"/>
    </w:r>
    <w:r w:rsidR="000C12D8">
      <w:t>October 1, 2015</w:t>
    </w:r>
    <w:r w:rsidR="00BC3D1A">
      <w:fldChar w:fldCharType="end"/>
    </w:r>
  </w:p>
  <w:p w:rsidR="00E77EBA" w:rsidRPr="00D73BD4" w:rsidRDefault="00E77EBA" w:rsidP="00F671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BA" w:rsidRDefault="00E77EBA" w:rsidP="00220732">
    <w:pPr>
      <w:pStyle w:val="Header"/>
      <w:tabs>
        <w:tab w:val="clear" w:pos="4320"/>
        <w:tab w:val="clear" w:pos="8640"/>
        <w:tab w:val="right" w:pos="9360"/>
      </w:tabs>
    </w:pPr>
    <w:r>
      <w:fldChar w:fldCharType="begin"/>
    </w:r>
    <w:r>
      <w:instrText xml:space="preserve"> REF DocketLabel</w:instrText>
    </w:r>
    <w:r>
      <w:fldChar w:fldCharType="separate"/>
    </w:r>
    <w:r w:rsidR="000C12D8">
      <w:t>Docket No.</w:t>
    </w:r>
    <w:r>
      <w:fldChar w:fldCharType="end"/>
    </w:r>
    <w:r>
      <w:t xml:space="preserve"> </w:t>
    </w:r>
    <w:r>
      <w:fldChar w:fldCharType="begin"/>
    </w:r>
    <w:r>
      <w:instrText xml:space="preserve"> REF DocketList</w:instrText>
    </w:r>
    <w:r>
      <w:fldChar w:fldCharType="separate"/>
    </w:r>
    <w:r w:rsidR="000C12D8">
      <w:t>140217-WU</w:t>
    </w:r>
    <w:r>
      <w:fldChar w:fldCharType="end"/>
    </w:r>
    <w:r>
      <w:tab/>
    </w:r>
    <w:r w:rsidRPr="001C03A8">
      <w:t xml:space="preserve">Issue </w:t>
    </w:r>
    <w:r w:rsidR="00BC3D1A">
      <w:fldChar w:fldCharType="begin"/>
    </w:r>
    <w:r w:rsidR="00BC3D1A">
      <w:instrText xml:space="preserve"> Seq Issue \c \* Arabic </w:instrText>
    </w:r>
    <w:r w:rsidR="00BC3D1A">
      <w:fldChar w:fldCharType="separate"/>
    </w:r>
    <w:r w:rsidR="004B75B5">
      <w:rPr>
        <w:noProof/>
      </w:rPr>
      <w:t>15</w:t>
    </w:r>
    <w:r w:rsidR="00BC3D1A">
      <w:rPr>
        <w:noProof/>
      </w:rPr>
      <w:fldChar w:fldCharType="end"/>
    </w:r>
  </w:p>
  <w:p w:rsidR="00E77EBA" w:rsidRDefault="00E77EBA">
    <w:pPr>
      <w:pStyle w:val="Header"/>
    </w:pPr>
    <w:r>
      <w:t xml:space="preserve">Date: </w:t>
    </w:r>
    <w:r w:rsidR="00BC3D1A">
      <w:fldChar w:fldCharType="begin"/>
    </w:r>
    <w:r w:rsidR="00BC3D1A">
      <w:instrText xml:space="preserve"> REF FilingDate </w:instrText>
    </w:r>
    <w:r w:rsidR="00BC3D1A">
      <w:fldChar w:fldCharType="separate"/>
    </w:r>
    <w:r w:rsidR="000C12D8">
      <w:t>October 1, 2015</w:t>
    </w:r>
    <w:r w:rsidR="00BC3D1A">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BA" w:rsidRDefault="00E77EB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BA" w:rsidRPr="00A25E7A" w:rsidRDefault="00E77EBA" w:rsidP="00220732">
    <w:pPr>
      <w:pStyle w:val="Header"/>
      <w:tabs>
        <w:tab w:val="clear" w:pos="4320"/>
        <w:tab w:val="clear" w:pos="8640"/>
        <w:tab w:val="right" w:pos="9360"/>
      </w:tabs>
    </w:pPr>
    <w:r>
      <w:fldChar w:fldCharType="begin"/>
    </w:r>
    <w:r>
      <w:instrText xml:space="preserve"> REF DocketLabel</w:instrText>
    </w:r>
    <w:r>
      <w:fldChar w:fldCharType="separate"/>
    </w:r>
    <w:r w:rsidR="000C12D8">
      <w:t>Docket No.</w:t>
    </w:r>
    <w:r>
      <w:fldChar w:fldCharType="end"/>
    </w:r>
    <w:r>
      <w:t xml:space="preserve"> </w:t>
    </w:r>
    <w:r>
      <w:fldChar w:fldCharType="begin"/>
    </w:r>
    <w:r>
      <w:instrText xml:space="preserve"> REF DocketList</w:instrText>
    </w:r>
    <w:r>
      <w:fldChar w:fldCharType="separate"/>
    </w:r>
    <w:r w:rsidR="000C12D8">
      <w:t>140217-WU</w:t>
    </w:r>
    <w:r>
      <w:fldChar w:fldCharType="end"/>
    </w:r>
    <w:r>
      <w:tab/>
      <w:t>Schedule 1-A</w:t>
    </w:r>
  </w:p>
  <w:p w:rsidR="00E77EBA" w:rsidRDefault="00E77EBA">
    <w:pPr>
      <w:pStyle w:val="Header"/>
    </w:pPr>
    <w:r>
      <w:t xml:space="preserve">Date: </w:t>
    </w:r>
    <w:r w:rsidR="00BC3D1A">
      <w:fldChar w:fldCharType="begin"/>
    </w:r>
    <w:r w:rsidR="00BC3D1A">
      <w:instrText xml:space="preserve"> REF FilingDate </w:instrText>
    </w:r>
    <w:r w:rsidR="00BC3D1A">
      <w:fldChar w:fldCharType="separate"/>
    </w:r>
    <w:r w:rsidR="000C12D8">
      <w:t>October 1, 2015</w:t>
    </w:r>
    <w:r w:rsidR="00BC3D1A">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BA" w:rsidRPr="00A25E7A" w:rsidRDefault="00E77EBA" w:rsidP="00220732">
    <w:pPr>
      <w:pStyle w:val="Header"/>
      <w:tabs>
        <w:tab w:val="clear" w:pos="4320"/>
        <w:tab w:val="clear" w:pos="8640"/>
        <w:tab w:val="right" w:pos="9360"/>
      </w:tabs>
    </w:pPr>
    <w:r>
      <w:fldChar w:fldCharType="begin"/>
    </w:r>
    <w:r>
      <w:instrText xml:space="preserve"> REF DocketLabel</w:instrText>
    </w:r>
    <w:r>
      <w:fldChar w:fldCharType="separate"/>
    </w:r>
    <w:r w:rsidR="000C12D8">
      <w:t>Docket No.</w:t>
    </w:r>
    <w:r>
      <w:fldChar w:fldCharType="end"/>
    </w:r>
    <w:r>
      <w:t xml:space="preserve"> </w:t>
    </w:r>
    <w:r>
      <w:fldChar w:fldCharType="begin"/>
    </w:r>
    <w:r>
      <w:instrText xml:space="preserve"> REF DocketList</w:instrText>
    </w:r>
    <w:r>
      <w:fldChar w:fldCharType="separate"/>
    </w:r>
    <w:r w:rsidR="000C12D8">
      <w:t>140217-WU</w:t>
    </w:r>
    <w:r>
      <w:fldChar w:fldCharType="end"/>
    </w:r>
    <w:r>
      <w:tab/>
      <w:t>Schedule 1-B</w:t>
    </w:r>
  </w:p>
  <w:p w:rsidR="00E77EBA" w:rsidRDefault="00E77EBA">
    <w:pPr>
      <w:pStyle w:val="Header"/>
    </w:pPr>
    <w:r>
      <w:t xml:space="preserve">Date: </w:t>
    </w:r>
    <w:r w:rsidR="00BC3D1A">
      <w:fldChar w:fldCharType="begin"/>
    </w:r>
    <w:r w:rsidR="00BC3D1A">
      <w:instrText xml:space="preserve"> REF FilingDate </w:instrText>
    </w:r>
    <w:r w:rsidR="00BC3D1A">
      <w:fldChar w:fldCharType="separate"/>
    </w:r>
    <w:r w:rsidR="000C12D8">
      <w:t>October 1, 2015</w:t>
    </w:r>
    <w:r w:rsidR="00BC3D1A">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BA" w:rsidRPr="00A25E7A" w:rsidRDefault="00E77EBA" w:rsidP="001B2C49">
    <w:pPr>
      <w:pStyle w:val="Header"/>
      <w:tabs>
        <w:tab w:val="clear" w:pos="4320"/>
        <w:tab w:val="clear" w:pos="8640"/>
        <w:tab w:val="right" w:pos="9360"/>
        <w:tab w:val="right" w:pos="12816"/>
      </w:tabs>
      <w:jc w:val="right"/>
    </w:pPr>
    <w:r>
      <w:fldChar w:fldCharType="begin"/>
    </w:r>
    <w:r>
      <w:instrText xml:space="preserve"> REF DocketLabel</w:instrText>
    </w:r>
    <w:r>
      <w:fldChar w:fldCharType="separate"/>
    </w:r>
    <w:r w:rsidR="000C12D8">
      <w:t>Docket No.</w:t>
    </w:r>
    <w:r>
      <w:fldChar w:fldCharType="end"/>
    </w:r>
    <w:r>
      <w:t xml:space="preserve"> </w:t>
    </w:r>
    <w:r>
      <w:fldChar w:fldCharType="begin"/>
    </w:r>
    <w:r>
      <w:instrText xml:space="preserve"> REF DocketList</w:instrText>
    </w:r>
    <w:r>
      <w:fldChar w:fldCharType="separate"/>
    </w:r>
    <w:r w:rsidR="000C12D8">
      <w:t>140217-WU</w:t>
    </w:r>
    <w:r>
      <w:fldChar w:fldCharType="end"/>
    </w:r>
    <w:r>
      <w:tab/>
      <w:t xml:space="preserve">                                       </w:t>
    </w:r>
    <w:r>
      <w:tab/>
      <w:t>Schedule 2</w:t>
    </w:r>
  </w:p>
  <w:p w:rsidR="00E77EBA" w:rsidRDefault="00E77EBA">
    <w:pPr>
      <w:pStyle w:val="Header"/>
    </w:pPr>
    <w:r>
      <w:t xml:space="preserve">Date: </w:t>
    </w:r>
    <w:r w:rsidR="00BC3D1A">
      <w:fldChar w:fldCharType="begin"/>
    </w:r>
    <w:r w:rsidR="00BC3D1A">
      <w:instrText xml:space="preserve"> REF FilingDate </w:instrText>
    </w:r>
    <w:r w:rsidR="00BC3D1A">
      <w:fldChar w:fldCharType="separate"/>
    </w:r>
    <w:r w:rsidR="000C12D8">
      <w:t>October 1, 2015</w:t>
    </w:r>
    <w:r w:rsidR="00BC3D1A">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BA" w:rsidRDefault="00E77EBA" w:rsidP="001B2C49">
    <w:pPr>
      <w:pStyle w:val="Header"/>
      <w:tabs>
        <w:tab w:val="clear" w:pos="4320"/>
        <w:tab w:val="clear" w:pos="8640"/>
        <w:tab w:val="right" w:pos="9360"/>
      </w:tabs>
    </w:pPr>
    <w:r>
      <w:fldChar w:fldCharType="begin"/>
    </w:r>
    <w:r>
      <w:instrText xml:space="preserve"> REF DocketLabel</w:instrText>
    </w:r>
    <w:r>
      <w:fldChar w:fldCharType="separate"/>
    </w:r>
    <w:r w:rsidR="000C12D8">
      <w:t>Docket No.</w:t>
    </w:r>
    <w:r>
      <w:fldChar w:fldCharType="end"/>
    </w:r>
    <w:r>
      <w:t xml:space="preserve"> </w:t>
    </w:r>
    <w:r>
      <w:fldChar w:fldCharType="begin"/>
    </w:r>
    <w:r>
      <w:instrText xml:space="preserve"> REF DocketList</w:instrText>
    </w:r>
    <w:r>
      <w:fldChar w:fldCharType="separate"/>
    </w:r>
    <w:r w:rsidR="000C12D8">
      <w:t>140217-WU</w:t>
    </w:r>
    <w:r>
      <w:fldChar w:fldCharType="end"/>
    </w:r>
    <w:r>
      <w:tab/>
      <w:t xml:space="preserve">                                                                                                                                                        Schedule 3-A    Date: </w:t>
    </w:r>
    <w:r w:rsidR="00BC3D1A">
      <w:fldChar w:fldCharType="begin"/>
    </w:r>
    <w:r w:rsidR="00BC3D1A">
      <w:instrText xml:space="preserve"> REF FilingDate </w:instrText>
    </w:r>
    <w:r w:rsidR="00BC3D1A">
      <w:fldChar w:fldCharType="separate"/>
    </w:r>
    <w:r w:rsidR="000C12D8">
      <w:t>October 1, 2015</w:t>
    </w:r>
    <w:r w:rsidR="00BC3D1A">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BA" w:rsidRPr="00A25E7A" w:rsidRDefault="00E77EBA" w:rsidP="00220732">
    <w:pPr>
      <w:pStyle w:val="Header"/>
      <w:tabs>
        <w:tab w:val="clear" w:pos="4320"/>
        <w:tab w:val="clear" w:pos="8640"/>
        <w:tab w:val="right" w:pos="9360"/>
      </w:tabs>
    </w:pPr>
    <w:r>
      <w:fldChar w:fldCharType="begin"/>
    </w:r>
    <w:r>
      <w:instrText xml:space="preserve"> REF DocketLabel</w:instrText>
    </w:r>
    <w:r>
      <w:fldChar w:fldCharType="separate"/>
    </w:r>
    <w:r w:rsidR="000C12D8">
      <w:t>Docket No.</w:t>
    </w:r>
    <w:r>
      <w:fldChar w:fldCharType="end"/>
    </w:r>
    <w:r>
      <w:t xml:space="preserve"> </w:t>
    </w:r>
    <w:r>
      <w:fldChar w:fldCharType="begin"/>
    </w:r>
    <w:r>
      <w:instrText xml:space="preserve"> REF DocketList</w:instrText>
    </w:r>
    <w:r>
      <w:fldChar w:fldCharType="separate"/>
    </w:r>
    <w:r w:rsidR="000C12D8">
      <w:t>140217-WU</w:t>
    </w:r>
    <w:r>
      <w:fldChar w:fldCharType="end"/>
    </w:r>
    <w:r>
      <w:tab/>
      <w:t>Schedule 3-B</w:t>
    </w:r>
  </w:p>
  <w:p w:rsidR="00E77EBA" w:rsidRDefault="00E77EBA">
    <w:pPr>
      <w:pStyle w:val="Header"/>
    </w:pPr>
    <w:r>
      <w:t xml:space="preserve">Date: </w:t>
    </w:r>
    <w:r w:rsidR="00BC3D1A">
      <w:fldChar w:fldCharType="begin"/>
    </w:r>
    <w:r w:rsidR="00BC3D1A">
      <w:instrText xml:space="preserve"> REF FilingDate </w:instrText>
    </w:r>
    <w:r w:rsidR="00BC3D1A">
      <w:fldChar w:fldCharType="separate"/>
    </w:r>
    <w:r w:rsidR="000C12D8">
      <w:t>October 1, 2015</w:t>
    </w:r>
    <w:r w:rsidR="00BC3D1A">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515326E"/>
    <w:multiLevelType w:val="multilevel"/>
    <w:tmpl w:val="0098447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2E0A6E0C"/>
    <w:multiLevelType w:val="hybridMultilevel"/>
    <w:tmpl w:val="795431DE"/>
    <w:lvl w:ilvl="0" w:tplc="97229A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68F399F"/>
    <w:multiLevelType w:val="hybridMultilevel"/>
    <w:tmpl w:val="1DE0A224"/>
    <w:lvl w:ilvl="0" w:tplc="C84237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BC028F"/>
    <w:multiLevelType w:val="hybridMultilevel"/>
    <w:tmpl w:val="2F8800A0"/>
    <w:lvl w:ilvl="0" w:tplc="97229A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C84A51"/>
    <w:multiLevelType w:val="hybridMultilevel"/>
    <w:tmpl w:val="18A4CE3E"/>
    <w:lvl w:ilvl="0" w:tplc="D3086A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39370B5"/>
    <w:multiLevelType w:val="hybridMultilevel"/>
    <w:tmpl w:val="25083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213DEC"/>
    <w:multiLevelType w:val="hybridMultilevel"/>
    <w:tmpl w:val="BB287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E05F0A"/>
    <w:multiLevelType w:val="hybridMultilevel"/>
    <w:tmpl w:val="96C20F54"/>
    <w:lvl w:ilvl="0" w:tplc="97229A06">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4FC26BE"/>
    <w:multiLevelType w:val="hybridMultilevel"/>
    <w:tmpl w:val="74BA66CA"/>
    <w:lvl w:ilvl="0" w:tplc="83945D16">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8"/>
  </w:num>
  <w:num w:numId="14">
    <w:abstractNumId w:val="10"/>
    <w:lvlOverride w:ilvl="0">
      <w:lvl w:ilvl="0">
        <w:start w:val="1"/>
        <w:numFmt w:val="upperRoman"/>
        <w:lvlText w:val="Article %1."/>
        <w:lvlJc w:val="left"/>
        <w:pPr>
          <w:tabs>
            <w:tab w:val="num" w:pos="4680"/>
          </w:tabs>
          <w:ind w:left="324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0"/>
  </w:num>
  <w:num w:numId="16">
    <w:abstractNumId w:val="14"/>
  </w:num>
  <w:num w:numId="17">
    <w:abstractNumId w:val="17"/>
  </w:num>
  <w:num w:numId="18">
    <w:abstractNumId w:val="13"/>
  </w:num>
  <w:num w:numId="19">
    <w:abstractNumId w:val="16"/>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515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F4057AD-7D1E-4F87-816B-0D0F5B9EA6EE}"/>
    <w:docVar w:name="dgnword-eventsink" w:val="361066440"/>
    <w:docVar w:name="DoubleSpaceTOC" w:val="False"/>
    <w:docVar w:name="NumberOfIssues" w:val="0"/>
    <w:docVar w:name="StaffInToC" w:val="True"/>
  </w:docVars>
  <w:rsids>
    <w:rsidRoot w:val="00D05C23"/>
    <w:rsid w:val="00010E37"/>
    <w:rsid w:val="000125FB"/>
    <w:rsid w:val="00017EA1"/>
    <w:rsid w:val="000277C2"/>
    <w:rsid w:val="00030009"/>
    <w:rsid w:val="0003092E"/>
    <w:rsid w:val="00035306"/>
    <w:rsid w:val="00035B48"/>
    <w:rsid w:val="00036CE2"/>
    <w:rsid w:val="00040648"/>
    <w:rsid w:val="000437FE"/>
    <w:rsid w:val="00055AA5"/>
    <w:rsid w:val="00061369"/>
    <w:rsid w:val="00063425"/>
    <w:rsid w:val="00065A06"/>
    <w:rsid w:val="000666F3"/>
    <w:rsid w:val="00070DCB"/>
    <w:rsid w:val="00073120"/>
    <w:rsid w:val="00081A1E"/>
    <w:rsid w:val="000828D3"/>
    <w:rsid w:val="00085477"/>
    <w:rsid w:val="00085D05"/>
    <w:rsid w:val="000A2B57"/>
    <w:rsid w:val="000A3278"/>
    <w:rsid w:val="000A418B"/>
    <w:rsid w:val="000B11E4"/>
    <w:rsid w:val="000B3128"/>
    <w:rsid w:val="000C12D8"/>
    <w:rsid w:val="000C4431"/>
    <w:rsid w:val="000D060F"/>
    <w:rsid w:val="000D4319"/>
    <w:rsid w:val="000F2955"/>
    <w:rsid w:val="000F2E5C"/>
    <w:rsid w:val="000F374A"/>
    <w:rsid w:val="000F7E60"/>
    <w:rsid w:val="00113FB2"/>
    <w:rsid w:val="00117C8C"/>
    <w:rsid w:val="00124E2E"/>
    <w:rsid w:val="00125ED4"/>
    <w:rsid w:val="001305E9"/>
    <w:rsid w:val="001307AF"/>
    <w:rsid w:val="00135687"/>
    <w:rsid w:val="00144013"/>
    <w:rsid w:val="00154259"/>
    <w:rsid w:val="00155BED"/>
    <w:rsid w:val="00163621"/>
    <w:rsid w:val="0016757D"/>
    <w:rsid w:val="00173BC3"/>
    <w:rsid w:val="00180254"/>
    <w:rsid w:val="00191E1F"/>
    <w:rsid w:val="00192943"/>
    <w:rsid w:val="001970D6"/>
    <w:rsid w:val="001A7406"/>
    <w:rsid w:val="001B2C49"/>
    <w:rsid w:val="001B4FEE"/>
    <w:rsid w:val="001B51C5"/>
    <w:rsid w:val="001B6F3F"/>
    <w:rsid w:val="001C03A8"/>
    <w:rsid w:val="001C52B5"/>
    <w:rsid w:val="001D0D3E"/>
    <w:rsid w:val="001D1B47"/>
    <w:rsid w:val="001D2615"/>
    <w:rsid w:val="001D3526"/>
    <w:rsid w:val="001E366A"/>
    <w:rsid w:val="001E70F3"/>
    <w:rsid w:val="001F2245"/>
    <w:rsid w:val="001F6DA1"/>
    <w:rsid w:val="00200B86"/>
    <w:rsid w:val="0020404D"/>
    <w:rsid w:val="002044E6"/>
    <w:rsid w:val="00205C82"/>
    <w:rsid w:val="00205DC2"/>
    <w:rsid w:val="0021038B"/>
    <w:rsid w:val="00212B92"/>
    <w:rsid w:val="002163B6"/>
    <w:rsid w:val="00220732"/>
    <w:rsid w:val="00221D32"/>
    <w:rsid w:val="00223036"/>
    <w:rsid w:val="00225C3F"/>
    <w:rsid w:val="0022721E"/>
    <w:rsid w:val="002343B6"/>
    <w:rsid w:val="00235A61"/>
    <w:rsid w:val="00253373"/>
    <w:rsid w:val="00263D44"/>
    <w:rsid w:val="0028170C"/>
    <w:rsid w:val="00292D82"/>
    <w:rsid w:val="002963CB"/>
    <w:rsid w:val="002A58BE"/>
    <w:rsid w:val="002C2633"/>
    <w:rsid w:val="002D226D"/>
    <w:rsid w:val="002E5D6B"/>
    <w:rsid w:val="002F6030"/>
    <w:rsid w:val="00302172"/>
    <w:rsid w:val="003037E1"/>
    <w:rsid w:val="00304C87"/>
    <w:rsid w:val="00307E51"/>
    <w:rsid w:val="003103EC"/>
    <w:rsid w:val="003144EF"/>
    <w:rsid w:val="0032183F"/>
    <w:rsid w:val="00322F74"/>
    <w:rsid w:val="00324850"/>
    <w:rsid w:val="00326B85"/>
    <w:rsid w:val="00335C8D"/>
    <w:rsid w:val="00340073"/>
    <w:rsid w:val="00344AEF"/>
    <w:rsid w:val="00344CE1"/>
    <w:rsid w:val="0034646C"/>
    <w:rsid w:val="00354578"/>
    <w:rsid w:val="00371D8A"/>
    <w:rsid w:val="00372805"/>
    <w:rsid w:val="00373180"/>
    <w:rsid w:val="00374F1C"/>
    <w:rsid w:val="00375AB9"/>
    <w:rsid w:val="00375B2F"/>
    <w:rsid w:val="003821A0"/>
    <w:rsid w:val="00385B04"/>
    <w:rsid w:val="00390146"/>
    <w:rsid w:val="00393BF9"/>
    <w:rsid w:val="003946A6"/>
    <w:rsid w:val="00395C8A"/>
    <w:rsid w:val="003A03FE"/>
    <w:rsid w:val="003A22A6"/>
    <w:rsid w:val="003A5494"/>
    <w:rsid w:val="003A64EC"/>
    <w:rsid w:val="003A6E73"/>
    <w:rsid w:val="003B2510"/>
    <w:rsid w:val="003C2CC4"/>
    <w:rsid w:val="003D3988"/>
    <w:rsid w:val="003D77C8"/>
    <w:rsid w:val="003E0EFC"/>
    <w:rsid w:val="003E4A2B"/>
    <w:rsid w:val="003E76C2"/>
    <w:rsid w:val="003F1679"/>
    <w:rsid w:val="003F28FF"/>
    <w:rsid w:val="003F4A35"/>
    <w:rsid w:val="003F6ECE"/>
    <w:rsid w:val="003F7FDD"/>
    <w:rsid w:val="00402481"/>
    <w:rsid w:val="004042B4"/>
    <w:rsid w:val="00412DAE"/>
    <w:rsid w:val="00420898"/>
    <w:rsid w:val="00431598"/>
    <w:rsid w:val="00431F95"/>
    <w:rsid w:val="00435852"/>
    <w:rsid w:val="00436BC1"/>
    <w:rsid w:val="004410A1"/>
    <w:rsid w:val="00444432"/>
    <w:rsid w:val="00450A22"/>
    <w:rsid w:val="004619D1"/>
    <w:rsid w:val="004652BB"/>
    <w:rsid w:val="00471860"/>
    <w:rsid w:val="00490D96"/>
    <w:rsid w:val="004B75B5"/>
    <w:rsid w:val="004C3150"/>
    <w:rsid w:val="004C3641"/>
    <w:rsid w:val="004C4390"/>
    <w:rsid w:val="004C4AF7"/>
    <w:rsid w:val="004C4FFD"/>
    <w:rsid w:val="004D035E"/>
    <w:rsid w:val="004D2881"/>
    <w:rsid w:val="004D385F"/>
    <w:rsid w:val="004D5B39"/>
    <w:rsid w:val="004E5147"/>
    <w:rsid w:val="004F5E1B"/>
    <w:rsid w:val="0050473B"/>
    <w:rsid w:val="00506C03"/>
    <w:rsid w:val="0052572A"/>
    <w:rsid w:val="005400AE"/>
    <w:rsid w:val="00543CB3"/>
    <w:rsid w:val="005459D9"/>
    <w:rsid w:val="00546661"/>
    <w:rsid w:val="00555859"/>
    <w:rsid w:val="005614BD"/>
    <w:rsid w:val="00566510"/>
    <w:rsid w:val="0057154F"/>
    <w:rsid w:val="00572991"/>
    <w:rsid w:val="0058145D"/>
    <w:rsid w:val="00581CA3"/>
    <w:rsid w:val="00592AA0"/>
    <w:rsid w:val="005954F4"/>
    <w:rsid w:val="00597730"/>
    <w:rsid w:val="00597DE7"/>
    <w:rsid w:val="005A4AA2"/>
    <w:rsid w:val="005A5399"/>
    <w:rsid w:val="005B0AB1"/>
    <w:rsid w:val="005B34B6"/>
    <w:rsid w:val="005B6C8F"/>
    <w:rsid w:val="005B7D84"/>
    <w:rsid w:val="005C3203"/>
    <w:rsid w:val="005D0F74"/>
    <w:rsid w:val="005D2E7D"/>
    <w:rsid w:val="005D4A8F"/>
    <w:rsid w:val="005D561B"/>
    <w:rsid w:val="005E33BB"/>
    <w:rsid w:val="005E7859"/>
    <w:rsid w:val="005F468D"/>
    <w:rsid w:val="005F69A3"/>
    <w:rsid w:val="0060028C"/>
    <w:rsid w:val="006010A3"/>
    <w:rsid w:val="00615423"/>
    <w:rsid w:val="006165B2"/>
    <w:rsid w:val="00617276"/>
    <w:rsid w:val="00625D97"/>
    <w:rsid w:val="00625F1C"/>
    <w:rsid w:val="00626FCF"/>
    <w:rsid w:val="00630CEB"/>
    <w:rsid w:val="00632264"/>
    <w:rsid w:val="00636150"/>
    <w:rsid w:val="006470BC"/>
    <w:rsid w:val="006629C1"/>
    <w:rsid w:val="00667036"/>
    <w:rsid w:val="00670D50"/>
    <w:rsid w:val="00673BDB"/>
    <w:rsid w:val="006771B8"/>
    <w:rsid w:val="0068481F"/>
    <w:rsid w:val="00687583"/>
    <w:rsid w:val="00696F5D"/>
    <w:rsid w:val="00696F7F"/>
    <w:rsid w:val="00697249"/>
    <w:rsid w:val="006A08A1"/>
    <w:rsid w:val="006B3947"/>
    <w:rsid w:val="006B4293"/>
    <w:rsid w:val="006C31E3"/>
    <w:rsid w:val="006C4129"/>
    <w:rsid w:val="006D2F39"/>
    <w:rsid w:val="006E072A"/>
    <w:rsid w:val="006E1DF2"/>
    <w:rsid w:val="006F27CC"/>
    <w:rsid w:val="00705B04"/>
    <w:rsid w:val="0071186C"/>
    <w:rsid w:val="0071464A"/>
    <w:rsid w:val="007213D4"/>
    <w:rsid w:val="0073059C"/>
    <w:rsid w:val="00734820"/>
    <w:rsid w:val="007349DC"/>
    <w:rsid w:val="0074035A"/>
    <w:rsid w:val="0074365E"/>
    <w:rsid w:val="00744A77"/>
    <w:rsid w:val="007511F8"/>
    <w:rsid w:val="007515FD"/>
    <w:rsid w:val="00751B7E"/>
    <w:rsid w:val="00760D80"/>
    <w:rsid w:val="0077011B"/>
    <w:rsid w:val="00777BAC"/>
    <w:rsid w:val="00780C09"/>
    <w:rsid w:val="00780DDF"/>
    <w:rsid w:val="007834E9"/>
    <w:rsid w:val="00787DBC"/>
    <w:rsid w:val="007A04A1"/>
    <w:rsid w:val="007A1840"/>
    <w:rsid w:val="007A1BCB"/>
    <w:rsid w:val="007B3E66"/>
    <w:rsid w:val="007C0528"/>
    <w:rsid w:val="007C3D38"/>
    <w:rsid w:val="007C4088"/>
    <w:rsid w:val="007C488E"/>
    <w:rsid w:val="007D0F35"/>
    <w:rsid w:val="007D4FEB"/>
    <w:rsid w:val="007D5E18"/>
    <w:rsid w:val="007D6146"/>
    <w:rsid w:val="007E0CE7"/>
    <w:rsid w:val="007E51B6"/>
    <w:rsid w:val="007E74E5"/>
    <w:rsid w:val="007F417F"/>
    <w:rsid w:val="007F5513"/>
    <w:rsid w:val="007F661E"/>
    <w:rsid w:val="0081264C"/>
    <w:rsid w:val="00815DC9"/>
    <w:rsid w:val="00816624"/>
    <w:rsid w:val="00821A87"/>
    <w:rsid w:val="00822562"/>
    <w:rsid w:val="00823663"/>
    <w:rsid w:val="00830BE0"/>
    <w:rsid w:val="00831584"/>
    <w:rsid w:val="00832DDC"/>
    <w:rsid w:val="00837C27"/>
    <w:rsid w:val="008474C6"/>
    <w:rsid w:val="00847E28"/>
    <w:rsid w:val="00850BAC"/>
    <w:rsid w:val="00854A3E"/>
    <w:rsid w:val="00855D08"/>
    <w:rsid w:val="00862F17"/>
    <w:rsid w:val="0087180F"/>
    <w:rsid w:val="00874344"/>
    <w:rsid w:val="00874712"/>
    <w:rsid w:val="00877001"/>
    <w:rsid w:val="00882155"/>
    <w:rsid w:val="0088233B"/>
    <w:rsid w:val="00884C14"/>
    <w:rsid w:val="0088599E"/>
    <w:rsid w:val="00886C37"/>
    <w:rsid w:val="008A1CF0"/>
    <w:rsid w:val="008B1997"/>
    <w:rsid w:val="008B2AE4"/>
    <w:rsid w:val="008B62AE"/>
    <w:rsid w:val="008B773D"/>
    <w:rsid w:val="008B7D7A"/>
    <w:rsid w:val="008C04B5"/>
    <w:rsid w:val="008C14FA"/>
    <w:rsid w:val="008C49F8"/>
    <w:rsid w:val="008D4057"/>
    <w:rsid w:val="008D67F8"/>
    <w:rsid w:val="008E6548"/>
    <w:rsid w:val="008F12EC"/>
    <w:rsid w:val="008F195B"/>
    <w:rsid w:val="008F2262"/>
    <w:rsid w:val="008F75E2"/>
    <w:rsid w:val="008F7736"/>
    <w:rsid w:val="0090019E"/>
    <w:rsid w:val="00901086"/>
    <w:rsid w:val="00901321"/>
    <w:rsid w:val="00901C8A"/>
    <w:rsid w:val="00905180"/>
    <w:rsid w:val="00905886"/>
    <w:rsid w:val="009070D6"/>
    <w:rsid w:val="009076C6"/>
    <w:rsid w:val="0091019E"/>
    <w:rsid w:val="009106F1"/>
    <w:rsid w:val="0091161C"/>
    <w:rsid w:val="009145D6"/>
    <w:rsid w:val="00920E64"/>
    <w:rsid w:val="00922002"/>
    <w:rsid w:val="00924020"/>
    <w:rsid w:val="009271A7"/>
    <w:rsid w:val="0093658B"/>
    <w:rsid w:val="009429FF"/>
    <w:rsid w:val="00945BD6"/>
    <w:rsid w:val="00946B3F"/>
    <w:rsid w:val="009479FB"/>
    <w:rsid w:val="00950895"/>
    <w:rsid w:val="00951C45"/>
    <w:rsid w:val="00966A08"/>
    <w:rsid w:val="00971207"/>
    <w:rsid w:val="00975CB4"/>
    <w:rsid w:val="00982DF8"/>
    <w:rsid w:val="009863B0"/>
    <w:rsid w:val="00987DE1"/>
    <w:rsid w:val="00990571"/>
    <w:rsid w:val="0099673A"/>
    <w:rsid w:val="009A3330"/>
    <w:rsid w:val="009A7C96"/>
    <w:rsid w:val="009B2EB6"/>
    <w:rsid w:val="009B62D2"/>
    <w:rsid w:val="009C3DB9"/>
    <w:rsid w:val="009D46E5"/>
    <w:rsid w:val="009D568A"/>
    <w:rsid w:val="009D5E85"/>
    <w:rsid w:val="009E5868"/>
    <w:rsid w:val="009F04EC"/>
    <w:rsid w:val="009F3B36"/>
    <w:rsid w:val="009F4054"/>
    <w:rsid w:val="00A019B9"/>
    <w:rsid w:val="00A076DD"/>
    <w:rsid w:val="00A12508"/>
    <w:rsid w:val="00A1282B"/>
    <w:rsid w:val="00A13A27"/>
    <w:rsid w:val="00A175B6"/>
    <w:rsid w:val="00A20CCB"/>
    <w:rsid w:val="00A21835"/>
    <w:rsid w:val="00A25E7A"/>
    <w:rsid w:val="00A328EC"/>
    <w:rsid w:val="00A33A51"/>
    <w:rsid w:val="00A41CA6"/>
    <w:rsid w:val="00A47927"/>
    <w:rsid w:val="00A47FFC"/>
    <w:rsid w:val="00A5442F"/>
    <w:rsid w:val="00A54FF9"/>
    <w:rsid w:val="00A56765"/>
    <w:rsid w:val="00A675AC"/>
    <w:rsid w:val="00A74191"/>
    <w:rsid w:val="00A74D8C"/>
    <w:rsid w:val="00A7581F"/>
    <w:rsid w:val="00A92FB1"/>
    <w:rsid w:val="00A95A0C"/>
    <w:rsid w:val="00AA2765"/>
    <w:rsid w:val="00AA71C8"/>
    <w:rsid w:val="00AA77B5"/>
    <w:rsid w:val="00AB10EA"/>
    <w:rsid w:val="00AB5253"/>
    <w:rsid w:val="00AB606D"/>
    <w:rsid w:val="00AB69D6"/>
    <w:rsid w:val="00AB6C5D"/>
    <w:rsid w:val="00AC42E6"/>
    <w:rsid w:val="00AC51A7"/>
    <w:rsid w:val="00AD299A"/>
    <w:rsid w:val="00AD4040"/>
    <w:rsid w:val="00AE4F77"/>
    <w:rsid w:val="00AE7CDF"/>
    <w:rsid w:val="00AF5F89"/>
    <w:rsid w:val="00AF73CB"/>
    <w:rsid w:val="00B002D6"/>
    <w:rsid w:val="00B00950"/>
    <w:rsid w:val="00B05B51"/>
    <w:rsid w:val="00B15370"/>
    <w:rsid w:val="00B15F87"/>
    <w:rsid w:val="00B17BEB"/>
    <w:rsid w:val="00B21108"/>
    <w:rsid w:val="00B21A3C"/>
    <w:rsid w:val="00B223C0"/>
    <w:rsid w:val="00B234ED"/>
    <w:rsid w:val="00B240E4"/>
    <w:rsid w:val="00B25CA3"/>
    <w:rsid w:val="00B37BEC"/>
    <w:rsid w:val="00B57A6A"/>
    <w:rsid w:val="00B57E3D"/>
    <w:rsid w:val="00B760F1"/>
    <w:rsid w:val="00B7669E"/>
    <w:rsid w:val="00B77DA1"/>
    <w:rsid w:val="00BA0D55"/>
    <w:rsid w:val="00BA37B3"/>
    <w:rsid w:val="00BA39AD"/>
    <w:rsid w:val="00BA4CC6"/>
    <w:rsid w:val="00BA4FA0"/>
    <w:rsid w:val="00BB3493"/>
    <w:rsid w:val="00BC188A"/>
    <w:rsid w:val="00BC26B1"/>
    <w:rsid w:val="00BD0018"/>
    <w:rsid w:val="00BD26B0"/>
    <w:rsid w:val="00BF403A"/>
    <w:rsid w:val="00BF5010"/>
    <w:rsid w:val="00BF60B2"/>
    <w:rsid w:val="00C1220F"/>
    <w:rsid w:val="00C13791"/>
    <w:rsid w:val="00C172EC"/>
    <w:rsid w:val="00C21AA1"/>
    <w:rsid w:val="00C30AB3"/>
    <w:rsid w:val="00C31BB3"/>
    <w:rsid w:val="00C36977"/>
    <w:rsid w:val="00C379FF"/>
    <w:rsid w:val="00C477D9"/>
    <w:rsid w:val="00C52D68"/>
    <w:rsid w:val="00C60BA3"/>
    <w:rsid w:val="00C623F7"/>
    <w:rsid w:val="00C631B3"/>
    <w:rsid w:val="00C71C74"/>
    <w:rsid w:val="00C81773"/>
    <w:rsid w:val="00C86896"/>
    <w:rsid w:val="00C87B35"/>
    <w:rsid w:val="00C907A8"/>
    <w:rsid w:val="00C93211"/>
    <w:rsid w:val="00C93EB1"/>
    <w:rsid w:val="00C942EC"/>
    <w:rsid w:val="00C96047"/>
    <w:rsid w:val="00C979D0"/>
    <w:rsid w:val="00CA0818"/>
    <w:rsid w:val="00CA21F1"/>
    <w:rsid w:val="00CA2C8F"/>
    <w:rsid w:val="00CA2CB8"/>
    <w:rsid w:val="00CA30DA"/>
    <w:rsid w:val="00CA3A24"/>
    <w:rsid w:val="00CB1777"/>
    <w:rsid w:val="00CB33E9"/>
    <w:rsid w:val="00CC10A9"/>
    <w:rsid w:val="00CC294A"/>
    <w:rsid w:val="00CC505A"/>
    <w:rsid w:val="00CD1395"/>
    <w:rsid w:val="00CD47DC"/>
    <w:rsid w:val="00CD545F"/>
    <w:rsid w:val="00CE0532"/>
    <w:rsid w:val="00CE2459"/>
    <w:rsid w:val="00CE2BF8"/>
    <w:rsid w:val="00CE484E"/>
    <w:rsid w:val="00CF0DA8"/>
    <w:rsid w:val="00CF2E25"/>
    <w:rsid w:val="00CF4453"/>
    <w:rsid w:val="00D01EEB"/>
    <w:rsid w:val="00D034D7"/>
    <w:rsid w:val="00D04BE4"/>
    <w:rsid w:val="00D05C23"/>
    <w:rsid w:val="00D11B49"/>
    <w:rsid w:val="00D12AEF"/>
    <w:rsid w:val="00D14127"/>
    <w:rsid w:val="00D221BE"/>
    <w:rsid w:val="00D42CBC"/>
    <w:rsid w:val="00D60F02"/>
    <w:rsid w:val="00D642CB"/>
    <w:rsid w:val="00D66E49"/>
    <w:rsid w:val="00D72F74"/>
    <w:rsid w:val="00D81563"/>
    <w:rsid w:val="00D9073E"/>
    <w:rsid w:val="00D9221D"/>
    <w:rsid w:val="00D93C8A"/>
    <w:rsid w:val="00D93DDF"/>
    <w:rsid w:val="00D958DF"/>
    <w:rsid w:val="00D9635E"/>
    <w:rsid w:val="00D96DA1"/>
    <w:rsid w:val="00DA5094"/>
    <w:rsid w:val="00DA51E7"/>
    <w:rsid w:val="00DB1C78"/>
    <w:rsid w:val="00DB7D96"/>
    <w:rsid w:val="00DC23FE"/>
    <w:rsid w:val="00DC431D"/>
    <w:rsid w:val="00DC59E6"/>
    <w:rsid w:val="00DC5A98"/>
    <w:rsid w:val="00DD150B"/>
    <w:rsid w:val="00DD5025"/>
    <w:rsid w:val="00DF4047"/>
    <w:rsid w:val="00E01628"/>
    <w:rsid w:val="00E016DF"/>
    <w:rsid w:val="00E06484"/>
    <w:rsid w:val="00E07201"/>
    <w:rsid w:val="00E17B18"/>
    <w:rsid w:val="00E20A7D"/>
    <w:rsid w:val="00E26811"/>
    <w:rsid w:val="00E275D8"/>
    <w:rsid w:val="00E366AD"/>
    <w:rsid w:val="00E375CA"/>
    <w:rsid w:val="00E43D1B"/>
    <w:rsid w:val="00E446E6"/>
    <w:rsid w:val="00E519CB"/>
    <w:rsid w:val="00E567E8"/>
    <w:rsid w:val="00E64679"/>
    <w:rsid w:val="00E65EBC"/>
    <w:rsid w:val="00E73432"/>
    <w:rsid w:val="00E73BAC"/>
    <w:rsid w:val="00E7590C"/>
    <w:rsid w:val="00E77225"/>
    <w:rsid w:val="00E77B0C"/>
    <w:rsid w:val="00E77EBA"/>
    <w:rsid w:val="00E77FB8"/>
    <w:rsid w:val="00E82D67"/>
    <w:rsid w:val="00E838B0"/>
    <w:rsid w:val="00E86A7C"/>
    <w:rsid w:val="00E878E1"/>
    <w:rsid w:val="00E90AF4"/>
    <w:rsid w:val="00E95278"/>
    <w:rsid w:val="00EA2273"/>
    <w:rsid w:val="00EA25F8"/>
    <w:rsid w:val="00EA4CCC"/>
    <w:rsid w:val="00EA4E16"/>
    <w:rsid w:val="00EA71F8"/>
    <w:rsid w:val="00EB2DB3"/>
    <w:rsid w:val="00EB5870"/>
    <w:rsid w:val="00EC3FBB"/>
    <w:rsid w:val="00EC6B7A"/>
    <w:rsid w:val="00ED3A87"/>
    <w:rsid w:val="00ED5B67"/>
    <w:rsid w:val="00EE06D3"/>
    <w:rsid w:val="00EE413B"/>
    <w:rsid w:val="00EF1E80"/>
    <w:rsid w:val="00EF3FEE"/>
    <w:rsid w:val="00F02BAD"/>
    <w:rsid w:val="00F04B59"/>
    <w:rsid w:val="00F059C2"/>
    <w:rsid w:val="00F1099B"/>
    <w:rsid w:val="00F11741"/>
    <w:rsid w:val="00F12B1C"/>
    <w:rsid w:val="00F13CF8"/>
    <w:rsid w:val="00F15855"/>
    <w:rsid w:val="00F32978"/>
    <w:rsid w:val="00F45CB2"/>
    <w:rsid w:val="00F50C6B"/>
    <w:rsid w:val="00F544C0"/>
    <w:rsid w:val="00F55332"/>
    <w:rsid w:val="00F65506"/>
    <w:rsid w:val="00F65519"/>
    <w:rsid w:val="00F671C1"/>
    <w:rsid w:val="00F713C0"/>
    <w:rsid w:val="00F72ED0"/>
    <w:rsid w:val="00F75DDC"/>
    <w:rsid w:val="00F853E1"/>
    <w:rsid w:val="00F85BAE"/>
    <w:rsid w:val="00F959D7"/>
    <w:rsid w:val="00F970C7"/>
    <w:rsid w:val="00FA064F"/>
    <w:rsid w:val="00FA17AC"/>
    <w:rsid w:val="00FA32DE"/>
    <w:rsid w:val="00FA3382"/>
    <w:rsid w:val="00FA5348"/>
    <w:rsid w:val="00FA59CD"/>
    <w:rsid w:val="00FB0A92"/>
    <w:rsid w:val="00FB1740"/>
    <w:rsid w:val="00FB1921"/>
    <w:rsid w:val="00FC392D"/>
    <w:rsid w:val="00FC6D7D"/>
    <w:rsid w:val="00FD16B0"/>
    <w:rsid w:val="00FD3EF8"/>
    <w:rsid w:val="00FD4FED"/>
    <w:rsid w:val="00FE1EB5"/>
    <w:rsid w:val="00FE582F"/>
    <w:rsid w:val="00FE59EC"/>
    <w:rsid w:val="00FE5F35"/>
    <w:rsid w:val="00FF3A07"/>
    <w:rsid w:val="00FF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EA1"/>
    <w:rPr>
      <w:sz w:val="24"/>
      <w:szCs w:val="24"/>
    </w:rPr>
  </w:style>
  <w:style w:type="paragraph" w:styleId="Heading1">
    <w:name w:val="heading 1"/>
    <w:basedOn w:val="Normal"/>
    <w:next w:val="BodyText"/>
    <w:link w:val="Heading1Char"/>
    <w:qFormat/>
    <w:rsid w:val="00017EA1"/>
    <w:pPr>
      <w:keepNext/>
      <w:spacing w:after="240"/>
      <w:jc w:val="both"/>
      <w:outlineLvl w:val="0"/>
    </w:pPr>
    <w:rPr>
      <w:rFonts w:cs="Arial"/>
      <w:bCs/>
      <w:kern w:val="32"/>
      <w:szCs w:val="32"/>
    </w:rPr>
  </w:style>
  <w:style w:type="paragraph" w:styleId="Heading2">
    <w:name w:val="heading 2"/>
    <w:basedOn w:val="Normal"/>
    <w:next w:val="BodyText"/>
    <w:link w:val="Heading2Char"/>
    <w:qFormat/>
    <w:rsid w:val="00017EA1"/>
    <w:pPr>
      <w:keepNext/>
      <w:spacing w:after="240"/>
      <w:jc w:val="both"/>
      <w:outlineLvl w:val="1"/>
    </w:pPr>
    <w:rPr>
      <w:rFonts w:cs="Arial"/>
      <w:bCs/>
      <w:iCs/>
      <w:szCs w:val="28"/>
    </w:rPr>
  </w:style>
  <w:style w:type="paragraph" w:styleId="Heading3">
    <w:name w:val="heading 3"/>
    <w:basedOn w:val="BodyText"/>
    <w:next w:val="BodyText"/>
    <w:qFormat/>
    <w:rsid w:val="00017EA1"/>
    <w:pPr>
      <w:outlineLvl w:val="2"/>
    </w:pPr>
  </w:style>
  <w:style w:type="paragraph" w:styleId="Heading4">
    <w:name w:val="heading 4"/>
    <w:basedOn w:val="Normal"/>
    <w:next w:val="Normal"/>
    <w:qFormat/>
    <w:rsid w:val="00017EA1"/>
    <w:pPr>
      <w:keepNext/>
      <w:spacing w:before="240" w:after="60"/>
      <w:outlineLvl w:val="3"/>
    </w:pPr>
    <w:rPr>
      <w:b/>
      <w:bCs/>
      <w:sz w:val="28"/>
      <w:szCs w:val="28"/>
    </w:rPr>
  </w:style>
  <w:style w:type="paragraph" w:styleId="Heading5">
    <w:name w:val="heading 5"/>
    <w:basedOn w:val="Normal"/>
    <w:next w:val="Normal"/>
    <w:qFormat/>
    <w:rsid w:val="00017EA1"/>
    <w:pPr>
      <w:spacing w:before="240" w:after="60"/>
      <w:outlineLvl w:val="4"/>
    </w:pPr>
    <w:rPr>
      <w:b/>
      <w:bCs/>
      <w:i/>
      <w:iCs/>
      <w:sz w:val="26"/>
      <w:szCs w:val="26"/>
    </w:rPr>
  </w:style>
  <w:style w:type="paragraph" w:styleId="Heading6">
    <w:name w:val="heading 6"/>
    <w:basedOn w:val="Normal"/>
    <w:next w:val="Normal"/>
    <w:qFormat/>
    <w:rsid w:val="00017EA1"/>
    <w:pPr>
      <w:spacing w:before="240" w:after="60"/>
      <w:outlineLvl w:val="5"/>
    </w:pPr>
    <w:rPr>
      <w:b/>
      <w:bCs/>
      <w:sz w:val="22"/>
      <w:szCs w:val="22"/>
    </w:rPr>
  </w:style>
  <w:style w:type="paragraph" w:styleId="Heading7">
    <w:name w:val="heading 7"/>
    <w:basedOn w:val="Normal"/>
    <w:next w:val="Normal"/>
    <w:qFormat/>
    <w:rsid w:val="00017EA1"/>
    <w:pPr>
      <w:spacing w:before="240" w:after="60"/>
      <w:outlineLvl w:val="6"/>
    </w:pPr>
  </w:style>
  <w:style w:type="paragraph" w:styleId="Heading8">
    <w:name w:val="heading 8"/>
    <w:basedOn w:val="Normal"/>
    <w:next w:val="Normal"/>
    <w:qFormat/>
    <w:rsid w:val="00017EA1"/>
    <w:pPr>
      <w:spacing w:before="240" w:after="60"/>
      <w:outlineLvl w:val="7"/>
    </w:pPr>
    <w:rPr>
      <w:i/>
      <w:iCs/>
    </w:rPr>
  </w:style>
  <w:style w:type="paragraph" w:styleId="Heading9">
    <w:name w:val="heading 9"/>
    <w:basedOn w:val="Normal"/>
    <w:next w:val="Normal"/>
    <w:qFormat/>
    <w:rsid w:val="00017EA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7EA1"/>
    <w:pPr>
      <w:spacing w:after="240"/>
      <w:jc w:val="both"/>
    </w:pPr>
  </w:style>
  <w:style w:type="character" w:customStyle="1" w:styleId="BodyTextChar">
    <w:name w:val="Body Text Char"/>
    <w:link w:val="BodyText"/>
    <w:rsid w:val="00017EA1"/>
    <w:rPr>
      <w:sz w:val="24"/>
      <w:szCs w:val="24"/>
    </w:rPr>
  </w:style>
  <w:style w:type="character" w:customStyle="1" w:styleId="Heading1Char">
    <w:name w:val="Heading 1 Char"/>
    <w:link w:val="Heading1"/>
    <w:rsid w:val="00017EA1"/>
    <w:rPr>
      <w:rFonts w:cs="Arial"/>
      <w:bCs/>
      <w:kern w:val="32"/>
      <w:sz w:val="24"/>
      <w:szCs w:val="32"/>
    </w:rPr>
  </w:style>
  <w:style w:type="character" w:customStyle="1" w:styleId="Heading2Char">
    <w:name w:val="Heading 2 Char"/>
    <w:link w:val="Heading2"/>
    <w:rsid w:val="00017EA1"/>
    <w:rPr>
      <w:rFonts w:cs="Arial"/>
      <w:bCs/>
      <w:iCs/>
      <w:sz w:val="24"/>
      <w:szCs w:val="28"/>
    </w:rPr>
  </w:style>
  <w:style w:type="paragraph" w:styleId="Header">
    <w:name w:val="header"/>
    <w:basedOn w:val="Normal"/>
    <w:rsid w:val="00017EA1"/>
    <w:pPr>
      <w:tabs>
        <w:tab w:val="center" w:pos="4320"/>
        <w:tab w:val="right" w:pos="8640"/>
      </w:tabs>
      <w:jc w:val="both"/>
    </w:pPr>
  </w:style>
  <w:style w:type="paragraph" w:styleId="Footer">
    <w:name w:val="footer"/>
    <w:basedOn w:val="Normal"/>
    <w:rsid w:val="00017EA1"/>
    <w:pPr>
      <w:tabs>
        <w:tab w:val="center" w:pos="4320"/>
        <w:tab w:val="right" w:pos="8640"/>
      </w:tabs>
    </w:pPr>
  </w:style>
  <w:style w:type="paragraph" w:customStyle="1" w:styleId="MemoAddresses">
    <w:name w:val="Memo Addresses"/>
    <w:basedOn w:val="Normal"/>
    <w:next w:val="Normal"/>
    <w:rsid w:val="00017EA1"/>
    <w:pPr>
      <w:spacing w:before="120"/>
      <w:ind w:left="1008" w:hanging="1008"/>
      <w:jc w:val="both"/>
    </w:pPr>
  </w:style>
  <w:style w:type="paragraph" w:customStyle="1" w:styleId="MastHeadPSC">
    <w:name w:val="MastHead PSC"/>
    <w:basedOn w:val="Normal"/>
    <w:next w:val="Normal"/>
    <w:rsid w:val="00017EA1"/>
    <w:pPr>
      <w:jc w:val="center"/>
    </w:pPr>
    <w:rPr>
      <w:b/>
      <w:sz w:val="48"/>
      <w:szCs w:val="48"/>
    </w:rPr>
  </w:style>
  <w:style w:type="paragraph" w:customStyle="1" w:styleId="MastHeadMemorandum">
    <w:name w:val="MastHead Memorandum"/>
    <w:basedOn w:val="Normal"/>
    <w:next w:val="Normal"/>
    <w:rsid w:val="00017EA1"/>
    <w:pPr>
      <w:jc w:val="center"/>
    </w:pPr>
    <w:rPr>
      <w:b/>
      <w:sz w:val="28"/>
      <w:szCs w:val="28"/>
    </w:rPr>
  </w:style>
  <w:style w:type="paragraph" w:customStyle="1" w:styleId="MastHeadAddress">
    <w:name w:val="MastHead Address"/>
    <w:basedOn w:val="Normal"/>
    <w:next w:val="Normal"/>
    <w:rsid w:val="00017EA1"/>
    <w:pPr>
      <w:spacing w:after="200"/>
      <w:jc w:val="center"/>
    </w:pPr>
    <w:rPr>
      <w:b/>
      <w:smallCaps/>
      <w:sz w:val="20"/>
      <w:szCs w:val="20"/>
    </w:rPr>
  </w:style>
  <w:style w:type="paragraph" w:customStyle="1" w:styleId="MastHeadState">
    <w:name w:val="MastHead State"/>
    <w:basedOn w:val="Normal"/>
    <w:next w:val="Normal"/>
    <w:rsid w:val="00017EA1"/>
    <w:pPr>
      <w:jc w:val="center"/>
    </w:pPr>
    <w:rPr>
      <w:b/>
      <w:sz w:val="28"/>
      <w:szCs w:val="28"/>
    </w:rPr>
  </w:style>
  <w:style w:type="table" w:styleId="TableGrid">
    <w:name w:val="Table Grid"/>
    <w:basedOn w:val="TableNormal"/>
    <w:rsid w:val="00017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rsid w:val="00017EA1"/>
    <w:pPr>
      <w:jc w:val="both"/>
    </w:pPr>
  </w:style>
  <w:style w:type="paragraph" w:customStyle="1" w:styleId="BlockText5">
    <w:name w:val="Block Text .5&quot;"/>
    <w:basedOn w:val="Normal"/>
    <w:rsid w:val="00017EA1"/>
    <w:pPr>
      <w:spacing w:after="120"/>
      <w:ind w:left="720" w:right="720"/>
    </w:pPr>
  </w:style>
  <w:style w:type="paragraph" w:customStyle="1" w:styleId="BlockText1">
    <w:name w:val="Block Text 1&quot;"/>
    <w:basedOn w:val="Normal"/>
    <w:rsid w:val="00017EA1"/>
    <w:pPr>
      <w:spacing w:after="120"/>
      <w:ind w:left="1440" w:right="1440"/>
    </w:pPr>
  </w:style>
  <w:style w:type="paragraph" w:customStyle="1" w:styleId="BlockText15">
    <w:name w:val="Block Text 1.5&quot;"/>
    <w:basedOn w:val="Normal"/>
    <w:rsid w:val="00017EA1"/>
    <w:pPr>
      <w:spacing w:after="120"/>
      <w:ind w:left="2160" w:right="2160"/>
    </w:pPr>
  </w:style>
  <w:style w:type="paragraph" w:customStyle="1" w:styleId="IssueHeading">
    <w:name w:val="Issue Heading"/>
    <w:basedOn w:val="Heading1"/>
    <w:next w:val="BodyText"/>
    <w:link w:val="IssueHeadingChar"/>
    <w:qFormat/>
    <w:rsid w:val="00017EA1"/>
    <w:pPr>
      <w:keepNext w:val="0"/>
    </w:pPr>
    <w:rPr>
      <w:rFonts w:ascii="Arial" w:hAnsi="Arial"/>
      <w:b/>
      <w:i/>
    </w:rPr>
  </w:style>
  <w:style w:type="character" w:customStyle="1" w:styleId="IssueHeadingChar">
    <w:name w:val="Issue Heading Char"/>
    <w:link w:val="IssueHeading"/>
    <w:rsid w:val="00017EA1"/>
    <w:rPr>
      <w:rFonts w:ascii="Arial" w:hAnsi="Arial" w:cs="Arial"/>
      <w:b/>
      <w:bCs/>
      <w:i/>
      <w:kern w:val="32"/>
      <w:sz w:val="24"/>
      <w:szCs w:val="32"/>
    </w:rPr>
  </w:style>
  <w:style w:type="paragraph" w:customStyle="1" w:styleId="MemoHeadingRe">
    <w:name w:val="Memo Heading Re"/>
    <w:basedOn w:val="MemoHeading"/>
    <w:rsid w:val="00017EA1"/>
    <w:pPr>
      <w:tabs>
        <w:tab w:val="left" w:pos="2520"/>
        <w:tab w:val="left" w:pos="2736"/>
      </w:tabs>
    </w:pPr>
  </w:style>
  <w:style w:type="paragraph" w:styleId="TOC1">
    <w:name w:val="toc 1"/>
    <w:basedOn w:val="Normal"/>
    <w:next w:val="Normal"/>
    <w:uiPriority w:val="39"/>
    <w:rsid w:val="00017EA1"/>
    <w:pPr>
      <w:tabs>
        <w:tab w:val="left" w:pos="864"/>
        <w:tab w:val="right" w:leader="dot" w:pos="9360"/>
      </w:tabs>
      <w:ind w:left="864" w:right="360" w:hanging="864"/>
    </w:pPr>
  </w:style>
  <w:style w:type="character" w:styleId="Hyperlink">
    <w:name w:val="Hyperlink"/>
    <w:uiPriority w:val="99"/>
    <w:rsid w:val="00017EA1"/>
    <w:rPr>
      <w:color w:val="0000FF"/>
      <w:u w:val="single"/>
    </w:rPr>
  </w:style>
  <w:style w:type="paragraph" w:customStyle="1" w:styleId="RecommendationMajorSectionHeading">
    <w:name w:val="Recommendation Major Section Heading"/>
    <w:basedOn w:val="Heading1"/>
    <w:next w:val="BodyText"/>
    <w:rsid w:val="00017EA1"/>
    <w:pPr>
      <w:jc w:val="center"/>
    </w:pPr>
    <w:rPr>
      <w:rFonts w:ascii="Arial" w:hAnsi="Arial"/>
      <w:b/>
    </w:rPr>
  </w:style>
  <w:style w:type="paragraph" w:customStyle="1" w:styleId="IssueSubsectionHeading">
    <w:name w:val="Issue Subsection Heading"/>
    <w:basedOn w:val="Heading2"/>
    <w:next w:val="BodyText"/>
    <w:link w:val="IssueSubsectionHeadingChar"/>
    <w:qFormat/>
    <w:rsid w:val="00017EA1"/>
    <w:pPr>
      <w:keepNext w:val="0"/>
    </w:pPr>
    <w:rPr>
      <w:rFonts w:ascii="Arial" w:hAnsi="Arial"/>
      <w:b/>
      <w:i/>
    </w:rPr>
  </w:style>
  <w:style w:type="character" w:customStyle="1" w:styleId="IssueSubsectionHeadingChar">
    <w:name w:val="Issue Subsection Heading Char"/>
    <w:link w:val="IssueSubsectionHeading"/>
    <w:rsid w:val="00017EA1"/>
    <w:rPr>
      <w:rFonts w:ascii="Arial" w:hAnsi="Arial" w:cs="Arial"/>
      <w:b/>
      <w:bCs/>
      <w:i/>
      <w:iCs/>
      <w:sz w:val="24"/>
      <w:szCs w:val="28"/>
    </w:rPr>
  </w:style>
  <w:style w:type="paragraph" w:customStyle="1" w:styleId="RecommendationHeading">
    <w:name w:val="Recommendation Heading"/>
    <w:basedOn w:val="Heading1"/>
    <w:next w:val="BodyText"/>
    <w:rsid w:val="00017EA1"/>
    <w:pPr>
      <w:keepNext w:val="0"/>
      <w:jc w:val="center"/>
    </w:pPr>
    <w:rPr>
      <w:b/>
      <w:u w:val="single"/>
    </w:rPr>
  </w:style>
  <w:style w:type="paragraph" w:customStyle="1" w:styleId="DiscussionofIssues">
    <w:name w:val="Discussion of Issues"/>
    <w:basedOn w:val="RecommendationMajorSectionHeading"/>
    <w:next w:val="BodyText"/>
    <w:rsid w:val="00017EA1"/>
    <w:pPr>
      <w:spacing w:after="0"/>
    </w:pPr>
  </w:style>
  <w:style w:type="character" w:styleId="PageNumber">
    <w:name w:val="page number"/>
    <w:basedOn w:val="DefaultParagraphFont"/>
    <w:rsid w:val="00017EA1"/>
  </w:style>
  <w:style w:type="paragraph" w:customStyle="1" w:styleId="TOCColumnHeadings">
    <w:name w:val="TOC Column Headings"/>
    <w:basedOn w:val="Normal"/>
    <w:rsid w:val="00017EA1"/>
    <w:pPr>
      <w:tabs>
        <w:tab w:val="left" w:pos="864"/>
        <w:tab w:val="right" w:pos="9360"/>
      </w:tabs>
    </w:pPr>
    <w:rPr>
      <w:u w:val="words"/>
    </w:rPr>
  </w:style>
  <w:style w:type="table" w:customStyle="1" w:styleId="TableMasthead">
    <w:name w:val="Table Masthead"/>
    <w:basedOn w:val="TableGrid"/>
    <w:rsid w:val="00017EA1"/>
    <w:tblPr/>
  </w:style>
  <w:style w:type="paragraph" w:customStyle="1" w:styleId="StyleHeading1BoldUnderline">
    <w:name w:val="Style Heading 1 + Bold Underline"/>
    <w:basedOn w:val="Heading1"/>
    <w:link w:val="StyleHeading1BoldUnderlineChar"/>
    <w:rsid w:val="00017EA1"/>
    <w:pPr>
      <w:keepNext w:val="0"/>
      <w:spacing w:before="240"/>
    </w:pPr>
    <w:rPr>
      <w:b/>
      <w:u w:val="single"/>
    </w:rPr>
  </w:style>
  <w:style w:type="character" w:customStyle="1" w:styleId="StyleHeading1BoldUnderlineChar">
    <w:name w:val="Style Heading 1 + Bold Underline Char"/>
    <w:link w:val="StyleHeading1BoldUnderline"/>
    <w:rsid w:val="00017EA1"/>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017EA1"/>
    <w:pPr>
      <w:jc w:val="left"/>
    </w:pPr>
  </w:style>
  <w:style w:type="paragraph" w:styleId="FootnoteText">
    <w:name w:val="footnote text"/>
    <w:basedOn w:val="Normal"/>
    <w:link w:val="FootnoteTextChar"/>
    <w:rsid w:val="00017EA1"/>
    <w:pPr>
      <w:jc w:val="both"/>
    </w:pPr>
    <w:rPr>
      <w:sz w:val="20"/>
      <w:szCs w:val="20"/>
    </w:rPr>
  </w:style>
  <w:style w:type="paragraph" w:styleId="TOC3">
    <w:name w:val="toc 3"/>
    <w:basedOn w:val="TOC2"/>
    <w:next w:val="Normal"/>
    <w:rsid w:val="00017EA1"/>
    <w:pPr>
      <w:tabs>
        <w:tab w:val="clear" w:pos="1152"/>
        <w:tab w:val="left" w:pos="1584"/>
      </w:tabs>
      <w:ind w:left="1584" w:hanging="432"/>
    </w:pPr>
  </w:style>
  <w:style w:type="paragraph" w:styleId="TOC2">
    <w:name w:val="toc 2"/>
    <w:basedOn w:val="TOC1"/>
    <w:next w:val="Normal"/>
    <w:rsid w:val="00017EA1"/>
    <w:pPr>
      <w:tabs>
        <w:tab w:val="clear" w:pos="864"/>
        <w:tab w:val="left" w:pos="1152"/>
      </w:tabs>
      <w:ind w:left="1152" w:hanging="288"/>
    </w:pPr>
  </w:style>
  <w:style w:type="paragraph" w:styleId="DocumentMap">
    <w:name w:val="Document Map"/>
    <w:basedOn w:val="Normal"/>
    <w:semiHidden/>
    <w:rsid w:val="00017EA1"/>
    <w:pPr>
      <w:shd w:val="clear" w:color="auto" w:fill="000080"/>
    </w:pPr>
    <w:rPr>
      <w:rFonts w:ascii="Tahoma" w:hAnsi="Tahoma" w:cs="Tahoma"/>
    </w:rPr>
  </w:style>
  <w:style w:type="paragraph" w:styleId="BalloonText">
    <w:name w:val="Balloon Text"/>
    <w:basedOn w:val="Normal"/>
    <w:semiHidden/>
    <w:rsid w:val="00017EA1"/>
    <w:rPr>
      <w:rFonts w:ascii="Tahoma" w:hAnsi="Tahoma" w:cs="Tahoma"/>
      <w:sz w:val="16"/>
      <w:szCs w:val="16"/>
    </w:rPr>
  </w:style>
  <w:style w:type="paragraph" w:styleId="BlockText">
    <w:name w:val="Block Text"/>
    <w:basedOn w:val="Normal"/>
    <w:rsid w:val="00017EA1"/>
    <w:pPr>
      <w:spacing w:after="120"/>
      <w:ind w:left="1440" w:right="1440"/>
    </w:pPr>
  </w:style>
  <w:style w:type="paragraph" w:styleId="BodyText2">
    <w:name w:val="Body Text 2"/>
    <w:basedOn w:val="Normal"/>
    <w:rsid w:val="00017EA1"/>
    <w:pPr>
      <w:spacing w:after="120" w:line="480" w:lineRule="auto"/>
    </w:pPr>
  </w:style>
  <w:style w:type="paragraph" w:styleId="BodyText3">
    <w:name w:val="Body Text 3"/>
    <w:basedOn w:val="Normal"/>
    <w:rsid w:val="00017EA1"/>
    <w:pPr>
      <w:spacing w:after="120"/>
    </w:pPr>
    <w:rPr>
      <w:sz w:val="16"/>
      <w:szCs w:val="16"/>
    </w:rPr>
  </w:style>
  <w:style w:type="paragraph" w:styleId="BodyTextFirstIndent">
    <w:name w:val="Body Text First Indent"/>
    <w:basedOn w:val="BodyText"/>
    <w:rsid w:val="00017EA1"/>
    <w:pPr>
      <w:spacing w:after="120"/>
      <w:ind w:firstLine="210"/>
      <w:jc w:val="left"/>
    </w:pPr>
  </w:style>
  <w:style w:type="paragraph" w:styleId="BodyTextIndent">
    <w:name w:val="Body Text Indent"/>
    <w:basedOn w:val="Normal"/>
    <w:rsid w:val="00017EA1"/>
    <w:pPr>
      <w:spacing w:after="120"/>
      <w:ind w:left="360"/>
    </w:pPr>
  </w:style>
  <w:style w:type="paragraph" w:styleId="BodyTextFirstIndent2">
    <w:name w:val="Body Text First Indent 2"/>
    <w:basedOn w:val="BodyTextIndent"/>
    <w:rsid w:val="00017EA1"/>
    <w:pPr>
      <w:ind w:firstLine="210"/>
    </w:pPr>
  </w:style>
  <w:style w:type="paragraph" w:styleId="BodyTextIndent2">
    <w:name w:val="Body Text Indent 2"/>
    <w:basedOn w:val="Normal"/>
    <w:rsid w:val="00017EA1"/>
    <w:pPr>
      <w:spacing w:after="120" w:line="480" w:lineRule="auto"/>
      <w:ind w:left="360"/>
    </w:pPr>
  </w:style>
  <w:style w:type="paragraph" w:styleId="BodyTextIndent3">
    <w:name w:val="Body Text Indent 3"/>
    <w:basedOn w:val="Normal"/>
    <w:rsid w:val="00017EA1"/>
    <w:pPr>
      <w:spacing w:after="120"/>
      <w:ind w:left="360"/>
    </w:pPr>
    <w:rPr>
      <w:sz w:val="16"/>
      <w:szCs w:val="16"/>
    </w:rPr>
  </w:style>
  <w:style w:type="paragraph" w:styleId="Caption">
    <w:name w:val="caption"/>
    <w:basedOn w:val="Normal"/>
    <w:next w:val="Normal"/>
    <w:qFormat/>
    <w:rsid w:val="00017EA1"/>
    <w:pPr>
      <w:spacing w:before="120" w:after="120"/>
    </w:pPr>
    <w:rPr>
      <w:b/>
      <w:bCs/>
      <w:sz w:val="20"/>
      <w:szCs w:val="20"/>
    </w:rPr>
  </w:style>
  <w:style w:type="paragraph" w:styleId="Closing">
    <w:name w:val="Closing"/>
    <w:basedOn w:val="Normal"/>
    <w:rsid w:val="00017EA1"/>
    <w:pPr>
      <w:ind w:left="4320"/>
    </w:pPr>
  </w:style>
  <w:style w:type="paragraph" w:styleId="CommentText">
    <w:name w:val="annotation text"/>
    <w:basedOn w:val="Normal"/>
    <w:semiHidden/>
    <w:rsid w:val="00017EA1"/>
    <w:rPr>
      <w:sz w:val="20"/>
      <w:szCs w:val="20"/>
    </w:rPr>
  </w:style>
  <w:style w:type="paragraph" w:styleId="CommentSubject">
    <w:name w:val="annotation subject"/>
    <w:basedOn w:val="CommentText"/>
    <w:next w:val="CommentText"/>
    <w:semiHidden/>
    <w:rsid w:val="00017EA1"/>
    <w:rPr>
      <w:b/>
      <w:bCs/>
    </w:rPr>
  </w:style>
  <w:style w:type="paragraph" w:styleId="Date">
    <w:name w:val="Date"/>
    <w:basedOn w:val="Normal"/>
    <w:next w:val="Normal"/>
    <w:rsid w:val="00017EA1"/>
  </w:style>
  <w:style w:type="paragraph" w:styleId="E-mailSignature">
    <w:name w:val="E-mail Signature"/>
    <w:basedOn w:val="Normal"/>
    <w:rsid w:val="00017EA1"/>
  </w:style>
  <w:style w:type="paragraph" w:styleId="EndnoteText">
    <w:name w:val="endnote text"/>
    <w:basedOn w:val="Normal"/>
    <w:semiHidden/>
    <w:rsid w:val="00017EA1"/>
    <w:rPr>
      <w:sz w:val="20"/>
      <w:szCs w:val="20"/>
    </w:rPr>
  </w:style>
  <w:style w:type="paragraph" w:styleId="EnvelopeAddress">
    <w:name w:val="envelope address"/>
    <w:basedOn w:val="Normal"/>
    <w:rsid w:val="00017EA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17EA1"/>
    <w:rPr>
      <w:rFonts w:ascii="Arial" w:hAnsi="Arial" w:cs="Arial"/>
      <w:sz w:val="20"/>
      <w:szCs w:val="20"/>
    </w:rPr>
  </w:style>
  <w:style w:type="paragraph" w:styleId="HTMLAddress">
    <w:name w:val="HTML Address"/>
    <w:basedOn w:val="Normal"/>
    <w:rsid w:val="00017EA1"/>
    <w:rPr>
      <w:i/>
      <w:iCs/>
    </w:rPr>
  </w:style>
  <w:style w:type="paragraph" w:styleId="HTMLPreformatted">
    <w:name w:val="HTML Preformatted"/>
    <w:basedOn w:val="Normal"/>
    <w:rsid w:val="00017EA1"/>
    <w:rPr>
      <w:rFonts w:ascii="Courier New" w:hAnsi="Courier New" w:cs="Courier New"/>
      <w:sz w:val="20"/>
      <w:szCs w:val="20"/>
    </w:rPr>
  </w:style>
  <w:style w:type="paragraph" w:styleId="Index1">
    <w:name w:val="index 1"/>
    <w:basedOn w:val="Normal"/>
    <w:next w:val="Normal"/>
    <w:autoRedefine/>
    <w:semiHidden/>
    <w:rsid w:val="00017EA1"/>
    <w:pPr>
      <w:ind w:left="240" w:hanging="240"/>
    </w:pPr>
  </w:style>
  <w:style w:type="paragraph" w:styleId="Index2">
    <w:name w:val="index 2"/>
    <w:basedOn w:val="Normal"/>
    <w:next w:val="Normal"/>
    <w:autoRedefine/>
    <w:semiHidden/>
    <w:rsid w:val="00017EA1"/>
    <w:pPr>
      <w:ind w:left="480" w:hanging="240"/>
    </w:pPr>
  </w:style>
  <w:style w:type="paragraph" w:styleId="Index3">
    <w:name w:val="index 3"/>
    <w:basedOn w:val="Normal"/>
    <w:next w:val="Normal"/>
    <w:autoRedefine/>
    <w:semiHidden/>
    <w:rsid w:val="00017EA1"/>
    <w:pPr>
      <w:ind w:left="720" w:hanging="240"/>
    </w:pPr>
  </w:style>
  <w:style w:type="paragraph" w:styleId="Index4">
    <w:name w:val="index 4"/>
    <w:basedOn w:val="Normal"/>
    <w:next w:val="Normal"/>
    <w:autoRedefine/>
    <w:semiHidden/>
    <w:rsid w:val="00017EA1"/>
    <w:pPr>
      <w:ind w:left="960" w:hanging="240"/>
    </w:pPr>
  </w:style>
  <w:style w:type="paragraph" w:styleId="Index5">
    <w:name w:val="index 5"/>
    <w:basedOn w:val="Normal"/>
    <w:next w:val="Normal"/>
    <w:autoRedefine/>
    <w:semiHidden/>
    <w:rsid w:val="00017EA1"/>
    <w:pPr>
      <w:ind w:left="1200" w:hanging="240"/>
    </w:pPr>
  </w:style>
  <w:style w:type="paragraph" w:styleId="Index6">
    <w:name w:val="index 6"/>
    <w:basedOn w:val="Normal"/>
    <w:next w:val="Normal"/>
    <w:autoRedefine/>
    <w:semiHidden/>
    <w:rsid w:val="00017EA1"/>
    <w:pPr>
      <w:ind w:left="1440" w:hanging="240"/>
    </w:pPr>
  </w:style>
  <w:style w:type="paragraph" w:styleId="Index7">
    <w:name w:val="index 7"/>
    <w:basedOn w:val="Normal"/>
    <w:next w:val="Normal"/>
    <w:autoRedefine/>
    <w:semiHidden/>
    <w:rsid w:val="00017EA1"/>
    <w:pPr>
      <w:ind w:left="1680" w:hanging="240"/>
    </w:pPr>
  </w:style>
  <w:style w:type="paragraph" w:styleId="Index8">
    <w:name w:val="index 8"/>
    <w:basedOn w:val="Normal"/>
    <w:next w:val="Normal"/>
    <w:autoRedefine/>
    <w:semiHidden/>
    <w:rsid w:val="00017EA1"/>
    <w:pPr>
      <w:ind w:left="1920" w:hanging="240"/>
    </w:pPr>
  </w:style>
  <w:style w:type="paragraph" w:styleId="Index9">
    <w:name w:val="index 9"/>
    <w:basedOn w:val="Normal"/>
    <w:next w:val="Normal"/>
    <w:autoRedefine/>
    <w:semiHidden/>
    <w:rsid w:val="00017EA1"/>
    <w:pPr>
      <w:ind w:left="2160" w:hanging="240"/>
    </w:pPr>
  </w:style>
  <w:style w:type="paragraph" w:styleId="IndexHeading">
    <w:name w:val="index heading"/>
    <w:basedOn w:val="Normal"/>
    <w:next w:val="Index1"/>
    <w:semiHidden/>
    <w:rsid w:val="00017EA1"/>
    <w:rPr>
      <w:rFonts w:ascii="Arial" w:hAnsi="Arial" w:cs="Arial"/>
      <w:b/>
      <w:bCs/>
    </w:rPr>
  </w:style>
  <w:style w:type="paragraph" w:styleId="List">
    <w:name w:val="List"/>
    <w:basedOn w:val="Normal"/>
    <w:rsid w:val="00017EA1"/>
    <w:pPr>
      <w:ind w:left="360" w:hanging="360"/>
    </w:pPr>
  </w:style>
  <w:style w:type="paragraph" w:styleId="List2">
    <w:name w:val="List 2"/>
    <w:basedOn w:val="Normal"/>
    <w:rsid w:val="00017EA1"/>
    <w:pPr>
      <w:ind w:left="720" w:hanging="360"/>
    </w:pPr>
  </w:style>
  <w:style w:type="paragraph" w:styleId="List3">
    <w:name w:val="List 3"/>
    <w:basedOn w:val="Normal"/>
    <w:rsid w:val="00017EA1"/>
    <w:pPr>
      <w:ind w:left="1080" w:hanging="360"/>
    </w:pPr>
  </w:style>
  <w:style w:type="paragraph" w:styleId="List4">
    <w:name w:val="List 4"/>
    <w:basedOn w:val="Normal"/>
    <w:rsid w:val="00017EA1"/>
    <w:pPr>
      <w:ind w:left="1440" w:hanging="360"/>
    </w:pPr>
  </w:style>
  <w:style w:type="paragraph" w:styleId="List5">
    <w:name w:val="List 5"/>
    <w:basedOn w:val="Normal"/>
    <w:rsid w:val="00017EA1"/>
    <w:pPr>
      <w:ind w:left="1800" w:hanging="360"/>
    </w:pPr>
  </w:style>
  <w:style w:type="paragraph" w:styleId="ListBullet">
    <w:name w:val="List Bullet"/>
    <w:basedOn w:val="Normal"/>
    <w:autoRedefine/>
    <w:rsid w:val="00017EA1"/>
    <w:pPr>
      <w:tabs>
        <w:tab w:val="num" w:pos="360"/>
      </w:tabs>
      <w:ind w:left="360" w:hanging="360"/>
    </w:pPr>
  </w:style>
  <w:style w:type="paragraph" w:styleId="ListBullet2">
    <w:name w:val="List Bullet 2"/>
    <w:basedOn w:val="Normal"/>
    <w:autoRedefine/>
    <w:rsid w:val="00017EA1"/>
    <w:pPr>
      <w:tabs>
        <w:tab w:val="num" w:pos="720"/>
      </w:tabs>
      <w:ind w:left="720" w:hanging="360"/>
    </w:pPr>
  </w:style>
  <w:style w:type="paragraph" w:styleId="ListBullet3">
    <w:name w:val="List Bullet 3"/>
    <w:basedOn w:val="Normal"/>
    <w:autoRedefine/>
    <w:rsid w:val="00017EA1"/>
    <w:pPr>
      <w:tabs>
        <w:tab w:val="num" w:pos="1080"/>
      </w:tabs>
      <w:ind w:left="1080" w:hanging="360"/>
    </w:pPr>
  </w:style>
  <w:style w:type="paragraph" w:styleId="ListBullet4">
    <w:name w:val="List Bullet 4"/>
    <w:basedOn w:val="Normal"/>
    <w:autoRedefine/>
    <w:rsid w:val="00017EA1"/>
    <w:pPr>
      <w:tabs>
        <w:tab w:val="num" w:pos="1440"/>
      </w:tabs>
      <w:ind w:left="1440" w:hanging="360"/>
    </w:pPr>
  </w:style>
  <w:style w:type="paragraph" w:styleId="ListBullet5">
    <w:name w:val="List Bullet 5"/>
    <w:basedOn w:val="Normal"/>
    <w:autoRedefine/>
    <w:rsid w:val="00017EA1"/>
    <w:pPr>
      <w:tabs>
        <w:tab w:val="num" w:pos="1800"/>
      </w:tabs>
      <w:ind w:left="1800" w:hanging="360"/>
    </w:pPr>
  </w:style>
  <w:style w:type="paragraph" w:styleId="ListContinue">
    <w:name w:val="List Continue"/>
    <w:basedOn w:val="Normal"/>
    <w:rsid w:val="00017EA1"/>
    <w:pPr>
      <w:spacing w:after="120"/>
      <w:ind w:left="360"/>
    </w:pPr>
  </w:style>
  <w:style w:type="paragraph" w:styleId="ListContinue2">
    <w:name w:val="List Continue 2"/>
    <w:basedOn w:val="Normal"/>
    <w:rsid w:val="00017EA1"/>
    <w:pPr>
      <w:spacing w:after="120"/>
      <w:ind w:left="720"/>
    </w:pPr>
  </w:style>
  <w:style w:type="paragraph" w:styleId="ListContinue3">
    <w:name w:val="List Continue 3"/>
    <w:basedOn w:val="Normal"/>
    <w:rsid w:val="00017EA1"/>
    <w:pPr>
      <w:spacing w:after="120"/>
      <w:ind w:left="1080"/>
    </w:pPr>
  </w:style>
  <w:style w:type="paragraph" w:styleId="ListContinue4">
    <w:name w:val="List Continue 4"/>
    <w:basedOn w:val="Normal"/>
    <w:rsid w:val="00017EA1"/>
    <w:pPr>
      <w:spacing w:after="120"/>
      <w:ind w:left="1440"/>
    </w:pPr>
  </w:style>
  <w:style w:type="paragraph" w:styleId="ListContinue5">
    <w:name w:val="List Continue 5"/>
    <w:basedOn w:val="Normal"/>
    <w:rsid w:val="00017EA1"/>
    <w:pPr>
      <w:spacing w:after="120"/>
      <w:ind w:left="1800"/>
    </w:pPr>
  </w:style>
  <w:style w:type="paragraph" w:styleId="ListNumber">
    <w:name w:val="List Number"/>
    <w:basedOn w:val="Normal"/>
    <w:rsid w:val="00017EA1"/>
    <w:pPr>
      <w:tabs>
        <w:tab w:val="num" w:pos="360"/>
      </w:tabs>
      <w:ind w:left="360" w:hanging="360"/>
    </w:pPr>
  </w:style>
  <w:style w:type="paragraph" w:styleId="ListNumber2">
    <w:name w:val="List Number 2"/>
    <w:basedOn w:val="Normal"/>
    <w:rsid w:val="00017EA1"/>
    <w:pPr>
      <w:tabs>
        <w:tab w:val="num" w:pos="720"/>
      </w:tabs>
      <w:ind w:left="720" w:hanging="360"/>
    </w:pPr>
  </w:style>
  <w:style w:type="paragraph" w:styleId="ListNumber3">
    <w:name w:val="List Number 3"/>
    <w:basedOn w:val="Normal"/>
    <w:rsid w:val="00017EA1"/>
    <w:pPr>
      <w:tabs>
        <w:tab w:val="num" w:pos="1080"/>
      </w:tabs>
      <w:ind w:left="1080" w:hanging="360"/>
    </w:pPr>
  </w:style>
  <w:style w:type="paragraph" w:styleId="ListNumber4">
    <w:name w:val="List Number 4"/>
    <w:basedOn w:val="Normal"/>
    <w:rsid w:val="00017EA1"/>
    <w:pPr>
      <w:tabs>
        <w:tab w:val="num" w:pos="1440"/>
      </w:tabs>
      <w:ind w:left="1440" w:hanging="360"/>
    </w:pPr>
  </w:style>
  <w:style w:type="paragraph" w:styleId="ListNumber5">
    <w:name w:val="List Number 5"/>
    <w:basedOn w:val="Normal"/>
    <w:rsid w:val="00017EA1"/>
    <w:pPr>
      <w:tabs>
        <w:tab w:val="num" w:pos="1800"/>
      </w:tabs>
      <w:ind w:left="1800" w:hanging="360"/>
    </w:pPr>
  </w:style>
  <w:style w:type="paragraph" w:styleId="MacroText">
    <w:name w:val="macro"/>
    <w:semiHidden/>
    <w:rsid w:val="00017EA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17EA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017EA1"/>
  </w:style>
  <w:style w:type="paragraph" w:styleId="NormalIndent">
    <w:name w:val="Normal Indent"/>
    <w:basedOn w:val="Normal"/>
    <w:rsid w:val="00017EA1"/>
    <w:pPr>
      <w:ind w:left="720"/>
    </w:pPr>
  </w:style>
  <w:style w:type="paragraph" w:styleId="NoteHeading">
    <w:name w:val="Note Heading"/>
    <w:basedOn w:val="Normal"/>
    <w:next w:val="Normal"/>
    <w:rsid w:val="00017EA1"/>
  </w:style>
  <w:style w:type="paragraph" w:styleId="PlainText">
    <w:name w:val="Plain Text"/>
    <w:basedOn w:val="Normal"/>
    <w:rsid w:val="00017EA1"/>
    <w:rPr>
      <w:rFonts w:ascii="Courier New" w:hAnsi="Courier New" w:cs="Courier New"/>
      <w:sz w:val="20"/>
      <w:szCs w:val="20"/>
    </w:rPr>
  </w:style>
  <w:style w:type="paragraph" w:styleId="Salutation">
    <w:name w:val="Salutation"/>
    <w:basedOn w:val="Normal"/>
    <w:next w:val="Normal"/>
    <w:rsid w:val="00017EA1"/>
  </w:style>
  <w:style w:type="paragraph" w:styleId="Signature">
    <w:name w:val="Signature"/>
    <w:basedOn w:val="Normal"/>
    <w:rsid w:val="00017EA1"/>
    <w:pPr>
      <w:ind w:left="4320"/>
    </w:pPr>
  </w:style>
  <w:style w:type="paragraph" w:styleId="Subtitle">
    <w:name w:val="Subtitle"/>
    <w:basedOn w:val="Normal"/>
    <w:qFormat/>
    <w:rsid w:val="00017EA1"/>
    <w:pPr>
      <w:spacing w:after="60"/>
      <w:jc w:val="center"/>
      <w:outlineLvl w:val="1"/>
    </w:pPr>
    <w:rPr>
      <w:rFonts w:ascii="Arial" w:hAnsi="Arial" w:cs="Arial"/>
    </w:rPr>
  </w:style>
  <w:style w:type="paragraph" w:styleId="TableofAuthorities">
    <w:name w:val="table of authorities"/>
    <w:basedOn w:val="Normal"/>
    <w:next w:val="Normal"/>
    <w:semiHidden/>
    <w:rsid w:val="00017EA1"/>
    <w:pPr>
      <w:ind w:left="240" w:hanging="240"/>
    </w:pPr>
  </w:style>
  <w:style w:type="paragraph" w:styleId="TableofFigures">
    <w:name w:val="table of figures"/>
    <w:basedOn w:val="Normal"/>
    <w:next w:val="Normal"/>
    <w:semiHidden/>
    <w:rsid w:val="00017EA1"/>
    <w:pPr>
      <w:ind w:left="480" w:hanging="480"/>
    </w:pPr>
  </w:style>
  <w:style w:type="paragraph" w:styleId="Title">
    <w:name w:val="Title"/>
    <w:basedOn w:val="Normal"/>
    <w:qFormat/>
    <w:rsid w:val="00017EA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17EA1"/>
    <w:pPr>
      <w:spacing w:before="120"/>
    </w:pPr>
    <w:rPr>
      <w:rFonts w:ascii="Arial" w:hAnsi="Arial" w:cs="Arial"/>
      <w:b/>
      <w:bCs/>
    </w:rPr>
  </w:style>
  <w:style w:type="paragraph" w:styleId="TOC4">
    <w:name w:val="toc 4"/>
    <w:basedOn w:val="Normal"/>
    <w:next w:val="Normal"/>
    <w:autoRedefine/>
    <w:semiHidden/>
    <w:rsid w:val="00017EA1"/>
    <w:pPr>
      <w:ind w:left="720"/>
    </w:pPr>
  </w:style>
  <w:style w:type="paragraph" w:styleId="TOC5">
    <w:name w:val="toc 5"/>
    <w:basedOn w:val="Normal"/>
    <w:next w:val="Normal"/>
    <w:autoRedefine/>
    <w:semiHidden/>
    <w:rsid w:val="00017EA1"/>
    <w:pPr>
      <w:ind w:left="960"/>
    </w:pPr>
  </w:style>
  <w:style w:type="paragraph" w:styleId="TOC6">
    <w:name w:val="toc 6"/>
    <w:basedOn w:val="Normal"/>
    <w:next w:val="Normal"/>
    <w:autoRedefine/>
    <w:semiHidden/>
    <w:rsid w:val="00017EA1"/>
    <w:pPr>
      <w:ind w:left="1200"/>
    </w:pPr>
  </w:style>
  <w:style w:type="paragraph" w:styleId="TOC9">
    <w:name w:val="toc 9"/>
    <w:basedOn w:val="TOC1"/>
    <w:next w:val="Normal"/>
    <w:autoRedefine/>
    <w:rsid w:val="00017EA1"/>
    <w:pPr>
      <w:ind w:left="1728"/>
    </w:pPr>
    <w:rPr>
      <w:u w:val="single"/>
    </w:rPr>
  </w:style>
  <w:style w:type="paragraph" w:customStyle="1" w:styleId="MemoHeadingLabel">
    <w:name w:val="Memo Heading Label"/>
    <w:basedOn w:val="MemoHeading"/>
    <w:qFormat/>
    <w:rsid w:val="00017EA1"/>
    <w:rPr>
      <w:rFonts w:ascii="Arial" w:hAnsi="Arial"/>
      <w:b/>
    </w:rPr>
  </w:style>
  <w:style w:type="paragraph" w:customStyle="1" w:styleId="First-LevelSubheading">
    <w:name w:val="First-Level Subheading"/>
    <w:basedOn w:val="IssueSubsectionHeading"/>
    <w:next w:val="BodyText"/>
    <w:qFormat/>
    <w:rsid w:val="00017EA1"/>
    <w:pPr>
      <w:spacing w:after="0"/>
      <w:outlineLvl w:val="2"/>
    </w:pPr>
    <w:rPr>
      <w:i w:val="0"/>
    </w:rPr>
  </w:style>
  <w:style w:type="paragraph" w:customStyle="1" w:styleId="Second-LevelSubheading">
    <w:name w:val="Second-Level Subheading"/>
    <w:basedOn w:val="First-LevelSubheading"/>
    <w:next w:val="BodyText"/>
    <w:qFormat/>
    <w:rsid w:val="00017EA1"/>
    <w:pPr>
      <w:ind w:left="720"/>
      <w:outlineLvl w:val="3"/>
    </w:pPr>
    <w:rPr>
      <w:i/>
    </w:rPr>
  </w:style>
  <w:style w:type="paragraph" w:customStyle="1" w:styleId="TableNumber">
    <w:name w:val="Table Number"/>
    <w:basedOn w:val="BodyText"/>
    <w:next w:val="BodyText"/>
    <w:qFormat/>
    <w:rsid w:val="00017EA1"/>
    <w:pPr>
      <w:spacing w:before="480" w:after="0"/>
      <w:jc w:val="center"/>
    </w:pPr>
    <w:rPr>
      <w:rFonts w:ascii="Arial" w:hAnsi="Arial"/>
      <w:b/>
    </w:rPr>
  </w:style>
  <w:style w:type="paragraph" w:customStyle="1" w:styleId="TableTitle">
    <w:name w:val="Table Title"/>
    <w:basedOn w:val="BodyText"/>
    <w:next w:val="BodyText"/>
    <w:qFormat/>
    <w:rsid w:val="00017EA1"/>
    <w:pPr>
      <w:spacing w:after="0"/>
      <w:jc w:val="center"/>
    </w:pPr>
    <w:rPr>
      <w:rFonts w:ascii="Arial" w:hAnsi="Arial"/>
      <w:b/>
    </w:rPr>
  </w:style>
  <w:style w:type="paragraph" w:customStyle="1" w:styleId="TableSource">
    <w:name w:val="Table Source"/>
    <w:basedOn w:val="BodyText"/>
    <w:next w:val="BodyText"/>
    <w:qFormat/>
    <w:rsid w:val="00017EA1"/>
    <w:pPr>
      <w:spacing w:after="480"/>
    </w:pPr>
  </w:style>
  <w:style w:type="paragraph" w:customStyle="1" w:styleId="PartyName">
    <w:name w:val="Party Name"/>
    <w:basedOn w:val="IssueSubsectionHeading"/>
    <w:next w:val="BodyText"/>
    <w:qFormat/>
    <w:rsid w:val="00017EA1"/>
    <w:rPr>
      <w:i w:val="0"/>
    </w:rPr>
  </w:style>
  <w:style w:type="paragraph" w:customStyle="1" w:styleId="Third-LevelSubheading">
    <w:name w:val="Third-Level Subheading"/>
    <w:basedOn w:val="Second-LevelSubheading"/>
    <w:next w:val="BodyText"/>
    <w:qFormat/>
    <w:rsid w:val="00017EA1"/>
    <w:pPr>
      <w:ind w:left="1440"/>
      <w:outlineLvl w:val="4"/>
    </w:pPr>
  </w:style>
  <w:style w:type="character" w:styleId="FootnoteReference">
    <w:name w:val="footnote reference"/>
    <w:basedOn w:val="DefaultParagraphFont"/>
    <w:rsid w:val="00D221BE"/>
    <w:rPr>
      <w:vertAlign w:val="superscript"/>
    </w:rPr>
  </w:style>
  <w:style w:type="numbering" w:styleId="111111">
    <w:name w:val="Outline List 2"/>
    <w:basedOn w:val="NoList"/>
    <w:rsid w:val="000F7E60"/>
    <w:pPr>
      <w:numPr>
        <w:numId w:val="11"/>
      </w:numPr>
    </w:pPr>
  </w:style>
  <w:style w:type="character" w:customStyle="1" w:styleId="FootnoteTextChar">
    <w:name w:val="Footnote Text Char"/>
    <w:link w:val="FootnoteText"/>
    <w:rsid w:val="000F7E60"/>
  </w:style>
  <w:style w:type="paragraph" w:styleId="ListParagraph">
    <w:name w:val="List Paragraph"/>
    <w:basedOn w:val="Normal"/>
    <w:uiPriority w:val="34"/>
    <w:qFormat/>
    <w:rsid w:val="000F7E60"/>
    <w:pPr>
      <w:ind w:left="720"/>
      <w:contextualSpacing/>
    </w:pPr>
  </w:style>
  <w:style w:type="numbering" w:styleId="ArticleSection">
    <w:name w:val="Outline List 3"/>
    <w:basedOn w:val="NoList"/>
    <w:rsid w:val="00035306"/>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EA1"/>
    <w:rPr>
      <w:sz w:val="24"/>
      <w:szCs w:val="24"/>
    </w:rPr>
  </w:style>
  <w:style w:type="paragraph" w:styleId="Heading1">
    <w:name w:val="heading 1"/>
    <w:basedOn w:val="Normal"/>
    <w:next w:val="BodyText"/>
    <w:link w:val="Heading1Char"/>
    <w:qFormat/>
    <w:rsid w:val="00017EA1"/>
    <w:pPr>
      <w:keepNext/>
      <w:spacing w:after="240"/>
      <w:jc w:val="both"/>
      <w:outlineLvl w:val="0"/>
    </w:pPr>
    <w:rPr>
      <w:rFonts w:cs="Arial"/>
      <w:bCs/>
      <w:kern w:val="32"/>
      <w:szCs w:val="32"/>
    </w:rPr>
  </w:style>
  <w:style w:type="paragraph" w:styleId="Heading2">
    <w:name w:val="heading 2"/>
    <w:basedOn w:val="Normal"/>
    <w:next w:val="BodyText"/>
    <w:link w:val="Heading2Char"/>
    <w:qFormat/>
    <w:rsid w:val="00017EA1"/>
    <w:pPr>
      <w:keepNext/>
      <w:spacing w:after="240"/>
      <w:jc w:val="both"/>
      <w:outlineLvl w:val="1"/>
    </w:pPr>
    <w:rPr>
      <w:rFonts w:cs="Arial"/>
      <w:bCs/>
      <w:iCs/>
      <w:szCs w:val="28"/>
    </w:rPr>
  </w:style>
  <w:style w:type="paragraph" w:styleId="Heading3">
    <w:name w:val="heading 3"/>
    <w:basedOn w:val="BodyText"/>
    <w:next w:val="BodyText"/>
    <w:qFormat/>
    <w:rsid w:val="00017EA1"/>
    <w:pPr>
      <w:outlineLvl w:val="2"/>
    </w:pPr>
  </w:style>
  <w:style w:type="paragraph" w:styleId="Heading4">
    <w:name w:val="heading 4"/>
    <w:basedOn w:val="Normal"/>
    <w:next w:val="Normal"/>
    <w:qFormat/>
    <w:rsid w:val="00017EA1"/>
    <w:pPr>
      <w:keepNext/>
      <w:spacing w:before="240" w:after="60"/>
      <w:outlineLvl w:val="3"/>
    </w:pPr>
    <w:rPr>
      <w:b/>
      <w:bCs/>
      <w:sz w:val="28"/>
      <w:szCs w:val="28"/>
    </w:rPr>
  </w:style>
  <w:style w:type="paragraph" w:styleId="Heading5">
    <w:name w:val="heading 5"/>
    <w:basedOn w:val="Normal"/>
    <w:next w:val="Normal"/>
    <w:qFormat/>
    <w:rsid w:val="00017EA1"/>
    <w:pPr>
      <w:spacing w:before="240" w:after="60"/>
      <w:outlineLvl w:val="4"/>
    </w:pPr>
    <w:rPr>
      <w:b/>
      <w:bCs/>
      <w:i/>
      <w:iCs/>
      <w:sz w:val="26"/>
      <w:szCs w:val="26"/>
    </w:rPr>
  </w:style>
  <w:style w:type="paragraph" w:styleId="Heading6">
    <w:name w:val="heading 6"/>
    <w:basedOn w:val="Normal"/>
    <w:next w:val="Normal"/>
    <w:qFormat/>
    <w:rsid w:val="00017EA1"/>
    <w:pPr>
      <w:spacing w:before="240" w:after="60"/>
      <w:outlineLvl w:val="5"/>
    </w:pPr>
    <w:rPr>
      <w:b/>
      <w:bCs/>
      <w:sz w:val="22"/>
      <w:szCs w:val="22"/>
    </w:rPr>
  </w:style>
  <w:style w:type="paragraph" w:styleId="Heading7">
    <w:name w:val="heading 7"/>
    <w:basedOn w:val="Normal"/>
    <w:next w:val="Normal"/>
    <w:qFormat/>
    <w:rsid w:val="00017EA1"/>
    <w:pPr>
      <w:spacing w:before="240" w:after="60"/>
      <w:outlineLvl w:val="6"/>
    </w:pPr>
  </w:style>
  <w:style w:type="paragraph" w:styleId="Heading8">
    <w:name w:val="heading 8"/>
    <w:basedOn w:val="Normal"/>
    <w:next w:val="Normal"/>
    <w:qFormat/>
    <w:rsid w:val="00017EA1"/>
    <w:pPr>
      <w:spacing w:before="240" w:after="60"/>
      <w:outlineLvl w:val="7"/>
    </w:pPr>
    <w:rPr>
      <w:i/>
      <w:iCs/>
    </w:rPr>
  </w:style>
  <w:style w:type="paragraph" w:styleId="Heading9">
    <w:name w:val="heading 9"/>
    <w:basedOn w:val="Normal"/>
    <w:next w:val="Normal"/>
    <w:qFormat/>
    <w:rsid w:val="00017EA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7EA1"/>
    <w:pPr>
      <w:spacing w:after="240"/>
      <w:jc w:val="both"/>
    </w:pPr>
  </w:style>
  <w:style w:type="character" w:customStyle="1" w:styleId="BodyTextChar">
    <w:name w:val="Body Text Char"/>
    <w:link w:val="BodyText"/>
    <w:rsid w:val="00017EA1"/>
    <w:rPr>
      <w:sz w:val="24"/>
      <w:szCs w:val="24"/>
    </w:rPr>
  </w:style>
  <w:style w:type="character" w:customStyle="1" w:styleId="Heading1Char">
    <w:name w:val="Heading 1 Char"/>
    <w:link w:val="Heading1"/>
    <w:rsid w:val="00017EA1"/>
    <w:rPr>
      <w:rFonts w:cs="Arial"/>
      <w:bCs/>
      <w:kern w:val="32"/>
      <w:sz w:val="24"/>
      <w:szCs w:val="32"/>
    </w:rPr>
  </w:style>
  <w:style w:type="character" w:customStyle="1" w:styleId="Heading2Char">
    <w:name w:val="Heading 2 Char"/>
    <w:link w:val="Heading2"/>
    <w:rsid w:val="00017EA1"/>
    <w:rPr>
      <w:rFonts w:cs="Arial"/>
      <w:bCs/>
      <w:iCs/>
      <w:sz w:val="24"/>
      <w:szCs w:val="28"/>
    </w:rPr>
  </w:style>
  <w:style w:type="paragraph" w:styleId="Header">
    <w:name w:val="header"/>
    <w:basedOn w:val="Normal"/>
    <w:rsid w:val="00017EA1"/>
    <w:pPr>
      <w:tabs>
        <w:tab w:val="center" w:pos="4320"/>
        <w:tab w:val="right" w:pos="8640"/>
      </w:tabs>
      <w:jc w:val="both"/>
    </w:pPr>
  </w:style>
  <w:style w:type="paragraph" w:styleId="Footer">
    <w:name w:val="footer"/>
    <w:basedOn w:val="Normal"/>
    <w:rsid w:val="00017EA1"/>
    <w:pPr>
      <w:tabs>
        <w:tab w:val="center" w:pos="4320"/>
        <w:tab w:val="right" w:pos="8640"/>
      </w:tabs>
    </w:pPr>
  </w:style>
  <w:style w:type="paragraph" w:customStyle="1" w:styleId="MemoAddresses">
    <w:name w:val="Memo Addresses"/>
    <w:basedOn w:val="Normal"/>
    <w:next w:val="Normal"/>
    <w:rsid w:val="00017EA1"/>
    <w:pPr>
      <w:spacing w:before="120"/>
      <w:ind w:left="1008" w:hanging="1008"/>
      <w:jc w:val="both"/>
    </w:pPr>
  </w:style>
  <w:style w:type="paragraph" w:customStyle="1" w:styleId="MastHeadPSC">
    <w:name w:val="MastHead PSC"/>
    <w:basedOn w:val="Normal"/>
    <w:next w:val="Normal"/>
    <w:rsid w:val="00017EA1"/>
    <w:pPr>
      <w:jc w:val="center"/>
    </w:pPr>
    <w:rPr>
      <w:b/>
      <w:sz w:val="48"/>
      <w:szCs w:val="48"/>
    </w:rPr>
  </w:style>
  <w:style w:type="paragraph" w:customStyle="1" w:styleId="MastHeadMemorandum">
    <w:name w:val="MastHead Memorandum"/>
    <w:basedOn w:val="Normal"/>
    <w:next w:val="Normal"/>
    <w:rsid w:val="00017EA1"/>
    <w:pPr>
      <w:jc w:val="center"/>
    </w:pPr>
    <w:rPr>
      <w:b/>
      <w:sz w:val="28"/>
      <w:szCs w:val="28"/>
    </w:rPr>
  </w:style>
  <w:style w:type="paragraph" w:customStyle="1" w:styleId="MastHeadAddress">
    <w:name w:val="MastHead Address"/>
    <w:basedOn w:val="Normal"/>
    <w:next w:val="Normal"/>
    <w:rsid w:val="00017EA1"/>
    <w:pPr>
      <w:spacing w:after="200"/>
      <w:jc w:val="center"/>
    </w:pPr>
    <w:rPr>
      <w:b/>
      <w:smallCaps/>
      <w:sz w:val="20"/>
      <w:szCs w:val="20"/>
    </w:rPr>
  </w:style>
  <w:style w:type="paragraph" w:customStyle="1" w:styleId="MastHeadState">
    <w:name w:val="MastHead State"/>
    <w:basedOn w:val="Normal"/>
    <w:next w:val="Normal"/>
    <w:rsid w:val="00017EA1"/>
    <w:pPr>
      <w:jc w:val="center"/>
    </w:pPr>
    <w:rPr>
      <w:b/>
      <w:sz w:val="28"/>
      <w:szCs w:val="28"/>
    </w:rPr>
  </w:style>
  <w:style w:type="table" w:styleId="TableGrid">
    <w:name w:val="Table Grid"/>
    <w:basedOn w:val="TableNormal"/>
    <w:rsid w:val="00017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rsid w:val="00017EA1"/>
    <w:pPr>
      <w:jc w:val="both"/>
    </w:pPr>
  </w:style>
  <w:style w:type="paragraph" w:customStyle="1" w:styleId="BlockText5">
    <w:name w:val="Block Text .5&quot;"/>
    <w:basedOn w:val="Normal"/>
    <w:rsid w:val="00017EA1"/>
    <w:pPr>
      <w:spacing w:after="120"/>
      <w:ind w:left="720" w:right="720"/>
    </w:pPr>
  </w:style>
  <w:style w:type="paragraph" w:customStyle="1" w:styleId="BlockText1">
    <w:name w:val="Block Text 1&quot;"/>
    <w:basedOn w:val="Normal"/>
    <w:rsid w:val="00017EA1"/>
    <w:pPr>
      <w:spacing w:after="120"/>
      <w:ind w:left="1440" w:right="1440"/>
    </w:pPr>
  </w:style>
  <w:style w:type="paragraph" w:customStyle="1" w:styleId="BlockText15">
    <w:name w:val="Block Text 1.5&quot;"/>
    <w:basedOn w:val="Normal"/>
    <w:rsid w:val="00017EA1"/>
    <w:pPr>
      <w:spacing w:after="120"/>
      <w:ind w:left="2160" w:right="2160"/>
    </w:pPr>
  </w:style>
  <w:style w:type="paragraph" w:customStyle="1" w:styleId="IssueHeading">
    <w:name w:val="Issue Heading"/>
    <w:basedOn w:val="Heading1"/>
    <w:next w:val="BodyText"/>
    <w:link w:val="IssueHeadingChar"/>
    <w:qFormat/>
    <w:rsid w:val="00017EA1"/>
    <w:pPr>
      <w:keepNext w:val="0"/>
    </w:pPr>
    <w:rPr>
      <w:rFonts w:ascii="Arial" w:hAnsi="Arial"/>
      <w:b/>
      <w:i/>
    </w:rPr>
  </w:style>
  <w:style w:type="character" w:customStyle="1" w:styleId="IssueHeadingChar">
    <w:name w:val="Issue Heading Char"/>
    <w:link w:val="IssueHeading"/>
    <w:rsid w:val="00017EA1"/>
    <w:rPr>
      <w:rFonts w:ascii="Arial" w:hAnsi="Arial" w:cs="Arial"/>
      <w:b/>
      <w:bCs/>
      <w:i/>
      <w:kern w:val="32"/>
      <w:sz w:val="24"/>
      <w:szCs w:val="32"/>
    </w:rPr>
  </w:style>
  <w:style w:type="paragraph" w:customStyle="1" w:styleId="MemoHeadingRe">
    <w:name w:val="Memo Heading Re"/>
    <w:basedOn w:val="MemoHeading"/>
    <w:rsid w:val="00017EA1"/>
    <w:pPr>
      <w:tabs>
        <w:tab w:val="left" w:pos="2520"/>
        <w:tab w:val="left" w:pos="2736"/>
      </w:tabs>
    </w:pPr>
  </w:style>
  <w:style w:type="paragraph" w:styleId="TOC1">
    <w:name w:val="toc 1"/>
    <w:basedOn w:val="Normal"/>
    <w:next w:val="Normal"/>
    <w:uiPriority w:val="39"/>
    <w:rsid w:val="00017EA1"/>
    <w:pPr>
      <w:tabs>
        <w:tab w:val="left" w:pos="864"/>
        <w:tab w:val="right" w:leader="dot" w:pos="9360"/>
      </w:tabs>
      <w:ind w:left="864" w:right="360" w:hanging="864"/>
    </w:pPr>
  </w:style>
  <w:style w:type="character" w:styleId="Hyperlink">
    <w:name w:val="Hyperlink"/>
    <w:uiPriority w:val="99"/>
    <w:rsid w:val="00017EA1"/>
    <w:rPr>
      <w:color w:val="0000FF"/>
      <w:u w:val="single"/>
    </w:rPr>
  </w:style>
  <w:style w:type="paragraph" w:customStyle="1" w:styleId="RecommendationMajorSectionHeading">
    <w:name w:val="Recommendation Major Section Heading"/>
    <w:basedOn w:val="Heading1"/>
    <w:next w:val="BodyText"/>
    <w:rsid w:val="00017EA1"/>
    <w:pPr>
      <w:jc w:val="center"/>
    </w:pPr>
    <w:rPr>
      <w:rFonts w:ascii="Arial" w:hAnsi="Arial"/>
      <w:b/>
    </w:rPr>
  </w:style>
  <w:style w:type="paragraph" w:customStyle="1" w:styleId="IssueSubsectionHeading">
    <w:name w:val="Issue Subsection Heading"/>
    <w:basedOn w:val="Heading2"/>
    <w:next w:val="BodyText"/>
    <w:link w:val="IssueSubsectionHeadingChar"/>
    <w:qFormat/>
    <w:rsid w:val="00017EA1"/>
    <w:pPr>
      <w:keepNext w:val="0"/>
    </w:pPr>
    <w:rPr>
      <w:rFonts w:ascii="Arial" w:hAnsi="Arial"/>
      <w:b/>
      <w:i/>
    </w:rPr>
  </w:style>
  <w:style w:type="character" w:customStyle="1" w:styleId="IssueSubsectionHeadingChar">
    <w:name w:val="Issue Subsection Heading Char"/>
    <w:link w:val="IssueSubsectionHeading"/>
    <w:rsid w:val="00017EA1"/>
    <w:rPr>
      <w:rFonts w:ascii="Arial" w:hAnsi="Arial" w:cs="Arial"/>
      <w:b/>
      <w:bCs/>
      <w:i/>
      <w:iCs/>
      <w:sz w:val="24"/>
      <w:szCs w:val="28"/>
    </w:rPr>
  </w:style>
  <w:style w:type="paragraph" w:customStyle="1" w:styleId="RecommendationHeading">
    <w:name w:val="Recommendation Heading"/>
    <w:basedOn w:val="Heading1"/>
    <w:next w:val="BodyText"/>
    <w:rsid w:val="00017EA1"/>
    <w:pPr>
      <w:keepNext w:val="0"/>
      <w:jc w:val="center"/>
    </w:pPr>
    <w:rPr>
      <w:b/>
      <w:u w:val="single"/>
    </w:rPr>
  </w:style>
  <w:style w:type="paragraph" w:customStyle="1" w:styleId="DiscussionofIssues">
    <w:name w:val="Discussion of Issues"/>
    <w:basedOn w:val="RecommendationMajorSectionHeading"/>
    <w:next w:val="BodyText"/>
    <w:rsid w:val="00017EA1"/>
    <w:pPr>
      <w:spacing w:after="0"/>
    </w:pPr>
  </w:style>
  <w:style w:type="character" w:styleId="PageNumber">
    <w:name w:val="page number"/>
    <w:basedOn w:val="DefaultParagraphFont"/>
    <w:rsid w:val="00017EA1"/>
  </w:style>
  <w:style w:type="paragraph" w:customStyle="1" w:styleId="TOCColumnHeadings">
    <w:name w:val="TOC Column Headings"/>
    <w:basedOn w:val="Normal"/>
    <w:rsid w:val="00017EA1"/>
    <w:pPr>
      <w:tabs>
        <w:tab w:val="left" w:pos="864"/>
        <w:tab w:val="right" w:pos="9360"/>
      </w:tabs>
    </w:pPr>
    <w:rPr>
      <w:u w:val="words"/>
    </w:rPr>
  </w:style>
  <w:style w:type="table" w:customStyle="1" w:styleId="TableMasthead">
    <w:name w:val="Table Masthead"/>
    <w:basedOn w:val="TableGrid"/>
    <w:rsid w:val="00017EA1"/>
    <w:tblPr/>
  </w:style>
  <w:style w:type="paragraph" w:customStyle="1" w:styleId="StyleHeading1BoldUnderline">
    <w:name w:val="Style Heading 1 + Bold Underline"/>
    <w:basedOn w:val="Heading1"/>
    <w:link w:val="StyleHeading1BoldUnderlineChar"/>
    <w:rsid w:val="00017EA1"/>
    <w:pPr>
      <w:keepNext w:val="0"/>
      <w:spacing w:before="240"/>
    </w:pPr>
    <w:rPr>
      <w:b/>
      <w:u w:val="single"/>
    </w:rPr>
  </w:style>
  <w:style w:type="character" w:customStyle="1" w:styleId="StyleHeading1BoldUnderlineChar">
    <w:name w:val="Style Heading 1 + Bold Underline Char"/>
    <w:link w:val="StyleHeading1BoldUnderline"/>
    <w:rsid w:val="00017EA1"/>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017EA1"/>
    <w:pPr>
      <w:jc w:val="left"/>
    </w:pPr>
  </w:style>
  <w:style w:type="paragraph" w:styleId="FootnoteText">
    <w:name w:val="footnote text"/>
    <w:basedOn w:val="Normal"/>
    <w:link w:val="FootnoteTextChar"/>
    <w:rsid w:val="00017EA1"/>
    <w:pPr>
      <w:jc w:val="both"/>
    </w:pPr>
    <w:rPr>
      <w:sz w:val="20"/>
      <w:szCs w:val="20"/>
    </w:rPr>
  </w:style>
  <w:style w:type="paragraph" w:styleId="TOC3">
    <w:name w:val="toc 3"/>
    <w:basedOn w:val="TOC2"/>
    <w:next w:val="Normal"/>
    <w:rsid w:val="00017EA1"/>
    <w:pPr>
      <w:tabs>
        <w:tab w:val="clear" w:pos="1152"/>
        <w:tab w:val="left" w:pos="1584"/>
      </w:tabs>
      <w:ind w:left="1584" w:hanging="432"/>
    </w:pPr>
  </w:style>
  <w:style w:type="paragraph" w:styleId="TOC2">
    <w:name w:val="toc 2"/>
    <w:basedOn w:val="TOC1"/>
    <w:next w:val="Normal"/>
    <w:rsid w:val="00017EA1"/>
    <w:pPr>
      <w:tabs>
        <w:tab w:val="clear" w:pos="864"/>
        <w:tab w:val="left" w:pos="1152"/>
      </w:tabs>
      <w:ind w:left="1152" w:hanging="288"/>
    </w:pPr>
  </w:style>
  <w:style w:type="paragraph" w:styleId="DocumentMap">
    <w:name w:val="Document Map"/>
    <w:basedOn w:val="Normal"/>
    <w:semiHidden/>
    <w:rsid w:val="00017EA1"/>
    <w:pPr>
      <w:shd w:val="clear" w:color="auto" w:fill="000080"/>
    </w:pPr>
    <w:rPr>
      <w:rFonts w:ascii="Tahoma" w:hAnsi="Tahoma" w:cs="Tahoma"/>
    </w:rPr>
  </w:style>
  <w:style w:type="paragraph" w:styleId="BalloonText">
    <w:name w:val="Balloon Text"/>
    <w:basedOn w:val="Normal"/>
    <w:semiHidden/>
    <w:rsid w:val="00017EA1"/>
    <w:rPr>
      <w:rFonts w:ascii="Tahoma" w:hAnsi="Tahoma" w:cs="Tahoma"/>
      <w:sz w:val="16"/>
      <w:szCs w:val="16"/>
    </w:rPr>
  </w:style>
  <w:style w:type="paragraph" w:styleId="BlockText">
    <w:name w:val="Block Text"/>
    <w:basedOn w:val="Normal"/>
    <w:rsid w:val="00017EA1"/>
    <w:pPr>
      <w:spacing w:after="120"/>
      <w:ind w:left="1440" w:right="1440"/>
    </w:pPr>
  </w:style>
  <w:style w:type="paragraph" w:styleId="BodyText2">
    <w:name w:val="Body Text 2"/>
    <w:basedOn w:val="Normal"/>
    <w:rsid w:val="00017EA1"/>
    <w:pPr>
      <w:spacing w:after="120" w:line="480" w:lineRule="auto"/>
    </w:pPr>
  </w:style>
  <w:style w:type="paragraph" w:styleId="BodyText3">
    <w:name w:val="Body Text 3"/>
    <w:basedOn w:val="Normal"/>
    <w:rsid w:val="00017EA1"/>
    <w:pPr>
      <w:spacing w:after="120"/>
    </w:pPr>
    <w:rPr>
      <w:sz w:val="16"/>
      <w:szCs w:val="16"/>
    </w:rPr>
  </w:style>
  <w:style w:type="paragraph" w:styleId="BodyTextFirstIndent">
    <w:name w:val="Body Text First Indent"/>
    <w:basedOn w:val="BodyText"/>
    <w:rsid w:val="00017EA1"/>
    <w:pPr>
      <w:spacing w:after="120"/>
      <w:ind w:firstLine="210"/>
      <w:jc w:val="left"/>
    </w:pPr>
  </w:style>
  <w:style w:type="paragraph" w:styleId="BodyTextIndent">
    <w:name w:val="Body Text Indent"/>
    <w:basedOn w:val="Normal"/>
    <w:rsid w:val="00017EA1"/>
    <w:pPr>
      <w:spacing w:after="120"/>
      <w:ind w:left="360"/>
    </w:pPr>
  </w:style>
  <w:style w:type="paragraph" w:styleId="BodyTextFirstIndent2">
    <w:name w:val="Body Text First Indent 2"/>
    <w:basedOn w:val="BodyTextIndent"/>
    <w:rsid w:val="00017EA1"/>
    <w:pPr>
      <w:ind w:firstLine="210"/>
    </w:pPr>
  </w:style>
  <w:style w:type="paragraph" w:styleId="BodyTextIndent2">
    <w:name w:val="Body Text Indent 2"/>
    <w:basedOn w:val="Normal"/>
    <w:rsid w:val="00017EA1"/>
    <w:pPr>
      <w:spacing w:after="120" w:line="480" w:lineRule="auto"/>
      <w:ind w:left="360"/>
    </w:pPr>
  </w:style>
  <w:style w:type="paragraph" w:styleId="BodyTextIndent3">
    <w:name w:val="Body Text Indent 3"/>
    <w:basedOn w:val="Normal"/>
    <w:rsid w:val="00017EA1"/>
    <w:pPr>
      <w:spacing w:after="120"/>
      <w:ind w:left="360"/>
    </w:pPr>
    <w:rPr>
      <w:sz w:val="16"/>
      <w:szCs w:val="16"/>
    </w:rPr>
  </w:style>
  <w:style w:type="paragraph" w:styleId="Caption">
    <w:name w:val="caption"/>
    <w:basedOn w:val="Normal"/>
    <w:next w:val="Normal"/>
    <w:qFormat/>
    <w:rsid w:val="00017EA1"/>
    <w:pPr>
      <w:spacing w:before="120" w:after="120"/>
    </w:pPr>
    <w:rPr>
      <w:b/>
      <w:bCs/>
      <w:sz w:val="20"/>
      <w:szCs w:val="20"/>
    </w:rPr>
  </w:style>
  <w:style w:type="paragraph" w:styleId="Closing">
    <w:name w:val="Closing"/>
    <w:basedOn w:val="Normal"/>
    <w:rsid w:val="00017EA1"/>
    <w:pPr>
      <w:ind w:left="4320"/>
    </w:pPr>
  </w:style>
  <w:style w:type="paragraph" w:styleId="CommentText">
    <w:name w:val="annotation text"/>
    <w:basedOn w:val="Normal"/>
    <w:semiHidden/>
    <w:rsid w:val="00017EA1"/>
    <w:rPr>
      <w:sz w:val="20"/>
      <w:szCs w:val="20"/>
    </w:rPr>
  </w:style>
  <w:style w:type="paragraph" w:styleId="CommentSubject">
    <w:name w:val="annotation subject"/>
    <w:basedOn w:val="CommentText"/>
    <w:next w:val="CommentText"/>
    <w:semiHidden/>
    <w:rsid w:val="00017EA1"/>
    <w:rPr>
      <w:b/>
      <w:bCs/>
    </w:rPr>
  </w:style>
  <w:style w:type="paragraph" w:styleId="Date">
    <w:name w:val="Date"/>
    <w:basedOn w:val="Normal"/>
    <w:next w:val="Normal"/>
    <w:rsid w:val="00017EA1"/>
  </w:style>
  <w:style w:type="paragraph" w:styleId="E-mailSignature">
    <w:name w:val="E-mail Signature"/>
    <w:basedOn w:val="Normal"/>
    <w:rsid w:val="00017EA1"/>
  </w:style>
  <w:style w:type="paragraph" w:styleId="EndnoteText">
    <w:name w:val="endnote text"/>
    <w:basedOn w:val="Normal"/>
    <w:semiHidden/>
    <w:rsid w:val="00017EA1"/>
    <w:rPr>
      <w:sz w:val="20"/>
      <w:szCs w:val="20"/>
    </w:rPr>
  </w:style>
  <w:style w:type="paragraph" w:styleId="EnvelopeAddress">
    <w:name w:val="envelope address"/>
    <w:basedOn w:val="Normal"/>
    <w:rsid w:val="00017EA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17EA1"/>
    <w:rPr>
      <w:rFonts w:ascii="Arial" w:hAnsi="Arial" w:cs="Arial"/>
      <w:sz w:val="20"/>
      <w:szCs w:val="20"/>
    </w:rPr>
  </w:style>
  <w:style w:type="paragraph" w:styleId="HTMLAddress">
    <w:name w:val="HTML Address"/>
    <w:basedOn w:val="Normal"/>
    <w:rsid w:val="00017EA1"/>
    <w:rPr>
      <w:i/>
      <w:iCs/>
    </w:rPr>
  </w:style>
  <w:style w:type="paragraph" w:styleId="HTMLPreformatted">
    <w:name w:val="HTML Preformatted"/>
    <w:basedOn w:val="Normal"/>
    <w:rsid w:val="00017EA1"/>
    <w:rPr>
      <w:rFonts w:ascii="Courier New" w:hAnsi="Courier New" w:cs="Courier New"/>
      <w:sz w:val="20"/>
      <w:szCs w:val="20"/>
    </w:rPr>
  </w:style>
  <w:style w:type="paragraph" w:styleId="Index1">
    <w:name w:val="index 1"/>
    <w:basedOn w:val="Normal"/>
    <w:next w:val="Normal"/>
    <w:autoRedefine/>
    <w:semiHidden/>
    <w:rsid w:val="00017EA1"/>
    <w:pPr>
      <w:ind w:left="240" w:hanging="240"/>
    </w:pPr>
  </w:style>
  <w:style w:type="paragraph" w:styleId="Index2">
    <w:name w:val="index 2"/>
    <w:basedOn w:val="Normal"/>
    <w:next w:val="Normal"/>
    <w:autoRedefine/>
    <w:semiHidden/>
    <w:rsid w:val="00017EA1"/>
    <w:pPr>
      <w:ind w:left="480" w:hanging="240"/>
    </w:pPr>
  </w:style>
  <w:style w:type="paragraph" w:styleId="Index3">
    <w:name w:val="index 3"/>
    <w:basedOn w:val="Normal"/>
    <w:next w:val="Normal"/>
    <w:autoRedefine/>
    <w:semiHidden/>
    <w:rsid w:val="00017EA1"/>
    <w:pPr>
      <w:ind w:left="720" w:hanging="240"/>
    </w:pPr>
  </w:style>
  <w:style w:type="paragraph" w:styleId="Index4">
    <w:name w:val="index 4"/>
    <w:basedOn w:val="Normal"/>
    <w:next w:val="Normal"/>
    <w:autoRedefine/>
    <w:semiHidden/>
    <w:rsid w:val="00017EA1"/>
    <w:pPr>
      <w:ind w:left="960" w:hanging="240"/>
    </w:pPr>
  </w:style>
  <w:style w:type="paragraph" w:styleId="Index5">
    <w:name w:val="index 5"/>
    <w:basedOn w:val="Normal"/>
    <w:next w:val="Normal"/>
    <w:autoRedefine/>
    <w:semiHidden/>
    <w:rsid w:val="00017EA1"/>
    <w:pPr>
      <w:ind w:left="1200" w:hanging="240"/>
    </w:pPr>
  </w:style>
  <w:style w:type="paragraph" w:styleId="Index6">
    <w:name w:val="index 6"/>
    <w:basedOn w:val="Normal"/>
    <w:next w:val="Normal"/>
    <w:autoRedefine/>
    <w:semiHidden/>
    <w:rsid w:val="00017EA1"/>
    <w:pPr>
      <w:ind w:left="1440" w:hanging="240"/>
    </w:pPr>
  </w:style>
  <w:style w:type="paragraph" w:styleId="Index7">
    <w:name w:val="index 7"/>
    <w:basedOn w:val="Normal"/>
    <w:next w:val="Normal"/>
    <w:autoRedefine/>
    <w:semiHidden/>
    <w:rsid w:val="00017EA1"/>
    <w:pPr>
      <w:ind w:left="1680" w:hanging="240"/>
    </w:pPr>
  </w:style>
  <w:style w:type="paragraph" w:styleId="Index8">
    <w:name w:val="index 8"/>
    <w:basedOn w:val="Normal"/>
    <w:next w:val="Normal"/>
    <w:autoRedefine/>
    <w:semiHidden/>
    <w:rsid w:val="00017EA1"/>
    <w:pPr>
      <w:ind w:left="1920" w:hanging="240"/>
    </w:pPr>
  </w:style>
  <w:style w:type="paragraph" w:styleId="Index9">
    <w:name w:val="index 9"/>
    <w:basedOn w:val="Normal"/>
    <w:next w:val="Normal"/>
    <w:autoRedefine/>
    <w:semiHidden/>
    <w:rsid w:val="00017EA1"/>
    <w:pPr>
      <w:ind w:left="2160" w:hanging="240"/>
    </w:pPr>
  </w:style>
  <w:style w:type="paragraph" w:styleId="IndexHeading">
    <w:name w:val="index heading"/>
    <w:basedOn w:val="Normal"/>
    <w:next w:val="Index1"/>
    <w:semiHidden/>
    <w:rsid w:val="00017EA1"/>
    <w:rPr>
      <w:rFonts w:ascii="Arial" w:hAnsi="Arial" w:cs="Arial"/>
      <w:b/>
      <w:bCs/>
    </w:rPr>
  </w:style>
  <w:style w:type="paragraph" w:styleId="List">
    <w:name w:val="List"/>
    <w:basedOn w:val="Normal"/>
    <w:rsid w:val="00017EA1"/>
    <w:pPr>
      <w:ind w:left="360" w:hanging="360"/>
    </w:pPr>
  </w:style>
  <w:style w:type="paragraph" w:styleId="List2">
    <w:name w:val="List 2"/>
    <w:basedOn w:val="Normal"/>
    <w:rsid w:val="00017EA1"/>
    <w:pPr>
      <w:ind w:left="720" w:hanging="360"/>
    </w:pPr>
  </w:style>
  <w:style w:type="paragraph" w:styleId="List3">
    <w:name w:val="List 3"/>
    <w:basedOn w:val="Normal"/>
    <w:rsid w:val="00017EA1"/>
    <w:pPr>
      <w:ind w:left="1080" w:hanging="360"/>
    </w:pPr>
  </w:style>
  <w:style w:type="paragraph" w:styleId="List4">
    <w:name w:val="List 4"/>
    <w:basedOn w:val="Normal"/>
    <w:rsid w:val="00017EA1"/>
    <w:pPr>
      <w:ind w:left="1440" w:hanging="360"/>
    </w:pPr>
  </w:style>
  <w:style w:type="paragraph" w:styleId="List5">
    <w:name w:val="List 5"/>
    <w:basedOn w:val="Normal"/>
    <w:rsid w:val="00017EA1"/>
    <w:pPr>
      <w:ind w:left="1800" w:hanging="360"/>
    </w:pPr>
  </w:style>
  <w:style w:type="paragraph" w:styleId="ListBullet">
    <w:name w:val="List Bullet"/>
    <w:basedOn w:val="Normal"/>
    <w:autoRedefine/>
    <w:rsid w:val="00017EA1"/>
    <w:pPr>
      <w:tabs>
        <w:tab w:val="num" w:pos="360"/>
      </w:tabs>
      <w:ind w:left="360" w:hanging="360"/>
    </w:pPr>
  </w:style>
  <w:style w:type="paragraph" w:styleId="ListBullet2">
    <w:name w:val="List Bullet 2"/>
    <w:basedOn w:val="Normal"/>
    <w:autoRedefine/>
    <w:rsid w:val="00017EA1"/>
    <w:pPr>
      <w:tabs>
        <w:tab w:val="num" w:pos="720"/>
      </w:tabs>
      <w:ind w:left="720" w:hanging="360"/>
    </w:pPr>
  </w:style>
  <w:style w:type="paragraph" w:styleId="ListBullet3">
    <w:name w:val="List Bullet 3"/>
    <w:basedOn w:val="Normal"/>
    <w:autoRedefine/>
    <w:rsid w:val="00017EA1"/>
    <w:pPr>
      <w:tabs>
        <w:tab w:val="num" w:pos="1080"/>
      </w:tabs>
      <w:ind w:left="1080" w:hanging="360"/>
    </w:pPr>
  </w:style>
  <w:style w:type="paragraph" w:styleId="ListBullet4">
    <w:name w:val="List Bullet 4"/>
    <w:basedOn w:val="Normal"/>
    <w:autoRedefine/>
    <w:rsid w:val="00017EA1"/>
    <w:pPr>
      <w:tabs>
        <w:tab w:val="num" w:pos="1440"/>
      </w:tabs>
      <w:ind w:left="1440" w:hanging="360"/>
    </w:pPr>
  </w:style>
  <w:style w:type="paragraph" w:styleId="ListBullet5">
    <w:name w:val="List Bullet 5"/>
    <w:basedOn w:val="Normal"/>
    <w:autoRedefine/>
    <w:rsid w:val="00017EA1"/>
    <w:pPr>
      <w:tabs>
        <w:tab w:val="num" w:pos="1800"/>
      </w:tabs>
      <w:ind w:left="1800" w:hanging="360"/>
    </w:pPr>
  </w:style>
  <w:style w:type="paragraph" w:styleId="ListContinue">
    <w:name w:val="List Continue"/>
    <w:basedOn w:val="Normal"/>
    <w:rsid w:val="00017EA1"/>
    <w:pPr>
      <w:spacing w:after="120"/>
      <w:ind w:left="360"/>
    </w:pPr>
  </w:style>
  <w:style w:type="paragraph" w:styleId="ListContinue2">
    <w:name w:val="List Continue 2"/>
    <w:basedOn w:val="Normal"/>
    <w:rsid w:val="00017EA1"/>
    <w:pPr>
      <w:spacing w:after="120"/>
      <w:ind w:left="720"/>
    </w:pPr>
  </w:style>
  <w:style w:type="paragraph" w:styleId="ListContinue3">
    <w:name w:val="List Continue 3"/>
    <w:basedOn w:val="Normal"/>
    <w:rsid w:val="00017EA1"/>
    <w:pPr>
      <w:spacing w:after="120"/>
      <w:ind w:left="1080"/>
    </w:pPr>
  </w:style>
  <w:style w:type="paragraph" w:styleId="ListContinue4">
    <w:name w:val="List Continue 4"/>
    <w:basedOn w:val="Normal"/>
    <w:rsid w:val="00017EA1"/>
    <w:pPr>
      <w:spacing w:after="120"/>
      <w:ind w:left="1440"/>
    </w:pPr>
  </w:style>
  <w:style w:type="paragraph" w:styleId="ListContinue5">
    <w:name w:val="List Continue 5"/>
    <w:basedOn w:val="Normal"/>
    <w:rsid w:val="00017EA1"/>
    <w:pPr>
      <w:spacing w:after="120"/>
      <w:ind w:left="1800"/>
    </w:pPr>
  </w:style>
  <w:style w:type="paragraph" w:styleId="ListNumber">
    <w:name w:val="List Number"/>
    <w:basedOn w:val="Normal"/>
    <w:rsid w:val="00017EA1"/>
    <w:pPr>
      <w:tabs>
        <w:tab w:val="num" w:pos="360"/>
      </w:tabs>
      <w:ind w:left="360" w:hanging="360"/>
    </w:pPr>
  </w:style>
  <w:style w:type="paragraph" w:styleId="ListNumber2">
    <w:name w:val="List Number 2"/>
    <w:basedOn w:val="Normal"/>
    <w:rsid w:val="00017EA1"/>
    <w:pPr>
      <w:tabs>
        <w:tab w:val="num" w:pos="720"/>
      </w:tabs>
      <w:ind w:left="720" w:hanging="360"/>
    </w:pPr>
  </w:style>
  <w:style w:type="paragraph" w:styleId="ListNumber3">
    <w:name w:val="List Number 3"/>
    <w:basedOn w:val="Normal"/>
    <w:rsid w:val="00017EA1"/>
    <w:pPr>
      <w:tabs>
        <w:tab w:val="num" w:pos="1080"/>
      </w:tabs>
      <w:ind w:left="1080" w:hanging="360"/>
    </w:pPr>
  </w:style>
  <w:style w:type="paragraph" w:styleId="ListNumber4">
    <w:name w:val="List Number 4"/>
    <w:basedOn w:val="Normal"/>
    <w:rsid w:val="00017EA1"/>
    <w:pPr>
      <w:tabs>
        <w:tab w:val="num" w:pos="1440"/>
      </w:tabs>
      <w:ind w:left="1440" w:hanging="360"/>
    </w:pPr>
  </w:style>
  <w:style w:type="paragraph" w:styleId="ListNumber5">
    <w:name w:val="List Number 5"/>
    <w:basedOn w:val="Normal"/>
    <w:rsid w:val="00017EA1"/>
    <w:pPr>
      <w:tabs>
        <w:tab w:val="num" w:pos="1800"/>
      </w:tabs>
      <w:ind w:left="1800" w:hanging="360"/>
    </w:pPr>
  </w:style>
  <w:style w:type="paragraph" w:styleId="MacroText">
    <w:name w:val="macro"/>
    <w:semiHidden/>
    <w:rsid w:val="00017EA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17EA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017EA1"/>
  </w:style>
  <w:style w:type="paragraph" w:styleId="NormalIndent">
    <w:name w:val="Normal Indent"/>
    <w:basedOn w:val="Normal"/>
    <w:rsid w:val="00017EA1"/>
    <w:pPr>
      <w:ind w:left="720"/>
    </w:pPr>
  </w:style>
  <w:style w:type="paragraph" w:styleId="NoteHeading">
    <w:name w:val="Note Heading"/>
    <w:basedOn w:val="Normal"/>
    <w:next w:val="Normal"/>
    <w:rsid w:val="00017EA1"/>
  </w:style>
  <w:style w:type="paragraph" w:styleId="PlainText">
    <w:name w:val="Plain Text"/>
    <w:basedOn w:val="Normal"/>
    <w:rsid w:val="00017EA1"/>
    <w:rPr>
      <w:rFonts w:ascii="Courier New" w:hAnsi="Courier New" w:cs="Courier New"/>
      <w:sz w:val="20"/>
      <w:szCs w:val="20"/>
    </w:rPr>
  </w:style>
  <w:style w:type="paragraph" w:styleId="Salutation">
    <w:name w:val="Salutation"/>
    <w:basedOn w:val="Normal"/>
    <w:next w:val="Normal"/>
    <w:rsid w:val="00017EA1"/>
  </w:style>
  <w:style w:type="paragraph" w:styleId="Signature">
    <w:name w:val="Signature"/>
    <w:basedOn w:val="Normal"/>
    <w:rsid w:val="00017EA1"/>
    <w:pPr>
      <w:ind w:left="4320"/>
    </w:pPr>
  </w:style>
  <w:style w:type="paragraph" w:styleId="Subtitle">
    <w:name w:val="Subtitle"/>
    <w:basedOn w:val="Normal"/>
    <w:qFormat/>
    <w:rsid w:val="00017EA1"/>
    <w:pPr>
      <w:spacing w:after="60"/>
      <w:jc w:val="center"/>
      <w:outlineLvl w:val="1"/>
    </w:pPr>
    <w:rPr>
      <w:rFonts w:ascii="Arial" w:hAnsi="Arial" w:cs="Arial"/>
    </w:rPr>
  </w:style>
  <w:style w:type="paragraph" w:styleId="TableofAuthorities">
    <w:name w:val="table of authorities"/>
    <w:basedOn w:val="Normal"/>
    <w:next w:val="Normal"/>
    <w:semiHidden/>
    <w:rsid w:val="00017EA1"/>
    <w:pPr>
      <w:ind w:left="240" w:hanging="240"/>
    </w:pPr>
  </w:style>
  <w:style w:type="paragraph" w:styleId="TableofFigures">
    <w:name w:val="table of figures"/>
    <w:basedOn w:val="Normal"/>
    <w:next w:val="Normal"/>
    <w:semiHidden/>
    <w:rsid w:val="00017EA1"/>
    <w:pPr>
      <w:ind w:left="480" w:hanging="480"/>
    </w:pPr>
  </w:style>
  <w:style w:type="paragraph" w:styleId="Title">
    <w:name w:val="Title"/>
    <w:basedOn w:val="Normal"/>
    <w:qFormat/>
    <w:rsid w:val="00017EA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17EA1"/>
    <w:pPr>
      <w:spacing w:before="120"/>
    </w:pPr>
    <w:rPr>
      <w:rFonts w:ascii="Arial" w:hAnsi="Arial" w:cs="Arial"/>
      <w:b/>
      <w:bCs/>
    </w:rPr>
  </w:style>
  <w:style w:type="paragraph" w:styleId="TOC4">
    <w:name w:val="toc 4"/>
    <w:basedOn w:val="Normal"/>
    <w:next w:val="Normal"/>
    <w:autoRedefine/>
    <w:semiHidden/>
    <w:rsid w:val="00017EA1"/>
    <w:pPr>
      <w:ind w:left="720"/>
    </w:pPr>
  </w:style>
  <w:style w:type="paragraph" w:styleId="TOC5">
    <w:name w:val="toc 5"/>
    <w:basedOn w:val="Normal"/>
    <w:next w:val="Normal"/>
    <w:autoRedefine/>
    <w:semiHidden/>
    <w:rsid w:val="00017EA1"/>
    <w:pPr>
      <w:ind w:left="960"/>
    </w:pPr>
  </w:style>
  <w:style w:type="paragraph" w:styleId="TOC6">
    <w:name w:val="toc 6"/>
    <w:basedOn w:val="Normal"/>
    <w:next w:val="Normal"/>
    <w:autoRedefine/>
    <w:semiHidden/>
    <w:rsid w:val="00017EA1"/>
    <w:pPr>
      <w:ind w:left="1200"/>
    </w:pPr>
  </w:style>
  <w:style w:type="paragraph" w:styleId="TOC9">
    <w:name w:val="toc 9"/>
    <w:basedOn w:val="TOC1"/>
    <w:next w:val="Normal"/>
    <w:autoRedefine/>
    <w:rsid w:val="00017EA1"/>
    <w:pPr>
      <w:ind w:left="1728"/>
    </w:pPr>
    <w:rPr>
      <w:u w:val="single"/>
    </w:rPr>
  </w:style>
  <w:style w:type="paragraph" w:customStyle="1" w:styleId="MemoHeadingLabel">
    <w:name w:val="Memo Heading Label"/>
    <w:basedOn w:val="MemoHeading"/>
    <w:qFormat/>
    <w:rsid w:val="00017EA1"/>
    <w:rPr>
      <w:rFonts w:ascii="Arial" w:hAnsi="Arial"/>
      <w:b/>
    </w:rPr>
  </w:style>
  <w:style w:type="paragraph" w:customStyle="1" w:styleId="First-LevelSubheading">
    <w:name w:val="First-Level Subheading"/>
    <w:basedOn w:val="IssueSubsectionHeading"/>
    <w:next w:val="BodyText"/>
    <w:qFormat/>
    <w:rsid w:val="00017EA1"/>
    <w:pPr>
      <w:spacing w:after="0"/>
      <w:outlineLvl w:val="2"/>
    </w:pPr>
    <w:rPr>
      <w:i w:val="0"/>
    </w:rPr>
  </w:style>
  <w:style w:type="paragraph" w:customStyle="1" w:styleId="Second-LevelSubheading">
    <w:name w:val="Second-Level Subheading"/>
    <w:basedOn w:val="First-LevelSubheading"/>
    <w:next w:val="BodyText"/>
    <w:qFormat/>
    <w:rsid w:val="00017EA1"/>
    <w:pPr>
      <w:ind w:left="720"/>
      <w:outlineLvl w:val="3"/>
    </w:pPr>
    <w:rPr>
      <w:i/>
    </w:rPr>
  </w:style>
  <w:style w:type="paragraph" w:customStyle="1" w:styleId="TableNumber">
    <w:name w:val="Table Number"/>
    <w:basedOn w:val="BodyText"/>
    <w:next w:val="BodyText"/>
    <w:qFormat/>
    <w:rsid w:val="00017EA1"/>
    <w:pPr>
      <w:spacing w:before="480" w:after="0"/>
      <w:jc w:val="center"/>
    </w:pPr>
    <w:rPr>
      <w:rFonts w:ascii="Arial" w:hAnsi="Arial"/>
      <w:b/>
    </w:rPr>
  </w:style>
  <w:style w:type="paragraph" w:customStyle="1" w:styleId="TableTitle">
    <w:name w:val="Table Title"/>
    <w:basedOn w:val="BodyText"/>
    <w:next w:val="BodyText"/>
    <w:qFormat/>
    <w:rsid w:val="00017EA1"/>
    <w:pPr>
      <w:spacing w:after="0"/>
      <w:jc w:val="center"/>
    </w:pPr>
    <w:rPr>
      <w:rFonts w:ascii="Arial" w:hAnsi="Arial"/>
      <w:b/>
    </w:rPr>
  </w:style>
  <w:style w:type="paragraph" w:customStyle="1" w:styleId="TableSource">
    <w:name w:val="Table Source"/>
    <w:basedOn w:val="BodyText"/>
    <w:next w:val="BodyText"/>
    <w:qFormat/>
    <w:rsid w:val="00017EA1"/>
    <w:pPr>
      <w:spacing w:after="480"/>
    </w:pPr>
  </w:style>
  <w:style w:type="paragraph" w:customStyle="1" w:styleId="PartyName">
    <w:name w:val="Party Name"/>
    <w:basedOn w:val="IssueSubsectionHeading"/>
    <w:next w:val="BodyText"/>
    <w:qFormat/>
    <w:rsid w:val="00017EA1"/>
    <w:rPr>
      <w:i w:val="0"/>
    </w:rPr>
  </w:style>
  <w:style w:type="paragraph" w:customStyle="1" w:styleId="Third-LevelSubheading">
    <w:name w:val="Third-Level Subheading"/>
    <w:basedOn w:val="Second-LevelSubheading"/>
    <w:next w:val="BodyText"/>
    <w:qFormat/>
    <w:rsid w:val="00017EA1"/>
    <w:pPr>
      <w:ind w:left="1440"/>
      <w:outlineLvl w:val="4"/>
    </w:pPr>
  </w:style>
  <w:style w:type="character" w:styleId="FootnoteReference">
    <w:name w:val="footnote reference"/>
    <w:basedOn w:val="DefaultParagraphFont"/>
    <w:rsid w:val="00D221BE"/>
    <w:rPr>
      <w:vertAlign w:val="superscript"/>
    </w:rPr>
  </w:style>
  <w:style w:type="numbering" w:styleId="111111">
    <w:name w:val="Outline List 2"/>
    <w:basedOn w:val="NoList"/>
    <w:rsid w:val="000F7E60"/>
    <w:pPr>
      <w:numPr>
        <w:numId w:val="11"/>
      </w:numPr>
    </w:pPr>
  </w:style>
  <w:style w:type="character" w:customStyle="1" w:styleId="FootnoteTextChar">
    <w:name w:val="Footnote Text Char"/>
    <w:link w:val="FootnoteText"/>
    <w:rsid w:val="000F7E60"/>
  </w:style>
  <w:style w:type="paragraph" w:styleId="ListParagraph">
    <w:name w:val="List Paragraph"/>
    <w:basedOn w:val="Normal"/>
    <w:uiPriority w:val="34"/>
    <w:qFormat/>
    <w:rsid w:val="000F7E60"/>
    <w:pPr>
      <w:ind w:left="720"/>
      <w:contextualSpacing/>
    </w:pPr>
  </w:style>
  <w:style w:type="numbering" w:styleId="ArticleSection">
    <w:name w:val="Outline List 3"/>
    <w:basedOn w:val="NoList"/>
    <w:rsid w:val="0003530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952">
      <w:bodyDiv w:val="1"/>
      <w:marLeft w:val="0"/>
      <w:marRight w:val="0"/>
      <w:marTop w:val="0"/>
      <w:marBottom w:val="0"/>
      <w:divBdr>
        <w:top w:val="none" w:sz="0" w:space="0" w:color="auto"/>
        <w:left w:val="none" w:sz="0" w:space="0" w:color="auto"/>
        <w:bottom w:val="none" w:sz="0" w:space="0" w:color="auto"/>
        <w:right w:val="none" w:sz="0" w:space="0" w:color="auto"/>
      </w:divBdr>
    </w:div>
    <w:div w:id="406920332">
      <w:bodyDiv w:val="1"/>
      <w:marLeft w:val="0"/>
      <w:marRight w:val="0"/>
      <w:marTop w:val="0"/>
      <w:marBottom w:val="0"/>
      <w:divBdr>
        <w:top w:val="none" w:sz="0" w:space="0" w:color="auto"/>
        <w:left w:val="none" w:sz="0" w:space="0" w:color="auto"/>
        <w:bottom w:val="none" w:sz="0" w:space="0" w:color="auto"/>
        <w:right w:val="none" w:sz="0" w:space="0" w:color="auto"/>
      </w:divBdr>
    </w:div>
    <w:div w:id="771708990">
      <w:bodyDiv w:val="1"/>
      <w:marLeft w:val="0"/>
      <w:marRight w:val="0"/>
      <w:marTop w:val="0"/>
      <w:marBottom w:val="0"/>
      <w:divBdr>
        <w:top w:val="none" w:sz="0" w:space="0" w:color="auto"/>
        <w:left w:val="none" w:sz="0" w:space="0" w:color="auto"/>
        <w:bottom w:val="none" w:sz="0" w:space="0" w:color="auto"/>
        <w:right w:val="none" w:sz="0" w:space="0" w:color="auto"/>
      </w:divBdr>
    </w:div>
    <w:div w:id="840388589">
      <w:bodyDiv w:val="1"/>
      <w:marLeft w:val="0"/>
      <w:marRight w:val="0"/>
      <w:marTop w:val="0"/>
      <w:marBottom w:val="0"/>
      <w:divBdr>
        <w:top w:val="none" w:sz="0" w:space="0" w:color="auto"/>
        <w:left w:val="none" w:sz="0" w:space="0" w:color="auto"/>
        <w:bottom w:val="none" w:sz="0" w:space="0" w:color="auto"/>
        <w:right w:val="none" w:sz="0" w:space="0" w:color="auto"/>
      </w:divBdr>
    </w:div>
    <w:div w:id="999621209">
      <w:bodyDiv w:val="1"/>
      <w:marLeft w:val="0"/>
      <w:marRight w:val="0"/>
      <w:marTop w:val="0"/>
      <w:marBottom w:val="0"/>
      <w:divBdr>
        <w:top w:val="none" w:sz="0" w:space="0" w:color="auto"/>
        <w:left w:val="none" w:sz="0" w:space="0" w:color="auto"/>
        <w:bottom w:val="none" w:sz="0" w:space="0" w:color="auto"/>
        <w:right w:val="none" w:sz="0" w:space="0" w:color="auto"/>
      </w:divBdr>
    </w:div>
    <w:div w:id="1091664288">
      <w:bodyDiv w:val="1"/>
      <w:marLeft w:val="0"/>
      <w:marRight w:val="0"/>
      <w:marTop w:val="0"/>
      <w:marBottom w:val="0"/>
      <w:divBdr>
        <w:top w:val="none" w:sz="0" w:space="0" w:color="auto"/>
        <w:left w:val="none" w:sz="0" w:space="0" w:color="auto"/>
        <w:bottom w:val="none" w:sz="0" w:space="0" w:color="auto"/>
        <w:right w:val="none" w:sz="0" w:space="0" w:color="auto"/>
      </w:divBdr>
    </w:div>
    <w:div w:id="1288125746">
      <w:bodyDiv w:val="1"/>
      <w:marLeft w:val="0"/>
      <w:marRight w:val="0"/>
      <w:marTop w:val="0"/>
      <w:marBottom w:val="0"/>
      <w:divBdr>
        <w:top w:val="none" w:sz="0" w:space="0" w:color="auto"/>
        <w:left w:val="none" w:sz="0" w:space="0" w:color="auto"/>
        <w:bottom w:val="none" w:sz="0" w:space="0" w:color="auto"/>
        <w:right w:val="none" w:sz="0" w:space="0" w:color="auto"/>
      </w:divBdr>
    </w:div>
    <w:div w:id="1376353453">
      <w:bodyDiv w:val="1"/>
      <w:marLeft w:val="0"/>
      <w:marRight w:val="0"/>
      <w:marTop w:val="0"/>
      <w:marBottom w:val="0"/>
      <w:divBdr>
        <w:top w:val="none" w:sz="0" w:space="0" w:color="auto"/>
        <w:left w:val="none" w:sz="0" w:space="0" w:color="auto"/>
        <w:bottom w:val="none" w:sz="0" w:space="0" w:color="auto"/>
        <w:right w:val="none" w:sz="0" w:space="0" w:color="auto"/>
      </w:divBdr>
    </w:div>
    <w:div w:id="1398285004">
      <w:bodyDiv w:val="1"/>
      <w:marLeft w:val="0"/>
      <w:marRight w:val="0"/>
      <w:marTop w:val="0"/>
      <w:marBottom w:val="0"/>
      <w:divBdr>
        <w:top w:val="none" w:sz="0" w:space="0" w:color="auto"/>
        <w:left w:val="none" w:sz="0" w:space="0" w:color="auto"/>
        <w:bottom w:val="none" w:sz="0" w:space="0" w:color="auto"/>
        <w:right w:val="none" w:sz="0" w:space="0" w:color="auto"/>
      </w:divBdr>
    </w:div>
    <w:div w:id="1446536641">
      <w:bodyDiv w:val="1"/>
      <w:marLeft w:val="0"/>
      <w:marRight w:val="0"/>
      <w:marTop w:val="0"/>
      <w:marBottom w:val="0"/>
      <w:divBdr>
        <w:top w:val="none" w:sz="0" w:space="0" w:color="auto"/>
        <w:left w:val="none" w:sz="0" w:space="0" w:color="auto"/>
        <w:bottom w:val="none" w:sz="0" w:space="0" w:color="auto"/>
        <w:right w:val="none" w:sz="0" w:space="0" w:color="auto"/>
      </w:divBdr>
    </w:div>
    <w:div w:id="1467432410">
      <w:bodyDiv w:val="1"/>
      <w:marLeft w:val="0"/>
      <w:marRight w:val="0"/>
      <w:marTop w:val="0"/>
      <w:marBottom w:val="0"/>
      <w:divBdr>
        <w:top w:val="none" w:sz="0" w:space="0" w:color="auto"/>
        <w:left w:val="none" w:sz="0" w:space="0" w:color="auto"/>
        <w:bottom w:val="none" w:sz="0" w:space="0" w:color="auto"/>
        <w:right w:val="none" w:sz="0" w:space="0" w:color="auto"/>
      </w:divBdr>
    </w:div>
    <w:div w:id="1507481213">
      <w:bodyDiv w:val="1"/>
      <w:marLeft w:val="0"/>
      <w:marRight w:val="0"/>
      <w:marTop w:val="0"/>
      <w:marBottom w:val="0"/>
      <w:divBdr>
        <w:top w:val="none" w:sz="0" w:space="0" w:color="auto"/>
        <w:left w:val="none" w:sz="0" w:space="0" w:color="auto"/>
        <w:bottom w:val="none" w:sz="0" w:space="0" w:color="auto"/>
        <w:right w:val="none" w:sz="0" w:space="0" w:color="auto"/>
      </w:divBdr>
    </w:div>
    <w:div w:id="1668634132">
      <w:bodyDiv w:val="1"/>
      <w:marLeft w:val="0"/>
      <w:marRight w:val="0"/>
      <w:marTop w:val="0"/>
      <w:marBottom w:val="0"/>
      <w:divBdr>
        <w:top w:val="none" w:sz="0" w:space="0" w:color="auto"/>
        <w:left w:val="none" w:sz="0" w:space="0" w:color="auto"/>
        <w:bottom w:val="none" w:sz="0" w:space="0" w:color="auto"/>
        <w:right w:val="none" w:sz="0" w:space="0" w:color="auto"/>
      </w:divBdr>
    </w:div>
    <w:div w:id="1683511153">
      <w:bodyDiv w:val="1"/>
      <w:marLeft w:val="0"/>
      <w:marRight w:val="0"/>
      <w:marTop w:val="0"/>
      <w:marBottom w:val="0"/>
      <w:divBdr>
        <w:top w:val="none" w:sz="0" w:space="0" w:color="auto"/>
        <w:left w:val="none" w:sz="0" w:space="0" w:color="auto"/>
        <w:bottom w:val="none" w:sz="0" w:space="0" w:color="auto"/>
        <w:right w:val="none" w:sz="0" w:space="0" w:color="auto"/>
      </w:divBdr>
    </w:div>
    <w:div w:id="1708987872">
      <w:bodyDiv w:val="1"/>
      <w:marLeft w:val="0"/>
      <w:marRight w:val="0"/>
      <w:marTop w:val="0"/>
      <w:marBottom w:val="0"/>
      <w:divBdr>
        <w:top w:val="none" w:sz="0" w:space="0" w:color="auto"/>
        <w:left w:val="none" w:sz="0" w:space="0" w:color="auto"/>
        <w:bottom w:val="none" w:sz="0" w:space="0" w:color="auto"/>
        <w:right w:val="none" w:sz="0" w:space="0" w:color="auto"/>
      </w:divBdr>
    </w:div>
    <w:div w:id="1753623174">
      <w:bodyDiv w:val="1"/>
      <w:marLeft w:val="0"/>
      <w:marRight w:val="0"/>
      <w:marTop w:val="0"/>
      <w:marBottom w:val="0"/>
      <w:divBdr>
        <w:top w:val="none" w:sz="0" w:space="0" w:color="auto"/>
        <w:left w:val="none" w:sz="0" w:space="0" w:color="auto"/>
        <w:bottom w:val="none" w:sz="0" w:space="0" w:color="auto"/>
        <w:right w:val="none" w:sz="0" w:space="0" w:color="auto"/>
      </w:divBdr>
    </w:div>
    <w:div w:id="1800688523">
      <w:bodyDiv w:val="1"/>
      <w:marLeft w:val="0"/>
      <w:marRight w:val="0"/>
      <w:marTop w:val="0"/>
      <w:marBottom w:val="0"/>
      <w:divBdr>
        <w:top w:val="none" w:sz="0" w:space="0" w:color="auto"/>
        <w:left w:val="none" w:sz="0" w:space="0" w:color="auto"/>
        <w:bottom w:val="none" w:sz="0" w:space="0" w:color="auto"/>
        <w:right w:val="none" w:sz="0" w:space="0" w:color="auto"/>
      </w:divBdr>
    </w:div>
    <w:div w:id="1847283491">
      <w:bodyDiv w:val="1"/>
      <w:marLeft w:val="0"/>
      <w:marRight w:val="0"/>
      <w:marTop w:val="0"/>
      <w:marBottom w:val="0"/>
      <w:divBdr>
        <w:top w:val="none" w:sz="0" w:space="0" w:color="auto"/>
        <w:left w:val="none" w:sz="0" w:space="0" w:color="auto"/>
        <w:bottom w:val="none" w:sz="0" w:space="0" w:color="auto"/>
        <w:right w:val="none" w:sz="0" w:space="0" w:color="auto"/>
      </w:divBdr>
    </w:div>
    <w:div w:id="1864055425">
      <w:bodyDiv w:val="1"/>
      <w:marLeft w:val="0"/>
      <w:marRight w:val="0"/>
      <w:marTop w:val="0"/>
      <w:marBottom w:val="0"/>
      <w:divBdr>
        <w:top w:val="none" w:sz="0" w:space="0" w:color="auto"/>
        <w:left w:val="none" w:sz="0" w:space="0" w:color="auto"/>
        <w:bottom w:val="none" w:sz="0" w:space="0" w:color="auto"/>
        <w:right w:val="none" w:sz="0" w:space="0" w:color="auto"/>
      </w:divBdr>
    </w:div>
    <w:div w:id="1876773420">
      <w:bodyDiv w:val="1"/>
      <w:marLeft w:val="0"/>
      <w:marRight w:val="0"/>
      <w:marTop w:val="0"/>
      <w:marBottom w:val="0"/>
      <w:divBdr>
        <w:top w:val="none" w:sz="0" w:space="0" w:color="auto"/>
        <w:left w:val="none" w:sz="0" w:space="0" w:color="auto"/>
        <w:bottom w:val="none" w:sz="0" w:space="0" w:color="auto"/>
        <w:right w:val="none" w:sz="0" w:space="0" w:color="auto"/>
      </w:divBdr>
    </w:div>
    <w:div w:id="197525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2EBEA-5A3F-4FCE-BC55-7102E186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46</Pages>
  <Words>12207</Words>
  <Characters>71468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Cecilia Galloway</dc:creator>
  <cp:lastModifiedBy>Andrea Mick</cp:lastModifiedBy>
  <cp:revision>2</cp:revision>
  <cp:lastPrinted>2015-10-01T14:51:00Z</cp:lastPrinted>
  <dcterms:created xsi:type="dcterms:W3CDTF">2015-10-01T15:16:00Z</dcterms:created>
  <dcterms:modified xsi:type="dcterms:W3CDTF">2015-10-01T15:16:00Z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140217-WU</vt:lpwstr>
  </property>
  <property fmtid="{D5CDD505-2E9C-101B-9397-08002B2CF9AE}" pid="3" name="MasterDocument">
    <vt:bool>false</vt:bool>
  </property>
</Properties>
</file>