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1944" w:rsidP="00FC1944">
      <w:pPr>
        <w:pStyle w:val="OrderHeading"/>
      </w:pPr>
      <w:bookmarkStart w:id="0" w:name="_GoBack"/>
      <w:bookmarkEnd w:id="0"/>
      <w:r>
        <w:t>BEFORE THE FLORIDA PUBLIC SERVICE COMMISSION</w:t>
      </w:r>
    </w:p>
    <w:p w:rsidR="00FC1944" w:rsidRDefault="00FC1944" w:rsidP="00FC1944">
      <w:pPr>
        <w:pStyle w:val="OrderHeading"/>
      </w:pPr>
    </w:p>
    <w:p w:rsidR="00FC1944" w:rsidRDefault="00FC1944" w:rsidP="00FC19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1944" w:rsidRPr="00C63FCF" w:rsidTr="00511BAB">
        <w:trPr>
          <w:trHeight w:val="828"/>
        </w:trPr>
        <w:tc>
          <w:tcPr>
            <w:tcW w:w="4788" w:type="dxa"/>
            <w:tcBorders>
              <w:bottom w:val="single" w:sz="8" w:space="0" w:color="auto"/>
              <w:right w:val="double" w:sz="6" w:space="0" w:color="auto"/>
            </w:tcBorders>
            <w:shd w:val="clear" w:color="auto" w:fill="auto"/>
          </w:tcPr>
          <w:p w:rsidR="00FC1944" w:rsidRDefault="00FC1944" w:rsidP="00511BAB">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FC1944" w:rsidRDefault="00FC1944" w:rsidP="00FC1944">
            <w:pPr>
              <w:pStyle w:val="OrderBody"/>
            </w:pPr>
            <w:r>
              <w:t xml:space="preserve">DOCKET NO. </w:t>
            </w:r>
            <w:bookmarkStart w:id="2" w:name="SSDocketNo"/>
            <w:bookmarkEnd w:id="2"/>
            <w:r>
              <w:t>150002-EG</w:t>
            </w:r>
          </w:p>
          <w:p w:rsidR="00FC1944" w:rsidRDefault="00FC1944" w:rsidP="00511BAB">
            <w:pPr>
              <w:pStyle w:val="OrderBody"/>
              <w:tabs>
                <w:tab w:val="center" w:pos="4320"/>
                <w:tab w:val="right" w:pos="8640"/>
              </w:tabs>
              <w:jc w:val="left"/>
            </w:pPr>
            <w:r>
              <w:t xml:space="preserve">ORDER NO. </w:t>
            </w:r>
            <w:bookmarkStart w:id="3" w:name="OrderNo0606"/>
            <w:r w:rsidR="004D45B1">
              <w:t>PSC-15-0</w:t>
            </w:r>
            <w:r w:rsidR="004E5ED1">
              <w:t>5</w:t>
            </w:r>
            <w:r w:rsidR="004D45B1">
              <w:t>06-PHO-EG</w:t>
            </w:r>
            <w:bookmarkEnd w:id="3"/>
          </w:p>
          <w:p w:rsidR="00FC1944" w:rsidRDefault="00FC1944" w:rsidP="00511BAB">
            <w:pPr>
              <w:pStyle w:val="OrderBody"/>
              <w:tabs>
                <w:tab w:val="center" w:pos="4320"/>
                <w:tab w:val="right" w:pos="8640"/>
              </w:tabs>
              <w:jc w:val="left"/>
            </w:pPr>
            <w:r>
              <w:t xml:space="preserve">ISSUED: </w:t>
            </w:r>
            <w:r w:rsidR="004D45B1">
              <w:t>October 27, 2015</w:t>
            </w:r>
          </w:p>
        </w:tc>
      </w:tr>
    </w:tbl>
    <w:p w:rsidR="00CB5276" w:rsidRDefault="00CB5276">
      <w:pPr>
        <w:pStyle w:val="OrderBody"/>
      </w:pPr>
      <w:bookmarkStart w:id="4" w:name="OrderText"/>
      <w:bookmarkEnd w:id="4"/>
    </w:p>
    <w:p w:rsidR="00FC1944" w:rsidRPr="00701945" w:rsidRDefault="00FC1944" w:rsidP="00FC1944">
      <w:pPr>
        <w:ind w:firstLine="720"/>
        <w:jc w:val="both"/>
      </w:pPr>
      <w:r w:rsidRPr="00701945">
        <w:t xml:space="preserve">Pursuant to Notice and in accordance with Rule 28-106.209, </w:t>
      </w:r>
      <w:r>
        <w:t>Florida Administrative Code (F.A.C.)</w:t>
      </w:r>
      <w:r w:rsidRPr="00701945">
        <w:t xml:space="preserve">, a Prehearing Conference was held on </w:t>
      </w:r>
      <w:r>
        <w:t>October 19, 2015</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Art Graham</w:t>
      </w:r>
      <w:r w:rsidRPr="00701945">
        <w:t>, as Prehearing Officer.</w:t>
      </w:r>
    </w:p>
    <w:p w:rsidR="00FC1944" w:rsidRPr="00701945" w:rsidRDefault="00FC1944" w:rsidP="00FC1944">
      <w:pPr>
        <w:jc w:val="both"/>
      </w:pPr>
    </w:p>
    <w:p w:rsidR="00FC1944" w:rsidRPr="00701945" w:rsidRDefault="00FC1944" w:rsidP="00FC1944">
      <w:pPr>
        <w:jc w:val="both"/>
      </w:pPr>
      <w:r w:rsidRPr="00701945">
        <w:t>APPEARANCES:</w:t>
      </w:r>
    </w:p>
    <w:p w:rsidR="00FC1944" w:rsidRPr="00701945" w:rsidRDefault="00FC1944" w:rsidP="00FC1944">
      <w:pPr>
        <w:jc w:val="both"/>
      </w:pPr>
    </w:p>
    <w:p w:rsidR="00FC1944" w:rsidRDefault="00FC1944" w:rsidP="00FC1944">
      <w:pPr>
        <w:ind w:left="1440"/>
        <w:jc w:val="both"/>
      </w:pPr>
      <w:r>
        <w:t xml:space="preserve">R. WADE LITCHFIELD, </w:t>
      </w:r>
      <w:r w:rsidR="00C54164">
        <w:t>JOHN T. BUTLER and</w:t>
      </w:r>
      <w:r>
        <w:t xml:space="preserve"> MARIA J. MONCADA, ESQUIRES, 700 Universe Boulevard, Juno Beach, Florida 33408-0420</w:t>
      </w:r>
    </w:p>
    <w:p w:rsidR="00FC1944" w:rsidRPr="00845FBE" w:rsidRDefault="00FC1944" w:rsidP="00FC1944">
      <w:pPr>
        <w:ind w:left="1440"/>
        <w:jc w:val="both"/>
      </w:pPr>
      <w:r>
        <w:rPr>
          <w:u w:val="single"/>
        </w:rPr>
        <w:t>On behalf of Florida Power &amp; Light Company (FPL)</w:t>
      </w:r>
    </w:p>
    <w:p w:rsidR="00FC1944" w:rsidRPr="00FC1944" w:rsidRDefault="00FC1944" w:rsidP="00FC1944">
      <w:pPr>
        <w:jc w:val="both"/>
      </w:pPr>
    </w:p>
    <w:p w:rsidR="00FC1944" w:rsidRDefault="00FC1944" w:rsidP="00FC1944">
      <w:pPr>
        <w:ind w:left="1440"/>
        <w:jc w:val="both"/>
      </w:pPr>
      <w:r>
        <w:t>BETH KEATING, ESQUIRE, Gunster Law Firm, 215 South Monroe Street, Suite 601, Tallahassee, Florida 32301</w:t>
      </w:r>
    </w:p>
    <w:p w:rsidR="00FC1944" w:rsidRDefault="00FC1944" w:rsidP="00FC1944">
      <w:pPr>
        <w:tabs>
          <w:tab w:val="left" w:pos="1428"/>
        </w:tabs>
        <w:jc w:val="both"/>
        <w:rPr>
          <w:u w:val="single"/>
        </w:rPr>
      </w:pPr>
      <w:r>
        <w:tab/>
      </w:r>
      <w:r>
        <w:rPr>
          <w:u w:val="single"/>
        </w:rPr>
        <w:t>On behalf of Florida Public Utilities Company (FPUC)</w:t>
      </w:r>
    </w:p>
    <w:p w:rsidR="00FC1944" w:rsidRPr="00FC1944" w:rsidRDefault="00FC1944" w:rsidP="00FC1944">
      <w:pPr>
        <w:jc w:val="both"/>
      </w:pPr>
    </w:p>
    <w:p w:rsidR="00FC1944" w:rsidRDefault="00FC1944" w:rsidP="00FC1944">
      <w:pPr>
        <w:ind w:left="1440"/>
        <w:jc w:val="both"/>
      </w:pPr>
      <w:r>
        <w:t>JEFFREY A. STONE, RUSSELL A. BADDERS, and STEVEN R. GRIFFIN, ESQUIRES, Beggs &amp; Lane, Post Office Box 12950, Pensacola, Florida 32591-2950</w:t>
      </w:r>
    </w:p>
    <w:p w:rsidR="00FC1944" w:rsidRDefault="00FC1944" w:rsidP="00FC1944">
      <w:pPr>
        <w:tabs>
          <w:tab w:val="left" w:pos="1428"/>
        </w:tabs>
        <w:jc w:val="both"/>
      </w:pPr>
      <w:r>
        <w:tab/>
      </w:r>
      <w:r>
        <w:rPr>
          <w:u w:val="single"/>
        </w:rPr>
        <w:t>On behalf of Gulf Power Company (Gulf)</w:t>
      </w:r>
    </w:p>
    <w:p w:rsidR="00FC1944" w:rsidRPr="00FC1944" w:rsidRDefault="00FC1944" w:rsidP="00FC1944">
      <w:pPr>
        <w:jc w:val="both"/>
      </w:pPr>
    </w:p>
    <w:p w:rsidR="00FC1944" w:rsidRDefault="00FC1944" w:rsidP="00FC1944">
      <w:pPr>
        <w:tabs>
          <w:tab w:val="left" w:pos="1428"/>
        </w:tabs>
        <w:ind w:left="1440"/>
        <w:jc w:val="both"/>
      </w:pPr>
      <w:r>
        <w:t>MATTHEW R. BERNIER, and</w:t>
      </w:r>
      <w:r w:rsidRPr="00FC1944">
        <w:t xml:space="preserve"> </w:t>
      </w:r>
      <w:r>
        <w:t xml:space="preserve">DIANNE M. TRIPLETT, ESQUIRES, 106 East College, Avenue, Suite 800, Tallahassee, Florida 32301-7740 </w:t>
      </w:r>
    </w:p>
    <w:p w:rsidR="00FC1944" w:rsidRDefault="00FC1944" w:rsidP="00FC1944">
      <w:pPr>
        <w:tabs>
          <w:tab w:val="left" w:pos="1428"/>
        </w:tabs>
        <w:ind w:left="1440"/>
        <w:jc w:val="both"/>
        <w:rPr>
          <w:u w:val="single"/>
        </w:rPr>
      </w:pPr>
      <w:r>
        <w:rPr>
          <w:u w:val="single"/>
        </w:rPr>
        <w:t>On beh</w:t>
      </w:r>
      <w:r w:rsidR="009A1121">
        <w:rPr>
          <w:u w:val="single"/>
        </w:rPr>
        <w:t>alf of Duke Energy Florida, LLC</w:t>
      </w:r>
      <w:r>
        <w:rPr>
          <w:u w:val="single"/>
        </w:rPr>
        <w:t xml:space="preserve"> (DEF)</w:t>
      </w:r>
    </w:p>
    <w:p w:rsidR="00FC1944" w:rsidRDefault="00FC1944" w:rsidP="00FC1944">
      <w:pPr>
        <w:jc w:val="both"/>
      </w:pPr>
    </w:p>
    <w:p w:rsidR="00FC1944" w:rsidRDefault="00FC1944" w:rsidP="00FC1944">
      <w:pPr>
        <w:ind w:left="1440"/>
        <w:jc w:val="both"/>
      </w:pPr>
      <w:r>
        <w:t>JAMES D. BEASLEY, J. JEFFRY WAHLEN, and ASHLEY M. DANIELS, ESQUIRES, Ausley &amp; McMullen, Post Office Box 391, Tallahassee, Florida 32302</w:t>
      </w:r>
    </w:p>
    <w:p w:rsidR="00FC1944" w:rsidRDefault="00FC1944" w:rsidP="00FC1944">
      <w:pPr>
        <w:tabs>
          <w:tab w:val="left" w:pos="1428"/>
        </w:tabs>
        <w:ind w:left="1440"/>
        <w:jc w:val="both"/>
        <w:rPr>
          <w:u w:val="single"/>
        </w:rPr>
      </w:pPr>
      <w:r>
        <w:rPr>
          <w:u w:val="single"/>
        </w:rPr>
        <w:t>On behalf of Tampa Electric Company (TECO)</w:t>
      </w:r>
    </w:p>
    <w:p w:rsidR="00FC1944" w:rsidRDefault="00FC1944" w:rsidP="00FC1944">
      <w:pPr>
        <w:jc w:val="both"/>
      </w:pPr>
    </w:p>
    <w:p w:rsidR="00FC1944" w:rsidRDefault="00FC1944" w:rsidP="00FC1944">
      <w:pPr>
        <w:ind w:left="1440"/>
        <w:jc w:val="both"/>
      </w:pPr>
      <w:r>
        <w:t>PATRICIA A. CHRISTENSEN, Associate Public Counsel, and CHARLES REHWINKEL, Deputy Public Counsel, ESQUIRES, Office of Public Counsel, c/o The Florida Legislature, 111 West Madison Street, Room 812, Tallahassee, Florida 32399-1400</w:t>
      </w:r>
    </w:p>
    <w:p w:rsidR="00FC1944" w:rsidRDefault="00FC1944" w:rsidP="00FC1944">
      <w:pPr>
        <w:ind w:left="720" w:firstLine="720"/>
        <w:jc w:val="both"/>
        <w:rPr>
          <w:u w:val="single"/>
        </w:rPr>
      </w:pPr>
      <w:r>
        <w:rPr>
          <w:u w:val="single"/>
        </w:rPr>
        <w:t>On behalf of the Citizens of the State of Florida (OPC)</w:t>
      </w:r>
    </w:p>
    <w:p w:rsidR="00366F2B" w:rsidRDefault="00366F2B" w:rsidP="00FC1944">
      <w:pPr>
        <w:ind w:left="720" w:firstLine="720"/>
        <w:jc w:val="both"/>
      </w:pPr>
    </w:p>
    <w:p w:rsidR="00FC1944" w:rsidRDefault="00FC1944" w:rsidP="00FC1944">
      <w:pPr>
        <w:ind w:left="1440"/>
        <w:jc w:val="both"/>
      </w:pPr>
      <w:r>
        <w:t>JON MOYLE, JR. and KAREN PUTNAL, ESQUIRES, The Moyle Law Firm, P.A., 118 North Gadsden Street, Tallahassee, Florida 32312</w:t>
      </w:r>
    </w:p>
    <w:p w:rsidR="00FC1944" w:rsidRDefault="00FC1944" w:rsidP="00FC1944">
      <w:pPr>
        <w:ind w:left="1440"/>
        <w:jc w:val="both"/>
      </w:pPr>
      <w:r>
        <w:rPr>
          <w:u w:val="single"/>
        </w:rPr>
        <w:t>On behalf of the Florida Industrial Power Users Group (FIPUG)</w:t>
      </w:r>
    </w:p>
    <w:p w:rsidR="00FC1944" w:rsidRPr="00FC1944" w:rsidRDefault="00FC1944" w:rsidP="00FC1944">
      <w:pPr>
        <w:jc w:val="both"/>
      </w:pPr>
    </w:p>
    <w:p w:rsidR="00C54164" w:rsidRDefault="00C54164" w:rsidP="00C54164">
      <w:pPr>
        <w:ind w:left="1440"/>
        <w:jc w:val="both"/>
      </w:pPr>
      <w:r>
        <w:lastRenderedPageBreak/>
        <w:t>JAMES W. BREW, OWEN J. KOPON and LAURA A. WYNN, ESQUIRES, Stone Mattheis Xenopoulos &amp; Brew, P.C., 1025 Thomas Jefferson St., N.W., Eighth Floor, West Tower, Washington, D.C. 20007</w:t>
      </w:r>
    </w:p>
    <w:p w:rsidR="00C54164" w:rsidRDefault="00C54164" w:rsidP="00C54164">
      <w:pPr>
        <w:ind w:left="1440"/>
        <w:jc w:val="both"/>
      </w:pPr>
      <w:r>
        <w:rPr>
          <w:u w:val="single"/>
        </w:rPr>
        <w:t>On behalf of White Springs Agricultural Chemicals, Inc. d/b/a PCS Phosphate – White Springs (PCS PHOSPHATE or PCS)</w:t>
      </w:r>
    </w:p>
    <w:p w:rsidR="00FC1944" w:rsidRPr="00701945" w:rsidRDefault="00FC1944" w:rsidP="00FC1944">
      <w:pPr>
        <w:jc w:val="both"/>
      </w:pPr>
    </w:p>
    <w:p w:rsidR="00FC1944" w:rsidRPr="00701945" w:rsidRDefault="00FC1944" w:rsidP="00FC1944">
      <w:pPr>
        <w:ind w:left="1440"/>
        <w:jc w:val="both"/>
      </w:pPr>
      <w:r>
        <w:t>Lee Eng Tan</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FC1944" w:rsidRPr="00701945" w:rsidRDefault="00FC1944" w:rsidP="00FC1944">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FC1944" w:rsidRPr="00701945" w:rsidRDefault="00FC1944" w:rsidP="00FC1944">
      <w:pPr>
        <w:jc w:val="both"/>
      </w:pPr>
    </w:p>
    <w:p w:rsidR="00FC1944" w:rsidRPr="00701945" w:rsidRDefault="00FC1944" w:rsidP="00FC1944">
      <w:pPr>
        <w:ind w:left="1440"/>
        <w:jc w:val="both"/>
      </w:pPr>
      <w:smartTag w:uri="urn:schemas-microsoft-com:office:smarttags" w:element="PersonName">
        <w:smartTag w:uri="urn:schemas:contacts" w:element="GivenName">
          <w:r>
            <w:t>Mary</w:t>
          </w:r>
        </w:smartTag>
        <w:r>
          <w:t xml:space="preserve"> </w:t>
        </w:r>
        <w:smartTag w:uri="urn:schemas:contacts" w:element="middlename">
          <w:r>
            <w:t>Anne</w:t>
          </w:r>
        </w:smartTag>
        <w:r>
          <w:t xml:space="preserve"> </w:t>
        </w:r>
        <w:smartTag w:uri="urn:schemas:contacts" w:element="Sn">
          <w:r>
            <w:t>Helton</w:t>
          </w:r>
        </w:smartTag>
      </w:smartTag>
      <w:r>
        <w:t xml:space="preserv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FC1944" w:rsidRPr="00701945" w:rsidRDefault="00FC1944" w:rsidP="00FC1944">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FC1944" w:rsidRPr="00701945" w:rsidRDefault="00FC1944" w:rsidP="00FC1944">
      <w:pPr>
        <w:jc w:val="center"/>
        <w:rPr>
          <w:b/>
          <w:bCs/>
          <w:u w:val="single"/>
        </w:rPr>
      </w:pPr>
    </w:p>
    <w:p w:rsidR="00FC1944" w:rsidRPr="00701945" w:rsidRDefault="00FC1944" w:rsidP="00FC1944">
      <w:pPr>
        <w:jc w:val="center"/>
        <w:rPr>
          <w:b/>
          <w:bCs/>
          <w:u w:val="single"/>
        </w:rPr>
      </w:pPr>
    </w:p>
    <w:p w:rsidR="00FC1944" w:rsidRPr="00701945" w:rsidRDefault="00FC1944" w:rsidP="00FC1944">
      <w:pPr>
        <w:jc w:val="center"/>
      </w:pPr>
      <w:r w:rsidRPr="00701945">
        <w:rPr>
          <w:b/>
          <w:bCs/>
          <w:u w:val="single"/>
        </w:rPr>
        <w:t>PREHEARING ORDER</w:t>
      </w:r>
    </w:p>
    <w:p w:rsidR="00FC1944" w:rsidRPr="00701945" w:rsidRDefault="00FC1944" w:rsidP="00FC1944">
      <w:pPr>
        <w:jc w:val="both"/>
      </w:pPr>
    </w:p>
    <w:p w:rsidR="00FC1944" w:rsidRPr="00701945" w:rsidRDefault="00FC1944" w:rsidP="00FC1944">
      <w:pPr>
        <w:jc w:val="both"/>
      </w:pPr>
      <w:r w:rsidRPr="00701945">
        <w:t>I.</w:t>
      </w:r>
      <w:r w:rsidRPr="00701945">
        <w:tab/>
      </w:r>
      <w:r w:rsidRPr="00701945">
        <w:rPr>
          <w:u w:val="single"/>
        </w:rPr>
        <w:t>CASE BACKGROUND</w:t>
      </w:r>
    </w:p>
    <w:p w:rsidR="00FC1944" w:rsidRPr="00441916" w:rsidRDefault="00FC1944" w:rsidP="00FC1944">
      <w:pPr>
        <w:jc w:val="both"/>
      </w:pPr>
    </w:p>
    <w:p w:rsidR="00DD1BCD" w:rsidRDefault="00FC1944" w:rsidP="00DD1BCD">
      <w:pPr>
        <w:jc w:val="both"/>
      </w:pPr>
      <w:r w:rsidRPr="00441916">
        <w:tab/>
      </w:r>
      <w:r w:rsidR="00E56169" w:rsidRPr="00AA4D91">
        <w:tab/>
      </w:r>
      <w:r w:rsidR="00E56169">
        <w:t xml:space="preserve">As part of the Commission’s continuing energy conservation cost recovery proceedings, an administrative hearing is set for November </w:t>
      </w:r>
      <w:r w:rsidR="00142B44">
        <w:t>2-5</w:t>
      </w:r>
      <w:r w:rsidR="00DE7F28">
        <w:t>, 2015</w:t>
      </w:r>
      <w:r w:rsidR="00E56169">
        <w:t xml:space="preserve">.  </w:t>
      </w:r>
      <w:r w:rsidR="00DD1BCD">
        <w:t xml:space="preserve">The parties have reached agreement concerning all issues identified for resolution at this hearing, with OPC, FIPUG, and </w:t>
      </w:r>
      <w:r w:rsidR="00DD1BCD" w:rsidRPr="00DD1BCD">
        <w:t xml:space="preserve">PCS </w:t>
      </w:r>
      <w:r w:rsidR="00DD1BCD">
        <w:t>Phosphate taking no position.  Staff is prepared to present the panel with a recommendation at the hearing for approval of the stipulated positions set forth herein.  The Commission may render a bench decision in this matter.</w:t>
      </w:r>
    </w:p>
    <w:p w:rsidR="00FC1944" w:rsidRDefault="00FC1944" w:rsidP="00FC1944">
      <w:pPr>
        <w:jc w:val="both"/>
      </w:pPr>
    </w:p>
    <w:p w:rsidR="00FC1944" w:rsidRPr="00701945" w:rsidRDefault="00FC1944" w:rsidP="00FC1944">
      <w:pPr>
        <w:jc w:val="both"/>
      </w:pPr>
      <w:r>
        <w:t>II.</w:t>
      </w:r>
      <w:r>
        <w:tab/>
      </w:r>
      <w:r w:rsidRPr="00701945">
        <w:rPr>
          <w:u w:val="single"/>
        </w:rPr>
        <w:t>CONDUCT OF PROCEEDINGS</w:t>
      </w:r>
    </w:p>
    <w:p w:rsidR="00FC1944" w:rsidRPr="00701945" w:rsidRDefault="00FC1944" w:rsidP="00FC1944">
      <w:pPr>
        <w:jc w:val="both"/>
      </w:pPr>
    </w:p>
    <w:p w:rsidR="00FC1944" w:rsidRPr="00701945" w:rsidRDefault="00FC1944" w:rsidP="00FC194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FC1944" w:rsidRPr="00701945" w:rsidRDefault="00FC1944" w:rsidP="00FC1944">
      <w:pPr>
        <w:jc w:val="both"/>
      </w:pPr>
    </w:p>
    <w:p w:rsidR="00FC1944" w:rsidRPr="00701945" w:rsidRDefault="00FC1944" w:rsidP="00FC1944">
      <w:pPr>
        <w:jc w:val="both"/>
      </w:pPr>
      <w:smartTag w:uri="urn:schemas-microsoft-com:office:smarttags" w:element="stockticker">
        <w:r w:rsidRPr="00701945">
          <w:t>III</w:t>
        </w:r>
      </w:smartTag>
      <w:r w:rsidRPr="00701945">
        <w:t>.</w:t>
      </w:r>
      <w:r>
        <w:tab/>
      </w:r>
      <w:r w:rsidRPr="00701945">
        <w:rPr>
          <w:u w:val="single"/>
        </w:rPr>
        <w:t>JURISDICTION</w:t>
      </w:r>
    </w:p>
    <w:p w:rsidR="00FC1944" w:rsidRPr="00701945" w:rsidRDefault="00FC1944" w:rsidP="00FC1944">
      <w:pPr>
        <w:jc w:val="both"/>
      </w:pPr>
    </w:p>
    <w:p w:rsidR="00FC1944" w:rsidRPr="00441916" w:rsidRDefault="00FC1944" w:rsidP="00FC1944">
      <w:pPr>
        <w:jc w:val="both"/>
      </w:pPr>
      <w:r w:rsidRPr="00701945">
        <w:tab/>
      </w:r>
      <w:r w:rsidRPr="00441916">
        <w:t xml:space="preserve">This Commission is vested with jurisdiction over the subject matter by the provisions of Chapter </w:t>
      </w:r>
      <w:r w:rsidR="00142B44">
        <w:t>366,</w:t>
      </w:r>
      <w:r w:rsidR="00AC3647">
        <w:t xml:space="preserve"> Florida Statutes (F.S.), including Sections 366.04, 366.05 and 366.06, F.S.</w:t>
      </w:r>
      <w:r w:rsidRPr="00441916">
        <w:t xml:space="preserve"> This hearing will be governe</w:t>
      </w:r>
      <w:r w:rsidR="00DE7F28">
        <w:t>d by said Chapter and Chapters</w:t>
      </w:r>
      <w:r w:rsidRPr="00441916">
        <w:t xml:space="preserve"> 25-6, 25-22, and 28-106, F.A.C., as well as any other applicable provisions of law.</w:t>
      </w:r>
    </w:p>
    <w:p w:rsidR="00FC1944" w:rsidRPr="00441916" w:rsidRDefault="00FC1944" w:rsidP="00FC1944">
      <w:pPr>
        <w:jc w:val="both"/>
      </w:pPr>
    </w:p>
    <w:p w:rsidR="00FC1944" w:rsidRPr="00441916" w:rsidRDefault="00FC1944" w:rsidP="00FC1944">
      <w:pPr>
        <w:jc w:val="both"/>
      </w:pPr>
      <w:r w:rsidRPr="00441916">
        <w:t>IV.</w:t>
      </w:r>
      <w:r w:rsidRPr="00441916">
        <w:tab/>
      </w:r>
      <w:r w:rsidRPr="00441916">
        <w:rPr>
          <w:u w:val="single"/>
        </w:rPr>
        <w:t>PROCEDURE FOR HANDLING CONFIDENTIAL INFORMATION</w:t>
      </w:r>
    </w:p>
    <w:p w:rsidR="00FC1944" w:rsidRPr="00441916" w:rsidRDefault="00FC1944" w:rsidP="00FC1944">
      <w:pPr>
        <w:jc w:val="both"/>
      </w:pPr>
    </w:p>
    <w:p w:rsidR="00FC1944" w:rsidRPr="00441916" w:rsidRDefault="00FC1944" w:rsidP="00FC1944">
      <w:pPr>
        <w:jc w:val="both"/>
      </w:pPr>
      <w:r w:rsidRPr="00441916">
        <w:tab/>
        <w:t>Information for which proprietary confidential business inform</w:t>
      </w:r>
      <w:r>
        <w:t>ation status is requested</w:t>
      </w:r>
      <w:r w:rsidRPr="00A72918">
        <w:t xml:space="preserve"> pursuant to</w:t>
      </w:r>
      <w:r>
        <w:t xml:space="preserve"> Section </w:t>
      </w:r>
      <w:r w:rsidR="00AC3647">
        <w:t>366.093,</w:t>
      </w:r>
      <w:r w:rsidRPr="00441916">
        <w:t xml:space="preserve"> </w:t>
      </w:r>
      <w:smartTag w:uri="urn:schemas:contacts" w:element="GivenName">
        <w:r w:rsidRPr="00441916">
          <w:t>F.S.</w:t>
        </w:r>
      </w:smartTag>
      <w:r w:rsidRPr="00441916">
        <w:t xml:space="preserve">, and Rule 25-22.006, F.A.C., shall be treated by the Commission as confidential.  The information shall be exempt from Section 119.07(1), </w:t>
      </w:r>
      <w:smartTag w:uri="urn:schemas:contacts" w:element="GivenName">
        <w:r w:rsidRPr="00441916">
          <w:t>F.S.</w:t>
        </w:r>
      </w:smartTag>
      <w:r w:rsidRPr="00441916">
        <w:t>, pending a formal ruling on s</w:t>
      </w:r>
      <w:r>
        <w:t xml:space="preserve">uch request by the Commission or pending return of the information to the person providing the information.  </w:t>
      </w:r>
      <w:r w:rsidRPr="005555EC">
        <w:t xml:space="preserve">If no determination of confidentiality has been made </w:t>
      </w:r>
      <w:r w:rsidRPr="005555EC">
        <w:lastRenderedPageBreak/>
        <w:t xml:space="preserve">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AC3647">
        <w:t>366.093,</w:t>
      </w:r>
      <w:r w:rsidRPr="00441916">
        <w:t xml:space="preserve"> F.S.  The Commission may determine that continued possession of the information is necessary for the Commission to conduct its business.</w:t>
      </w:r>
    </w:p>
    <w:p w:rsidR="00FC1944" w:rsidRPr="00441916" w:rsidRDefault="00FC1944" w:rsidP="00FC1944">
      <w:pPr>
        <w:jc w:val="both"/>
      </w:pPr>
    </w:p>
    <w:p w:rsidR="00FC1944" w:rsidRDefault="00FC1944" w:rsidP="00FC19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41916">
        <w:tab/>
        <w:t xml:space="preserve">It is the policy of this Commission that all Commission hearings be open to the public at all times.  The Commission also recognizes its obligation pursuant to Section </w:t>
      </w:r>
      <w:r w:rsidR="00AC3647">
        <w:t>366.093,</w:t>
      </w:r>
      <w:r w:rsidR="00AC3647" w:rsidRPr="00441916">
        <w:t xml:space="preserve"> </w:t>
      </w:r>
      <w:r w:rsidRPr="00441916">
        <w:t xml:space="preserve">F.S., to protect proprietary confidential business information from disclosure outside the proceeding.  Therefore, any party wishing to use any proprietary confidential business information, as that term is defined in Section </w:t>
      </w:r>
      <w:r w:rsidR="00AC3647">
        <w:t>366.093,</w:t>
      </w:r>
      <w:r w:rsidR="00AC3647" w:rsidRPr="00441916">
        <w:t xml:space="preserve"> </w:t>
      </w:r>
      <w:r w:rsidRPr="00441916">
        <w:t>F.S.,</w:t>
      </w:r>
      <w:r>
        <w:t xml:space="preserve"> at the hearing shall adhere to the following:</w:t>
      </w:r>
    </w:p>
    <w:p w:rsidR="00FC1944" w:rsidRDefault="00FC1944" w:rsidP="00FC19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944" w:rsidRDefault="00FC1944" w:rsidP="00FC1944">
      <w:pPr>
        <w:spacing w:line="2" w:lineRule="exact"/>
        <w:jc w:val="both"/>
      </w:pPr>
    </w:p>
    <w:p w:rsidR="00FC1944" w:rsidRDefault="00FC1944" w:rsidP="00FC194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w:t>
      </w:r>
      <w:r w:rsidR="00864CE4">
        <w:t xml:space="preserve"> 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C1944" w:rsidRDefault="00FC1944" w:rsidP="00FC19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944" w:rsidRDefault="00FC1944" w:rsidP="00FC194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C1944" w:rsidRDefault="00FC1944" w:rsidP="00FC19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C1944" w:rsidRDefault="00FC1944" w:rsidP="00FC19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FC1944" w:rsidRDefault="00FC1944" w:rsidP="00FC1944">
      <w:pPr>
        <w:jc w:val="both"/>
      </w:pPr>
    </w:p>
    <w:p w:rsidR="00FC1944" w:rsidRPr="00701945" w:rsidRDefault="00FC1944" w:rsidP="00FC1944">
      <w:pPr>
        <w:jc w:val="both"/>
      </w:pPr>
      <w:r w:rsidRPr="00701945">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FC1944" w:rsidRPr="00701945" w:rsidRDefault="00FC1944" w:rsidP="00FC1944">
      <w:pPr>
        <w:jc w:val="both"/>
      </w:pPr>
    </w:p>
    <w:p w:rsidR="00FC1944" w:rsidRDefault="00FC1944" w:rsidP="00FC1944">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FC1944" w:rsidRDefault="00FC1944" w:rsidP="00FC1944">
      <w:pPr>
        <w:jc w:val="both"/>
      </w:pPr>
    </w:p>
    <w:p w:rsidR="00FC1944" w:rsidRPr="00701945" w:rsidRDefault="00FC1944" w:rsidP="00FC1944">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FC1944" w:rsidRPr="00701945" w:rsidRDefault="00FC1944" w:rsidP="00FC1944">
      <w:pPr>
        <w:jc w:val="both"/>
      </w:pPr>
    </w:p>
    <w:p w:rsidR="00FC1944" w:rsidRPr="00701945" w:rsidRDefault="00FC1944" w:rsidP="00FC1944">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C1944" w:rsidRPr="00B75F84" w:rsidRDefault="00FC1944" w:rsidP="00FC1944">
      <w:pPr>
        <w:jc w:val="both"/>
        <w:rPr>
          <w:color w:val="000000"/>
        </w:rPr>
      </w:pPr>
    </w:p>
    <w:p w:rsidR="00FC1944" w:rsidRPr="00B75F84" w:rsidRDefault="00FC1944" w:rsidP="00FC1944">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C1944" w:rsidRPr="00701945" w:rsidRDefault="00FC1944" w:rsidP="00FC1944">
      <w:pPr>
        <w:jc w:val="both"/>
      </w:pPr>
    </w:p>
    <w:p w:rsidR="00FC1944" w:rsidRPr="00701945" w:rsidRDefault="00FC1944" w:rsidP="00FC1944">
      <w:pPr>
        <w:jc w:val="both"/>
      </w:pPr>
      <w:r w:rsidRPr="00701945">
        <w:t>VI.</w:t>
      </w:r>
      <w:r w:rsidRPr="00701945">
        <w:tab/>
      </w:r>
      <w:r w:rsidRPr="00701945">
        <w:rPr>
          <w:u w:val="single"/>
        </w:rPr>
        <w:t>ORDER OF WITNESSES</w:t>
      </w:r>
    </w:p>
    <w:p w:rsidR="00FC1944" w:rsidRDefault="00FC1944" w:rsidP="00FC1944">
      <w:pPr>
        <w:jc w:val="both"/>
      </w:pPr>
    </w:p>
    <w:p w:rsidR="00FC1944" w:rsidRPr="00701945" w:rsidRDefault="00FC1944" w:rsidP="00FC1944">
      <w:pPr>
        <w:jc w:val="both"/>
      </w:pPr>
      <w:r>
        <w:tab/>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C1944" w:rsidRPr="00701945" w:rsidTr="00FC1944">
        <w:trPr>
          <w:cantSplit/>
          <w:trHeight w:val="362"/>
          <w:tblHeader/>
        </w:trPr>
        <w:tc>
          <w:tcPr>
            <w:tcW w:w="3507" w:type="dxa"/>
          </w:tcPr>
          <w:p w:rsidR="00FC1944" w:rsidRPr="00701945" w:rsidRDefault="00FC1944" w:rsidP="00511BAB">
            <w:pPr>
              <w:jc w:val="both"/>
            </w:pPr>
            <w:r w:rsidRPr="00701945">
              <w:rPr>
                <w:u w:val="single"/>
              </w:rPr>
              <w:t>Witness</w:t>
            </w:r>
          </w:p>
        </w:tc>
        <w:tc>
          <w:tcPr>
            <w:tcW w:w="2511" w:type="dxa"/>
          </w:tcPr>
          <w:p w:rsidR="00FC1944" w:rsidRPr="00701945" w:rsidRDefault="00FC1944" w:rsidP="00511BAB">
            <w:pPr>
              <w:jc w:val="center"/>
            </w:pPr>
            <w:r w:rsidRPr="00701945">
              <w:rPr>
                <w:u w:val="single"/>
              </w:rPr>
              <w:t>Proffered By</w:t>
            </w:r>
          </w:p>
        </w:tc>
        <w:tc>
          <w:tcPr>
            <w:tcW w:w="3546" w:type="dxa"/>
          </w:tcPr>
          <w:p w:rsidR="00FC1944" w:rsidRPr="00701945" w:rsidRDefault="00FC1944" w:rsidP="00511BAB">
            <w:pPr>
              <w:jc w:val="both"/>
            </w:pPr>
            <w:r w:rsidRPr="00701945">
              <w:rPr>
                <w:u w:val="single"/>
              </w:rPr>
              <w:t>Issues #</w:t>
            </w:r>
          </w:p>
        </w:tc>
      </w:tr>
      <w:tr w:rsidR="00FC1944" w:rsidRPr="00701945" w:rsidTr="00FC1944">
        <w:trPr>
          <w:cantSplit/>
          <w:trHeight w:val="362"/>
        </w:trPr>
        <w:tc>
          <w:tcPr>
            <w:tcW w:w="3507" w:type="dxa"/>
          </w:tcPr>
          <w:p w:rsidR="00FC1944" w:rsidRPr="00AC105C" w:rsidRDefault="00FC1944" w:rsidP="00511BAB">
            <w:pPr>
              <w:jc w:val="both"/>
              <w:rPr>
                <w:u w:val="single"/>
              </w:rPr>
            </w:pPr>
            <w:r w:rsidRPr="00AC105C">
              <w:tab/>
            </w:r>
            <w:r w:rsidRPr="00AC105C">
              <w:rPr>
                <w:u w:val="single"/>
              </w:rPr>
              <w:t>Direct</w:t>
            </w:r>
          </w:p>
        </w:tc>
        <w:tc>
          <w:tcPr>
            <w:tcW w:w="2511" w:type="dxa"/>
          </w:tcPr>
          <w:p w:rsidR="00FC1944" w:rsidRPr="00701945" w:rsidRDefault="00FC1944" w:rsidP="00511BAB">
            <w:pPr>
              <w:jc w:val="center"/>
            </w:pPr>
          </w:p>
        </w:tc>
        <w:tc>
          <w:tcPr>
            <w:tcW w:w="3546" w:type="dxa"/>
          </w:tcPr>
          <w:p w:rsidR="00FC1944" w:rsidRPr="00701945" w:rsidRDefault="00FC1944" w:rsidP="00511BAB"/>
        </w:tc>
      </w:tr>
      <w:tr w:rsidR="00771E72" w:rsidRPr="00701945" w:rsidTr="00FC1944">
        <w:trPr>
          <w:cantSplit/>
          <w:trHeight w:val="362"/>
        </w:trPr>
        <w:tc>
          <w:tcPr>
            <w:tcW w:w="3507" w:type="dxa"/>
          </w:tcPr>
          <w:p w:rsidR="00771E72" w:rsidRPr="00701945" w:rsidRDefault="00771E72" w:rsidP="00771E72">
            <w:pPr>
              <w:jc w:val="both"/>
            </w:pPr>
            <w:r w:rsidRPr="00D568FC">
              <w:t>Anita Sharma</w:t>
            </w:r>
          </w:p>
        </w:tc>
        <w:tc>
          <w:tcPr>
            <w:tcW w:w="2511" w:type="dxa"/>
          </w:tcPr>
          <w:p w:rsidR="00771E72" w:rsidRPr="00701945" w:rsidRDefault="00771E72" w:rsidP="00771E72">
            <w:pPr>
              <w:jc w:val="center"/>
            </w:pPr>
            <w:r>
              <w:t>FPL</w:t>
            </w:r>
          </w:p>
        </w:tc>
        <w:tc>
          <w:tcPr>
            <w:tcW w:w="3546" w:type="dxa"/>
          </w:tcPr>
          <w:p w:rsidR="00771E72" w:rsidRPr="00701945" w:rsidRDefault="00771E72" w:rsidP="00771E72">
            <w:r w:rsidRPr="00D568FC">
              <w:t>2</w:t>
            </w:r>
          </w:p>
        </w:tc>
      </w:tr>
      <w:tr w:rsidR="00FC1944" w:rsidRPr="00701945" w:rsidTr="00FC1944">
        <w:trPr>
          <w:cantSplit/>
          <w:trHeight w:val="362"/>
        </w:trPr>
        <w:tc>
          <w:tcPr>
            <w:tcW w:w="3507" w:type="dxa"/>
          </w:tcPr>
          <w:p w:rsidR="00FC1944" w:rsidRPr="00701945" w:rsidRDefault="00B06441" w:rsidP="00511BAB">
            <w:pPr>
              <w:jc w:val="both"/>
            </w:pPr>
            <w:r w:rsidRPr="00D568FC">
              <w:t>Terry J. Keith</w:t>
            </w:r>
          </w:p>
        </w:tc>
        <w:tc>
          <w:tcPr>
            <w:tcW w:w="2511" w:type="dxa"/>
          </w:tcPr>
          <w:p w:rsidR="00FC1944" w:rsidRPr="00701945" w:rsidRDefault="00B06441" w:rsidP="00511BAB">
            <w:pPr>
              <w:jc w:val="center"/>
            </w:pPr>
            <w:r>
              <w:t>FPL</w:t>
            </w:r>
          </w:p>
        </w:tc>
        <w:tc>
          <w:tcPr>
            <w:tcW w:w="3546" w:type="dxa"/>
          </w:tcPr>
          <w:p w:rsidR="00FC1944" w:rsidRPr="00701945" w:rsidRDefault="00B06441" w:rsidP="00511BAB">
            <w:r w:rsidRPr="00D568FC">
              <w:t xml:space="preserve">1, 3 </w:t>
            </w:r>
            <w:r w:rsidR="00771E72">
              <w:t>– 4, 7</w:t>
            </w:r>
          </w:p>
        </w:tc>
      </w:tr>
      <w:tr w:rsidR="00FC1944" w:rsidRPr="00701945" w:rsidTr="00FC1944">
        <w:trPr>
          <w:cantSplit/>
          <w:trHeight w:val="362"/>
        </w:trPr>
        <w:tc>
          <w:tcPr>
            <w:tcW w:w="3507" w:type="dxa"/>
          </w:tcPr>
          <w:p w:rsidR="00FC1944" w:rsidRPr="00701945" w:rsidRDefault="00C37429" w:rsidP="00511BAB">
            <w:pPr>
              <w:jc w:val="both"/>
            </w:pPr>
            <w:r>
              <w:rPr>
                <w:rFonts w:cs="Arial"/>
              </w:rPr>
              <w:t>Curtis Young</w:t>
            </w:r>
          </w:p>
        </w:tc>
        <w:tc>
          <w:tcPr>
            <w:tcW w:w="2511" w:type="dxa"/>
          </w:tcPr>
          <w:p w:rsidR="00FC1944" w:rsidRPr="00701945" w:rsidRDefault="00C37429" w:rsidP="00511BAB">
            <w:pPr>
              <w:jc w:val="center"/>
            </w:pPr>
            <w:r>
              <w:t>FPUC</w:t>
            </w:r>
          </w:p>
        </w:tc>
        <w:tc>
          <w:tcPr>
            <w:tcW w:w="3546" w:type="dxa"/>
          </w:tcPr>
          <w:p w:rsidR="00FC1944" w:rsidRPr="00701945" w:rsidRDefault="00C37429" w:rsidP="00511BAB">
            <w:r>
              <w:t>1</w:t>
            </w:r>
            <w:r w:rsidR="009A1121">
              <w:t>-4</w:t>
            </w:r>
          </w:p>
        </w:tc>
      </w:tr>
      <w:tr w:rsidR="00FC1944" w:rsidRPr="00701945" w:rsidTr="00FC1944">
        <w:trPr>
          <w:cantSplit/>
          <w:trHeight w:val="362"/>
        </w:trPr>
        <w:tc>
          <w:tcPr>
            <w:tcW w:w="3507" w:type="dxa"/>
          </w:tcPr>
          <w:p w:rsidR="00FC1944" w:rsidRPr="00701945" w:rsidRDefault="00511BAB" w:rsidP="00511BAB">
            <w:pPr>
              <w:jc w:val="both"/>
            </w:pPr>
            <w:r w:rsidRPr="00511BAB">
              <w:t>John N. Floyd</w:t>
            </w:r>
          </w:p>
        </w:tc>
        <w:tc>
          <w:tcPr>
            <w:tcW w:w="2511" w:type="dxa"/>
          </w:tcPr>
          <w:p w:rsidR="00FC1944" w:rsidRPr="00701945" w:rsidRDefault="00511BAB" w:rsidP="00511BAB">
            <w:pPr>
              <w:jc w:val="center"/>
            </w:pPr>
            <w:r>
              <w:t>GULF</w:t>
            </w:r>
          </w:p>
        </w:tc>
        <w:tc>
          <w:tcPr>
            <w:tcW w:w="3546" w:type="dxa"/>
          </w:tcPr>
          <w:p w:rsidR="00FC1944" w:rsidRPr="00701945" w:rsidRDefault="009A1121" w:rsidP="009A1121">
            <w:pPr>
              <w:widowControl w:val="0"/>
              <w:autoSpaceDE w:val="0"/>
              <w:autoSpaceDN w:val="0"/>
              <w:adjustRightInd w:val="0"/>
              <w:spacing w:after="58"/>
            </w:pPr>
            <w:r>
              <w:t xml:space="preserve">1 – 4, </w:t>
            </w:r>
            <w:r w:rsidR="00511BAB" w:rsidRPr="00511BAB">
              <w:t>7</w:t>
            </w:r>
          </w:p>
        </w:tc>
      </w:tr>
      <w:tr w:rsidR="00FC1944" w:rsidRPr="00701945" w:rsidTr="00FC1944">
        <w:trPr>
          <w:cantSplit/>
          <w:trHeight w:val="362"/>
        </w:trPr>
        <w:tc>
          <w:tcPr>
            <w:tcW w:w="3507" w:type="dxa"/>
          </w:tcPr>
          <w:p w:rsidR="00FC1944" w:rsidRPr="00701945" w:rsidRDefault="004D1345" w:rsidP="00511BAB">
            <w:pPr>
              <w:jc w:val="both"/>
            </w:pPr>
            <w:r w:rsidRPr="004D1345">
              <w:t>Lori J. Cross</w:t>
            </w:r>
          </w:p>
        </w:tc>
        <w:tc>
          <w:tcPr>
            <w:tcW w:w="2511" w:type="dxa"/>
          </w:tcPr>
          <w:p w:rsidR="00FC1944" w:rsidRPr="00701945" w:rsidRDefault="004D1345" w:rsidP="00511BAB">
            <w:pPr>
              <w:jc w:val="center"/>
            </w:pPr>
            <w:r>
              <w:t>DEF</w:t>
            </w:r>
          </w:p>
        </w:tc>
        <w:tc>
          <w:tcPr>
            <w:tcW w:w="3546" w:type="dxa"/>
          </w:tcPr>
          <w:p w:rsidR="00FC1944" w:rsidRPr="00701945" w:rsidRDefault="004D1345" w:rsidP="00511BAB">
            <w:r>
              <w:t>1</w:t>
            </w:r>
            <w:r w:rsidR="009A1121">
              <w:t xml:space="preserve"> – 4, 7</w:t>
            </w:r>
          </w:p>
        </w:tc>
      </w:tr>
      <w:tr w:rsidR="00FC1944" w:rsidRPr="00701945" w:rsidTr="00FC1944">
        <w:trPr>
          <w:cantSplit/>
          <w:trHeight w:val="362"/>
        </w:trPr>
        <w:tc>
          <w:tcPr>
            <w:tcW w:w="3507" w:type="dxa"/>
          </w:tcPr>
          <w:p w:rsidR="00FC1944" w:rsidRPr="00701945" w:rsidRDefault="00A87B4D" w:rsidP="00511BAB">
            <w:pPr>
              <w:jc w:val="both"/>
            </w:pPr>
            <w:r>
              <w:t>Mark R. Roche</w:t>
            </w:r>
          </w:p>
        </w:tc>
        <w:tc>
          <w:tcPr>
            <w:tcW w:w="2511" w:type="dxa"/>
          </w:tcPr>
          <w:p w:rsidR="00FC1944" w:rsidRPr="00701945" w:rsidRDefault="00A87B4D" w:rsidP="00511BAB">
            <w:pPr>
              <w:jc w:val="center"/>
            </w:pPr>
            <w:r>
              <w:t>TECO</w:t>
            </w:r>
          </w:p>
        </w:tc>
        <w:tc>
          <w:tcPr>
            <w:tcW w:w="3546" w:type="dxa"/>
          </w:tcPr>
          <w:p w:rsidR="00FC1944" w:rsidRPr="00701945" w:rsidRDefault="009A1121" w:rsidP="009A1121">
            <w:r>
              <w:t>1 - 7</w:t>
            </w:r>
          </w:p>
        </w:tc>
      </w:tr>
    </w:tbl>
    <w:p w:rsidR="00FC1944" w:rsidRDefault="00FC1944" w:rsidP="00FC1944">
      <w:pPr>
        <w:jc w:val="both"/>
      </w:pPr>
    </w:p>
    <w:p w:rsidR="00AC3647" w:rsidRDefault="00AC3647" w:rsidP="00FC1944">
      <w:pPr>
        <w:jc w:val="both"/>
      </w:pPr>
    </w:p>
    <w:p w:rsidR="00FC1944" w:rsidRPr="00701945" w:rsidRDefault="00FC1944" w:rsidP="00FC1944">
      <w:pPr>
        <w:jc w:val="both"/>
      </w:pPr>
      <w:r w:rsidRPr="00701945">
        <w:t>VII.</w:t>
      </w:r>
      <w:r w:rsidRPr="00701945">
        <w:tab/>
      </w:r>
      <w:r w:rsidRPr="00701945">
        <w:rPr>
          <w:u w:val="single"/>
        </w:rPr>
        <w:t>BASIC POSITIONS</w:t>
      </w:r>
    </w:p>
    <w:p w:rsidR="00FC1944" w:rsidRPr="00701945" w:rsidRDefault="00FC1944" w:rsidP="00FC1944">
      <w:pPr>
        <w:jc w:val="both"/>
      </w:pPr>
    </w:p>
    <w:p w:rsidR="00F93802" w:rsidRPr="00F93802" w:rsidRDefault="007F6444" w:rsidP="00C37429">
      <w:pPr>
        <w:ind w:left="1440" w:hanging="1440"/>
        <w:jc w:val="both"/>
      </w:pPr>
      <w:r>
        <w:rPr>
          <w:b/>
          <w:bCs/>
          <w:u w:val="single"/>
        </w:rPr>
        <w:t>FPL:</w:t>
      </w:r>
      <w:r w:rsidR="00C37429">
        <w:tab/>
      </w:r>
      <w:r w:rsidR="00F93802" w:rsidRPr="00F93802">
        <w:t>FPL’s proposed Conservation Cost Recovery Factors for the January 2016 through December 2016 recovery period and true-up amounts for the prior periods should be approved.</w:t>
      </w:r>
    </w:p>
    <w:p w:rsidR="00FC1944" w:rsidRPr="00701945" w:rsidRDefault="00FC1944" w:rsidP="00FC1944">
      <w:pPr>
        <w:jc w:val="both"/>
      </w:pPr>
    </w:p>
    <w:p w:rsidR="00FC1944" w:rsidRPr="00C37429" w:rsidRDefault="007F6444" w:rsidP="00FC1944">
      <w:pPr>
        <w:ind w:left="1440" w:hanging="1440"/>
        <w:jc w:val="both"/>
      </w:pPr>
      <w:r>
        <w:rPr>
          <w:b/>
          <w:bCs/>
          <w:u w:val="single"/>
        </w:rPr>
        <w:t>FPUC</w:t>
      </w:r>
      <w:r w:rsidR="00FC1944" w:rsidRPr="00701945">
        <w:rPr>
          <w:b/>
          <w:bCs/>
        </w:rPr>
        <w:t>:</w:t>
      </w:r>
      <w:r w:rsidR="00C37429">
        <w:rPr>
          <w:bCs/>
        </w:rPr>
        <w:tab/>
      </w:r>
      <w:r w:rsidR="00C37429">
        <w:t xml:space="preserve">The Commission should approve Florida Public Utilities Company’s final net true-up for the period January through December 2014, the estimated true-up for </w:t>
      </w:r>
      <w:r w:rsidR="00C37429">
        <w:lastRenderedPageBreak/>
        <w:t xml:space="preserve">the </w:t>
      </w:r>
      <w:r w:rsidR="002E2030">
        <w:t>period January through December</w:t>
      </w:r>
      <w:r w:rsidR="00C37429">
        <w:t xml:space="preserve"> 2015, and the projected conservation program expenses for the period January through December, 2016.</w:t>
      </w:r>
    </w:p>
    <w:p w:rsidR="007F6444" w:rsidRDefault="007F6444" w:rsidP="00FC1944">
      <w:pPr>
        <w:ind w:left="1440" w:hanging="1440"/>
        <w:jc w:val="both"/>
      </w:pPr>
    </w:p>
    <w:p w:rsidR="00511BAB" w:rsidRPr="00511BAB" w:rsidRDefault="007F6444" w:rsidP="009A1121">
      <w:pPr>
        <w:ind w:left="1440" w:hanging="1440"/>
        <w:jc w:val="both"/>
      </w:pPr>
      <w:r>
        <w:rPr>
          <w:b/>
          <w:bCs/>
          <w:u w:val="single"/>
        </w:rPr>
        <w:t>GULF</w:t>
      </w:r>
      <w:r w:rsidRPr="00701945">
        <w:rPr>
          <w:b/>
          <w:bCs/>
        </w:rPr>
        <w:t>:</w:t>
      </w:r>
      <w:r w:rsidR="00511BAB">
        <w:rPr>
          <w:bCs/>
        </w:rPr>
        <w:tab/>
      </w:r>
      <w:r w:rsidR="00511BAB" w:rsidRPr="00511BAB">
        <w:t>It is the basic position of Gulf Power Company that the proposed ECCR factors present the best estimate of Gulf's Conservation expense at this time for the period January 2016 through December 2016, including the true</w:t>
      </w:r>
      <w:r w:rsidR="00511BAB" w:rsidRPr="00511BAB">
        <w:noBreakHyphen/>
        <w:t>up calculations and other adjustments allowed by the Commission.</w:t>
      </w:r>
    </w:p>
    <w:p w:rsidR="007F6444" w:rsidRDefault="007F6444" w:rsidP="00FC1944">
      <w:pPr>
        <w:ind w:left="1440" w:hanging="1440"/>
        <w:jc w:val="both"/>
      </w:pPr>
    </w:p>
    <w:p w:rsidR="007F6444" w:rsidRPr="004D1345" w:rsidRDefault="007F6444" w:rsidP="00FC1944">
      <w:pPr>
        <w:ind w:left="1440" w:hanging="1440"/>
        <w:jc w:val="both"/>
      </w:pPr>
      <w:r>
        <w:rPr>
          <w:b/>
          <w:bCs/>
          <w:u w:val="single"/>
        </w:rPr>
        <w:t>DEF</w:t>
      </w:r>
      <w:r w:rsidRPr="00701945">
        <w:rPr>
          <w:b/>
          <w:bCs/>
        </w:rPr>
        <w:t>:</w:t>
      </w:r>
      <w:r w:rsidR="004D1345">
        <w:rPr>
          <w:bCs/>
        </w:rPr>
        <w:tab/>
      </w:r>
      <w:r w:rsidR="004D1345" w:rsidRPr="004D1345">
        <w:t xml:space="preserve">The Commission should determine that DEF has properly calculated </w:t>
      </w:r>
      <w:r w:rsidR="004D1345" w:rsidRPr="004D1345">
        <w:rPr>
          <w:sz w:val="23"/>
          <w:szCs w:val="23"/>
        </w:rPr>
        <w:t xml:space="preserve">its </w:t>
      </w:r>
      <w:r w:rsidR="004D1345" w:rsidRPr="004D1345">
        <w:t>conservation cost recovery true-up and projection costs, and should approve the conservation cost recovery factors for the period January 2016 through December 2016 set forth in the testimony and exhibits of witness Lori J. Cross.</w:t>
      </w:r>
    </w:p>
    <w:p w:rsidR="007F6444" w:rsidRDefault="007F6444" w:rsidP="00FC1944">
      <w:pPr>
        <w:ind w:left="1440" w:hanging="1440"/>
        <w:jc w:val="both"/>
      </w:pPr>
    </w:p>
    <w:p w:rsidR="00A87B4D" w:rsidRDefault="007F6444" w:rsidP="009A1121">
      <w:pPr>
        <w:ind w:left="1440" w:hanging="1440"/>
        <w:jc w:val="both"/>
        <w:rPr>
          <w:szCs w:val="20"/>
        </w:rPr>
      </w:pPr>
      <w:r>
        <w:rPr>
          <w:b/>
          <w:bCs/>
          <w:u w:val="single"/>
        </w:rPr>
        <w:t>TECO</w:t>
      </w:r>
      <w:r w:rsidRPr="00701945">
        <w:rPr>
          <w:b/>
          <w:bCs/>
        </w:rPr>
        <w:t>:</w:t>
      </w:r>
      <w:r w:rsidR="00A87B4D">
        <w:rPr>
          <w:bCs/>
        </w:rPr>
        <w:tab/>
      </w:r>
      <w:r w:rsidR="00A87B4D" w:rsidRPr="00A87B4D">
        <w:rPr>
          <w:szCs w:val="20"/>
        </w:rPr>
        <w:t>The Commission should determine that Tampa Electric has properly calculated its conservation cost recovery true-up and projections and the conservation cost recovery factors set forth in the testimony and exhibits of witness Mark R. Roche during the period January 2016 through December 2016.</w:t>
      </w:r>
    </w:p>
    <w:p w:rsidR="009A1121" w:rsidRPr="00A87B4D" w:rsidRDefault="009A1121" w:rsidP="009A1121">
      <w:pPr>
        <w:ind w:left="1440" w:hanging="1440"/>
        <w:jc w:val="both"/>
        <w:rPr>
          <w:szCs w:val="20"/>
        </w:rPr>
      </w:pPr>
    </w:p>
    <w:p w:rsidR="00A87B4D" w:rsidRPr="00A87B4D" w:rsidRDefault="00A87B4D" w:rsidP="00A87B4D">
      <w:pPr>
        <w:ind w:left="1440"/>
        <w:jc w:val="both"/>
        <w:rPr>
          <w:szCs w:val="20"/>
        </w:rPr>
      </w:pPr>
      <w:r w:rsidRPr="00A87B4D">
        <w:rPr>
          <w:szCs w:val="20"/>
        </w:rPr>
        <w:t>The Commission should also approve the Contracted Credit Value Tampa Electric has calculated for the GSLM-2 and GSLM-3 rate riders for use during the period January 2016 through December 2016, also set forth in witness Roche's testimony and exhibits.</w:t>
      </w:r>
    </w:p>
    <w:p w:rsidR="007F6444" w:rsidRPr="00701945" w:rsidRDefault="007F6444" w:rsidP="00FC1944">
      <w:pPr>
        <w:ind w:left="1440" w:hanging="1440"/>
        <w:jc w:val="both"/>
      </w:pPr>
    </w:p>
    <w:p w:rsidR="002F2329" w:rsidRPr="002F2329" w:rsidRDefault="007F6444" w:rsidP="002F2329">
      <w:pPr>
        <w:ind w:left="1440" w:hanging="1440"/>
        <w:jc w:val="both"/>
      </w:pPr>
      <w:r>
        <w:rPr>
          <w:b/>
          <w:bCs/>
          <w:u w:val="single"/>
        </w:rPr>
        <w:t>OPC</w:t>
      </w:r>
      <w:r w:rsidRPr="00701945">
        <w:rPr>
          <w:b/>
          <w:bCs/>
        </w:rPr>
        <w:t>:</w:t>
      </w:r>
      <w:r w:rsidR="002F2329">
        <w:rPr>
          <w:bCs/>
        </w:rPr>
        <w:tab/>
      </w:r>
      <w:r w:rsidR="002F2329" w:rsidRPr="002F2329">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7F6444" w:rsidRDefault="007F6444" w:rsidP="00FC1944">
      <w:pPr>
        <w:jc w:val="both"/>
        <w:rPr>
          <w:b/>
          <w:bCs/>
        </w:rPr>
      </w:pPr>
    </w:p>
    <w:p w:rsidR="004F67F2" w:rsidRDefault="007F6444" w:rsidP="004F67F2">
      <w:pPr>
        <w:autoSpaceDE w:val="0"/>
        <w:autoSpaceDN w:val="0"/>
        <w:ind w:left="1440" w:hanging="1440"/>
        <w:jc w:val="both"/>
      </w:pPr>
      <w:r>
        <w:rPr>
          <w:b/>
          <w:bCs/>
          <w:u w:val="single"/>
        </w:rPr>
        <w:t>FIPUG</w:t>
      </w:r>
      <w:r w:rsidRPr="00701945">
        <w:rPr>
          <w:b/>
          <w:bCs/>
        </w:rPr>
        <w:t>:</w:t>
      </w:r>
      <w:r w:rsidR="002F2329">
        <w:rPr>
          <w:bCs/>
        </w:rPr>
        <w:tab/>
      </w:r>
      <w:r w:rsidR="004F67F2">
        <w:t xml:space="preserve">FIPUG takes no position on the respective utilities’ requests at issue in this docket.  </w:t>
      </w:r>
    </w:p>
    <w:p w:rsidR="007F6444" w:rsidRPr="007F6444" w:rsidRDefault="007F6444" w:rsidP="004F67F2">
      <w:pPr>
        <w:ind w:left="1440" w:hanging="1440"/>
        <w:jc w:val="both"/>
        <w:rPr>
          <w:b/>
          <w:bCs/>
          <w:u w:val="single"/>
        </w:rPr>
      </w:pPr>
    </w:p>
    <w:p w:rsidR="002F2329" w:rsidRPr="002F2329" w:rsidRDefault="007F6444" w:rsidP="009A1121">
      <w:pPr>
        <w:pStyle w:val="NoSpacing"/>
        <w:ind w:left="1440" w:hanging="1440"/>
        <w:jc w:val="both"/>
        <w:rPr>
          <w:rFonts w:eastAsia="Calibri"/>
        </w:rPr>
      </w:pPr>
      <w:r>
        <w:rPr>
          <w:b/>
          <w:bCs/>
          <w:u w:val="single"/>
        </w:rPr>
        <w:t>PCS</w:t>
      </w:r>
      <w:r w:rsidRPr="00701945">
        <w:rPr>
          <w:b/>
          <w:bCs/>
        </w:rPr>
        <w:t>:</w:t>
      </w:r>
      <w:r w:rsidR="002F2329">
        <w:rPr>
          <w:bCs/>
        </w:rPr>
        <w:tab/>
      </w:r>
      <w:r w:rsidR="002F2329" w:rsidRPr="002F2329">
        <w:rPr>
          <w:rFonts w:eastAsia="Calibri"/>
        </w:rPr>
        <w:t>PCS Phosphate generally adopts the positions taken by the Florida Office of Public Counsel (“OPC”).</w:t>
      </w:r>
    </w:p>
    <w:p w:rsidR="007F6444" w:rsidRPr="00701945" w:rsidRDefault="007F6444" w:rsidP="00FC1944">
      <w:pPr>
        <w:jc w:val="both"/>
      </w:pPr>
    </w:p>
    <w:p w:rsidR="00F93802" w:rsidRDefault="00FC1944" w:rsidP="00F93802">
      <w:pPr>
        <w:pStyle w:val="PrehearingBody"/>
        <w:ind w:left="1440" w:hanging="1440"/>
      </w:pPr>
      <w:r w:rsidRPr="00701945">
        <w:rPr>
          <w:b/>
          <w:bCs/>
          <w:u w:val="single"/>
        </w:rPr>
        <w:t>STAFF</w:t>
      </w:r>
      <w:r w:rsidRPr="00701945">
        <w:rPr>
          <w:b/>
          <w:bCs/>
        </w:rPr>
        <w:t>:</w:t>
      </w:r>
      <w:r>
        <w:rPr>
          <w:b/>
          <w:bCs/>
        </w:rPr>
        <w:tab/>
      </w:r>
      <w:r w:rsidR="00F93802">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FC1944" w:rsidRDefault="00FC1944" w:rsidP="00FC1944">
      <w:pPr>
        <w:ind w:left="1440" w:hanging="1440"/>
        <w:jc w:val="both"/>
      </w:pPr>
    </w:p>
    <w:p w:rsidR="00FC1944" w:rsidRPr="00701945" w:rsidRDefault="00FC1944" w:rsidP="00FC1944">
      <w:pPr>
        <w:ind w:left="1440" w:hanging="1440"/>
        <w:jc w:val="both"/>
      </w:pPr>
    </w:p>
    <w:p w:rsidR="00FC1944" w:rsidRPr="00701945" w:rsidRDefault="00FC1944" w:rsidP="00FC1944">
      <w:pPr>
        <w:jc w:val="both"/>
      </w:pPr>
      <w:r>
        <w:lastRenderedPageBreak/>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FC1944" w:rsidRDefault="00FC1944" w:rsidP="00FC1944">
      <w:pPr>
        <w:jc w:val="both"/>
      </w:pPr>
    </w:p>
    <w:p w:rsidR="00524866" w:rsidRDefault="00524866" w:rsidP="00C54164">
      <w:pPr>
        <w:ind w:left="1440" w:hanging="1440"/>
        <w:jc w:val="both"/>
        <w:rPr>
          <w:b/>
          <w:bCs/>
          <w:u w:val="single"/>
        </w:rPr>
      </w:pPr>
      <w:r>
        <w:rPr>
          <w:b/>
          <w:bCs/>
          <w:u w:val="single"/>
        </w:rPr>
        <w:t xml:space="preserve">PROPOSED </w:t>
      </w:r>
    </w:p>
    <w:p w:rsidR="00524866" w:rsidRDefault="00524866" w:rsidP="00C54164">
      <w:pPr>
        <w:ind w:left="1440" w:hanging="1440"/>
        <w:jc w:val="both"/>
        <w:rPr>
          <w:b/>
          <w:bCs/>
          <w:u w:val="single"/>
        </w:rPr>
      </w:pPr>
      <w:r>
        <w:rPr>
          <w:b/>
          <w:bCs/>
          <w:u w:val="single"/>
        </w:rPr>
        <w:t>STIPULATION</w:t>
      </w:r>
    </w:p>
    <w:p w:rsidR="00FC1944" w:rsidRPr="00701945" w:rsidRDefault="00FC1944" w:rsidP="00C54164">
      <w:pPr>
        <w:ind w:left="1440" w:hanging="1440"/>
        <w:jc w:val="both"/>
      </w:pPr>
      <w:r w:rsidRPr="00701945">
        <w:rPr>
          <w:b/>
          <w:bCs/>
          <w:u w:val="single"/>
        </w:rPr>
        <w:t>ISSUE 1</w:t>
      </w:r>
      <w:r w:rsidRPr="00701945">
        <w:rPr>
          <w:b/>
          <w:bCs/>
        </w:rPr>
        <w:t>:</w:t>
      </w:r>
      <w:r w:rsidRPr="00701945">
        <w:tab/>
      </w:r>
      <w:r w:rsidR="00C54164" w:rsidRPr="002247BE">
        <w:rPr>
          <w:b/>
        </w:rPr>
        <w:t>What are the final conservation cost recovery true-up amounts for the period January 2014 through December 2014?</w:t>
      </w:r>
    </w:p>
    <w:p w:rsidR="00FC1944" w:rsidRPr="00701945" w:rsidRDefault="00FC1944" w:rsidP="00FC1944">
      <w:pPr>
        <w:jc w:val="both"/>
      </w:pPr>
    </w:p>
    <w:p w:rsidR="002A7FE1" w:rsidRDefault="002A7FE1" w:rsidP="00524866">
      <w:pPr>
        <w:ind w:left="1440"/>
        <w:jc w:val="both"/>
      </w:pPr>
      <w:r>
        <w:t>The</w:t>
      </w:r>
      <w:r w:rsidRPr="00C92DC6">
        <w:t xml:space="preserve"> appropriate final conservation cost recovery true-up amounts for the period January 201</w:t>
      </w:r>
      <w:r>
        <w:t>4</w:t>
      </w:r>
      <w:r w:rsidRPr="00C92DC6">
        <w:t xml:space="preserve"> through December 201</w:t>
      </w:r>
      <w:r>
        <w:t>4</w:t>
      </w:r>
      <w:r w:rsidRPr="00C92DC6">
        <w:t xml:space="preserve"> are as follows:</w:t>
      </w:r>
    </w:p>
    <w:p w:rsidR="002A7FE1" w:rsidRDefault="002A7FE1" w:rsidP="00524866">
      <w:pPr>
        <w:ind w:left="1440"/>
        <w:jc w:val="both"/>
      </w:pPr>
    </w:p>
    <w:p w:rsidR="00524866" w:rsidRPr="00C92DC6" w:rsidRDefault="00524866" w:rsidP="00524866">
      <w:pPr>
        <w:ind w:left="1440"/>
        <w:jc w:val="both"/>
      </w:pPr>
      <w:r w:rsidRPr="00C92DC6">
        <w:t>Florida Power &amp; Light (FPL)</w:t>
      </w:r>
      <w:r w:rsidRPr="00C92DC6">
        <w:tab/>
      </w:r>
      <w:r w:rsidRPr="00C92DC6">
        <w:tab/>
        <w:t xml:space="preserve">         </w:t>
      </w:r>
      <w:r w:rsidRPr="00F93802">
        <w:t>$8,356,646</w:t>
      </w:r>
      <w:r>
        <w:tab/>
        <w:t>Under</w:t>
      </w:r>
      <w:r w:rsidRPr="00C92DC6">
        <w:t>recovery</w:t>
      </w:r>
    </w:p>
    <w:p w:rsidR="00524866" w:rsidRPr="00C92DC6" w:rsidRDefault="00524866" w:rsidP="00524866">
      <w:pPr>
        <w:ind w:left="1440"/>
        <w:jc w:val="both"/>
      </w:pPr>
      <w:r w:rsidRPr="00C92DC6">
        <w:t>Florida Public Utilities (FPUC)</w:t>
      </w:r>
      <w:r w:rsidRPr="00C92DC6">
        <w:tab/>
      </w:r>
      <w:r w:rsidRPr="00C92DC6">
        <w:tab/>
        <w:t xml:space="preserve">  $</w:t>
      </w:r>
      <w:r w:rsidR="004F67F2">
        <w:t>80,307</w:t>
      </w:r>
      <w:r w:rsidRPr="00C92DC6">
        <w:tab/>
        <w:t>Underrecovery</w:t>
      </w:r>
    </w:p>
    <w:p w:rsidR="00524866" w:rsidRPr="00C92DC6" w:rsidRDefault="00524866" w:rsidP="00524866">
      <w:pPr>
        <w:ind w:left="1440"/>
        <w:jc w:val="both"/>
      </w:pPr>
      <w:r w:rsidRPr="00C92DC6">
        <w:t>Gulf Power Company (G</w:t>
      </w:r>
      <w:r>
        <w:t>ULF</w:t>
      </w:r>
      <w:r w:rsidRPr="00C92DC6">
        <w:t>)</w:t>
      </w:r>
      <w:r w:rsidRPr="00C92DC6">
        <w:tab/>
        <w:t xml:space="preserve">         $</w:t>
      </w:r>
      <w:r w:rsidR="004F67F2">
        <w:t xml:space="preserve"> </w:t>
      </w:r>
      <w:r w:rsidR="004F67F2" w:rsidRPr="00511BAB">
        <w:t>560,637</w:t>
      </w:r>
      <w:r w:rsidR="004F67F2">
        <w:tab/>
        <w:t>Over</w:t>
      </w:r>
      <w:r w:rsidRPr="00C92DC6">
        <w:t>recovery</w:t>
      </w:r>
    </w:p>
    <w:p w:rsidR="00524866" w:rsidRPr="00C92DC6" w:rsidRDefault="00524866" w:rsidP="00524866">
      <w:pPr>
        <w:ind w:left="1440"/>
        <w:jc w:val="both"/>
      </w:pPr>
      <w:r w:rsidRPr="00C92DC6">
        <w:t>Duke Energy Florida (DEF)</w:t>
      </w:r>
      <w:r w:rsidRPr="00C92DC6">
        <w:tab/>
      </w:r>
      <w:r w:rsidRPr="00C92DC6">
        <w:tab/>
        <w:t xml:space="preserve">         $</w:t>
      </w:r>
      <w:r w:rsidR="004F67F2">
        <w:t xml:space="preserve"> </w:t>
      </w:r>
      <w:r w:rsidR="004F67F2" w:rsidRPr="004D1345">
        <w:rPr>
          <w:bCs/>
        </w:rPr>
        <w:t>609,857</w:t>
      </w:r>
      <w:r w:rsidRPr="00C92DC6">
        <w:tab/>
      </w:r>
      <w:r w:rsidR="004F67F2">
        <w:t>Over</w:t>
      </w:r>
      <w:r w:rsidRPr="00C92DC6">
        <w:t>recovery</w:t>
      </w:r>
    </w:p>
    <w:p w:rsidR="00A87B4D" w:rsidRPr="002A7FE1" w:rsidRDefault="00524866" w:rsidP="002A7FE1">
      <w:pPr>
        <w:ind w:left="1440"/>
        <w:jc w:val="both"/>
      </w:pPr>
      <w:r w:rsidRPr="00C92DC6">
        <w:t>Tampa Electric Company (TECO)</w:t>
      </w:r>
      <w:r w:rsidRPr="00C92DC6">
        <w:tab/>
        <w:t xml:space="preserve">         $</w:t>
      </w:r>
      <w:r w:rsidR="004F67F2">
        <w:t xml:space="preserve"> </w:t>
      </w:r>
      <w:r w:rsidR="004F67F2" w:rsidRPr="00A87B4D">
        <w:rPr>
          <w:szCs w:val="20"/>
        </w:rPr>
        <w:t>7,549,999</w:t>
      </w:r>
      <w:r w:rsidRPr="00C92DC6">
        <w:tab/>
        <w:t>Overrecovery</w:t>
      </w:r>
      <w:r>
        <w:tab/>
      </w:r>
    </w:p>
    <w:p w:rsidR="00C54164" w:rsidRPr="00701945" w:rsidRDefault="00C54164" w:rsidP="00C54164">
      <w:pPr>
        <w:jc w:val="both"/>
      </w:pPr>
    </w:p>
    <w:p w:rsidR="00C54164" w:rsidRPr="00701945" w:rsidRDefault="00C54164" w:rsidP="004F67F2">
      <w:pPr>
        <w:ind w:left="1440" w:hanging="1440"/>
        <w:jc w:val="both"/>
      </w:pPr>
      <w:r>
        <w:rPr>
          <w:b/>
          <w:bCs/>
          <w:u w:val="single"/>
        </w:rPr>
        <w:t>OPC:</w:t>
      </w:r>
      <w:r w:rsidRPr="00701945">
        <w:tab/>
      </w:r>
      <w:r w:rsidR="004F67F2" w:rsidRPr="004F67F2">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C54164" w:rsidRDefault="00C54164" w:rsidP="00FC1944">
      <w:pPr>
        <w:jc w:val="both"/>
      </w:pPr>
    </w:p>
    <w:p w:rsidR="00C54164" w:rsidRPr="002F2329" w:rsidRDefault="00C54164" w:rsidP="00C54164">
      <w:pPr>
        <w:jc w:val="both"/>
      </w:pPr>
      <w:r>
        <w:rPr>
          <w:b/>
          <w:bCs/>
          <w:u w:val="single"/>
        </w:rPr>
        <w:t>FIPUG:</w:t>
      </w:r>
      <w:r w:rsidR="002F2329">
        <w:rPr>
          <w:bCs/>
        </w:rPr>
        <w:tab/>
      </w:r>
      <w:r w:rsidR="004F67F2">
        <w:t>FIPUG takes no position on this issue.</w:t>
      </w:r>
    </w:p>
    <w:p w:rsidR="00C54164" w:rsidRPr="00701945" w:rsidRDefault="00C54164" w:rsidP="00C54164">
      <w:pPr>
        <w:jc w:val="both"/>
      </w:pPr>
    </w:p>
    <w:p w:rsidR="00C54164" w:rsidRPr="00701945" w:rsidRDefault="00C54164" w:rsidP="00C54164">
      <w:pPr>
        <w:jc w:val="both"/>
      </w:pPr>
      <w:r>
        <w:rPr>
          <w:b/>
          <w:bCs/>
          <w:u w:val="single"/>
        </w:rPr>
        <w:t>PCS:</w:t>
      </w:r>
      <w:r w:rsidRPr="00701945">
        <w:tab/>
      </w:r>
      <w:r w:rsidR="002F2329">
        <w:tab/>
      </w:r>
      <w:r w:rsidR="002F2329" w:rsidRPr="002F2329">
        <w:rPr>
          <w:rFonts w:eastAsia="Calibri"/>
        </w:rPr>
        <w:t>PCS agrees with the Office of Public Counsel.</w:t>
      </w:r>
    </w:p>
    <w:p w:rsidR="00C54164" w:rsidRDefault="00C54164" w:rsidP="00FC1944">
      <w:pPr>
        <w:jc w:val="both"/>
      </w:pPr>
    </w:p>
    <w:p w:rsidR="00FC1944" w:rsidRDefault="00FC1944" w:rsidP="00FC1944">
      <w:pPr>
        <w:jc w:val="both"/>
      </w:pPr>
    </w:p>
    <w:p w:rsidR="002A7FE1" w:rsidRDefault="002A7FE1" w:rsidP="002A7FE1">
      <w:pPr>
        <w:ind w:left="1440" w:hanging="1440"/>
        <w:jc w:val="both"/>
        <w:rPr>
          <w:b/>
          <w:bCs/>
          <w:u w:val="single"/>
        </w:rPr>
      </w:pPr>
      <w:r>
        <w:rPr>
          <w:b/>
          <w:bCs/>
          <w:u w:val="single"/>
        </w:rPr>
        <w:t xml:space="preserve">PROPOSED </w:t>
      </w:r>
    </w:p>
    <w:p w:rsidR="002A7FE1" w:rsidRDefault="002A7FE1" w:rsidP="002A7FE1">
      <w:pPr>
        <w:ind w:left="1440" w:hanging="1440"/>
        <w:jc w:val="both"/>
        <w:rPr>
          <w:b/>
          <w:bCs/>
          <w:u w:val="single"/>
        </w:rPr>
      </w:pPr>
      <w:r>
        <w:rPr>
          <w:b/>
          <w:bCs/>
          <w:u w:val="single"/>
        </w:rPr>
        <w:t>STIPULATION</w:t>
      </w:r>
    </w:p>
    <w:p w:rsidR="00C54164" w:rsidRPr="002A7FE1" w:rsidRDefault="00C54164" w:rsidP="002A7FE1">
      <w:pPr>
        <w:ind w:left="1440" w:hanging="1440"/>
        <w:jc w:val="both"/>
        <w:rPr>
          <w:b/>
          <w:bCs/>
          <w:u w:val="single"/>
        </w:rPr>
      </w:pPr>
      <w:r w:rsidRPr="002A7FE1">
        <w:rPr>
          <w:b/>
          <w:bCs/>
          <w:u w:val="single"/>
        </w:rPr>
        <w:t>ISSUE 2</w:t>
      </w:r>
      <w:r w:rsidRPr="002A7FE1">
        <w:rPr>
          <w:b/>
          <w:bCs/>
        </w:rPr>
        <w:t>:</w:t>
      </w:r>
      <w:r w:rsidRPr="002A7FE1">
        <w:rPr>
          <w:b/>
        </w:rPr>
        <w:tab/>
        <w:t>What are the total conservation cost recovery amounts to be collected during the period January 2016 through December 2016?</w:t>
      </w:r>
    </w:p>
    <w:p w:rsidR="002A7FE1" w:rsidRDefault="002A7FE1" w:rsidP="002A7FE1">
      <w:pPr>
        <w:ind w:left="1440"/>
        <w:rPr>
          <w:bCs/>
        </w:rPr>
      </w:pPr>
    </w:p>
    <w:p w:rsidR="002A7FE1" w:rsidRPr="00C92DC6" w:rsidRDefault="002A7FE1" w:rsidP="002A7FE1">
      <w:pPr>
        <w:ind w:left="1440"/>
      </w:pPr>
      <w:r w:rsidRPr="00937947">
        <w:rPr>
          <w:bCs/>
        </w:rPr>
        <w:t xml:space="preserve">The </w:t>
      </w:r>
      <w:r w:rsidRPr="00937947">
        <w:t>appropriate</w:t>
      </w:r>
      <w:r w:rsidRPr="00C92DC6">
        <w:t xml:space="preserve"> total conservation cost recovery amount to be collected during the period January </w:t>
      </w:r>
      <w:r>
        <w:t>2016 through December 2016 are as follows:</w:t>
      </w:r>
    </w:p>
    <w:p w:rsidR="002A7FE1" w:rsidRPr="00C92DC6" w:rsidRDefault="002A7FE1" w:rsidP="002A7FE1">
      <w:pPr>
        <w:jc w:val="both"/>
      </w:pPr>
    </w:p>
    <w:p w:rsidR="002A7FE1" w:rsidRPr="00C92DC6" w:rsidRDefault="002A7FE1" w:rsidP="002A7FE1">
      <w:pPr>
        <w:ind w:left="1440"/>
        <w:jc w:val="both"/>
      </w:pPr>
      <w:r w:rsidRPr="00C92DC6">
        <w:t>Florida Power &amp; Light (FPL)</w:t>
      </w:r>
      <w:r w:rsidRPr="00C92DC6">
        <w:tab/>
      </w:r>
      <w:r>
        <w:tab/>
      </w:r>
      <w:r w:rsidRPr="00C92DC6">
        <w:tab/>
      </w:r>
      <w:r w:rsidRPr="0028014D">
        <w:t>$</w:t>
      </w:r>
      <w:r>
        <w:t>191,276,638</w:t>
      </w:r>
    </w:p>
    <w:p w:rsidR="002A7FE1" w:rsidRDefault="002A7FE1" w:rsidP="002A7FE1">
      <w:pPr>
        <w:ind w:left="720" w:firstLine="720"/>
        <w:jc w:val="both"/>
        <w:rPr>
          <w:b/>
          <w:bCs/>
        </w:rPr>
      </w:pPr>
      <w:r>
        <w:t>Florida Public Utilities (FPUC)</w:t>
      </w:r>
      <w:r>
        <w:tab/>
      </w:r>
      <w:r>
        <w:tab/>
        <w:t>$890,637</w:t>
      </w:r>
    </w:p>
    <w:p w:rsidR="002A7FE1" w:rsidRDefault="002A7FE1" w:rsidP="002A7FE1">
      <w:pPr>
        <w:ind w:left="720" w:firstLine="720"/>
        <w:jc w:val="both"/>
      </w:pPr>
      <w:r w:rsidRPr="00C92DC6">
        <w:t>Gulf Power Company (G</w:t>
      </w:r>
      <w:r>
        <w:t>ULF</w:t>
      </w:r>
      <w:r w:rsidRPr="00C92DC6">
        <w:t>)</w:t>
      </w:r>
      <w:r>
        <w:tab/>
      </w:r>
      <w:r>
        <w:tab/>
      </w:r>
      <w:r w:rsidRPr="006024FE">
        <w:rPr>
          <w:bCs/>
        </w:rPr>
        <w:t>$</w:t>
      </w:r>
      <w:r w:rsidRPr="00511BAB">
        <w:rPr>
          <w:bCs/>
        </w:rPr>
        <w:t>7,021,249</w:t>
      </w:r>
    </w:p>
    <w:p w:rsidR="002A7FE1" w:rsidRDefault="002A7FE1" w:rsidP="002A7FE1">
      <w:pPr>
        <w:ind w:left="720" w:firstLine="720"/>
        <w:jc w:val="both"/>
      </w:pPr>
      <w:r w:rsidRPr="00C92DC6">
        <w:t>Duke Energy Florida (DEF)</w:t>
      </w:r>
      <w:r w:rsidRPr="00C92DC6">
        <w:tab/>
        <w:t xml:space="preserve"> </w:t>
      </w:r>
      <w:r>
        <w:tab/>
      </w:r>
      <w:r>
        <w:tab/>
      </w:r>
      <w:r w:rsidRPr="001A6057">
        <w:rPr>
          <w:bCs/>
        </w:rPr>
        <w:t>$</w:t>
      </w:r>
      <w:r w:rsidRPr="004D1345">
        <w:rPr>
          <w:bCs/>
        </w:rPr>
        <w:t>108</w:t>
      </w:r>
      <w:r w:rsidRPr="004D1345">
        <w:t>,145,590</w:t>
      </w:r>
    </w:p>
    <w:p w:rsidR="002A7FE1" w:rsidRDefault="002A7FE1" w:rsidP="002A7FE1">
      <w:pPr>
        <w:ind w:left="720" w:firstLine="720"/>
        <w:jc w:val="both"/>
      </w:pPr>
      <w:r w:rsidRPr="00C92DC6">
        <w:t>Tampa Electric Company (TECO)</w:t>
      </w:r>
      <w:r>
        <w:tab/>
      </w:r>
      <w:r>
        <w:tab/>
      </w:r>
      <w:r w:rsidRPr="00F8425F">
        <w:t>$</w:t>
      </w:r>
      <w:r>
        <w:t>31,944,922</w:t>
      </w:r>
    </w:p>
    <w:p w:rsidR="00C54164" w:rsidRPr="00701945" w:rsidRDefault="00C54164" w:rsidP="00C54164">
      <w:pPr>
        <w:jc w:val="both"/>
      </w:pPr>
    </w:p>
    <w:p w:rsidR="00C54164" w:rsidRPr="00701945" w:rsidRDefault="00C54164" w:rsidP="002A7FE1">
      <w:pPr>
        <w:ind w:left="1440" w:hanging="1440"/>
        <w:jc w:val="both"/>
      </w:pPr>
      <w:r>
        <w:rPr>
          <w:b/>
          <w:bCs/>
          <w:u w:val="single"/>
        </w:rPr>
        <w:lastRenderedPageBreak/>
        <w:t>OPC:</w:t>
      </w:r>
      <w:r w:rsidRPr="00701945">
        <w:tab/>
      </w:r>
      <w:r w:rsidR="002A7FE1" w:rsidRPr="002A7FE1">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C54164" w:rsidRDefault="00C54164" w:rsidP="00C54164">
      <w:pPr>
        <w:jc w:val="both"/>
      </w:pPr>
    </w:p>
    <w:p w:rsidR="00C54164" w:rsidRDefault="00C54164" w:rsidP="00C54164">
      <w:pPr>
        <w:jc w:val="both"/>
      </w:pPr>
      <w:r>
        <w:rPr>
          <w:b/>
          <w:bCs/>
          <w:u w:val="single"/>
        </w:rPr>
        <w:t>FIPUG:</w:t>
      </w:r>
      <w:r w:rsidR="002F2329">
        <w:rPr>
          <w:bCs/>
        </w:rPr>
        <w:tab/>
      </w:r>
      <w:r w:rsidR="002A7FE1">
        <w:t>FIPUG takes no position on this issue.</w:t>
      </w:r>
    </w:p>
    <w:p w:rsidR="002A7FE1" w:rsidRPr="00701945" w:rsidRDefault="002A7FE1" w:rsidP="00C54164">
      <w:pPr>
        <w:jc w:val="both"/>
      </w:pPr>
    </w:p>
    <w:p w:rsidR="00C54164" w:rsidRPr="00701945" w:rsidRDefault="00C54164" w:rsidP="00C54164">
      <w:pPr>
        <w:jc w:val="both"/>
      </w:pPr>
      <w:r>
        <w:rPr>
          <w:b/>
          <w:bCs/>
          <w:u w:val="single"/>
        </w:rPr>
        <w:t>PCS:</w:t>
      </w:r>
      <w:r w:rsidRPr="00701945">
        <w:tab/>
      </w:r>
      <w:r w:rsidR="002F2329">
        <w:tab/>
      </w:r>
      <w:r w:rsidR="002A7FE1">
        <w:t>No position.</w:t>
      </w:r>
    </w:p>
    <w:p w:rsidR="00C54164" w:rsidRDefault="00C54164" w:rsidP="00FC1944">
      <w:pPr>
        <w:jc w:val="both"/>
      </w:pPr>
    </w:p>
    <w:p w:rsidR="002A7FE1" w:rsidRDefault="002A7FE1" w:rsidP="00C54164">
      <w:pPr>
        <w:jc w:val="both"/>
        <w:rPr>
          <w:b/>
          <w:bCs/>
          <w:u w:val="single"/>
        </w:rPr>
      </w:pPr>
      <w:r>
        <w:rPr>
          <w:b/>
          <w:bCs/>
          <w:u w:val="single"/>
        </w:rPr>
        <w:t>PROPOSED</w:t>
      </w:r>
    </w:p>
    <w:p w:rsidR="002A7FE1" w:rsidRPr="002A7FE1" w:rsidRDefault="002A7FE1" w:rsidP="00C54164">
      <w:pPr>
        <w:jc w:val="both"/>
        <w:rPr>
          <w:b/>
          <w:bCs/>
          <w:u w:val="single"/>
        </w:rPr>
      </w:pPr>
      <w:r>
        <w:rPr>
          <w:b/>
          <w:bCs/>
          <w:u w:val="single"/>
        </w:rPr>
        <w:t>STIPULATED</w:t>
      </w:r>
    </w:p>
    <w:p w:rsidR="00C54164" w:rsidRPr="00701945" w:rsidRDefault="00C54164" w:rsidP="00C54164">
      <w:pPr>
        <w:jc w:val="both"/>
      </w:pPr>
      <w:r w:rsidRPr="00701945">
        <w:rPr>
          <w:b/>
          <w:bCs/>
          <w:u w:val="single"/>
        </w:rPr>
        <w:t xml:space="preserve">ISSUE </w:t>
      </w:r>
      <w:r>
        <w:rPr>
          <w:b/>
          <w:bCs/>
          <w:u w:val="single"/>
        </w:rPr>
        <w:t>3</w:t>
      </w:r>
      <w:r w:rsidRPr="00701945">
        <w:rPr>
          <w:b/>
          <w:bCs/>
        </w:rPr>
        <w:t>:</w:t>
      </w:r>
      <w:r w:rsidRPr="00701945">
        <w:tab/>
      </w:r>
      <w:r w:rsidRPr="00C54164">
        <w:rPr>
          <w:b/>
        </w:rPr>
        <w:t xml:space="preserve">What are the conservation cost recovery factors for the period January 2016 </w:t>
      </w:r>
      <w:r w:rsidRPr="00C54164">
        <w:rPr>
          <w:b/>
        </w:rPr>
        <w:tab/>
      </w:r>
      <w:r w:rsidRPr="00C54164">
        <w:rPr>
          <w:b/>
        </w:rPr>
        <w:tab/>
      </w:r>
      <w:r w:rsidRPr="00C54164">
        <w:rPr>
          <w:b/>
        </w:rPr>
        <w:tab/>
        <w:t>through December 2016?</w:t>
      </w:r>
    </w:p>
    <w:p w:rsidR="00C54164" w:rsidRPr="00701945" w:rsidRDefault="00C54164" w:rsidP="00C54164">
      <w:pPr>
        <w:jc w:val="both"/>
      </w:pPr>
    </w:p>
    <w:p w:rsidR="002A7FE1" w:rsidRDefault="002A7FE1" w:rsidP="002A7FE1">
      <w:pPr>
        <w:ind w:left="1440"/>
        <w:jc w:val="both"/>
      </w:pPr>
      <w:r>
        <w:t>T</w:t>
      </w:r>
      <w:r w:rsidRPr="00C92DC6">
        <w:t>he appropriate conservation cost recovery facto</w:t>
      </w:r>
      <w:r>
        <w:t>r during the period January 2016</w:t>
      </w:r>
      <w:r w:rsidRPr="00C92DC6">
        <w:t xml:space="preserve"> through December 201</w:t>
      </w:r>
      <w:r>
        <w:t>6</w:t>
      </w:r>
      <w:r w:rsidRPr="00C92DC6">
        <w:t xml:space="preserve"> for</w:t>
      </w:r>
      <w:r>
        <w:t xml:space="preserve"> the following utilities:</w:t>
      </w:r>
    </w:p>
    <w:p w:rsidR="00C54164" w:rsidRPr="00701945" w:rsidRDefault="00C54164" w:rsidP="00C54164">
      <w:pPr>
        <w:jc w:val="both"/>
      </w:pPr>
    </w:p>
    <w:tbl>
      <w:tblPr>
        <w:tblpPr w:leftFromText="180" w:rightFromText="180" w:vertAnchor="text" w:horzAnchor="page" w:tblpX="3148" w:tblpY="143"/>
        <w:tblOverlap w:val="never"/>
        <w:tblW w:w="8160" w:type="dxa"/>
        <w:tblLook w:val="04A0" w:firstRow="1" w:lastRow="0" w:firstColumn="1" w:lastColumn="0" w:noHBand="0" w:noVBand="1"/>
      </w:tblPr>
      <w:tblGrid>
        <w:gridCol w:w="2960"/>
        <w:gridCol w:w="1300"/>
        <w:gridCol w:w="1300"/>
        <w:gridCol w:w="1300"/>
        <w:gridCol w:w="1300"/>
      </w:tblGrid>
      <w:tr w:rsidR="00F93802" w:rsidRPr="00441916" w:rsidTr="00F93802">
        <w:trPr>
          <w:trHeight w:val="672"/>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93802" w:rsidRPr="00441916" w:rsidRDefault="00F93802" w:rsidP="00F93802">
            <w:pPr>
              <w:jc w:val="center"/>
              <w:rPr>
                <w:sz w:val="16"/>
                <w:szCs w:val="16"/>
              </w:rPr>
            </w:pPr>
            <w:r w:rsidRPr="00441916">
              <w:rPr>
                <w:sz w:val="16"/>
                <w:szCs w:val="16"/>
              </w:rPr>
              <w:t>RATE CLASS</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F93802" w:rsidRPr="00441916" w:rsidRDefault="00F93802" w:rsidP="00F93802">
            <w:pPr>
              <w:jc w:val="center"/>
              <w:rPr>
                <w:sz w:val="16"/>
                <w:szCs w:val="16"/>
              </w:rPr>
            </w:pPr>
            <w:r w:rsidRPr="00441916">
              <w:rPr>
                <w:sz w:val="16"/>
                <w:szCs w:val="16"/>
              </w:rPr>
              <w:t>Conservation Recovery Factor ($/kw)</w:t>
            </w:r>
            <w:r w:rsidRPr="00441916">
              <w:rPr>
                <w:sz w:val="16"/>
                <w:szCs w:val="16"/>
                <w:vertAlign w:val="superscript"/>
              </w:rPr>
              <w:t xml:space="preserve"> (j)</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F93802" w:rsidRPr="00441916" w:rsidRDefault="00F93802" w:rsidP="00F93802">
            <w:pPr>
              <w:jc w:val="center"/>
              <w:rPr>
                <w:sz w:val="16"/>
                <w:szCs w:val="16"/>
              </w:rPr>
            </w:pPr>
            <w:r w:rsidRPr="00441916">
              <w:rPr>
                <w:sz w:val="16"/>
                <w:szCs w:val="16"/>
              </w:rPr>
              <w:t>Conservation Recovery Factor ($/kwh)</w:t>
            </w:r>
            <w:r w:rsidRPr="00441916">
              <w:rPr>
                <w:sz w:val="16"/>
                <w:szCs w:val="16"/>
                <w:vertAlign w:val="superscript"/>
              </w:rPr>
              <w:t xml:space="preserve"> (k)</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F93802" w:rsidRPr="00441916" w:rsidRDefault="00F93802" w:rsidP="00F93802">
            <w:pPr>
              <w:jc w:val="center"/>
              <w:rPr>
                <w:sz w:val="16"/>
                <w:szCs w:val="16"/>
              </w:rPr>
            </w:pPr>
            <w:r w:rsidRPr="00441916">
              <w:rPr>
                <w:sz w:val="16"/>
                <w:szCs w:val="16"/>
              </w:rPr>
              <w:t>RDC ($/KW)</w:t>
            </w:r>
            <w:r w:rsidRPr="00441916">
              <w:rPr>
                <w:sz w:val="16"/>
                <w:szCs w:val="16"/>
                <w:vertAlign w:val="superscript"/>
              </w:rPr>
              <w:t xml:space="preserve"> (l)</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F93802" w:rsidRPr="00441916" w:rsidRDefault="00F93802" w:rsidP="00F93802">
            <w:pPr>
              <w:jc w:val="center"/>
              <w:rPr>
                <w:sz w:val="16"/>
                <w:szCs w:val="16"/>
              </w:rPr>
            </w:pPr>
            <w:r w:rsidRPr="00441916">
              <w:rPr>
                <w:sz w:val="16"/>
                <w:szCs w:val="16"/>
              </w:rPr>
              <w:t>SDD ($/KW)</w:t>
            </w:r>
            <w:r w:rsidRPr="00441916">
              <w:rPr>
                <w:sz w:val="16"/>
                <w:szCs w:val="16"/>
                <w:vertAlign w:val="superscript"/>
              </w:rPr>
              <w:t xml:space="preserve"> (m)</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RS1/RTR1</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0.00186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GS1/GST1/WIES1</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0.00177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GSD1/GSDT1/HLFT1</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0.61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OS2</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0.00142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GSLD1/GSLDT1/CS1/CST1/HLFT2</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0.68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GSLD2/GSLDT2/CS2/CST2/HLFT3</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0.70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GSLD3/GSLDT3/CS3/CST3</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0.72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SST1T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$0.08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$0.04 </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SST1D1/SST1D2/SST1D3</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$0.08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$0.04 </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CILC D/CILC G</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0.79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CILC 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0.77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MET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0.77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OL1/SL1/PL1</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0.00073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r w:rsidR="00F93802" w:rsidRPr="00441916" w:rsidTr="00F93802">
        <w:trPr>
          <w:trHeight w:val="288"/>
        </w:trPr>
        <w:tc>
          <w:tcPr>
            <w:tcW w:w="2960" w:type="dxa"/>
            <w:tcBorders>
              <w:top w:val="nil"/>
              <w:left w:val="nil"/>
              <w:bottom w:val="nil"/>
              <w:right w:val="nil"/>
            </w:tcBorders>
            <w:shd w:val="clear" w:color="auto" w:fill="auto"/>
            <w:noWrap/>
            <w:vAlign w:val="bottom"/>
            <w:hideMark/>
          </w:tcPr>
          <w:p w:rsidR="00F93802" w:rsidRPr="00441916" w:rsidRDefault="00F93802" w:rsidP="00F93802">
            <w:pPr>
              <w:rPr>
                <w:sz w:val="16"/>
                <w:szCs w:val="16"/>
              </w:rPr>
            </w:pPr>
            <w:r w:rsidRPr="00441916">
              <w:rPr>
                <w:sz w:val="16"/>
                <w:szCs w:val="16"/>
              </w:rPr>
              <w:t>SL2, GSCU1</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 xml:space="preserve">0.00137 </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c>
          <w:tcPr>
            <w:tcW w:w="1300" w:type="dxa"/>
            <w:tcBorders>
              <w:top w:val="nil"/>
              <w:left w:val="nil"/>
              <w:bottom w:val="nil"/>
              <w:right w:val="nil"/>
            </w:tcBorders>
            <w:shd w:val="clear" w:color="auto" w:fill="auto"/>
            <w:noWrap/>
            <w:vAlign w:val="bottom"/>
            <w:hideMark/>
          </w:tcPr>
          <w:p w:rsidR="00F93802" w:rsidRPr="00441916" w:rsidRDefault="00F93802" w:rsidP="00F93802">
            <w:pPr>
              <w:jc w:val="right"/>
              <w:rPr>
                <w:sz w:val="16"/>
                <w:szCs w:val="16"/>
              </w:rPr>
            </w:pPr>
            <w:r w:rsidRPr="00441916">
              <w:rPr>
                <w:sz w:val="16"/>
                <w:szCs w:val="16"/>
              </w:rPr>
              <w:t>-</w:t>
            </w:r>
          </w:p>
        </w:tc>
      </w:tr>
    </w:tbl>
    <w:p w:rsidR="00F93802" w:rsidRPr="00441916" w:rsidRDefault="00C54164" w:rsidP="00C54164">
      <w:pPr>
        <w:jc w:val="both"/>
        <w:rPr>
          <w:bCs/>
        </w:rPr>
      </w:pPr>
      <w:r w:rsidRPr="00441916">
        <w:rPr>
          <w:b/>
          <w:bCs/>
          <w:u w:val="single"/>
        </w:rPr>
        <w:t>FPL:</w:t>
      </w:r>
      <w:r w:rsidR="00F93802" w:rsidRPr="00441916">
        <w:rPr>
          <w:bCs/>
        </w:rPr>
        <w:tab/>
      </w:r>
      <w:r w:rsidR="00F93802" w:rsidRPr="00441916">
        <w:rPr>
          <w:bCs/>
        </w:rPr>
        <w:tab/>
      </w:r>
    </w:p>
    <w:p w:rsidR="00C54164" w:rsidRPr="00441916" w:rsidRDefault="00C54164"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rPr>
          <w:bCs/>
        </w:rPr>
      </w:pPr>
    </w:p>
    <w:p w:rsidR="00F93802" w:rsidRPr="00441916" w:rsidRDefault="00F93802" w:rsidP="00C54164">
      <w:pPr>
        <w:jc w:val="both"/>
      </w:pPr>
    </w:p>
    <w:p w:rsidR="00C54164" w:rsidRPr="00441916" w:rsidRDefault="00F93802" w:rsidP="00F93802">
      <w:pPr>
        <w:ind w:left="1440"/>
        <w:jc w:val="both"/>
      </w:pPr>
      <w:r w:rsidRPr="00441916">
        <w:t xml:space="preserve"> </w:t>
      </w:r>
      <w:r w:rsidR="00DD1BCD">
        <w:t xml:space="preserve"> </w:t>
      </w:r>
    </w:p>
    <w:p w:rsidR="00F93802" w:rsidRDefault="00F93802" w:rsidP="00C54164">
      <w:pPr>
        <w:jc w:val="both"/>
      </w:pPr>
    </w:p>
    <w:p w:rsidR="00F93802" w:rsidRDefault="00F93802" w:rsidP="00C54164">
      <w:pPr>
        <w:jc w:val="both"/>
      </w:pPr>
    </w:p>
    <w:p w:rsidR="00F93802" w:rsidRPr="00701945" w:rsidRDefault="00F93802" w:rsidP="00C54164">
      <w:pPr>
        <w:jc w:val="both"/>
      </w:pPr>
    </w:p>
    <w:p w:rsidR="00C54164" w:rsidRDefault="00C54164" w:rsidP="00C37429">
      <w:pPr>
        <w:ind w:left="1440" w:hanging="1440"/>
        <w:jc w:val="both"/>
      </w:pPr>
      <w:r>
        <w:rPr>
          <w:b/>
          <w:bCs/>
          <w:u w:val="single"/>
        </w:rPr>
        <w:t>FPUC:</w:t>
      </w:r>
      <w:r w:rsidRPr="00701945">
        <w:tab/>
      </w:r>
      <w:r w:rsidR="002A7FE1">
        <w:t>$.001352 per KWH (consolidated levelized)</w:t>
      </w:r>
    </w:p>
    <w:p w:rsidR="00C37429" w:rsidRPr="00701945" w:rsidRDefault="00C37429" w:rsidP="00C54164">
      <w:pPr>
        <w:jc w:val="both"/>
      </w:pPr>
    </w:p>
    <w:p w:rsidR="00511BAB" w:rsidRPr="00511BAB" w:rsidRDefault="00C54164" w:rsidP="00511BAB">
      <w:pPr>
        <w:tabs>
          <w:tab w:val="left" w:pos="-1440"/>
        </w:tabs>
        <w:ind w:left="1440" w:hanging="1440"/>
        <w:jc w:val="both"/>
        <w:rPr>
          <w:vertAlign w:val="superscript"/>
        </w:rPr>
      </w:pPr>
      <w:r>
        <w:rPr>
          <w:b/>
          <w:bCs/>
          <w:u w:val="single"/>
        </w:rPr>
        <w:t>GULF:</w:t>
      </w:r>
      <w:r w:rsidR="00511BAB">
        <w:rPr>
          <w:bCs/>
        </w:rPr>
        <w:tab/>
      </w:r>
      <w:r w:rsidR="00511BAB" w:rsidRPr="00511BAB">
        <w:rPr>
          <w:vertAlign w:val="superscript"/>
        </w:rPr>
        <w:t xml:space="preserve"> </w:t>
      </w:r>
    </w:p>
    <w:p w:rsidR="00511BAB" w:rsidRPr="00511BAB" w:rsidRDefault="00511BAB" w:rsidP="00511BAB">
      <w:pPr>
        <w:widowControl w:val="0"/>
        <w:autoSpaceDE w:val="0"/>
        <w:autoSpaceDN w:val="0"/>
        <w:adjustRightInd w:val="0"/>
        <w:jc w:val="cente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82" w:type="dxa"/>
          <w:right w:w="182" w:type="dxa"/>
        </w:tblCellMar>
        <w:tblLook w:val="0000" w:firstRow="0" w:lastRow="0" w:firstColumn="0" w:lastColumn="0" w:noHBand="0" w:noVBand="0"/>
      </w:tblPr>
      <w:tblGrid>
        <w:gridCol w:w="3059"/>
        <w:gridCol w:w="2518"/>
      </w:tblGrid>
      <w:tr w:rsidR="00511BAB" w:rsidRPr="00511BAB" w:rsidTr="00511BAB">
        <w:trPr>
          <w:trHeight w:val="849"/>
          <w:jc w:val="center"/>
        </w:trPr>
        <w:tc>
          <w:tcPr>
            <w:tcW w:w="3059" w:type="dxa"/>
          </w:tcPr>
          <w:p w:rsidR="00511BAB" w:rsidRPr="00511BAB" w:rsidRDefault="00511BAB" w:rsidP="00511BAB">
            <w:pPr>
              <w:spacing w:line="220" w:lineRule="exact"/>
            </w:pPr>
          </w:p>
          <w:p w:rsidR="00511BAB" w:rsidRPr="00511BAB" w:rsidRDefault="00511BAB" w:rsidP="00511BAB">
            <w:pPr>
              <w:jc w:val="center"/>
              <w:rPr>
                <w:b/>
                <w:bCs/>
              </w:rPr>
            </w:pPr>
          </w:p>
          <w:p w:rsidR="00511BAB" w:rsidRPr="00511BAB" w:rsidRDefault="00511BAB" w:rsidP="00511BAB">
            <w:pPr>
              <w:jc w:val="center"/>
              <w:rPr>
                <w:b/>
                <w:bCs/>
              </w:rPr>
            </w:pPr>
            <w:r w:rsidRPr="00511BAB">
              <w:rPr>
                <w:b/>
                <w:bCs/>
              </w:rPr>
              <w:t>RATE</w:t>
            </w:r>
          </w:p>
          <w:p w:rsidR="00511BAB" w:rsidRPr="00511BAB" w:rsidRDefault="00511BAB" w:rsidP="00511BAB">
            <w:pPr>
              <w:spacing w:after="90"/>
              <w:jc w:val="center"/>
            </w:pPr>
            <w:r w:rsidRPr="00511BAB">
              <w:rPr>
                <w:b/>
                <w:bCs/>
              </w:rPr>
              <w:t>CLASS</w:t>
            </w:r>
          </w:p>
        </w:tc>
        <w:tc>
          <w:tcPr>
            <w:tcW w:w="2518" w:type="dxa"/>
          </w:tcPr>
          <w:p w:rsidR="00511BAB" w:rsidRPr="00511BAB" w:rsidRDefault="00511BAB" w:rsidP="00511BAB">
            <w:pPr>
              <w:spacing w:line="220" w:lineRule="exact"/>
            </w:pPr>
          </w:p>
          <w:p w:rsidR="00511BAB" w:rsidRPr="00511BAB" w:rsidRDefault="00511BAB" w:rsidP="00511BAB">
            <w:pPr>
              <w:jc w:val="center"/>
              <w:rPr>
                <w:b/>
                <w:bCs/>
              </w:rPr>
            </w:pPr>
            <w:r w:rsidRPr="00511BAB">
              <w:rPr>
                <w:b/>
                <w:bCs/>
              </w:rPr>
              <w:t>CONSERVATION COST RECOVERY FACTORS</w:t>
            </w:r>
          </w:p>
          <w:p w:rsidR="00511BAB" w:rsidRPr="00511BAB" w:rsidRDefault="00511BAB" w:rsidP="00511BAB">
            <w:pPr>
              <w:spacing w:after="90"/>
              <w:jc w:val="center"/>
            </w:pPr>
            <w:r w:rsidRPr="00511BAB">
              <w:rPr>
                <w:b/>
                <w:bCs/>
              </w:rPr>
              <w:t>¢/kWh</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RS</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.068</w:t>
            </w:r>
          </w:p>
        </w:tc>
      </w:tr>
      <w:tr w:rsidR="00511BAB" w:rsidRPr="00511BAB" w:rsidTr="00511BAB">
        <w:trPr>
          <w:trHeight w:val="439"/>
          <w:jc w:val="center"/>
        </w:trPr>
        <w:tc>
          <w:tcPr>
            <w:tcW w:w="3059" w:type="dxa"/>
            <w:vAlign w:val="bottom"/>
          </w:tcPr>
          <w:p w:rsidR="00511BAB" w:rsidRPr="00511BAB" w:rsidRDefault="00511BAB" w:rsidP="00511BAB">
            <w:pPr>
              <w:jc w:val="center"/>
            </w:pPr>
            <w:r w:rsidRPr="00511BAB">
              <w:t>RSVP, Tier 1</w:t>
            </w:r>
          </w:p>
        </w:tc>
        <w:tc>
          <w:tcPr>
            <w:tcW w:w="2518" w:type="dxa"/>
            <w:vAlign w:val="bottom"/>
          </w:tcPr>
          <w:p w:rsidR="00511BAB" w:rsidRPr="00511BAB" w:rsidRDefault="00511BAB" w:rsidP="00511BAB">
            <w:pPr>
              <w:jc w:val="center"/>
            </w:pPr>
            <w:r w:rsidRPr="00511BAB">
              <w:t>(3.000)</w:t>
            </w:r>
          </w:p>
        </w:tc>
      </w:tr>
      <w:tr w:rsidR="00511BAB" w:rsidRPr="00511BAB" w:rsidTr="00511BAB">
        <w:trPr>
          <w:trHeight w:val="439"/>
          <w:jc w:val="center"/>
        </w:trPr>
        <w:tc>
          <w:tcPr>
            <w:tcW w:w="3059" w:type="dxa"/>
            <w:vAlign w:val="bottom"/>
          </w:tcPr>
          <w:p w:rsidR="00511BAB" w:rsidRPr="00511BAB" w:rsidRDefault="00511BAB" w:rsidP="00511BAB">
            <w:pPr>
              <w:jc w:val="center"/>
            </w:pPr>
            <w:r w:rsidRPr="00511BAB">
              <w:t>RSVP, Tier 2</w:t>
            </w:r>
          </w:p>
        </w:tc>
        <w:tc>
          <w:tcPr>
            <w:tcW w:w="2518" w:type="dxa"/>
            <w:vAlign w:val="bottom"/>
          </w:tcPr>
          <w:p w:rsidR="00511BAB" w:rsidRPr="00511BAB" w:rsidRDefault="00511BAB" w:rsidP="00511BAB">
            <w:pPr>
              <w:jc w:val="center"/>
            </w:pPr>
            <w:r w:rsidRPr="00511BAB">
              <w:t>(1.672)</w:t>
            </w:r>
          </w:p>
        </w:tc>
      </w:tr>
      <w:tr w:rsidR="00511BAB" w:rsidRPr="00511BAB" w:rsidTr="00511BAB">
        <w:trPr>
          <w:trHeight w:val="439"/>
          <w:jc w:val="center"/>
        </w:trPr>
        <w:tc>
          <w:tcPr>
            <w:tcW w:w="3059" w:type="dxa"/>
            <w:vAlign w:val="bottom"/>
          </w:tcPr>
          <w:p w:rsidR="00511BAB" w:rsidRPr="00511BAB" w:rsidRDefault="00511BAB" w:rsidP="00511BAB">
            <w:pPr>
              <w:jc w:val="center"/>
            </w:pPr>
            <w:r w:rsidRPr="00511BAB">
              <w:t>RSVP, Tier 3</w:t>
            </w:r>
          </w:p>
        </w:tc>
        <w:tc>
          <w:tcPr>
            <w:tcW w:w="2518" w:type="dxa"/>
            <w:vAlign w:val="bottom"/>
          </w:tcPr>
          <w:p w:rsidR="00511BAB" w:rsidRPr="00511BAB" w:rsidRDefault="00511BAB" w:rsidP="00511BAB">
            <w:pPr>
              <w:jc w:val="center"/>
            </w:pPr>
            <w:r w:rsidRPr="00511BAB">
              <w:t>5.672</w:t>
            </w:r>
          </w:p>
        </w:tc>
      </w:tr>
      <w:tr w:rsidR="00511BAB" w:rsidRPr="00511BAB" w:rsidTr="00511BAB">
        <w:trPr>
          <w:trHeight w:val="439"/>
          <w:jc w:val="center"/>
        </w:trPr>
        <w:tc>
          <w:tcPr>
            <w:tcW w:w="3059" w:type="dxa"/>
            <w:vAlign w:val="bottom"/>
          </w:tcPr>
          <w:p w:rsidR="00511BAB" w:rsidRPr="00511BAB" w:rsidRDefault="00511BAB" w:rsidP="00511BAB">
            <w:pPr>
              <w:jc w:val="center"/>
            </w:pPr>
            <w:r w:rsidRPr="00511BAB">
              <w:t>RSVP, Tier 4</w:t>
            </w:r>
          </w:p>
        </w:tc>
        <w:tc>
          <w:tcPr>
            <w:tcW w:w="2518" w:type="dxa"/>
            <w:vAlign w:val="bottom"/>
          </w:tcPr>
          <w:p w:rsidR="00511BAB" w:rsidRPr="00511BAB" w:rsidRDefault="00511BAB" w:rsidP="00511BAB">
            <w:pPr>
              <w:jc w:val="center"/>
            </w:pPr>
            <w:r w:rsidRPr="00511BAB">
              <w:t>56.374</w:t>
            </w:r>
          </w:p>
        </w:tc>
      </w:tr>
      <w:tr w:rsidR="00511BAB" w:rsidRPr="00511BAB" w:rsidTr="00511BAB">
        <w:trPr>
          <w:trHeight w:val="375"/>
          <w:jc w:val="center"/>
        </w:trPr>
        <w:tc>
          <w:tcPr>
            <w:tcW w:w="3059" w:type="dxa"/>
          </w:tcPr>
          <w:p w:rsidR="00511BAB" w:rsidRPr="00511BAB" w:rsidRDefault="00511BAB" w:rsidP="00511BAB">
            <w:pPr>
              <w:spacing w:before="240"/>
              <w:jc w:val="center"/>
            </w:pPr>
            <w:r w:rsidRPr="00511BAB">
              <w:t>RSTOU On-peak</w:t>
            </w:r>
          </w:p>
        </w:tc>
        <w:tc>
          <w:tcPr>
            <w:tcW w:w="2518" w:type="dxa"/>
          </w:tcPr>
          <w:p w:rsidR="00511BAB" w:rsidRPr="00511BAB" w:rsidRDefault="00511BAB" w:rsidP="00511BAB">
            <w:pPr>
              <w:spacing w:before="240"/>
              <w:jc w:val="center"/>
            </w:pPr>
            <w:r w:rsidRPr="00511BAB">
              <w:t>17.000</w:t>
            </w:r>
          </w:p>
        </w:tc>
      </w:tr>
      <w:tr w:rsidR="00511BAB" w:rsidRPr="00511BAB" w:rsidTr="00511BAB">
        <w:trPr>
          <w:trHeight w:val="375"/>
          <w:jc w:val="center"/>
        </w:trPr>
        <w:tc>
          <w:tcPr>
            <w:tcW w:w="3059" w:type="dxa"/>
          </w:tcPr>
          <w:p w:rsidR="00511BAB" w:rsidRPr="00511BAB" w:rsidRDefault="00511BAB" w:rsidP="00511BAB">
            <w:pPr>
              <w:spacing w:before="240"/>
              <w:jc w:val="center"/>
            </w:pPr>
            <w:r w:rsidRPr="00511BAB">
              <w:t>RSTOU Off-peak</w:t>
            </w:r>
          </w:p>
        </w:tc>
        <w:tc>
          <w:tcPr>
            <w:tcW w:w="2518" w:type="dxa"/>
          </w:tcPr>
          <w:p w:rsidR="00511BAB" w:rsidRPr="00511BAB" w:rsidRDefault="00511BAB" w:rsidP="00511BAB">
            <w:pPr>
              <w:spacing w:before="240"/>
              <w:jc w:val="center"/>
            </w:pPr>
            <w:r w:rsidRPr="00511BAB">
              <w:t>(3.096)</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GS</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.065</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GSD, GSDT, GSTOU</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.062</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LP, LPT</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.059</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PX, PXT, RTP, SBS</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.057</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OSI, OSII</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.046</w:t>
            </w:r>
          </w:p>
        </w:tc>
      </w:tr>
      <w:tr w:rsidR="00511BAB" w:rsidRPr="00511BAB" w:rsidTr="00511BAB">
        <w:trPr>
          <w:trHeight w:val="439"/>
          <w:jc w:val="center"/>
        </w:trPr>
        <w:tc>
          <w:tcPr>
            <w:tcW w:w="3059" w:type="dxa"/>
          </w:tcPr>
          <w:p w:rsidR="00511BAB" w:rsidRPr="00511BAB" w:rsidRDefault="00511BAB" w:rsidP="00511BAB">
            <w:pPr>
              <w:spacing w:line="163" w:lineRule="exact"/>
            </w:pPr>
          </w:p>
          <w:p w:rsidR="00511BAB" w:rsidRPr="00511BAB" w:rsidRDefault="00511BAB" w:rsidP="00511BAB">
            <w:pPr>
              <w:jc w:val="center"/>
            </w:pPr>
            <w:r w:rsidRPr="00511BAB">
              <w:t>OSIII</w:t>
            </w:r>
          </w:p>
        </w:tc>
        <w:tc>
          <w:tcPr>
            <w:tcW w:w="2518" w:type="dxa"/>
          </w:tcPr>
          <w:p w:rsidR="00511BAB" w:rsidRPr="00511BAB" w:rsidRDefault="00511BAB" w:rsidP="00511BAB">
            <w:pPr>
              <w:spacing w:line="163" w:lineRule="exact"/>
            </w:pPr>
          </w:p>
          <w:p w:rsidR="00511BAB" w:rsidRPr="00511BAB" w:rsidRDefault="00511BAB" w:rsidP="00511BAB">
            <w:pPr>
              <w:jc w:val="center"/>
            </w:pPr>
            <w:r w:rsidRPr="00511BAB">
              <w:t>.058</w:t>
            </w:r>
          </w:p>
        </w:tc>
      </w:tr>
    </w:tbl>
    <w:p w:rsidR="00C54164" w:rsidRPr="00511BAB" w:rsidRDefault="00C54164" w:rsidP="00C54164">
      <w:pPr>
        <w:jc w:val="both"/>
      </w:pPr>
    </w:p>
    <w:p w:rsidR="00C54164" w:rsidRDefault="00C54164" w:rsidP="00C54164">
      <w:pPr>
        <w:jc w:val="both"/>
      </w:pPr>
    </w:p>
    <w:p w:rsidR="004D1345" w:rsidRPr="004D1345" w:rsidRDefault="00C54164" w:rsidP="004D1345">
      <w:pPr>
        <w:autoSpaceDE w:val="0"/>
        <w:autoSpaceDN w:val="0"/>
        <w:adjustRightInd w:val="0"/>
      </w:pPr>
      <w:r>
        <w:rPr>
          <w:b/>
          <w:bCs/>
          <w:u w:val="single"/>
        </w:rPr>
        <w:t>DEF:</w:t>
      </w:r>
      <w:r w:rsidRPr="00701945">
        <w:tab/>
      </w:r>
      <w:r w:rsidR="004D1345">
        <w:tab/>
      </w:r>
      <w:r w:rsidR="004D1345" w:rsidRPr="004D1345">
        <w:rPr>
          <w:bCs/>
          <w:u w:val="single"/>
        </w:rPr>
        <w:t>Customer Class</w:t>
      </w:r>
      <w:r w:rsidR="004D1345" w:rsidRPr="004D1345">
        <w:t xml:space="preserve"> </w:t>
      </w:r>
      <w:r w:rsidR="004D1345" w:rsidRPr="004D1345">
        <w:tab/>
      </w:r>
      <w:r w:rsidR="004D1345" w:rsidRPr="004D1345">
        <w:tab/>
      </w:r>
      <w:r w:rsidR="004D1345" w:rsidRPr="004D1345">
        <w:tab/>
      </w:r>
      <w:r w:rsidR="004D1345" w:rsidRPr="004D1345">
        <w:tab/>
      </w:r>
      <w:r w:rsidR="004D1345" w:rsidRPr="004D1345">
        <w:rPr>
          <w:u w:val="single"/>
        </w:rPr>
        <w:t>ECCR Factor</w:t>
      </w:r>
    </w:p>
    <w:p w:rsidR="004D1345" w:rsidRPr="004D1345" w:rsidRDefault="004D1345" w:rsidP="004D1345">
      <w:pPr>
        <w:autoSpaceDE w:val="0"/>
        <w:autoSpaceDN w:val="0"/>
        <w:adjustRightInd w:val="0"/>
      </w:pPr>
      <w:r w:rsidRPr="004D1345">
        <w:tab/>
      </w:r>
      <w:r w:rsidRPr="004D1345">
        <w:tab/>
        <w:t xml:space="preserve">Residential </w:t>
      </w:r>
      <w:r w:rsidRPr="004D1345">
        <w:tab/>
      </w:r>
      <w:r w:rsidRPr="004D1345">
        <w:tab/>
      </w:r>
      <w:r w:rsidRPr="004D1345">
        <w:tab/>
      </w:r>
      <w:r w:rsidRPr="004D1345">
        <w:tab/>
      </w:r>
      <w:r w:rsidRPr="004D1345">
        <w:tab/>
        <w:t>0.325 cents/kWh</w:t>
      </w:r>
    </w:p>
    <w:p w:rsidR="004D1345" w:rsidRPr="004D1345" w:rsidRDefault="004D1345" w:rsidP="004D1345">
      <w:pPr>
        <w:autoSpaceDE w:val="0"/>
        <w:autoSpaceDN w:val="0"/>
        <w:adjustRightInd w:val="0"/>
      </w:pPr>
      <w:r w:rsidRPr="004D1345">
        <w:tab/>
      </w:r>
      <w:r w:rsidRPr="004D1345">
        <w:tab/>
        <w:t xml:space="preserve">General Service Non-Demand </w:t>
      </w:r>
      <w:r w:rsidRPr="004D1345">
        <w:tab/>
      </w:r>
      <w:r w:rsidRPr="004D1345">
        <w:tab/>
        <w:t>0.268 cents/kWh</w:t>
      </w:r>
    </w:p>
    <w:p w:rsidR="004D1345" w:rsidRPr="004D1345" w:rsidRDefault="004D1345" w:rsidP="004D1345">
      <w:pPr>
        <w:autoSpaceDE w:val="0"/>
        <w:autoSpaceDN w:val="0"/>
        <w:adjustRightInd w:val="0"/>
      </w:pPr>
      <w:r w:rsidRPr="004D1345">
        <w:rPr>
          <w:rFonts w:ascii="Arial" w:hAnsi="Arial" w:cs="Arial"/>
          <w:sz w:val="23"/>
          <w:szCs w:val="23"/>
        </w:rPr>
        <w:tab/>
      </w:r>
      <w:r w:rsidRPr="004D1345">
        <w:rPr>
          <w:rFonts w:ascii="Arial" w:hAnsi="Arial" w:cs="Arial"/>
          <w:sz w:val="23"/>
          <w:szCs w:val="23"/>
        </w:rPr>
        <w:tab/>
        <w:t xml:space="preserve">   @ </w:t>
      </w:r>
      <w:r w:rsidRPr="004D1345">
        <w:t xml:space="preserve">Primary Voltage </w:t>
      </w:r>
      <w:r w:rsidRPr="004D1345">
        <w:tab/>
      </w:r>
      <w:r w:rsidRPr="004D1345">
        <w:tab/>
      </w:r>
      <w:r w:rsidRPr="004D1345">
        <w:tab/>
      </w:r>
      <w:r w:rsidRPr="004D1345">
        <w:tab/>
        <w:t>0.265 cents/kWh</w:t>
      </w:r>
    </w:p>
    <w:p w:rsidR="004D1345" w:rsidRPr="004D1345" w:rsidRDefault="004D1345" w:rsidP="004D1345">
      <w:pPr>
        <w:ind w:left="1440" w:hanging="1440"/>
        <w:jc w:val="both"/>
      </w:pPr>
      <w:r w:rsidRPr="004D1345">
        <w:rPr>
          <w:rFonts w:ascii="Arial" w:hAnsi="Arial" w:cs="Arial"/>
          <w:sz w:val="21"/>
          <w:szCs w:val="21"/>
        </w:rPr>
        <w:tab/>
        <w:t xml:space="preserve">   @ </w:t>
      </w:r>
      <w:r w:rsidRPr="004D1345">
        <w:t xml:space="preserve">Transmission Voltage </w:t>
      </w:r>
      <w:r w:rsidRPr="004D1345">
        <w:tab/>
      </w:r>
      <w:r w:rsidRPr="004D1345">
        <w:tab/>
      </w:r>
      <w:r w:rsidRPr="004D1345">
        <w:tab/>
        <w:t>0.263 cents/kWh</w:t>
      </w:r>
    </w:p>
    <w:p w:rsidR="004D1345" w:rsidRPr="004D1345" w:rsidRDefault="004D1345" w:rsidP="004D1345">
      <w:pPr>
        <w:autoSpaceDE w:val="0"/>
        <w:autoSpaceDN w:val="0"/>
        <w:adjustRightInd w:val="0"/>
      </w:pPr>
      <w:r w:rsidRPr="004D1345">
        <w:tab/>
      </w:r>
      <w:r w:rsidRPr="004D1345">
        <w:tab/>
        <w:t>General Service 100% Load Factor</w:t>
      </w:r>
      <w:r w:rsidRPr="004D1345">
        <w:tab/>
      </w:r>
      <w:r w:rsidRPr="004D1345">
        <w:tab/>
        <w:t>0.210 cents/kWh</w:t>
      </w:r>
    </w:p>
    <w:p w:rsidR="004D1345" w:rsidRPr="004D1345" w:rsidRDefault="004D1345" w:rsidP="004D1345">
      <w:pPr>
        <w:autoSpaceDE w:val="0"/>
        <w:autoSpaceDN w:val="0"/>
        <w:adjustRightInd w:val="0"/>
      </w:pPr>
      <w:r w:rsidRPr="004D1345">
        <w:tab/>
      </w:r>
      <w:r w:rsidRPr="004D1345">
        <w:tab/>
        <w:t>General Service Demand</w:t>
      </w:r>
      <w:r w:rsidRPr="004D1345">
        <w:tab/>
      </w:r>
      <w:r w:rsidRPr="004D1345">
        <w:tab/>
      </w:r>
      <w:r w:rsidRPr="004D1345">
        <w:tab/>
        <w:t>0.98 $/kW</w:t>
      </w:r>
      <w:r w:rsidRPr="004D1345">
        <w:tab/>
      </w:r>
    </w:p>
    <w:p w:rsidR="004D1345" w:rsidRPr="004D1345" w:rsidRDefault="004D1345" w:rsidP="004D1345">
      <w:pPr>
        <w:autoSpaceDE w:val="0"/>
        <w:autoSpaceDN w:val="0"/>
        <w:adjustRightInd w:val="0"/>
      </w:pPr>
      <w:r w:rsidRPr="004D1345">
        <w:rPr>
          <w:rFonts w:ascii="Arial" w:hAnsi="Arial" w:cs="Arial"/>
          <w:sz w:val="23"/>
          <w:szCs w:val="23"/>
        </w:rPr>
        <w:tab/>
      </w:r>
      <w:r w:rsidRPr="004D1345">
        <w:rPr>
          <w:rFonts w:ascii="Arial" w:hAnsi="Arial" w:cs="Arial"/>
          <w:sz w:val="23"/>
          <w:szCs w:val="23"/>
        </w:rPr>
        <w:tab/>
        <w:t xml:space="preserve">   @ </w:t>
      </w:r>
      <w:r w:rsidRPr="004D1345">
        <w:t>Primary Voltage</w:t>
      </w:r>
      <w:r w:rsidRPr="004D1345">
        <w:tab/>
      </w:r>
      <w:r w:rsidRPr="004D1345">
        <w:tab/>
      </w:r>
      <w:r w:rsidRPr="004D1345">
        <w:tab/>
      </w:r>
      <w:r w:rsidRPr="004D1345">
        <w:tab/>
        <w:t>0.97 $/kW</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0.96 $/kW</w:t>
      </w:r>
    </w:p>
    <w:p w:rsidR="004D1345" w:rsidRPr="004D1345" w:rsidRDefault="004D1345" w:rsidP="004D1345">
      <w:pPr>
        <w:autoSpaceDE w:val="0"/>
        <w:autoSpaceDN w:val="0"/>
        <w:adjustRightInd w:val="0"/>
      </w:pPr>
      <w:r w:rsidRPr="004D1345">
        <w:tab/>
      </w:r>
      <w:r w:rsidRPr="004D1345">
        <w:tab/>
        <w:t>Curtailable</w:t>
      </w:r>
      <w:r w:rsidRPr="004D1345">
        <w:tab/>
      </w:r>
      <w:r w:rsidRPr="004D1345">
        <w:tab/>
      </w:r>
      <w:r w:rsidRPr="004D1345">
        <w:tab/>
      </w:r>
      <w:r w:rsidRPr="004D1345">
        <w:tab/>
      </w:r>
      <w:r w:rsidRPr="004D1345">
        <w:tab/>
        <w:t>0.67 $/kW</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0.66 $/kW</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 xml:space="preserve">0.66 $/kW </w:t>
      </w:r>
    </w:p>
    <w:p w:rsidR="004D1345" w:rsidRPr="004D1345" w:rsidRDefault="004D1345" w:rsidP="004D1345">
      <w:pPr>
        <w:autoSpaceDE w:val="0"/>
        <w:autoSpaceDN w:val="0"/>
        <w:adjustRightInd w:val="0"/>
      </w:pPr>
      <w:r w:rsidRPr="004D1345">
        <w:lastRenderedPageBreak/>
        <w:tab/>
      </w:r>
      <w:r w:rsidRPr="004D1345">
        <w:tab/>
        <w:t>Interruptible</w:t>
      </w:r>
      <w:r w:rsidRPr="004D1345">
        <w:tab/>
      </w:r>
      <w:r w:rsidRPr="004D1345">
        <w:tab/>
      </w:r>
      <w:r w:rsidRPr="004D1345">
        <w:tab/>
      </w:r>
      <w:r w:rsidRPr="004D1345">
        <w:tab/>
      </w:r>
      <w:r w:rsidRPr="004D1345">
        <w:tab/>
        <w:t xml:space="preserve">0.84 $/kW </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0.83 $/kW</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 xml:space="preserve">0.82 $/kW </w:t>
      </w:r>
    </w:p>
    <w:p w:rsidR="004D1345" w:rsidRPr="004D1345" w:rsidRDefault="004D1345" w:rsidP="004D1345">
      <w:pPr>
        <w:autoSpaceDE w:val="0"/>
        <w:autoSpaceDN w:val="0"/>
        <w:adjustRightInd w:val="0"/>
      </w:pPr>
      <w:r w:rsidRPr="004D1345">
        <w:tab/>
      </w:r>
      <w:r w:rsidRPr="004D1345">
        <w:tab/>
        <w:t>Standby Monthly</w:t>
      </w:r>
      <w:r w:rsidRPr="004D1345">
        <w:tab/>
      </w:r>
      <w:r w:rsidRPr="004D1345">
        <w:tab/>
      </w:r>
      <w:r w:rsidRPr="004D1345">
        <w:tab/>
      </w:r>
      <w:r w:rsidRPr="004D1345">
        <w:tab/>
        <w:t>0.096 $/kW</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0.095 $/kW</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0.094 $/kW</w:t>
      </w:r>
    </w:p>
    <w:p w:rsidR="004D1345" w:rsidRPr="004D1345" w:rsidRDefault="004D1345" w:rsidP="004D1345">
      <w:pPr>
        <w:autoSpaceDE w:val="0"/>
        <w:autoSpaceDN w:val="0"/>
        <w:adjustRightInd w:val="0"/>
      </w:pPr>
      <w:r w:rsidRPr="004D1345">
        <w:tab/>
      </w:r>
      <w:r w:rsidRPr="004D1345">
        <w:tab/>
        <w:t>Standby Daily</w:t>
      </w:r>
      <w:r w:rsidRPr="004D1345">
        <w:tab/>
      </w:r>
      <w:r w:rsidRPr="004D1345">
        <w:tab/>
      </w:r>
      <w:r w:rsidRPr="004D1345">
        <w:tab/>
      </w:r>
      <w:r w:rsidRPr="004D1345">
        <w:tab/>
      </w:r>
      <w:r w:rsidRPr="004D1345">
        <w:tab/>
        <w:t xml:space="preserve">0.046 $/kW </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Primary Voltage</w:t>
      </w:r>
      <w:r w:rsidRPr="004D1345">
        <w:tab/>
      </w:r>
      <w:r w:rsidRPr="004D1345">
        <w:tab/>
      </w:r>
      <w:r w:rsidRPr="004D1345">
        <w:tab/>
      </w:r>
      <w:r w:rsidRPr="004D1345">
        <w:tab/>
        <w:t xml:space="preserve">0.046 $/kW </w:t>
      </w:r>
    </w:p>
    <w:p w:rsidR="004D1345" w:rsidRPr="004D1345" w:rsidRDefault="004D1345" w:rsidP="004D1345">
      <w:pPr>
        <w:autoSpaceDE w:val="0"/>
        <w:autoSpaceDN w:val="0"/>
        <w:adjustRightInd w:val="0"/>
      </w:pPr>
      <w:r w:rsidRPr="004D1345">
        <w:rPr>
          <w:rFonts w:ascii="Arial" w:hAnsi="Arial" w:cs="Arial"/>
        </w:rPr>
        <w:tab/>
      </w:r>
      <w:r w:rsidRPr="004D1345">
        <w:rPr>
          <w:rFonts w:ascii="Arial" w:hAnsi="Arial" w:cs="Arial"/>
        </w:rPr>
        <w:tab/>
        <w:t xml:space="preserve">   @ </w:t>
      </w:r>
      <w:r w:rsidRPr="004D1345">
        <w:t>Transmission Voltage</w:t>
      </w:r>
      <w:r w:rsidRPr="004D1345">
        <w:tab/>
      </w:r>
      <w:r w:rsidRPr="004D1345">
        <w:tab/>
      </w:r>
      <w:r w:rsidRPr="004D1345">
        <w:tab/>
        <w:t xml:space="preserve">0.045 $/kW </w:t>
      </w:r>
    </w:p>
    <w:p w:rsidR="004D1345" w:rsidRPr="004D1345" w:rsidRDefault="004D1345" w:rsidP="004D1345">
      <w:pPr>
        <w:autoSpaceDE w:val="0"/>
        <w:autoSpaceDN w:val="0"/>
        <w:adjustRightInd w:val="0"/>
      </w:pPr>
      <w:r w:rsidRPr="004D1345">
        <w:tab/>
      </w:r>
      <w:r w:rsidRPr="004D1345">
        <w:tab/>
        <w:t>Lighting</w:t>
      </w:r>
      <w:r w:rsidRPr="004D1345">
        <w:tab/>
      </w:r>
      <w:r w:rsidRPr="004D1345">
        <w:tab/>
      </w:r>
      <w:r w:rsidRPr="004D1345">
        <w:tab/>
      </w:r>
      <w:r w:rsidRPr="004D1345">
        <w:tab/>
      </w:r>
      <w:r w:rsidRPr="004D1345">
        <w:tab/>
        <w:t>0.108 cents/kWh</w:t>
      </w:r>
    </w:p>
    <w:p w:rsidR="004D1345" w:rsidRPr="004D1345" w:rsidRDefault="004D1345" w:rsidP="004D1345">
      <w:pPr>
        <w:ind w:left="1440" w:hanging="1440"/>
        <w:jc w:val="both"/>
      </w:pPr>
      <w:r w:rsidRPr="004D1345">
        <w:rPr>
          <w:bCs/>
        </w:rPr>
        <w:tab/>
      </w:r>
      <w:r w:rsidRPr="004D1345">
        <w:rPr>
          <w:bCs/>
        </w:rPr>
        <w:tab/>
      </w:r>
      <w:r w:rsidRPr="004D1345">
        <w:rPr>
          <w:bCs/>
        </w:rPr>
        <w:tab/>
      </w:r>
      <w:r w:rsidRPr="004D1345">
        <w:rPr>
          <w:bCs/>
        </w:rPr>
        <w:tab/>
      </w:r>
      <w:r w:rsidRPr="004D1345">
        <w:rPr>
          <w:bCs/>
        </w:rPr>
        <w:tab/>
      </w:r>
      <w:r w:rsidRPr="004D1345">
        <w:rPr>
          <w:bCs/>
        </w:rPr>
        <w:tab/>
      </w:r>
      <w:r w:rsidRPr="004D1345">
        <w:rPr>
          <w:bCs/>
        </w:rPr>
        <w:tab/>
      </w:r>
      <w:r w:rsidRPr="004D1345">
        <w:rPr>
          <w:bCs/>
        </w:rPr>
        <w:tab/>
      </w:r>
      <w:r w:rsidRPr="004D1345">
        <w:rPr>
          <w:bCs/>
        </w:rPr>
        <w:tab/>
        <w:t xml:space="preserve"> </w:t>
      </w:r>
    </w:p>
    <w:p w:rsidR="00C54164" w:rsidRPr="00701945" w:rsidRDefault="00C54164" w:rsidP="00C54164">
      <w:pPr>
        <w:jc w:val="both"/>
      </w:pPr>
    </w:p>
    <w:p w:rsidR="00C54164" w:rsidRDefault="00C54164" w:rsidP="00C54164">
      <w:pPr>
        <w:jc w:val="both"/>
      </w:pPr>
    </w:p>
    <w:p w:rsidR="00A87B4D" w:rsidRPr="00A87B4D" w:rsidRDefault="00C54164" w:rsidP="00A87B4D">
      <w:pPr>
        <w:pStyle w:val="QuickA"/>
        <w:tabs>
          <w:tab w:val="center" w:pos="6660"/>
          <w:tab w:val="left" w:pos="9360"/>
        </w:tabs>
        <w:ind w:left="0"/>
        <w:jc w:val="both"/>
        <w:rPr>
          <w:b/>
        </w:rPr>
      </w:pPr>
      <w:r>
        <w:rPr>
          <w:b/>
          <w:bCs/>
          <w:u w:val="single"/>
        </w:rPr>
        <w:t>TECO:</w:t>
      </w:r>
      <w:r w:rsidR="00A87B4D">
        <w:rPr>
          <w:bCs/>
        </w:rPr>
        <w:tab/>
      </w:r>
      <w:r w:rsidR="00A87B4D" w:rsidRPr="00A87B4D">
        <w:rPr>
          <w:b/>
        </w:rPr>
        <w:t>Cost Recovery Factors</w:t>
      </w:r>
    </w:p>
    <w:p w:rsidR="00A87B4D" w:rsidRPr="00A87B4D" w:rsidRDefault="00A87B4D" w:rsidP="00A87B4D">
      <w:pPr>
        <w:widowControl w:val="0"/>
        <w:tabs>
          <w:tab w:val="center" w:pos="6660"/>
          <w:tab w:val="center" w:pos="7560"/>
          <w:tab w:val="left" w:pos="9360"/>
        </w:tabs>
        <w:ind w:left="1440"/>
        <w:jc w:val="both"/>
        <w:rPr>
          <w:b/>
          <w:snapToGrid w:val="0"/>
          <w:szCs w:val="20"/>
        </w:rPr>
      </w:pPr>
      <w:r w:rsidRPr="00A87B4D">
        <w:rPr>
          <w:b/>
          <w:snapToGrid w:val="0"/>
          <w:szCs w:val="20"/>
          <w:u w:val="single"/>
        </w:rPr>
        <w:t>Rate Schedule</w:t>
      </w:r>
      <w:r w:rsidRPr="00A87B4D">
        <w:rPr>
          <w:b/>
          <w:snapToGrid w:val="0"/>
          <w:szCs w:val="20"/>
        </w:rPr>
        <w:tab/>
      </w:r>
      <w:r w:rsidRPr="00A87B4D">
        <w:rPr>
          <w:b/>
          <w:snapToGrid w:val="0"/>
          <w:szCs w:val="20"/>
          <w:u w:val="single"/>
        </w:rPr>
        <w:t>(cents per kWh)</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RS</w:t>
      </w:r>
      <w:r w:rsidRPr="00A87B4D">
        <w:rPr>
          <w:snapToGrid w:val="0"/>
          <w:szCs w:val="20"/>
        </w:rPr>
        <w:tab/>
        <w:t>0.191</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 and TS</w:t>
      </w:r>
      <w:r w:rsidRPr="00A87B4D">
        <w:rPr>
          <w:snapToGrid w:val="0"/>
          <w:szCs w:val="20"/>
        </w:rPr>
        <w:tab/>
        <w:t>0.182</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GSD Optional – Secondary</w:t>
      </w:r>
      <w:r w:rsidRPr="00A87B4D">
        <w:rPr>
          <w:snapToGrid w:val="0"/>
          <w:szCs w:val="20"/>
        </w:rPr>
        <w:tab/>
        <w:t>0.150</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GSD Optional – Primary</w:t>
      </w:r>
      <w:r w:rsidRPr="00A87B4D">
        <w:rPr>
          <w:snapToGrid w:val="0"/>
          <w:szCs w:val="20"/>
        </w:rPr>
        <w:tab/>
        <w:t>0.149</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GSD Optional – Subtransmission</w:t>
      </w:r>
      <w:r w:rsidRPr="00A87B4D">
        <w:rPr>
          <w:snapToGrid w:val="0"/>
          <w:szCs w:val="20"/>
        </w:rPr>
        <w:tab/>
        <w:t>0.147</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LS1</w:t>
      </w:r>
      <w:r w:rsidRPr="00A87B4D">
        <w:rPr>
          <w:snapToGrid w:val="0"/>
          <w:szCs w:val="20"/>
        </w:rPr>
        <w:tab/>
        <w:t>0.073</w:t>
      </w:r>
    </w:p>
    <w:p w:rsidR="00A87B4D" w:rsidRPr="00A87B4D" w:rsidRDefault="00A87B4D" w:rsidP="00A87B4D">
      <w:pPr>
        <w:widowControl w:val="0"/>
        <w:tabs>
          <w:tab w:val="center" w:pos="6660"/>
          <w:tab w:val="center" w:pos="7920"/>
          <w:tab w:val="left" w:pos="9360"/>
        </w:tabs>
        <w:ind w:left="1440"/>
        <w:jc w:val="both"/>
        <w:rPr>
          <w:b/>
          <w:snapToGrid w:val="0"/>
          <w:szCs w:val="20"/>
        </w:rPr>
      </w:pPr>
      <w:r w:rsidRPr="00A87B4D">
        <w:rPr>
          <w:snapToGrid w:val="0"/>
          <w:spacing w:val="-3"/>
          <w:szCs w:val="20"/>
        </w:rPr>
        <w:tab/>
      </w:r>
      <w:r w:rsidRPr="00A87B4D">
        <w:rPr>
          <w:b/>
          <w:snapToGrid w:val="0"/>
          <w:szCs w:val="20"/>
        </w:rPr>
        <w:t>Cost Recovery Factors</w:t>
      </w:r>
    </w:p>
    <w:p w:rsidR="00A87B4D" w:rsidRPr="00A87B4D" w:rsidRDefault="00A87B4D" w:rsidP="00A87B4D">
      <w:pPr>
        <w:widowControl w:val="0"/>
        <w:tabs>
          <w:tab w:val="center" w:pos="6660"/>
          <w:tab w:val="center" w:pos="7560"/>
          <w:tab w:val="left" w:pos="9360"/>
        </w:tabs>
        <w:ind w:left="1440"/>
        <w:jc w:val="both"/>
        <w:rPr>
          <w:b/>
          <w:snapToGrid w:val="0"/>
          <w:szCs w:val="20"/>
        </w:rPr>
      </w:pPr>
      <w:r w:rsidRPr="00A87B4D">
        <w:rPr>
          <w:b/>
          <w:snapToGrid w:val="0"/>
          <w:szCs w:val="20"/>
          <w:u w:val="single"/>
        </w:rPr>
        <w:t>Rate Schedule</w:t>
      </w:r>
      <w:r w:rsidRPr="00A87B4D">
        <w:rPr>
          <w:b/>
          <w:snapToGrid w:val="0"/>
          <w:szCs w:val="20"/>
        </w:rPr>
        <w:tab/>
      </w:r>
      <w:r w:rsidRPr="00A87B4D">
        <w:rPr>
          <w:b/>
          <w:snapToGrid w:val="0"/>
          <w:szCs w:val="20"/>
          <w:u w:val="single"/>
        </w:rPr>
        <w:t>(dollars per kW)</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GSD – Secondary</w:t>
      </w:r>
      <w:r w:rsidRPr="00A87B4D">
        <w:rPr>
          <w:snapToGrid w:val="0"/>
          <w:szCs w:val="20"/>
        </w:rPr>
        <w:tab/>
        <w:t>0.65</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GSD – Primary</w:t>
      </w:r>
      <w:r w:rsidRPr="00A87B4D">
        <w:rPr>
          <w:snapToGrid w:val="0"/>
          <w:szCs w:val="20"/>
        </w:rPr>
        <w:tab/>
        <w:t>0.64</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GSD – Subtransmission</w:t>
      </w:r>
      <w:r w:rsidRPr="00A87B4D">
        <w:rPr>
          <w:snapToGrid w:val="0"/>
          <w:szCs w:val="20"/>
        </w:rPr>
        <w:tab/>
        <w:t>0.63</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SBF – Secondary</w:t>
      </w:r>
      <w:r w:rsidRPr="00A87B4D">
        <w:rPr>
          <w:snapToGrid w:val="0"/>
          <w:szCs w:val="20"/>
        </w:rPr>
        <w:tab/>
        <w:t>0.65</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SBF – Primary</w:t>
      </w:r>
      <w:r w:rsidRPr="00A87B4D">
        <w:rPr>
          <w:snapToGrid w:val="0"/>
          <w:szCs w:val="20"/>
        </w:rPr>
        <w:tab/>
        <w:t>0.64</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SBF – Subtransmission</w:t>
      </w:r>
      <w:r w:rsidRPr="00A87B4D">
        <w:rPr>
          <w:snapToGrid w:val="0"/>
          <w:szCs w:val="20"/>
        </w:rPr>
        <w:tab/>
        <w:t>0.63</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 xml:space="preserve">IS - Secondary </w:t>
      </w:r>
      <w:r w:rsidRPr="00A87B4D">
        <w:rPr>
          <w:snapToGrid w:val="0"/>
          <w:szCs w:val="20"/>
        </w:rPr>
        <w:tab/>
        <w:t>0.53</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 xml:space="preserve">IS - Primary </w:t>
      </w:r>
      <w:r w:rsidRPr="00A87B4D">
        <w:rPr>
          <w:snapToGrid w:val="0"/>
          <w:szCs w:val="20"/>
        </w:rPr>
        <w:tab/>
        <w:t>0.53</w:t>
      </w:r>
    </w:p>
    <w:p w:rsidR="00A87B4D" w:rsidRPr="00A87B4D" w:rsidRDefault="00A87B4D" w:rsidP="00A87B4D">
      <w:pPr>
        <w:widowControl w:val="0"/>
        <w:tabs>
          <w:tab w:val="center" w:pos="6660"/>
          <w:tab w:val="decimal" w:pos="7380"/>
        </w:tabs>
        <w:ind w:left="1440"/>
        <w:jc w:val="both"/>
        <w:rPr>
          <w:snapToGrid w:val="0"/>
          <w:szCs w:val="20"/>
        </w:rPr>
      </w:pPr>
      <w:r w:rsidRPr="00A87B4D">
        <w:rPr>
          <w:snapToGrid w:val="0"/>
          <w:szCs w:val="20"/>
        </w:rPr>
        <w:t xml:space="preserve">IS - Subtransmission </w:t>
      </w:r>
      <w:r w:rsidRPr="00A87B4D">
        <w:rPr>
          <w:snapToGrid w:val="0"/>
          <w:szCs w:val="20"/>
        </w:rPr>
        <w:tab/>
        <w:t>0.52</w:t>
      </w:r>
    </w:p>
    <w:p w:rsidR="00A87B4D" w:rsidRPr="00A87B4D" w:rsidRDefault="00A87B4D" w:rsidP="00A87B4D">
      <w:pPr>
        <w:ind w:left="1440" w:hanging="1440"/>
        <w:jc w:val="both"/>
        <w:rPr>
          <w:spacing w:val="-3"/>
          <w:szCs w:val="20"/>
        </w:rPr>
      </w:pPr>
      <w:r w:rsidRPr="00A87B4D">
        <w:rPr>
          <w:spacing w:val="-3"/>
          <w:szCs w:val="20"/>
        </w:rPr>
        <w:tab/>
      </w:r>
    </w:p>
    <w:p w:rsidR="00A87B4D" w:rsidRPr="00A87B4D" w:rsidRDefault="00A87B4D" w:rsidP="00A87B4D">
      <w:pPr>
        <w:tabs>
          <w:tab w:val="left" w:pos="-720"/>
        </w:tabs>
        <w:suppressAutoHyphens/>
        <w:jc w:val="both"/>
        <w:rPr>
          <w:spacing w:val="-3"/>
          <w:szCs w:val="20"/>
        </w:rPr>
      </w:pPr>
      <w:r w:rsidRPr="00A87B4D">
        <w:rPr>
          <w:spacing w:val="-3"/>
          <w:szCs w:val="20"/>
        </w:rPr>
        <w:tab/>
      </w:r>
      <w:r w:rsidRPr="00A87B4D">
        <w:rPr>
          <w:spacing w:val="-3"/>
          <w:szCs w:val="20"/>
        </w:rPr>
        <w:tab/>
      </w:r>
    </w:p>
    <w:p w:rsidR="00C54164" w:rsidRPr="00A87B4D" w:rsidRDefault="00C54164" w:rsidP="00C54164">
      <w:pPr>
        <w:jc w:val="both"/>
      </w:pPr>
    </w:p>
    <w:p w:rsidR="00C54164" w:rsidRPr="00701945" w:rsidRDefault="00C54164" w:rsidP="00C54164">
      <w:pPr>
        <w:jc w:val="both"/>
      </w:pPr>
    </w:p>
    <w:p w:rsidR="00C54164" w:rsidRPr="00701945" w:rsidRDefault="00C54164" w:rsidP="002A76E2">
      <w:pPr>
        <w:ind w:left="1440" w:hanging="1440"/>
        <w:jc w:val="both"/>
      </w:pPr>
      <w:r>
        <w:rPr>
          <w:b/>
          <w:bCs/>
          <w:u w:val="single"/>
        </w:rPr>
        <w:t>OPC:</w:t>
      </w:r>
      <w:r w:rsidRPr="00701945">
        <w:tab/>
      </w:r>
      <w:r w:rsidR="002A76E2" w:rsidRPr="002A76E2">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C54164" w:rsidRDefault="00C54164" w:rsidP="00C54164">
      <w:pPr>
        <w:jc w:val="both"/>
      </w:pPr>
    </w:p>
    <w:p w:rsidR="00C54164" w:rsidRDefault="00C54164" w:rsidP="00C54164">
      <w:pPr>
        <w:jc w:val="both"/>
      </w:pPr>
      <w:r>
        <w:rPr>
          <w:b/>
          <w:bCs/>
          <w:u w:val="single"/>
        </w:rPr>
        <w:t>FIPUG:</w:t>
      </w:r>
      <w:r w:rsidR="002F2329">
        <w:rPr>
          <w:bCs/>
        </w:rPr>
        <w:tab/>
      </w:r>
      <w:r w:rsidR="002A76E2">
        <w:t>FIPUG takes no position on this issue.</w:t>
      </w:r>
    </w:p>
    <w:p w:rsidR="002A76E2" w:rsidRPr="00701945" w:rsidRDefault="002A76E2" w:rsidP="00C54164">
      <w:pPr>
        <w:jc w:val="both"/>
      </w:pPr>
    </w:p>
    <w:p w:rsidR="00C54164" w:rsidRPr="00701945" w:rsidRDefault="00C54164" w:rsidP="00C54164">
      <w:pPr>
        <w:jc w:val="both"/>
      </w:pPr>
      <w:r>
        <w:rPr>
          <w:b/>
          <w:bCs/>
          <w:u w:val="single"/>
        </w:rPr>
        <w:t>PCS:</w:t>
      </w:r>
      <w:r w:rsidRPr="00701945">
        <w:tab/>
      </w:r>
      <w:r w:rsidR="002F2329">
        <w:tab/>
      </w:r>
      <w:r w:rsidR="002F2329" w:rsidRPr="002F2329">
        <w:t>No position.</w:t>
      </w:r>
    </w:p>
    <w:p w:rsidR="00C54164" w:rsidRDefault="00C54164" w:rsidP="00FC1944">
      <w:pPr>
        <w:jc w:val="both"/>
      </w:pPr>
    </w:p>
    <w:p w:rsidR="0074229A" w:rsidRDefault="0074229A" w:rsidP="0074229A">
      <w:pPr>
        <w:jc w:val="both"/>
        <w:rPr>
          <w:b/>
          <w:bCs/>
          <w:u w:val="single"/>
        </w:rPr>
      </w:pPr>
      <w:r>
        <w:rPr>
          <w:b/>
          <w:bCs/>
          <w:u w:val="single"/>
        </w:rPr>
        <w:t>PROPOSED</w:t>
      </w:r>
    </w:p>
    <w:p w:rsidR="0074229A" w:rsidRPr="002A7FE1" w:rsidRDefault="0074229A" w:rsidP="0074229A">
      <w:pPr>
        <w:jc w:val="both"/>
        <w:rPr>
          <w:b/>
          <w:bCs/>
          <w:u w:val="single"/>
        </w:rPr>
      </w:pPr>
      <w:r>
        <w:rPr>
          <w:b/>
          <w:bCs/>
          <w:u w:val="single"/>
        </w:rPr>
        <w:t>STIPULATED</w:t>
      </w:r>
    </w:p>
    <w:p w:rsidR="00C54164" w:rsidRPr="00701945" w:rsidRDefault="00C54164" w:rsidP="00C54164">
      <w:pPr>
        <w:ind w:left="1440" w:hanging="1440"/>
        <w:jc w:val="both"/>
      </w:pPr>
      <w:r w:rsidRPr="00701945">
        <w:rPr>
          <w:b/>
          <w:bCs/>
          <w:u w:val="single"/>
        </w:rPr>
        <w:t xml:space="preserve">ISSUE </w:t>
      </w:r>
      <w:r>
        <w:rPr>
          <w:b/>
          <w:bCs/>
          <w:u w:val="single"/>
        </w:rPr>
        <w:t>4</w:t>
      </w:r>
      <w:r w:rsidRPr="00701945">
        <w:rPr>
          <w:b/>
          <w:bCs/>
        </w:rPr>
        <w:t>:</w:t>
      </w:r>
      <w:r w:rsidRPr="00701945">
        <w:tab/>
      </w:r>
      <w:r w:rsidRPr="00C54164">
        <w:rPr>
          <w:b/>
        </w:rPr>
        <w:t>What should be the effective date of the new conservation cost recovery factors for billing purposes?</w:t>
      </w:r>
    </w:p>
    <w:p w:rsidR="00C54164" w:rsidRPr="00701945" w:rsidRDefault="00C54164" w:rsidP="00C54164">
      <w:pPr>
        <w:jc w:val="both"/>
      </w:pPr>
    </w:p>
    <w:p w:rsidR="00C54164" w:rsidRPr="00F93802" w:rsidRDefault="00F93802" w:rsidP="00F93802">
      <w:pPr>
        <w:ind w:left="1440" w:hanging="1440"/>
        <w:jc w:val="both"/>
      </w:pPr>
      <w:r>
        <w:rPr>
          <w:bCs/>
        </w:rPr>
        <w:tab/>
      </w:r>
      <w:r w:rsidRPr="001B6EC9">
        <w:t>The factors should be effective beginning with the specified conservation cost recovery cycle and thereafter for the period January 2016 through December 2016.  Billing cycles may start before January 1, 2016 and the last cycle may be read after December 31, 2016, so that each customer is billed for twelve months regardless of when the adjustment factor became effective.  These charges should continue in effect until modified by subsequ</w:t>
      </w:r>
      <w:r w:rsidR="00A13ABA">
        <w:t xml:space="preserve">ent order of this Commission.  </w:t>
      </w:r>
    </w:p>
    <w:p w:rsidR="00C54164" w:rsidRPr="00701945" w:rsidRDefault="00C54164" w:rsidP="00C54164">
      <w:pPr>
        <w:jc w:val="both"/>
      </w:pPr>
    </w:p>
    <w:p w:rsidR="00C54164" w:rsidRDefault="00C54164" w:rsidP="00C54164">
      <w:pPr>
        <w:jc w:val="both"/>
      </w:pPr>
      <w:r>
        <w:rPr>
          <w:b/>
          <w:bCs/>
          <w:u w:val="single"/>
        </w:rPr>
        <w:t>OPC:</w:t>
      </w:r>
      <w:r w:rsidRPr="00701945">
        <w:tab/>
      </w:r>
      <w:r w:rsidR="002F2329">
        <w:tab/>
      </w:r>
      <w:r w:rsidR="0074229A">
        <w:t>No position.</w:t>
      </w:r>
    </w:p>
    <w:p w:rsidR="0074229A" w:rsidRDefault="0074229A" w:rsidP="00C54164">
      <w:pPr>
        <w:jc w:val="both"/>
      </w:pPr>
    </w:p>
    <w:p w:rsidR="00C54164" w:rsidRPr="002F2329" w:rsidRDefault="00C54164" w:rsidP="00C54164">
      <w:pPr>
        <w:jc w:val="both"/>
      </w:pPr>
      <w:r>
        <w:rPr>
          <w:b/>
          <w:bCs/>
          <w:u w:val="single"/>
        </w:rPr>
        <w:t>FIPUG:</w:t>
      </w:r>
      <w:r w:rsidR="002F2329">
        <w:rPr>
          <w:bCs/>
        </w:rPr>
        <w:tab/>
      </w:r>
      <w:r w:rsidR="0074229A">
        <w:t>FIPUG takes no position on this issue.</w:t>
      </w:r>
    </w:p>
    <w:p w:rsidR="00C54164" w:rsidRPr="00701945" w:rsidRDefault="00C54164" w:rsidP="00C54164">
      <w:pPr>
        <w:jc w:val="both"/>
      </w:pPr>
    </w:p>
    <w:p w:rsidR="00C54164" w:rsidRPr="00701945" w:rsidRDefault="00C54164" w:rsidP="00C54164">
      <w:pPr>
        <w:jc w:val="both"/>
      </w:pPr>
      <w:r>
        <w:rPr>
          <w:b/>
          <w:bCs/>
          <w:u w:val="single"/>
        </w:rPr>
        <w:t>PCS:</w:t>
      </w:r>
      <w:r w:rsidRPr="00701945">
        <w:tab/>
      </w:r>
      <w:r w:rsidR="002F2329">
        <w:tab/>
      </w:r>
      <w:r w:rsidR="00B75BFF" w:rsidRPr="00B75BFF">
        <w:rPr>
          <w:rFonts w:eastAsia="Calibri"/>
        </w:rPr>
        <w:t>No position.</w:t>
      </w:r>
      <w:r w:rsidR="00B75BFF">
        <w:rPr>
          <w:rFonts w:eastAsia="Calibri"/>
        </w:rPr>
        <w:tab/>
      </w:r>
    </w:p>
    <w:p w:rsidR="00C54164" w:rsidRDefault="00C54164" w:rsidP="00FC1944">
      <w:pPr>
        <w:jc w:val="both"/>
      </w:pPr>
    </w:p>
    <w:p w:rsidR="0074229A" w:rsidRDefault="0074229A" w:rsidP="0074229A">
      <w:pPr>
        <w:jc w:val="both"/>
        <w:rPr>
          <w:b/>
          <w:bCs/>
          <w:u w:val="single"/>
        </w:rPr>
      </w:pPr>
      <w:r>
        <w:rPr>
          <w:b/>
          <w:bCs/>
          <w:u w:val="single"/>
        </w:rPr>
        <w:t>PROPOSED</w:t>
      </w:r>
    </w:p>
    <w:p w:rsidR="0074229A" w:rsidRPr="002A7FE1" w:rsidRDefault="0074229A" w:rsidP="0074229A">
      <w:pPr>
        <w:jc w:val="both"/>
        <w:rPr>
          <w:b/>
          <w:bCs/>
          <w:u w:val="single"/>
        </w:rPr>
      </w:pPr>
      <w:r>
        <w:rPr>
          <w:b/>
          <w:bCs/>
          <w:u w:val="single"/>
        </w:rPr>
        <w:t>STIPULATED</w:t>
      </w:r>
    </w:p>
    <w:p w:rsidR="00C54164" w:rsidRPr="00701945" w:rsidRDefault="00C54164" w:rsidP="00C54164">
      <w:pPr>
        <w:ind w:left="1440" w:hanging="1440"/>
        <w:jc w:val="both"/>
      </w:pPr>
      <w:r w:rsidRPr="00701945">
        <w:rPr>
          <w:b/>
          <w:bCs/>
          <w:u w:val="single"/>
        </w:rPr>
        <w:t xml:space="preserve">ISSUE </w:t>
      </w:r>
      <w:r>
        <w:rPr>
          <w:b/>
          <w:bCs/>
          <w:u w:val="single"/>
        </w:rPr>
        <w:t>5</w:t>
      </w:r>
      <w:r w:rsidRPr="00701945">
        <w:rPr>
          <w:b/>
          <w:bCs/>
        </w:rPr>
        <w:t>:</w:t>
      </w:r>
      <w:r w:rsidRPr="00701945">
        <w:tab/>
      </w:r>
      <w:r w:rsidRPr="00C54164">
        <w:rPr>
          <w:b/>
        </w:rPr>
        <w:t>What is the Contracted Credit Value for the GSLM-2 and GSLM-3 rate riders for Tampa Electric Company for the period January 2016 through     December 2016?</w:t>
      </w:r>
    </w:p>
    <w:p w:rsidR="0074229A" w:rsidRDefault="0074229A" w:rsidP="00A87B4D">
      <w:pPr>
        <w:ind w:left="1440" w:hanging="1440"/>
        <w:jc w:val="both"/>
        <w:rPr>
          <w:b/>
          <w:bCs/>
          <w:u w:val="single"/>
        </w:rPr>
      </w:pPr>
    </w:p>
    <w:p w:rsidR="00C54164" w:rsidRPr="00A87B4D" w:rsidRDefault="00C54164" w:rsidP="00A87B4D">
      <w:pPr>
        <w:ind w:left="1440" w:hanging="1440"/>
        <w:jc w:val="both"/>
      </w:pPr>
      <w:r>
        <w:rPr>
          <w:b/>
          <w:bCs/>
          <w:u w:val="single"/>
        </w:rPr>
        <w:t>TECO:</w:t>
      </w:r>
      <w:r w:rsidR="00A87B4D">
        <w:rPr>
          <w:bCs/>
        </w:rPr>
        <w:tab/>
      </w:r>
      <w:r w:rsidR="00A87B4D">
        <w:rPr>
          <w:spacing w:val="-3"/>
        </w:rPr>
        <w:t xml:space="preserve">In accordance with Order No. PSC-99-1778-FOF-EI, issued September 10, 1999 in Docket No. 990037-EI, Tampa Electric has calculated that, for the forthcoming cost recovery period, January 2016 through December 2016, the Contracted Credit Value for the GSLM-2 and GSLM-3 rate riders will be $8.81 per kW.  </w:t>
      </w:r>
    </w:p>
    <w:p w:rsidR="00C54164" w:rsidRDefault="00C54164" w:rsidP="00C54164">
      <w:pPr>
        <w:jc w:val="both"/>
      </w:pPr>
    </w:p>
    <w:p w:rsidR="0074229A" w:rsidRDefault="0074229A" w:rsidP="0074229A">
      <w:pPr>
        <w:jc w:val="both"/>
      </w:pPr>
      <w:r>
        <w:rPr>
          <w:b/>
          <w:bCs/>
          <w:u w:val="single"/>
        </w:rPr>
        <w:t>OPC:</w:t>
      </w:r>
      <w:r w:rsidRPr="00701945">
        <w:tab/>
      </w:r>
      <w:r>
        <w:tab/>
        <w:t>No position.</w:t>
      </w:r>
    </w:p>
    <w:p w:rsidR="0074229A" w:rsidRPr="0074229A" w:rsidRDefault="0074229A" w:rsidP="00C54164">
      <w:pPr>
        <w:jc w:val="both"/>
        <w:rPr>
          <w:bCs/>
          <w:u w:val="single"/>
        </w:rPr>
      </w:pPr>
    </w:p>
    <w:p w:rsidR="0074229A" w:rsidRDefault="00C54164" w:rsidP="0074229A">
      <w:pPr>
        <w:autoSpaceDE w:val="0"/>
        <w:autoSpaceDN w:val="0"/>
        <w:rPr>
          <w:sz w:val="20"/>
          <w:szCs w:val="20"/>
        </w:rPr>
      </w:pPr>
      <w:r>
        <w:rPr>
          <w:b/>
          <w:bCs/>
          <w:u w:val="single"/>
        </w:rPr>
        <w:t>FIPUG:</w:t>
      </w:r>
      <w:r w:rsidR="002F2329">
        <w:rPr>
          <w:bCs/>
        </w:rPr>
        <w:tab/>
      </w:r>
      <w:r w:rsidR="0074229A">
        <w:t>FIPUG takes no position on this issue.</w:t>
      </w:r>
    </w:p>
    <w:p w:rsidR="0074229A" w:rsidRDefault="0074229A" w:rsidP="00C54164">
      <w:pPr>
        <w:jc w:val="both"/>
      </w:pPr>
    </w:p>
    <w:p w:rsidR="0074229A" w:rsidRPr="00701945" w:rsidRDefault="0074229A" w:rsidP="0074229A">
      <w:pPr>
        <w:jc w:val="both"/>
      </w:pPr>
      <w:r>
        <w:rPr>
          <w:b/>
          <w:bCs/>
          <w:u w:val="single"/>
        </w:rPr>
        <w:t>PCS:</w:t>
      </w:r>
      <w:r w:rsidRPr="00701945">
        <w:tab/>
      </w:r>
      <w:r>
        <w:tab/>
      </w:r>
      <w:r w:rsidRPr="00B75BFF">
        <w:rPr>
          <w:rFonts w:eastAsia="Calibri"/>
        </w:rPr>
        <w:t>No position.</w:t>
      </w:r>
      <w:r>
        <w:rPr>
          <w:rFonts w:eastAsia="Calibri"/>
        </w:rPr>
        <w:tab/>
      </w:r>
    </w:p>
    <w:p w:rsidR="0074229A" w:rsidRPr="002F2329" w:rsidRDefault="0074229A" w:rsidP="00C54164">
      <w:pPr>
        <w:jc w:val="both"/>
      </w:pPr>
    </w:p>
    <w:p w:rsidR="00C54164" w:rsidRDefault="00C54164" w:rsidP="00C54164">
      <w:pPr>
        <w:jc w:val="both"/>
      </w:pPr>
    </w:p>
    <w:p w:rsidR="0074229A" w:rsidRDefault="0074229A" w:rsidP="00C54164">
      <w:pPr>
        <w:jc w:val="both"/>
      </w:pPr>
    </w:p>
    <w:p w:rsidR="0074229A" w:rsidRPr="00701945" w:rsidRDefault="0074229A" w:rsidP="00C54164">
      <w:pPr>
        <w:jc w:val="both"/>
      </w:pPr>
    </w:p>
    <w:p w:rsidR="00C54164" w:rsidRDefault="00C54164" w:rsidP="00FC1944">
      <w:pPr>
        <w:jc w:val="both"/>
      </w:pPr>
    </w:p>
    <w:p w:rsidR="00443B7A" w:rsidRDefault="00443B7A" w:rsidP="00FC1944">
      <w:pPr>
        <w:jc w:val="both"/>
      </w:pPr>
    </w:p>
    <w:p w:rsidR="0074229A" w:rsidRDefault="0074229A" w:rsidP="0074229A">
      <w:pPr>
        <w:jc w:val="both"/>
        <w:rPr>
          <w:b/>
          <w:bCs/>
          <w:u w:val="single"/>
        </w:rPr>
      </w:pPr>
      <w:r>
        <w:rPr>
          <w:b/>
          <w:bCs/>
          <w:u w:val="single"/>
        </w:rPr>
        <w:lastRenderedPageBreak/>
        <w:t>PROPOSED</w:t>
      </w:r>
    </w:p>
    <w:p w:rsidR="0074229A" w:rsidRPr="002A7FE1" w:rsidRDefault="0074229A" w:rsidP="0074229A">
      <w:pPr>
        <w:jc w:val="both"/>
        <w:rPr>
          <w:b/>
          <w:bCs/>
          <w:u w:val="single"/>
        </w:rPr>
      </w:pPr>
      <w:r>
        <w:rPr>
          <w:b/>
          <w:bCs/>
          <w:u w:val="single"/>
        </w:rPr>
        <w:t>STIPULATED</w:t>
      </w:r>
    </w:p>
    <w:p w:rsidR="00C54164" w:rsidRPr="00701945" w:rsidRDefault="00C54164" w:rsidP="007F6444">
      <w:pPr>
        <w:ind w:left="1440" w:hanging="1440"/>
        <w:jc w:val="both"/>
      </w:pPr>
      <w:r w:rsidRPr="00701945">
        <w:rPr>
          <w:b/>
          <w:bCs/>
          <w:u w:val="single"/>
        </w:rPr>
        <w:t xml:space="preserve">ISSUE </w:t>
      </w:r>
      <w:r>
        <w:rPr>
          <w:b/>
          <w:bCs/>
          <w:u w:val="single"/>
        </w:rPr>
        <w:t>6</w:t>
      </w:r>
      <w:r w:rsidRPr="00701945">
        <w:rPr>
          <w:b/>
          <w:bCs/>
        </w:rPr>
        <w:t>:</w:t>
      </w:r>
      <w:r w:rsidRPr="00701945">
        <w:tab/>
      </w:r>
      <w:r w:rsidR="007F6444" w:rsidRPr="007F6444">
        <w:rPr>
          <w:b/>
        </w:rPr>
        <w:t>What are the residential Price Responsive Load Management (RSVP -1) rate tiers for Tampa Electric Company for the period January 2016 through December 2016?</w:t>
      </w:r>
    </w:p>
    <w:p w:rsidR="00C54164" w:rsidRPr="00701945" w:rsidRDefault="00C54164" w:rsidP="00C54164">
      <w:pPr>
        <w:jc w:val="both"/>
      </w:pPr>
    </w:p>
    <w:p w:rsidR="00C54164" w:rsidRPr="00701945" w:rsidRDefault="00C54164" w:rsidP="00C54164">
      <w:pPr>
        <w:jc w:val="both"/>
      </w:pPr>
      <w:r w:rsidRPr="00701945">
        <w:rPr>
          <w:b/>
          <w:bCs/>
          <w:u w:val="single"/>
        </w:rPr>
        <w:t>POSITIONS</w:t>
      </w:r>
    </w:p>
    <w:p w:rsidR="00C54164" w:rsidRPr="00701945" w:rsidRDefault="00C54164" w:rsidP="00C54164">
      <w:pPr>
        <w:jc w:val="both"/>
      </w:pPr>
    </w:p>
    <w:p w:rsidR="00C54164" w:rsidRDefault="00C54164" w:rsidP="00C54164">
      <w:pPr>
        <w:jc w:val="both"/>
      </w:pPr>
    </w:p>
    <w:p w:rsidR="00A87B4D" w:rsidRPr="00A87B4D" w:rsidRDefault="00C54164" w:rsidP="00A87B4D">
      <w:pPr>
        <w:ind w:left="1440" w:hanging="1440"/>
        <w:rPr>
          <w:szCs w:val="20"/>
        </w:rPr>
      </w:pPr>
      <w:r>
        <w:rPr>
          <w:b/>
          <w:bCs/>
          <w:u w:val="single"/>
        </w:rPr>
        <w:t>TECO:</w:t>
      </w:r>
      <w:r w:rsidR="00A87B4D">
        <w:rPr>
          <w:bCs/>
        </w:rPr>
        <w:tab/>
      </w:r>
      <w:r w:rsidR="00A87B4D" w:rsidRPr="00A87B4D">
        <w:rPr>
          <w:szCs w:val="20"/>
        </w:rPr>
        <w:t>For the period January 2016 through December 2016 the Residential Price Responsive Load Management (RSVP-1) rates are as follows:</w:t>
      </w:r>
    </w:p>
    <w:p w:rsidR="00A87B4D" w:rsidRPr="00A87B4D" w:rsidRDefault="00A87B4D" w:rsidP="00A87B4D">
      <w:pPr>
        <w:ind w:left="1440" w:hanging="1440"/>
        <w:jc w:val="both"/>
        <w:rPr>
          <w:szCs w:val="20"/>
        </w:rPr>
      </w:pPr>
      <w:r w:rsidRPr="00A87B4D">
        <w:rPr>
          <w:szCs w:val="20"/>
        </w:rPr>
        <w:tab/>
      </w:r>
      <w:r w:rsidRPr="00A87B4D">
        <w:rPr>
          <w:b/>
          <w:szCs w:val="20"/>
          <w:u w:val="single"/>
        </w:rPr>
        <w:t>Rate Tier</w:t>
      </w:r>
      <w:r w:rsidRPr="00A87B4D">
        <w:rPr>
          <w:b/>
          <w:szCs w:val="20"/>
        </w:rPr>
        <w:tab/>
      </w:r>
      <w:r w:rsidRPr="00A87B4D">
        <w:rPr>
          <w:b/>
          <w:szCs w:val="20"/>
        </w:rPr>
        <w:tab/>
      </w:r>
      <w:r w:rsidRPr="00A87B4D">
        <w:rPr>
          <w:b/>
          <w:szCs w:val="20"/>
        </w:rPr>
        <w:tab/>
      </w:r>
      <w:r w:rsidRPr="00A87B4D">
        <w:rPr>
          <w:b/>
          <w:szCs w:val="20"/>
        </w:rPr>
        <w:tab/>
      </w:r>
      <w:r w:rsidRPr="00A87B4D">
        <w:rPr>
          <w:b/>
          <w:szCs w:val="20"/>
        </w:rPr>
        <w:tab/>
      </w:r>
      <w:r w:rsidRPr="00A87B4D">
        <w:rPr>
          <w:b/>
          <w:szCs w:val="20"/>
          <w:u w:val="single"/>
        </w:rPr>
        <w:t>Cents per kWh</w:t>
      </w:r>
    </w:p>
    <w:p w:rsidR="00A87B4D" w:rsidRPr="00A87B4D" w:rsidRDefault="00A87B4D" w:rsidP="00A87B4D">
      <w:pPr>
        <w:tabs>
          <w:tab w:val="left" w:pos="-720"/>
        </w:tabs>
        <w:suppressAutoHyphens/>
        <w:jc w:val="both"/>
        <w:rPr>
          <w:spacing w:val="-3"/>
          <w:szCs w:val="20"/>
        </w:rPr>
      </w:pPr>
      <w:r w:rsidRPr="00A87B4D">
        <w:rPr>
          <w:szCs w:val="20"/>
        </w:rPr>
        <w:tab/>
      </w:r>
      <w:r w:rsidRPr="00A87B4D">
        <w:rPr>
          <w:szCs w:val="20"/>
        </w:rPr>
        <w:tab/>
      </w:r>
      <w:r w:rsidRPr="00A87B4D">
        <w:rPr>
          <w:spacing w:val="-3"/>
          <w:szCs w:val="20"/>
        </w:rPr>
        <w:t>P4</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30.774</w:t>
      </w:r>
    </w:p>
    <w:p w:rsidR="00A87B4D" w:rsidRPr="00A87B4D" w:rsidRDefault="00A87B4D" w:rsidP="00A87B4D">
      <w:pPr>
        <w:tabs>
          <w:tab w:val="left" w:pos="-720"/>
        </w:tabs>
        <w:suppressAutoHyphens/>
        <w:jc w:val="both"/>
        <w:rPr>
          <w:spacing w:val="-3"/>
          <w:szCs w:val="20"/>
        </w:rPr>
      </w:pPr>
      <w:r w:rsidRPr="00A87B4D">
        <w:rPr>
          <w:spacing w:val="-3"/>
          <w:szCs w:val="20"/>
        </w:rPr>
        <w:t xml:space="preserve">     </w:t>
      </w:r>
      <w:r w:rsidRPr="00A87B4D">
        <w:rPr>
          <w:spacing w:val="-3"/>
          <w:szCs w:val="20"/>
        </w:rPr>
        <w:tab/>
      </w:r>
      <w:r w:rsidRPr="00A87B4D">
        <w:rPr>
          <w:spacing w:val="-3"/>
          <w:szCs w:val="20"/>
        </w:rPr>
        <w:tab/>
        <w:t>P3</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7.176</w:t>
      </w:r>
    </w:p>
    <w:p w:rsidR="00A87B4D" w:rsidRPr="00A87B4D" w:rsidRDefault="00A87B4D" w:rsidP="00A87B4D">
      <w:pPr>
        <w:tabs>
          <w:tab w:val="left" w:pos="-720"/>
        </w:tabs>
        <w:suppressAutoHyphens/>
        <w:jc w:val="both"/>
        <w:rPr>
          <w:spacing w:val="-3"/>
          <w:szCs w:val="20"/>
        </w:rPr>
      </w:pPr>
      <w:r w:rsidRPr="00A87B4D">
        <w:rPr>
          <w:spacing w:val="-3"/>
          <w:szCs w:val="20"/>
        </w:rPr>
        <w:t xml:space="preserve">     </w:t>
      </w:r>
      <w:r w:rsidRPr="00A87B4D">
        <w:rPr>
          <w:spacing w:val="-3"/>
          <w:szCs w:val="20"/>
        </w:rPr>
        <w:tab/>
      </w:r>
      <w:r w:rsidRPr="00A87B4D">
        <w:rPr>
          <w:spacing w:val="-3"/>
          <w:szCs w:val="20"/>
        </w:rPr>
        <w:tab/>
        <w:t>P2</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(0.645)</w:t>
      </w:r>
    </w:p>
    <w:p w:rsidR="00A87B4D" w:rsidRPr="00A87B4D" w:rsidRDefault="00A87B4D" w:rsidP="00A87B4D">
      <w:pPr>
        <w:tabs>
          <w:tab w:val="left" w:pos="-720"/>
        </w:tabs>
        <w:suppressAutoHyphens/>
        <w:jc w:val="both"/>
        <w:rPr>
          <w:spacing w:val="-3"/>
          <w:szCs w:val="20"/>
        </w:rPr>
      </w:pPr>
      <w:r w:rsidRPr="00A87B4D">
        <w:rPr>
          <w:spacing w:val="-3"/>
          <w:szCs w:val="20"/>
        </w:rPr>
        <w:t xml:space="preserve">     </w:t>
      </w:r>
      <w:r w:rsidRPr="00A87B4D">
        <w:rPr>
          <w:spacing w:val="-3"/>
          <w:szCs w:val="20"/>
        </w:rPr>
        <w:tab/>
      </w:r>
      <w:r w:rsidRPr="00A87B4D">
        <w:rPr>
          <w:spacing w:val="-3"/>
          <w:szCs w:val="20"/>
        </w:rPr>
        <w:tab/>
        <w:t>P1</w:t>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r>
      <w:r w:rsidRPr="00A87B4D">
        <w:rPr>
          <w:spacing w:val="-3"/>
          <w:szCs w:val="20"/>
        </w:rPr>
        <w:tab/>
        <w:t xml:space="preserve">          (2.165)</w:t>
      </w:r>
    </w:p>
    <w:p w:rsidR="00A87B4D" w:rsidRPr="00A87B4D" w:rsidRDefault="00A87B4D" w:rsidP="00A87B4D">
      <w:pPr>
        <w:ind w:left="1440" w:hanging="1440"/>
        <w:jc w:val="both"/>
        <w:rPr>
          <w:szCs w:val="20"/>
        </w:rPr>
      </w:pPr>
      <w:r w:rsidRPr="00A87B4D">
        <w:rPr>
          <w:szCs w:val="20"/>
        </w:rPr>
        <w:tab/>
      </w:r>
    </w:p>
    <w:p w:rsidR="00C54164" w:rsidRDefault="00C54164" w:rsidP="00C54164">
      <w:pPr>
        <w:jc w:val="both"/>
      </w:pPr>
    </w:p>
    <w:p w:rsidR="0074229A" w:rsidRDefault="0074229A" w:rsidP="0074229A">
      <w:pPr>
        <w:autoSpaceDE w:val="0"/>
        <w:autoSpaceDN w:val="0"/>
        <w:rPr>
          <w:sz w:val="20"/>
          <w:szCs w:val="20"/>
        </w:rPr>
      </w:pPr>
      <w:r>
        <w:rPr>
          <w:b/>
          <w:bCs/>
          <w:u w:val="single"/>
        </w:rPr>
        <w:t>OPC:</w:t>
      </w:r>
      <w:r w:rsidRPr="00701945">
        <w:tab/>
      </w:r>
      <w:r>
        <w:tab/>
      </w:r>
      <w:r w:rsidR="002C7E66" w:rsidRPr="00B75BFF">
        <w:rPr>
          <w:rFonts w:eastAsia="Calibri"/>
        </w:rPr>
        <w:t>No position.</w:t>
      </w:r>
    </w:p>
    <w:p w:rsidR="0074229A" w:rsidRPr="0074229A" w:rsidRDefault="0074229A" w:rsidP="0074229A">
      <w:pPr>
        <w:jc w:val="both"/>
        <w:rPr>
          <w:bCs/>
          <w:u w:val="single"/>
        </w:rPr>
      </w:pPr>
    </w:p>
    <w:p w:rsidR="002C7E66" w:rsidRDefault="0074229A" w:rsidP="002C7E66">
      <w:pPr>
        <w:autoSpaceDE w:val="0"/>
        <w:autoSpaceDN w:val="0"/>
        <w:rPr>
          <w:sz w:val="20"/>
          <w:szCs w:val="20"/>
        </w:rPr>
      </w:pPr>
      <w:r>
        <w:rPr>
          <w:b/>
          <w:bCs/>
          <w:u w:val="single"/>
        </w:rPr>
        <w:t>FIPUG:</w:t>
      </w:r>
      <w:r>
        <w:rPr>
          <w:bCs/>
        </w:rPr>
        <w:tab/>
      </w:r>
      <w:r w:rsidR="002C7E66">
        <w:t>FIPUG takes no position on this issue.</w:t>
      </w:r>
    </w:p>
    <w:p w:rsidR="0074229A" w:rsidRDefault="0074229A" w:rsidP="0074229A">
      <w:pPr>
        <w:jc w:val="both"/>
      </w:pPr>
    </w:p>
    <w:p w:rsidR="0074229A" w:rsidRPr="00701945" w:rsidRDefault="0074229A" w:rsidP="0074229A">
      <w:pPr>
        <w:jc w:val="both"/>
      </w:pPr>
      <w:r>
        <w:rPr>
          <w:b/>
          <w:bCs/>
          <w:u w:val="single"/>
        </w:rPr>
        <w:t>PCS:</w:t>
      </w:r>
      <w:r w:rsidRPr="00701945">
        <w:tab/>
      </w:r>
      <w:r>
        <w:tab/>
      </w:r>
      <w:r w:rsidRPr="00B75BFF">
        <w:rPr>
          <w:rFonts w:eastAsia="Calibri"/>
        </w:rPr>
        <w:t>No position.</w:t>
      </w:r>
      <w:r>
        <w:rPr>
          <w:rFonts w:eastAsia="Calibri"/>
        </w:rPr>
        <w:tab/>
      </w:r>
    </w:p>
    <w:p w:rsidR="00C54164" w:rsidRPr="002F2329" w:rsidRDefault="00C54164" w:rsidP="00C54164">
      <w:pPr>
        <w:jc w:val="both"/>
      </w:pPr>
    </w:p>
    <w:p w:rsidR="00C54164" w:rsidRPr="00701945" w:rsidRDefault="00C54164" w:rsidP="00C54164">
      <w:pPr>
        <w:jc w:val="both"/>
      </w:pPr>
    </w:p>
    <w:p w:rsidR="0074229A" w:rsidRDefault="0074229A" w:rsidP="0074229A">
      <w:pPr>
        <w:jc w:val="both"/>
        <w:rPr>
          <w:b/>
          <w:bCs/>
          <w:u w:val="single"/>
        </w:rPr>
      </w:pPr>
      <w:r>
        <w:rPr>
          <w:b/>
          <w:bCs/>
          <w:u w:val="single"/>
        </w:rPr>
        <w:t>PROPOSED</w:t>
      </w:r>
    </w:p>
    <w:p w:rsidR="0074229A" w:rsidRPr="002A7FE1" w:rsidRDefault="0074229A" w:rsidP="0074229A">
      <w:pPr>
        <w:jc w:val="both"/>
        <w:rPr>
          <w:b/>
          <w:bCs/>
          <w:u w:val="single"/>
        </w:rPr>
      </w:pPr>
      <w:r>
        <w:rPr>
          <w:b/>
          <w:bCs/>
          <w:u w:val="single"/>
        </w:rPr>
        <w:t>STIPULATED</w:t>
      </w:r>
    </w:p>
    <w:p w:rsidR="00C54164" w:rsidRPr="00701945" w:rsidRDefault="00C54164" w:rsidP="007F6444">
      <w:pPr>
        <w:ind w:left="1440" w:hanging="1440"/>
        <w:jc w:val="both"/>
      </w:pPr>
      <w:r w:rsidRPr="00701945">
        <w:rPr>
          <w:b/>
          <w:bCs/>
          <w:u w:val="single"/>
        </w:rPr>
        <w:t xml:space="preserve">ISSUE </w:t>
      </w:r>
      <w:r>
        <w:rPr>
          <w:b/>
          <w:bCs/>
          <w:u w:val="single"/>
        </w:rPr>
        <w:t>7</w:t>
      </w:r>
      <w:r w:rsidRPr="00701945">
        <w:rPr>
          <w:b/>
          <w:bCs/>
        </w:rPr>
        <w:t>:</w:t>
      </w:r>
      <w:r w:rsidRPr="00701945">
        <w:tab/>
      </w:r>
      <w:r w:rsidR="007F6444" w:rsidRPr="007F6444">
        <w:rPr>
          <w:b/>
        </w:rPr>
        <w:t>Should the Commission approve revised tariffs reflecting the energy conservation cost recovery amounts and establishing energy conservation cost recovery factors determined to be appropriate in this proceeding?</w:t>
      </w:r>
    </w:p>
    <w:p w:rsidR="00C54164" w:rsidRPr="00701945" w:rsidRDefault="00C54164" w:rsidP="00C54164">
      <w:pPr>
        <w:jc w:val="both"/>
      </w:pPr>
    </w:p>
    <w:p w:rsidR="009A1121" w:rsidRDefault="0074229A" w:rsidP="0074229A">
      <w:pPr>
        <w:ind w:left="1440"/>
        <w:jc w:val="both"/>
        <w:rPr>
          <w:b/>
          <w:bCs/>
          <w:u w:val="single"/>
        </w:rPr>
      </w:pPr>
      <w:r>
        <w:t>Yes.</w:t>
      </w:r>
      <w:r w:rsidRPr="00B70228">
        <w:t xml:space="preserve"> The Commission should approve revised tariffs reflecting the energy conservation cost recovery amounts and establishing energy conservation cost recovery factors determined to be appropriate in this proceeding.  The Commission should direct staff to verify that the revised tariffs are consistent with the Commission’s decision.</w:t>
      </w:r>
    </w:p>
    <w:p w:rsidR="0074229A" w:rsidRDefault="0074229A" w:rsidP="00C54164">
      <w:pPr>
        <w:jc w:val="both"/>
        <w:rPr>
          <w:b/>
          <w:bCs/>
          <w:u w:val="single"/>
        </w:rPr>
      </w:pPr>
    </w:p>
    <w:p w:rsidR="00C54164" w:rsidRPr="00701945" w:rsidRDefault="00C54164" w:rsidP="0074229A">
      <w:pPr>
        <w:ind w:left="1440" w:hanging="1440"/>
        <w:jc w:val="both"/>
      </w:pPr>
      <w:r>
        <w:rPr>
          <w:b/>
          <w:bCs/>
          <w:u w:val="single"/>
        </w:rPr>
        <w:t>OPC:</w:t>
      </w:r>
      <w:r w:rsidRPr="00701945">
        <w:tab/>
      </w:r>
      <w:r w:rsidR="0074229A" w:rsidRPr="009350EA">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w:t>
      </w:r>
      <w:r w:rsidR="0074229A" w:rsidRPr="009350EA">
        <w:lastRenderedPageBreak/>
        <w:t>and are reasonable in amount and prudently incurred.  The OPC takes no position on whether the utilities have met their burden of proof on this issue</w:t>
      </w:r>
    </w:p>
    <w:p w:rsidR="00C54164" w:rsidRDefault="00C54164" w:rsidP="00C54164">
      <w:pPr>
        <w:jc w:val="both"/>
      </w:pPr>
    </w:p>
    <w:p w:rsidR="0074229A" w:rsidRPr="009350EA" w:rsidRDefault="00C54164" w:rsidP="0074229A">
      <w:pPr>
        <w:ind w:left="1440" w:hanging="1440"/>
        <w:jc w:val="both"/>
      </w:pPr>
      <w:r>
        <w:rPr>
          <w:b/>
          <w:bCs/>
          <w:u w:val="single"/>
        </w:rPr>
        <w:t>FIPUG:</w:t>
      </w:r>
      <w:r w:rsidR="002F2329">
        <w:rPr>
          <w:bCs/>
        </w:rPr>
        <w:tab/>
      </w:r>
      <w:r w:rsidR="0074229A">
        <w:t>FIPUG takes no position on this issue.</w:t>
      </w:r>
    </w:p>
    <w:p w:rsidR="00C54164" w:rsidRPr="002F2329" w:rsidRDefault="00C54164" w:rsidP="00C54164">
      <w:pPr>
        <w:jc w:val="both"/>
      </w:pPr>
    </w:p>
    <w:p w:rsidR="00C54164" w:rsidRPr="00701945" w:rsidRDefault="00C54164" w:rsidP="00C54164">
      <w:pPr>
        <w:jc w:val="both"/>
      </w:pPr>
      <w:r>
        <w:rPr>
          <w:b/>
          <w:bCs/>
          <w:u w:val="single"/>
        </w:rPr>
        <w:t>PCS:</w:t>
      </w:r>
      <w:r w:rsidRPr="00701945">
        <w:tab/>
      </w:r>
      <w:r w:rsidR="00B75BFF">
        <w:tab/>
      </w:r>
      <w:r w:rsidR="00B75BFF" w:rsidRPr="00B75BFF">
        <w:t>No position.</w:t>
      </w:r>
    </w:p>
    <w:p w:rsidR="00F6304C" w:rsidRDefault="00F6304C" w:rsidP="00FC1944">
      <w:pPr>
        <w:jc w:val="both"/>
      </w:pPr>
    </w:p>
    <w:p w:rsidR="00FC1944" w:rsidRPr="00701945" w:rsidRDefault="00FC1944" w:rsidP="00FC1944">
      <w:pPr>
        <w:jc w:val="both"/>
      </w:pPr>
      <w:r>
        <w:t>I</w:t>
      </w:r>
      <w:r w:rsidRPr="00701945">
        <w:t>X.</w:t>
      </w:r>
      <w:r w:rsidRPr="00701945">
        <w:tab/>
      </w:r>
      <w:r w:rsidRPr="00701945">
        <w:rPr>
          <w:u w:val="single"/>
        </w:rPr>
        <w:t>EXHIBIT LIST</w:t>
      </w:r>
    </w:p>
    <w:p w:rsidR="00FC1944" w:rsidRPr="00701945" w:rsidRDefault="00FC1944" w:rsidP="00FC1944">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C1944" w:rsidRPr="00701945" w:rsidTr="00FC1944">
        <w:trPr>
          <w:cantSplit/>
          <w:trHeight w:val="373"/>
          <w:tblHeader/>
        </w:trPr>
        <w:tc>
          <w:tcPr>
            <w:tcW w:w="3198" w:type="dxa"/>
          </w:tcPr>
          <w:p w:rsidR="00FC1944" w:rsidRPr="00701945" w:rsidRDefault="00FC1944" w:rsidP="00511BAB">
            <w:pPr>
              <w:jc w:val="both"/>
            </w:pPr>
            <w:r w:rsidRPr="00701945">
              <w:rPr>
                <w:u w:val="single"/>
              </w:rPr>
              <w:t>Witness</w:t>
            </w:r>
          </w:p>
        </w:tc>
        <w:tc>
          <w:tcPr>
            <w:tcW w:w="1680" w:type="dxa"/>
          </w:tcPr>
          <w:p w:rsidR="00FC1944" w:rsidRPr="00701945" w:rsidRDefault="00FC1944" w:rsidP="00511BAB">
            <w:pPr>
              <w:jc w:val="center"/>
            </w:pPr>
            <w:r w:rsidRPr="00701945">
              <w:rPr>
                <w:u w:val="single"/>
              </w:rPr>
              <w:t>Proffered By</w:t>
            </w:r>
          </w:p>
        </w:tc>
        <w:tc>
          <w:tcPr>
            <w:tcW w:w="1482" w:type="dxa"/>
          </w:tcPr>
          <w:p w:rsidR="00FC1944" w:rsidRPr="004515FB" w:rsidRDefault="00FC1944" w:rsidP="00511BAB">
            <w:pPr>
              <w:jc w:val="center"/>
            </w:pPr>
          </w:p>
        </w:tc>
        <w:tc>
          <w:tcPr>
            <w:tcW w:w="3205" w:type="dxa"/>
          </w:tcPr>
          <w:p w:rsidR="00FC1944" w:rsidRPr="00701945" w:rsidRDefault="00FC1944" w:rsidP="00511BAB">
            <w:pPr>
              <w:jc w:val="both"/>
            </w:pPr>
            <w:r w:rsidRPr="00701945">
              <w:rPr>
                <w:u w:val="single"/>
              </w:rPr>
              <w:t>Description</w:t>
            </w:r>
          </w:p>
        </w:tc>
      </w:tr>
      <w:tr w:rsidR="00FC1944" w:rsidRPr="00701945" w:rsidTr="00FC1944">
        <w:trPr>
          <w:cantSplit/>
          <w:trHeight w:val="353"/>
        </w:trPr>
        <w:tc>
          <w:tcPr>
            <w:tcW w:w="3198" w:type="dxa"/>
          </w:tcPr>
          <w:p w:rsidR="00FC1944" w:rsidRPr="00701945" w:rsidRDefault="00FC1944" w:rsidP="00511BAB">
            <w:pPr>
              <w:jc w:val="both"/>
            </w:pPr>
            <w:r w:rsidRPr="00701945">
              <w:tab/>
            </w:r>
            <w:r w:rsidRPr="00701945">
              <w:rPr>
                <w:u w:val="single"/>
              </w:rPr>
              <w:t>Direct</w:t>
            </w:r>
          </w:p>
        </w:tc>
        <w:tc>
          <w:tcPr>
            <w:tcW w:w="1680" w:type="dxa"/>
          </w:tcPr>
          <w:p w:rsidR="00FC1944" w:rsidRPr="00701945" w:rsidRDefault="00FC1944" w:rsidP="00511BAB">
            <w:pPr>
              <w:jc w:val="center"/>
            </w:pPr>
          </w:p>
        </w:tc>
        <w:tc>
          <w:tcPr>
            <w:tcW w:w="1482" w:type="dxa"/>
          </w:tcPr>
          <w:p w:rsidR="00FC1944" w:rsidRPr="004515FB" w:rsidRDefault="00FC1944" w:rsidP="00511BAB">
            <w:pPr>
              <w:jc w:val="center"/>
            </w:pPr>
          </w:p>
        </w:tc>
        <w:tc>
          <w:tcPr>
            <w:tcW w:w="3205" w:type="dxa"/>
          </w:tcPr>
          <w:p w:rsidR="00FC1944" w:rsidRPr="00701945" w:rsidRDefault="00FC1944" w:rsidP="00511BAB"/>
        </w:tc>
      </w:tr>
      <w:tr w:rsidR="00EC0DD2" w:rsidRPr="00701945" w:rsidTr="00FC1944">
        <w:trPr>
          <w:cantSplit/>
          <w:trHeight w:val="353"/>
        </w:trPr>
        <w:tc>
          <w:tcPr>
            <w:tcW w:w="3198" w:type="dxa"/>
          </w:tcPr>
          <w:p w:rsidR="00EC0DD2" w:rsidRPr="00701945" w:rsidRDefault="00EC0DD2" w:rsidP="004F67F2">
            <w:pPr>
              <w:jc w:val="both"/>
            </w:pPr>
            <w:r w:rsidRPr="00D568FC">
              <w:t>A. Sharma</w:t>
            </w:r>
          </w:p>
        </w:tc>
        <w:tc>
          <w:tcPr>
            <w:tcW w:w="1680" w:type="dxa"/>
          </w:tcPr>
          <w:p w:rsidR="00EC0DD2" w:rsidRPr="00701945" w:rsidRDefault="00EC0DD2" w:rsidP="004F67F2">
            <w:pPr>
              <w:jc w:val="center"/>
            </w:pPr>
            <w:r>
              <w:t>FPL</w:t>
            </w:r>
          </w:p>
        </w:tc>
        <w:tc>
          <w:tcPr>
            <w:tcW w:w="1482" w:type="dxa"/>
          </w:tcPr>
          <w:p w:rsidR="00EC0DD2" w:rsidRPr="004515FB" w:rsidRDefault="00EC0DD2" w:rsidP="004F67F2">
            <w:pPr>
              <w:jc w:val="center"/>
            </w:pPr>
            <w:r w:rsidRPr="00D568FC">
              <w:t>AS-1</w:t>
            </w:r>
          </w:p>
        </w:tc>
        <w:tc>
          <w:tcPr>
            <w:tcW w:w="3205" w:type="dxa"/>
          </w:tcPr>
          <w:p w:rsidR="00EC0DD2" w:rsidRPr="00701945" w:rsidRDefault="00EC0DD2" w:rsidP="004F67F2">
            <w:r w:rsidRPr="00D568FC">
              <w:t xml:space="preserve">Schedules </w:t>
            </w:r>
            <w:r>
              <w:t>CT-2,</w:t>
            </w:r>
            <w:r w:rsidRPr="00D568FC">
              <w:t xml:space="preserve"> CT-3</w:t>
            </w:r>
            <w:r>
              <w:t xml:space="preserve">, </w:t>
            </w:r>
            <w:r w:rsidRPr="00D568FC">
              <w:t>CT-5 and CT-6</w:t>
            </w:r>
            <w:r w:rsidR="00353DB6">
              <w:t xml:space="preserve"> (</w:t>
            </w:r>
            <w:r w:rsidR="00353DB6" w:rsidRPr="00353DB6">
              <w:rPr>
                <w:b/>
              </w:rPr>
              <w:t>Confidential</w:t>
            </w:r>
            <w:r w:rsidR="00353DB6">
              <w:t>)</w:t>
            </w:r>
            <w:r w:rsidRPr="00D568FC">
              <w:t>, Appendix A</w:t>
            </w:r>
          </w:p>
        </w:tc>
      </w:tr>
      <w:tr w:rsidR="00EC0DD2" w:rsidRPr="00701945" w:rsidTr="00FC1944">
        <w:trPr>
          <w:cantSplit/>
          <w:trHeight w:val="353"/>
        </w:trPr>
        <w:tc>
          <w:tcPr>
            <w:tcW w:w="3198" w:type="dxa"/>
          </w:tcPr>
          <w:p w:rsidR="00EC0DD2" w:rsidRPr="00701945" w:rsidRDefault="00EC0DD2" w:rsidP="004F67F2">
            <w:pPr>
              <w:jc w:val="both"/>
            </w:pPr>
            <w:r w:rsidRPr="00D568FC">
              <w:t>A. Sharma</w:t>
            </w:r>
          </w:p>
        </w:tc>
        <w:tc>
          <w:tcPr>
            <w:tcW w:w="1680" w:type="dxa"/>
          </w:tcPr>
          <w:p w:rsidR="00EC0DD2" w:rsidRPr="00701945" w:rsidRDefault="00EC0DD2" w:rsidP="004F67F2">
            <w:pPr>
              <w:jc w:val="center"/>
            </w:pPr>
            <w:r>
              <w:t>FPL</w:t>
            </w:r>
          </w:p>
        </w:tc>
        <w:tc>
          <w:tcPr>
            <w:tcW w:w="1482" w:type="dxa"/>
          </w:tcPr>
          <w:p w:rsidR="00EC0DD2" w:rsidRPr="004515FB" w:rsidRDefault="00EC0DD2" w:rsidP="004F67F2">
            <w:pPr>
              <w:jc w:val="center"/>
            </w:pPr>
            <w:r w:rsidRPr="00D568FC">
              <w:t>AS-2</w:t>
            </w:r>
          </w:p>
        </w:tc>
        <w:tc>
          <w:tcPr>
            <w:tcW w:w="3205" w:type="dxa"/>
          </w:tcPr>
          <w:p w:rsidR="00EC0DD2" w:rsidRPr="00701945" w:rsidRDefault="00EC0DD2" w:rsidP="004F67F2">
            <w:r w:rsidRPr="00D568FC">
              <w:t>Schedule</w:t>
            </w:r>
            <w:r>
              <w:t>s</w:t>
            </w:r>
            <w:r w:rsidRPr="00D568FC">
              <w:t xml:space="preserve"> </w:t>
            </w:r>
            <w:r>
              <w:t>C-2,</w:t>
            </w:r>
            <w:r w:rsidRPr="00D568FC">
              <w:t xml:space="preserve"> C-3</w:t>
            </w:r>
            <w:r>
              <w:t>, and</w:t>
            </w:r>
            <w:r w:rsidRPr="00D568FC">
              <w:t xml:space="preserve"> C-5</w:t>
            </w:r>
          </w:p>
        </w:tc>
      </w:tr>
      <w:tr w:rsidR="00EC0DD2" w:rsidRPr="00701945" w:rsidTr="00FC1944">
        <w:trPr>
          <w:cantSplit/>
          <w:trHeight w:val="353"/>
        </w:trPr>
        <w:tc>
          <w:tcPr>
            <w:tcW w:w="3198" w:type="dxa"/>
          </w:tcPr>
          <w:p w:rsidR="00EC0DD2" w:rsidRPr="00701945" w:rsidRDefault="00EC0DD2" w:rsidP="00511BAB">
            <w:pPr>
              <w:jc w:val="both"/>
            </w:pPr>
            <w:r w:rsidRPr="00D568FC">
              <w:t>T</w:t>
            </w:r>
            <w:r w:rsidR="000368E1">
              <w:t xml:space="preserve">erry </w:t>
            </w:r>
            <w:r w:rsidRPr="00D568FC">
              <w:t>J. Keith</w:t>
            </w:r>
          </w:p>
        </w:tc>
        <w:tc>
          <w:tcPr>
            <w:tcW w:w="1680" w:type="dxa"/>
          </w:tcPr>
          <w:p w:rsidR="00EC0DD2" w:rsidRPr="00701945" w:rsidRDefault="00EC0DD2" w:rsidP="00511BAB">
            <w:pPr>
              <w:jc w:val="center"/>
            </w:pPr>
            <w:r>
              <w:t>FPL</w:t>
            </w:r>
          </w:p>
        </w:tc>
        <w:tc>
          <w:tcPr>
            <w:tcW w:w="1482" w:type="dxa"/>
          </w:tcPr>
          <w:p w:rsidR="00EC0DD2" w:rsidRPr="004515FB" w:rsidRDefault="00EC0DD2" w:rsidP="00511BAB">
            <w:pPr>
              <w:jc w:val="center"/>
            </w:pPr>
            <w:r w:rsidRPr="00D568FC">
              <w:t>AS-1</w:t>
            </w:r>
          </w:p>
        </w:tc>
        <w:tc>
          <w:tcPr>
            <w:tcW w:w="3205" w:type="dxa"/>
          </w:tcPr>
          <w:p w:rsidR="00EC0DD2" w:rsidRPr="00701945" w:rsidRDefault="00EC0DD2" w:rsidP="00511BAB">
            <w:r w:rsidRPr="00D568FC">
              <w:t>Schedules CT-1</w:t>
            </w:r>
            <w:r w:rsidR="007A13CD">
              <w:t>, CT-2,</w:t>
            </w:r>
            <w:r w:rsidR="007A13CD" w:rsidRPr="00D568FC">
              <w:t xml:space="preserve"> CT-3</w:t>
            </w:r>
            <w:r w:rsidR="007A13CD">
              <w:t xml:space="preserve">, </w:t>
            </w:r>
            <w:r w:rsidRPr="00D568FC">
              <w:t xml:space="preserve"> </w:t>
            </w:r>
            <w:r>
              <w:t>and CT-4</w:t>
            </w:r>
          </w:p>
        </w:tc>
      </w:tr>
      <w:tr w:rsidR="00EC0DD2" w:rsidRPr="00701945" w:rsidTr="00FC1944">
        <w:trPr>
          <w:cantSplit/>
          <w:trHeight w:val="373"/>
        </w:trPr>
        <w:tc>
          <w:tcPr>
            <w:tcW w:w="3198" w:type="dxa"/>
          </w:tcPr>
          <w:p w:rsidR="00EC0DD2" w:rsidRPr="00701945" w:rsidRDefault="00EC0DD2" w:rsidP="007A13CD">
            <w:pPr>
              <w:jc w:val="both"/>
            </w:pPr>
            <w:r w:rsidRPr="00D568FC">
              <w:t>T</w:t>
            </w:r>
            <w:r w:rsidR="000368E1">
              <w:t xml:space="preserve">erry </w:t>
            </w:r>
            <w:r w:rsidRPr="00D568FC">
              <w:t>J.</w:t>
            </w:r>
            <w:r w:rsidR="000368E1">
              <w:t xml:space="preserve"> </w:t>
            </w:r>
            <w:r w:rsidRPr="00D568FC">
              <w:t>Keith</w:t>
            </w:r>
          </w:p>
        </w:tc>
        <w:tc>
          <w:tcPr>
            <w:tcW w:w="1680" w:type="dxa"/>
          </w:tcPr>
          <w:p w:rsidR="00EC0DD2" w:rsidRPr="00701945" w:rsidRDefault="00EC0DD2" w:rsidP="00511BAB">
            <w:pPr>
              <w:jc w:val="center"/>
            </w:pPr>
            <w:r>
              <w:t>FPL</w:t>
            </w:r>
          </w:p>
        </w:tc>
        <w:tc>
          <w:tcPr>
            <w:tcW w:w="1482" w:type="dxa"/>
          </w:tcPr>
          <w:p w:rsidR="00EC0DD2" w:rsidRPr="004515FB" w:rsidRDefault="00EC0DD2" w:rsidP="007A13CD">
            <w:pPr>
              <w:jc w:val="center"/>
            </w:pPr>
            <w:r w:rsidRPr="00D568FC">
              <w:t>AS-</w:t>
            </w:r>
            <w:r w:rsidR="007A13CD">
              <w:t>2</w:t>
            </w:r>
          </w:p>
        </w:tc>
        <w:tc>
          <w:tcPr>
            <w:tcW w:w="3205" w:type="dxa"/>
          </w:tcPr>
          <w:p w:rsidR="00EC0DD2" w:rsidRPr="00701945" w:rsidRDefault="00EC0DD2" w:rsidP="00511BAB">
            <w:r w:rsidRPr="00D568FC">
              <w:t xml:space="preserve">Schedules </w:t>
            </w:r>
            <w:r w:rsidR="007A13CD" w:rsidRPr="00D568FC">
              <w:t xml:space="preserve">C-1 </w:t>
            </w:r>
            <w:r w:rsidR="00864CE4">
              <w:t>C</w:t>
            </w:r>
            <w:r w:rsidR="007A13CD">
              <w:t xml:space="preserve">-2, </w:t>
            </w:r>
            <w:r w:rsidR="00864CE4">
              <w:t>C</w:t>
            </w:r>
            <w:r w:rsidRPr="00D568FC">
              <w:t>-3</w:t>
            </w:r>
            <w:r w:rsidR="007A13CD">
              <w:t xml:space="preserve">, and </w:t>
            </w:r>
            <w:r w:rsidR="007A13CD" w:rsidRPr="00D568FC">
              <w:t>C-4</w:t>
            </w:r>
            <w:r w:rsidR="007A13CD" w:rsidRPr="00D568FC">
              <w:tab/>
            </w:r>
          </w:p>
        </w:tc>
      </w:tr>
      <w:tr w:rsidR="00EC0DD2" w:rsidRPr="00701945" w:rsidTr="00FC1944">
        <w:trPr>
          <w:cantSplit/>
          <w:trHeight w:val="373"/>
        </w:trPr>
        <w:tc>
          <w:tcPr>
            <w:tcW w:w="3198" w:type="dxa"/>
          </w:tcPr>
          <w:p w:rsidR="00EC0DD2" w:rsidRPr="00C37429" w:rsidRDefault="00EC0DD2" w:rsidP="00511BAB">
            <w:pPr>
              <w:jc w:val="both"/>
            </w:pPr>
            <w:r w:rsidRPr="00C37429">
              <w:rPr>
                <w:rStyle w:val="WitnessandExhibitTableHeader"/>
                <w:u w:val="none"/>
              </w:rPr>
              <w:t>Curtis D. Young</w:t>
            </w:r>
          </w:p>
        </w:tc>
        <w:tc>
          <w:tcPr>
            <w:tcW w:w="1680" w:type="dxa"/>
          </w:tcPr>
          <w:p w:rsidR="00EC0DD2" w:rsidRPr="00701945" w:rsidRDefault="00EC0DD2" w:rsidP="00511BAB">
            <w:pPr>
              <w:jc w:val="center"/>
            </w:pPr>
            <w:r>
              <w:t>FPUC</w:t>
            </w:r>
          </w:p>
        </w:tc>
        <w:tc>
          <w:tcPr>
            <w:tcW w:w="1482" w:type="dxa"/>
          </w:tcPr>
          <w:p w:rsidR="00EC0DD2" w:rsidRDefault="00EC0DD2" w:rsidP="00511BAB">
            <w:pPr>
              <w:jc w:val="center"/>
              <w:rPr>
                <w:rFonts w:cs="Arial"/>
              </w:rPr>
            </w:pPr>
            <w:r>
              <w:rPr>
                <w:rFonts w:cs="Arial"/>
              </w:rPr>
              <w:t>CDY</w:t>
            </w:r>
            <w:r w:rsidRPr="005D4AE4">
              <w:rPr>
                <w:rFonts w:cs="Arial"/>
              </w:rPr>
              <w:t>-1</w:t>
            </w:r>
          </w:p>
          <w:p w:rsidR="00EC0DD2" w:rsidRPr="004515FB" w:rsidRDefault="00EC0DD2" w:rsidP="00511BAB">
            <w:pPr>
              <w:jc w:val="center"/>
            </w:pPr>
            <w:r>
              <w:rPr>
                <w:rFonts w:cs="Arial"/>
              </w:rPr>
              <w:t>(composite)</w:t>
            </w:r>
          </w:p>
        </w:tc>
        <w:tc>
          <w:tcPr>
            <w:tcW w:w="3205" w:type="dxa"/>
          </w:tcPr>
          <w:p w:rsidR="00EC0DD2" w:rsidRPr="00701945" w:rsidRDefault="00EC0DD2" w:rsidP="00511BAB">
            <w:r w:rsidRPr="005D4AE4">
              <w:rPr>
                <w:rFonts w:cs="Arial"/>
              </w:rPr>
              <w:t>Schedules CT-1, CT-2, CT-3, CT-4, CT-5 and CT-6</w:t>
            </w:r>
          </w:p>
        </w:tc>
      </w:tr>
      <w:tr w:rsidR="00EC0DD2" w:rsidRPr="00701945" w:rsidTr="00FC1944">
        <w:trPr>
          <w:cantSplit/>
          <w:trHeight w:val="373"/>
        </w:trPr>
        <w:tc>
          <w:tcPr>
            <w:tcW w:w="3198" w:type="dxa"/>
          </w:tcPr>
          <w:p w:rsidR="00EC0DD2" w:rsidRPr="00701945" w:rsidRDefault="00EC0DD2" w:rsidP="00511BAB">
            <w:pPr>
              <w:jc w:val="both"/>
            </w:pPr>
            <w:r w:rsidRPr="00C37429">
              <w:rPr>
                <w:rStyle w:val="WitnessandExhibitTableHeader"/>
                <w:u w:val="none"/>
              </w:rPr>
              <w:t>Curtis D. Young</w:t>
            </w:r>
          </w:p>
        </w:tc>
        <w:tc>
          <w:tcPr>
            <w:tcW w:w="1680" w:type="dxa"/>
          </w:tcPr>
          <w:p w:rsidR="00EC0DD2" w:rsidRPr="00701945" w:rsidRDefault="00EC0DD2" w:rsidP="00511BAB">
            <w:pPr>
              <w:jc w:val="center"/>
            </w:pPr>
            <w:r>
              <w:t>FPUC</w:t>
            </w:r>
          </w:p>
        </w:tc>
        <w:tc>
          <w:tcPr>
            <w:tcW w:w="1482" w:type="dxa"/>
          </w:tcPr>
          <w:p w:rsidR="00EC0DD2" w:rsidRDefault="00EC0DD2" w:rsidP="00511BAB">
            <w:pPr>
              <w:jc w:val="center"/>
              <w:rPr>
                <w:rFonts w:cs="Arial"/>
              </w:rPr>
            </w:pPr>
            <w:r>
              <w:rPr>
                <w:rFonts w:cs="Arial"/>
              </w:rPr>
              <w:t>CDY</w:t>
            </w:r>
            <w:r w:rsidRPr="005D4AE4">
              <w:rPr>
                <w:rFonts w:cs="Arial"/>
              </w:rPr>
              <w:t>-</w:t>
            </w:r>
            <w:r>
              <w:rPr>
                <w:rFonts w:cs="Arial"/>
              </w:rPr>
              <w:t>2</w:t>
            </w:r>
          </w:p>
          <w:p w:rsidR="00EC0DD2" w:rsidRPr="004515FB" w:rsidRDefault="00EC0DD2" w:rsidP="00511BAB">
            <w:pPr>
              <w:jc w:val="center"/>
            </w:pPr>
            <w:r>
              <w:rPr>
                <w:rFonts w:cs="Arial"/>
              </w:rPr>
              <w:t>(composite)</w:t>
            </w:r>
          </w:p>
        </w:tc>
        <w:tc>
          <w:tcPr>
            <w:tcW w:w="3205" w:type="dxa"/>
          </w:tcPr>
          <w:p w:rsidR="00EC0DD2" w:rsidRPr="00701945" w:rsidRDefault="00EC0DD2" w:rsidP="00511BAB">
            <w:r w:rsidRPr="005D4AE4">
              <w:rPr>
                <w:rFonts w:cs="Arial"/>
              </w:rPr>
              <w:t>Schedules C-1, C-2, C-3, C-4, and C-5</w:t>
            </w:r>
          </w:p>
        </w:tc>
      </w:tr>
      <w:tr w:rsidR="00EC0DD2" w:rsidRPr="00701945" w:rsidTr="00FC1944">
        <w:trPr>
          <w:cantSplit/>
          <w:trHeight w:val="373"/>
        </w:trPr>
        <w:tc>
          <w:tcPr>
            <w:tcW w:w="3198" w:type="dxa"/>
          </w:tcPr>
          <w:p w:rsidR="00EC0DD2" w:rsidRPr="00701945" w:rsidRDefault="00EC0DD2" w:rsidP="00511BAB">
            <w:pPr>
              <w:jc w:val="both"/>
            </w:pPr>
            <w:r w:rsidRPr="00511BAB">
              <w:t>John N. Floyd</w:t>
            </w:r>
          </w:p>
        </w:tc>
        <w:tc>
          <w:tcPr>
            <w:tcW w:w="1680" w:type="dxa"/>
          </w:tcPr>
          <w:p w:rsidR="00EC0DD2" w:rsidRPr="00701945" w:rsidRDefault="00EC0DD2" w:rsidP="00511BAB">
            <w:pPr>
              <w:jc w:val="center"/>
            </w:pPr>
            <w:r>
              <w:t>GULF</w:t>
            </w:r>
          </w:p>
        </w:tc>
        <w:tc>
          <w:tcPr>
            <w:tcW w:w="1482" w:type="dxa"/>
          </w:tcPr>
          <w:p w:rsidR="00EC0DD2" w:rsidRPr="004515FB" w:rsidRDefault="00EC0DD2" w:rsidP="00511BAB">
            <w:pPr>
              <w:jc w:val="center"/>
            </w:pPr>
            <w:r w:rsidRPr="00511BAB">
              <w:t>JNF</w:t>
            </w:r>
            <w:r w:rsidRPr="00511BAB">
              <w:noBreakHyphen/>
              <w:t>1</w:t>
            </w:r>
          </w:p>
        </w:tc>
        <w:tc>
          <w:tcPr>
            <w:tcW w:w="3205" w:type="dxa"/>
          </w:tcPr>
          <w:p w:rsidR="00EC0DD2" w:rsidRPr="00701945" w:rsidRDefault="00EC0DD2" w:rsidP="00511BAB">
            <w:r w:rsidRPr="00511BAB">
              <w:t>Schedules CT-1 through CT-6</w:t>
            </w:r>
          </w:p>
        </w:tc>
      </w:tr>
      <w:tr w:rsidR="00EC0DD2" w:rsidRPr="00701945" w:rsidTr="00FC1944">
        <w:trPr>
          <w:cantSplit/>
          <w:trHeight w:val="373"/>
        </w:trPr>
        <w:tc>
          <w:tcPr>
            <w:tcW w:w="3198" w:type="dxa"/>
          </w:tcPr>
          <w:p w:rsidR="00EC0DD2" w:rsidRPr="00701945" w:rsidRDefault="00EC0DD2" w:rsidP="00511BAB">
            <w:pPr>
              <w:jc w:val="both"/>
            </w:pPr>
            <w:r w:rsidRPr="00511BAB">
              <w:t>John N. Floyd</w:t>
            </w:r>
          </w:p>
        </w:tc>
        <w:tc>
          <w:tcPr>
            <w:tcW w:w="1680" w:type="dxa"/>
          </w:tcPr>
          <w:p w:rsidR="00EC0DD2" w:rsidRPr="00701945" w:rsidRDefault="00EC0DD2" w:rsidP="00511BAB">
            <w:pPr>
              <w:jc w:val="center"/>
            </w:pPr>
            <w:r>
              <w:t>GULF</w:t>
            </w:r>
          </w:p>
        </w:tc>
        <w:tc>
          <w:tcPr>
            <w:tcW w:w="1482" w:type="dxa"/>
          </w:tcPr>
          <w:p w:rsidR="00EC0DD2" w:rsidRPr="004515FB" w:rsidRDefault="00EC0DD2" w:rsidP="00511BAB">
            <w:pPr>
              <w:jc w:val="center"/>
            </w:pPr>
            <w:r w:rsidRPr="00511BAB">
              <w:t>JNF</w:t>
            </w:r>
            <w:r w:rsidRPr="00511BAB">
              <w:noBreakHyphen/>
              <w:t>2</w:t>
            </w:r>
          </w:p>
        </w:tc>
        <w:tc>
          <w:tcPr>
            <w:tcW w:w="3205" w:type="dxa"/>
          </w:tcPr>
          <w:p w:rsidR="00EC0DD2" w:rsidRPr="00701945" w:rsidRDefault="00EC0DD2" w:rsidP="00511BAB">
            <w:r w:rsidRPr="00511BAB">
              <w:t>Schedules C-1 through C-6</w:t>
            </w:r>
          </w:p>
        </w:tc>
      </w:tr>
      <w:tr w:rsidR="00EC0DD2" w:rsidRPr="00701945" w:rsidTr="00FC1944">
        <w:trPr>
          <w:cantSplit/>
          <w:trHeight w:val="373"/>
        </w:trPr>
        <w:tc>
          <w:tcPr>
            <w:tcW w:w="3198" w:type="dxa"/>
          </w:tcPr>
          <w:p w:rsidR="00EC0DD2" w:rsidRPr="00701945" w:rsidRDefault="00EC0DD2" w:rsidP="00511BAB">
            <w:pPr>
              <w:jc w:val="both"/>
            </w:pPr>
            <w:r w:rsidRPr="004D1345">
              <w:t>Lori J. Cross</w:t>
            </w:r>
          </w:p>
        </w:tc>
        <w:tc>
          <w:tcPr>
            <w:tcW w:w="1680" w:type="dxa"/>
          </w:tcPr>
          <w:p w:rsidR="00EC0DD2" w:rsidRPr="00701945" w:rsidRDefault="00EC0DD2" w:rsidP="00511BAB">
            <w:pPr>
              <w:jc w:val="center"/>
            </w:pPr>
            <w:r>
              <w:t>DEF</w:t>
            </w:r>
          </w:p>
        </w:tc>
        <w:tc>
          <w:tcPr>
            <w:tcW w:w="1482" w:type="dxa"/>
          </w:tcPr>
          <w:p w:rsidR="00EC0DD2" w:rsidRPr="004515FB" w:rsidRDefault="00EC0DD2" w:rsidP="00511BAB">
            <w:pPr>
              <w:jc w:val="center"/>
            </w:pPr>
            <w:r w:rsidRPr="004D1345">
              <w:t>LJC-1T</w:t>
            </w:r>
          </w:p>
        </w:tc>
        <w:tc>
          <w:tcPr>
            <w:tcW w:w="3205" w:type="dxa"/>
          </w:tcPr>
          <w:p w:rsidR="00EC0DD2" w:rsidRPr="00701945" w:rsidRDefault="00EC0DD2" w:rsidP="00511BAB">
            <w:r w:rsidRPr="004D1345">
              <w:t>ECCR Adjusted Net True-Up for January -</w:t>
            </w:r>
            <w:r>
              <w:t xml:space="preserve"> </w:t>
            </w:r>
            <w:r w:rsidRPr="004D1345">
              <w:t>December 2014, Schedules CT1 – CT5.</w:t>
            </w:r>
          </w:p>
        </w:tc>
      </w:tr>
      <w:tr w:rsidR="00EC0DD2" w:rsidRPr="00701945" w:rsidTr="00FC1944">
        <w:trPr>
          <w:cantSplit/>
          <w:trHeight w:val="353"/>
        </w:trPr>
        <w:tc>
          <w:tcPr>
            <w:tcW w:w="3198" w:type="dxa"/>
          </w:tcPr>
          <w:p w:rsidR="00EC0DD2" w:rsidRPr="00701945" w:rsidRDefault="00EC0DD2" w:rsidP="00511BAB">
            <w:pPr>
              <w:jc w:val="both"/>
            </w:pPr>
            <w:r w:rsidRPr="004D1345">
              <w:t>Lori J. Cross</w:t>
            </w:r>
          </w:p>
        </w:tc>
        <w:tc>
          <w:tcPr>
            <w:tcW w:w="1680" w:type="dxa"/>
          </w:tcPr>
          <w:p w:rsidR="00EC0DD2" w:rsidRPr="00701945" w:rsidRDefault="00EC0DD2" w:rsidP="00511BAB">
            <w:pPr>
              <w:jc w:val="center"/>
            </w:pPr>
            <w:r>
              <w:t>DEF</w:t>
            </w:r>
          </w:p>
        </w:tc>
        <w:tc>
          <w:tcPr>
            <w:tcW w:w="1482" w:type="dxa"/>
          </w:tcPr>
          <w:p w:rsidR="00EC0DD2" w:rsidRPr="004515FB" w:rsidRDefault="00EC0DD2" w:rsidP="00511BAB">
            <w:pPr>
              <w:jc w:val="center"/>
            </w:pPr>
            <w:r w:rsidRPr="004D1345">
              <w:t>LJC-1P</w:t>
            </w:r>
          </w:p>
        </w:tc>
        <w:tc>
          <w:tcPr>
            <w:tcW w:w="3205" w:type="dxa"/>
          </w:tcPr>
          <w:p w:rsidR="00EC0DD2" w:rsidRPr="00701945" w:rsidRDefault="00EC0DD2" w:rsidP="00511BAB">
            <w:r w:rsidRPr="004D1345">
              <w:t>Estimated/Actual True-Up, January –</w:t>
            </w:r>
            <w:r>
              <w:t xml:space="preserve"> </w:t>
            </w:r>
            <w:r w:rsidRPr="004D1345">
              <w:t>December 2015 and ECCR Factors for</w:t>
            </w:r>
            <w:r>
              <w:t xml:space="preserve"> </w:t>
            </w:r>
            <w:r w:rsidRPr="004D1345">
              <w:t>Billings in January – December 2016,</w:t>
            </w:r>
            <w:r>
              <w:t xml:space="preserve"> </w:t>
            </w:r>
            <w:r w:rsidRPr="004D1345">
              <w:t>Schedules C1 – C5</w:t>
            </w:r>
            <w:r>
              <w:t>.</w:t>
            </w:r>
          </w:p>
        </w:tc>
      </w:tr>
      <w:tr w:rsidR="00EC0DD2" w:rsidRPr="00701945" w:rsidTr="00FC1944">
        <w:trPr>
          <w:cantSplit/>
          <w:trHeight w:val="353"/>
        </w:trPr>
        <w:tc>
          <w:tcPr>
            <w:tcW w:w="3198" w:type="dxa"/>
          </w:tcPr>
          <w:p w:rsidR="00EC0DD2" w:rsidRPr="00701945" w:rsidRDefault="00EC0DD2" w:rsidP="00511BAB">
            <w:pPr>
              <w:jc w:val="both"/>
            </w:pPr>
            <w:r>
              <w:t>Mark R. Roche</w:t>
            </w:r>
          </w:p>
        </w:tc>
        <w:tc>
          <w:tcPr>
            <w:tcW w:w="1680" w:type="dxa"/>
          </w:tcPr>
          <w:p w:rsidR="00EC0DD2" w:rsidRPr="00701945" w:rsidRDefault="00EC0DD2" w:rsidP="00511BAB">
            <w:pPr>
              <w:jc w:val="center"/>
            </w:pPr>
            <w:r>
              <w:t>TECO</w:t>
            </w:r>
          </w:p>
        </w:tc>
        <w:tc>
          <w:tcPr>
            <w:tcW w:w="1482" w:type="dxa"/>
          </w:tcPr>
          <w:p w:rsidR="00EC0DD2" w:rsidRPr="004515FB" w:rsidRDefault="00EC0DD2" w:rsidP="00511BAB">
            <w:pPr>
              <w:jc w:val="center"/>
            </w:pPr>
            <w:r>
              <w:t>MRR</w:t>
            </w:r>
            <w:r w:rsidRPr="004E26E6">
              <w:t>-1</w:t>
            </w:r>
            <w:r>
              <w:t>,</w:t>
            </w:r>
            <w:r w:rsidRPr="004E26E6">
              <w:t xml:space="preserve"> filed May </w:t>
            </w:r>
            <w:r>
              <w:t>5</w:t>
            </w:r>
            <w:r w:rsidRPr="004E26E6">
              <w:t>, 201</w:t>
            </w:r>
            <w:r>
              <w:t>5</w:t>
            </w:r>
          </w:p>
        </w:tc>
        <w:tc>
          <w:tcPr>
            <w:tcW w:w="3205" w:type="dxa"/>
          </w:tcPr>
          <w:p w:rsidR="00EC0DD2" w:rsidRPr="00701945" w:rsidRDefault="00EC0DD2" w:rsidP="00511BAB">
            <w:r>
              <w:t>Schedules supporting cost recovery factor, actual January 2014 - December 2014.</w:t>
            </w:r>
          </w:p>
        </w:tc>
      </w:tr>
      <w:tr w:rsidR="00EC0DD2" w:rsidRPr="00701945" w:rsidTr="00FC1944">
        <w:trPr>
          <w:cantSplit/>
          <w:trHeight w:val="353"/>
        </w:trPr>
        <w:tc>
          <w:tcPr>
            <w:tcW w:w="3198" w:type="dxa"/>
          </w:tcPr>
          <w:p w:rsidR="00EC0DD2" w:rsidRPr="00701945" w:rsidRDefault="00EC0DD2" w:rsidP="00511BAB">
            <w:pPr>
              <w:jc w:val="both"/>
            </w:pPr>
            <w:r>
              <w:lastRenderedPageBreak/>
              <w:t>Mark R. Roche</w:t>
            </w:r>
          </w:p>
        </w:tc>
        <w:tc>
          <w:tcPr>
            <w:tcW w:w="1680" w:type="dxa"/>
          </w:tcPr>
          <w:p w:rsidR="00EC0DD2" w:rsidRPr="00701945" w:rsidRDefault="00EC0DD2" w:rsidP="00511BAB">
            <w:pPr>
              <w:jc w:val="center"/>
            </w:pPr>
            <w:r>
              <w:t>TECO</w:t>
            </w:r>
          </w:p>
        </w:tc>
        <w:tc>
          <w:tcPr>
            <w:tcW w:w="1482" w:type="dxa"/>
          </w:tcPr>
          <w:p w:rsidR="00EC0DD2" w:rsidRPr="004515FB" w:rsidRDefault="00EC0DD2" w:rsidP="00511BAB">
            <w:pPr>
              <w:jc w:val="center"/>
            </w:pPr>
            <w:r>
              <w:t>MRR-3, filed August 21, 2015</w:t>
            </w:r>
          </w:p>
        </w:tc>
        <w:tc>
          <w:tcPr>
            <w:tcW w:w="3205" w:type="dxa"/>
          </w:tcPr>
          <w:p w:rsidR="00EC0DD2" w:rsidRPr="00701945" w:rsidRDefault="00EC0DD2" w:rsidP="00511BAB">
            <w:r>
              <w:t>Schedules supporting conservation costs projected for the period January 2016 - December 2016.</w:t>
            </w:r>
          </w:p>
        </w:tc>
      </w:tr>
    </w:tbl>
    <w:p w:rsidR="00FC1944" w:rsidRPr="00701945" w:rsidRDefault="00FC1944" w:rsidP="00FC1944">
      <w:pPr>
        <w:jc w:val="both"/>
      </w:pPr>
    </w:p>
    <w:p w:rsidR="00FC1944" w:rsidRPr="00701945" w:rsidRDefault="00FC1944" w:rsidP="00FC1944">
      <w:pPr>
        <w:jc w:val="both"/>
      </w:pPr>
      <w:r w:rsidRPr="00701945">
        <w:tab/>
        <w:t>Parties and Staff reserve the right to identify additional exhibits for the purpose of cross-examination.</w:t>
      </w:r>
    </w:p>
    <w:p w:rsidR="00FC1944" w:rsidRPr="00701945" w:rsidRDefault="00FC1944" w:rsidP="00FC1944">
      <w:pPr>
        <w:jc w:val="both"/>
      </w:pPr>
    </w:p>
    <w:p w:rsidR="00FC1944" w:rsidRPr="00701945" w:rsidRDefault="00FC1944" w:rsidP="00FC1944">
      <w:pPr>
        <w:jc w:val="both"/>
      </w:pPr>
      <w:r w:rsidRPr="00701945">
        <w:t>X.</w:t>
      </w:r>
      <w:r w:rsidRPr="00701945">
        <w:tab/>
      </w:r>
      <w:r w:rsidRPr="00701945">
        <w:rPr>
          <w:u w:val="single"/>
        </w:rPr>
        <w:t>PROPOSED STIPULATIONS</w:t>
      </w:r>
    </w:p>
    <w:p w:rsidR="00FC1944" w:rsidRDefault="00FC1944" w:rsidP="00FC1944">
      <w:pPr>
        <w:jc w:val="both"/>
      </w:pPr>
    </w:p>
    <w:p w:rsidR="0074229A" w:rsidRPr="00DD1BCD" w:rsidRDefault="00DD1BCD" w:rsidP="00DD1BCD">
      <w:pPr>
        <w:ind w:left="720"/>
        <w:jc w:val="both"/>
      </w:pPr>
      <w:r>
        <w:t>The parties have stipulated to issues 1-7, with OPC, FIPUG and PCS Phosphate taking no position.</w:t>
      </w:r>
    </w:p>
    <w:p w:rsidR="00940D87" w:rsidRDefault="00940D87" w:rsidP="00FC1944">
      <w:pPr>
        <w:ind w:left="1440" w:hanging="1440"/>
        <w:jc w:val="both"/>
        <w:rPr>
          <w:bCs/>
        </w:rPr>
      </w:pPr>
    </w:p>
    <w:p w:rsidR="00FC1944" w:rsidRPr="00701945" w:rsidRDefault="00FC1944" w:rsidP="00FC1944">
      <w:pPr>
        <w:jc w:val="both"/>
      </w:pPr>
      <w:r w:rsidRPr="00701945">
        <w:t>XI.</w:t>
      </w:r>
      <w:r w:rsidRPr="00701945">
        <w:tab/>
      </w:r>
      <w:r w:rsidRPr="00701945">
        <w:rPr>
          <w:u w:val="single"/>
        </w:rPr>
        <w:t>PENDING MOTIONS</w:t>
      </w:r>
    </w:p>
    <w:p w:rsidR="00FC1944" w:rsidRPr="00701945" w:rsidRDefault="00FC1944" w:rsidP="00FC1944">
      <w:pPr>
        <w:jc w:val="both"/>
      </w:pPr>
    </w:p>
    <w:p w:rsidR="00FC1944" w:rsidRDefault="000E5807" w:rsidP="002E2030">
      <w:pPr>
        <w:ind w:firstLine="720"/>
        <w:jc w:val="both"/>
      </w:pPr>
      <w:r w:rsidRPr="000E5807">
        <w:t>There are no pending motions at this time.</w:t>
      </w:r>
    </w:p>
    <w:p w:rsidR="00FC1944" w:rsidRPr="00701945" w:rsidRDefault="00FC1944" w:rsidP="00FC1944">
      <w:pPr>
        <w:jc w:val="both"/>
      </w:pPr>
    </w:p>
    <w:p w:rsidR="00FC1944" w:rsidRPr="008838A0" w:rsidRDefault="00FC1944" w:rsidP="00FC1944">
      <w:pPr>
        <w:jc w:val="both"/>
      </w:pPr>
      <w:r w:rsidRPr="008838A0">
        <w:t>XII.</w:t>
      </w:r>
      <w:r w:rsidRPr="008838A0">
        <w:tab/>
      </w:r>
      <w:r w:rsidRPr="008838A0">
        <w:rPr>
          <w:u w:val="single"/>
        </w:rPr>
        <w:t>PENDING CONFIDENTIALITY MATTERS</w:t>
      </w:r>
    </w:p>
    <w:p w:rsidR="00FC1944" w:rsidRDefault="00FC1944" w:rsidP="00FC1944">
      <w:pPr>
        <w:jc w:val="both"/>
      </w:pPr>
    </w:p>
    <w:p w:rsidR="002E2030" w:rsidRPr="002E2030" w:rsidRDefault="002E2030" w:rsidP="002E2030">
      <w:pPr>
        <w:ind w:left="720"/>
        <w:jc w:val="both"/>
        <w:rPr>
          <w:bCs/>
        </w:rPr>
      </w:pPr>
      <w:r>
        <w:rPr>
          <w:bCs/>
        </w:rPr>
        <w:t xml:space="preserve">There are </w:t>
      </w:r>
      <w:r w:rsidR="00F6304C">
        <w:rPr>
          <w:bCs/>
        </w:rPr>
        <w:t>no pending confidentiality matters.</w:t>
      </w:r>
    </w:p>
    <w:p w:rsidR="00940D87" w:rsidRDefault="00940D87" w:rsidP="00FC1944">
      <w:pPr>
        <w:jc w:val="both"/>
      </w:pPr>
    </w:p>
    <w:p w:rsidR="00940D87" w:rsidRDefault="00940D87" w:rsidP="00FC1944">
      <w:pPr>
        <w:jc w:val="both"/>
      </w:pPr>
    </w:p>
    <w:p w:rsidR="00FC1944" w:rsidRPr="00701945" w:rsidRDefault="00FC1944" w:rsidP="00FC1944">
      <w:pPr>
        <w:jc w:val="both"/>
      </w:pPr>
      <w:r>
        <w:t>XIII.</w:t>
      </w:r>
      <w:r>
        <w:tab/>
      </w:r>
      <w:r w:rsidRPr="00701945">
        <w:rPr>
          <w:u w:val="single"/>
        </w:rPr>
        <w:t>POST-HEARING PROCEDURES</w:t>
      </w:r>
    </w:p>
    <w:p w:rsidR="00FC1944" w:rsidRPr="00701945" w:rsidRDefault="00FC1944" w:rsidP="00FC1944">
      <w:pPr>
        <w:jc w:val="both"/>
      </w:pPr>
    </w:p>
    <w:p w:rsidR="00FC1944" w:rsidRPr="00701945" w:rsidRDefault="00FC1944" w:rsidP="00FC1944">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FC1944" w:rsidRPr="00701945" w:rsidRDefault="00FC1944" w:rsidP="00FC1944">
      <w:pPr>
        <w:jc w:val="both"/>
      </w:pPr>
    </w:p>
    <w:p w:rsidR="00FC1944" w:rsidRPr="00441916" w:rsidRDefault="00FC1944" w:rsidP="00FC1944">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017965">
        <w:t>20</w:t>
      </w:r>
      <w:r w:rsidRPr="00701945">
        <w:t xml:space="preserve"> pages</w:t>
      </w:r>
      <w:r w:rsidRPr="00441916">
        <w:t xml:space="preserve"> and shall be filed at the same time.</w:t>
      </w:r>
    </w:p>
    <w:p w:rsidR="00F6304C" w:rsidRPr="00441916" w:rsidRDefault="00F6304C" w:rsidP="00FC1944">
      <w:pPr>
        <w:jc w:val="both"/>
      </w:pPr>
    </w:p>
    <w:p w:rsidR="002E2030" w:rsidRDefault="002E2030" w:rsidP="00FC1944">
      <w:pPr>
        <w:jc w:val="both"/>
      </w:pPr>
    </w:p>
    <w:p w:rsidR="00FC1944" w:rsidRPr="00441916" w:rsidRDefault="00FC1944" w:rsidP="00FC1944">
      <w:pPr>
        <w:jc w:val="both"/>
      </w:pPr>
      <w:r w:rsidRPr="00441916">
        <w:t>XIV.</w:t>
      </w:r>
      <w:r w:rsidRPr="00441916">
        <w:tab/>
      </w:r>
      <w:r w:rsidRPr="00441916">
        <w:rPr>
          <w:u w:val="single"/>
        </w:rPr>
        <w:t>RULINGS</w:t>
      </w:r>
    </w:p>
    <w:p w:rsidR="00FC1944" w:rsidRPr="00441916" w:rsidRDefault="00FC1944" w:rsidP="00FC1944">
      <w:pPr>
        <w:jc w:val="both"/>
      </w:pPr>
    </w:p>
    <w:p w:rsidR="00FC1944" w:rsidRPr="00441916" w:rsidRDefault="00FC1944" w:rsidP="00FC1944">
      <w:pPr>
        <w:ind w:firstLine="720"/>
        <w:jc w:val="both"/>
      </w:pPr>
      <w:r w:rsidRPr="00441916">
        <w:t>Opening statements, if any, shall not exceed</w:t>
      </w:r>
      <w:r w:rsidR="0074229A">
        <w:t xml:space="preserve"> five </w:t>
      </w:r>
      <w:r w:rsidRPr="00441916">
        <w:t xml:space="preserve">minutes per party.  </w:t>
      </w:r>
    </w:p>
    <w:p w:rsidR="00FC1944" w:rsidRDefault="00FC1944" w:rsidP="00FC1944">
      <w:pPr>
        <w:jc w:val="both"/>
      </w:pPr>
    </w:p>
    <w:p w:rsidR="00FC1944" w:rsidRPr="00701945" w:rsidRDefault="00FC1944" w:rsidP="00FC1944">
      <w:pPr>
        <w:jc w:val="both"/>
      </w:pPr>
      <w:r w:rsidRPr="00701945">
        <w:tab/>
        <w:t>It is therefore,</w:t>
      </w:r>
    </w:p>
    <w:p w:rsidR="00FC1944" w:rsidRPr="00701945" w:rsidRDefault="00FC1944" w:rsidP="00FC1944">
      <w:pPr>
        <w:jc w:val="both"/>
      </w:pPr>
    </w:p>
    <w:p w:rsidR="00FC1944" w:rsidRPr="00701945" w:rsidRDefault="00FC1944" w:rsidP="00FC1944">
      <w:pPr>
        <w:jc w:val="both"/>
      </w:pPr>
      <w:r w:rsidRPr="00701945">
        <w:tab/>
        <w:t xml:space="preserve">ORDERED by Commissioner </w:t>
      </w:r>
      <w:r w:rsidR="00441916">
        <w:t>Art Graham</w:t>
      </w:r>
      <w:r w:rsidRPr="00701945">
        <w:t>, as Prehearing Officer, that this Prehearing Order shall govern the conduct of these proceedings as set forth above unless modified by the Commission.</w:t>
      </w:r>
    </w:p>
    <w:p w:rsidR="00FC1944" w:rsidRDefault="00FC1944" w:rsidP="00FC1944">
      <w:pPr>
        <w:jc w:val="both"/>
      </w:pPr>
    </w:p>
    <w:p w:rsidR="00441916" w:rsidRDefault="00441916" w:rsidP="00441916">
      <w:pPr>
        <w:keepNext/>
        <w:keepLines/>
        <w:jc w:val="both"/>
      </w:pPr>
      <w:r>
        <w:tab/>
        <w:t xml:space="preserve">By ORDER of Chairman Art Graham, as Prehearing Officer, this </w:t>
      </w:r>
      <w:bookmarkStart w:id="5" w:name="replaceDate"/>
      <w:bookmarkEnd w:id="5"/>
      <w:r w:rsidR="004D45B1">
        <w:rPr>
          <w:u w:val="single"/>
        </w:rPr>
        <w:t>27th</w:t>
      </w:r>
      <w:r w:rsidR="004D45B1">
        <w:t xml:space="preserve"> day of </w:t>
      </w:r>
      <w:r w:rsidR="004D45B1">
        <w:rPr>
          <w:u w:val="single"/>
        </w:rPr>
        <w:t>October</w:t>
      </w:r>
      <w:r w:rsidR="004D45B1">
        <w:t xml:space="preserve">, </w:t>
      </w:r>
      <w:r w:rsidR="004D45B1">
        <w:rPr>
          <w:u w:val="single"/>
        </w:rPr>
        <w:t>2015</w:t>
      </w:r>
      <w:r w:rsidR="004D45B1">
        <w:t>.</w:t>
      </w:r>
    </w:p>
    <w:p w:rsidR="004D45B1" w:rsidRPr="004D45B1" w:rsidRDefault="004D45B1" w:rsidP="00441916">
      <w:pPr>
        <w:keepNext/>
        <w:keepLines/>
        <w:jc w:val="both"/>
      </w:pPr>
    </w:p>
    <w:p w:rsidR="00441916" w:rsidRDefault="00441916" w:rsidP="00441916">
      <w:pPr>
        <w:keepNext/>
        <w:keepLines/>
        <w:jc w:val="both"/>
      </w:pPr>
    </w:p>
    <w:p w:rsidR="00441916" w:rsidRDefault="00441916" w:rsidP="004419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41916" w:rsidTr="00441916">
        <w:tc>
          <w:tcPr>
            <w:tcW w:w="720" w:type="dxa"/>
            <w:shd w:val="clear" w:color="auto" w:fill="auto"/>
          </w:tcPr>
          <w:p w:rsidR="00441916" w:rsidRDefault="00441916" w:rsidP="00441916">
            <w:pPr>
              <w:keepNext/>
              <w:keepLines/>
              <w:jc w:val="both"/>
            </w:pPr>
            <w:bookmarkStart w:id="6" w:name="bkmrkSignature" w:colFirst="0" w:colLast="0"/>
          </w:p>
        </w:tc>
        <w:tc>
          <w:tcPr>
            <w:tcW w:w="4320" w:type="dxa"/>
            <w:tcBorders>
              <w:bottom w:val="single" w:sz="4" w:space="0" w:color="auto"/>
            </w:tcBorders>
            <w:shd w:val="clear" w:color="auto" w:fill="auto"/>
          </w:tcPr>
          <w:p w:rsidR="00441916" w:rsidRDefault="004D45B1" w:rsidP="00441916">
            <w:pPr>
              <w:keepNext/>
              <w:keepLines/>
              <w:jc w:val="both"/>
            </w:pPr>
            <w:r>
              <w:t>/s/ Art Graham</w:t>
            </w:r>
          </w:p>
        </w:tc>
      </w:tr>
      <w:bookmarkEnd w:id="6"/>
      <w:tr w:rsidR="00441916" w:rsidTr="00441916">
        <w:tc>
          <w:tcPr>
            <w:tcW w:w="720" w:type="dxa"/>
            <w:shd w:val="clear" w:color="auto" w:fill="auto"/>
          </w:tcPr>
          <w:p w:rsidR="00441916" w:rsidRDefault="00441916" w:rsidP="00441916">
            <w:pPr>
              <w:keepNext/>
              <w:keepLines/>
              <w:jc w:val="both"/>
            </w:pPr>
          </w:p>
        </w:tc>
        <w:tc>
          <w:tcPr>
            <w:tcW w:w="4320" w:type="dxa"/>
            <w:tcBorders>
              <w:top w:val="single" w:sz="4" w:space="0" w:color="auto"/>
            </w:tcBorders>
            <w:shd w:val="clear" w:color="auto" w:fill="auto"/>
          </w:tcPr>
          <w:p w:rsidR="00441916" w:rsidRDefault="00441916" w:rsidP="00441916">
            <w:pPr>
              <w:keepNext/>
              <w:keepLines/>
              <w:jc w:val="both"/>
            </w:pPr>
            <w:r>
              <w:t>ART GRAHAM</w:t>
            </w:r>
          </w:p>
          <w:p w:rsidR="00441916" w:rsidRDefault="00441916" w:rsidP="00441916">
            <w:pPr>
              <w:keepNext/>
              <w:keepLines/>
              <w:jc w:val="both"/>
            </w:pPr>
            <w:r>
              <w:t>Chairman and Prehearing Officer</w:t>
            </w:r>
          </w:p>
        </w:tc>
      </w:tr>
    </w:tbl>
    <w:p w:rsidR="00441916" w:rsidRDefault="00441916" w:rsidP="00441916">
      <w:pPr>
        <w:pStyle w:val="OrderSigInfo"/>
        <w:keepNext/>
        <w:keepLines/>
      </w:pPr>
      <w:r>
        <w:t>Florida Public Service Commission</w:t>
      </w:r>
    </w:p>
    <w:p w:rsidR="00441916" w:rsidRDefault="00441916" w:rsidP="00441916">
      <w:pPr>
        <w:pStyle w:val="OrderSigInfo"/>
        <w:keepNext/>
        <w:keepLines/>
      </w:pPr>
      <w:r>
        <w:t>2540 Shumard Oak Boulevard</w:t>
      </w:r>
    </w:p>
    <w:p w:rsidR="00441916" w:rsidRDefault="00441916" w:rsidP="00441916">
      <w:pPr>
        <w:pStyle w:val="OrderSigInfo"/>
        <w:keepNext/>
        <w:keepLines/>
      </w:pPr>
      <w:r>
        <w:t>Tallahassee, Florida  32399</w:t>
      </w:r>
    </w:p>
    <w:p w:rsidR="00441916" w:rsidRDefault="00441916" w:rsidP="00441916">
      <w:pPr>
        <w:pStyle w:val="OrderSigInfo"/>
        <w:keepNext/>
        <w:keepLines/>
      </w:pPr>
      <w:r>
        <w:t>(850) 413</w:t>
      </w:r>
      <w:r>
        <w:noBreakHyphen/>
        <w:t>6770</w:t>
      </w:r>
    </w:p>
    <w:p w:rsidR="00441916" w:rsidRDefault="00441916" w:rsidP="00441916">
      <w:pPr>
        <w:pStyle w:val="OrderSigInfo"/>
        <w:keepNext/>
        <w:keepLines/>
      </w:pPr>
      <w:r>
        <w:t>www.floridapsc.com</w:t>
      </w:r>
    </w:p>
    <w:p w:rsidR="00441916" w:rsidRDefault="00441916" w:rsidP="00441916">
      <w:pPr>
        <w:pStyle w:val="OrderSigInfo"/>
        <w:keepNext/>
        <w:keepLines/>
      </w:pPr>
    </w:p>
    <w:p w:rsidR="00441916" w:rsidRDefault="00441916" w:rsidP="00441916">
      <w:pPr>
        <w:pStyle w:val="OrderSigInfo"/>
        <w:keepNext/>
        <w:keepLines/>
      </w:pPr>
      <w:r>
        <w:t>Copies furnished:  A copy of this document is provided to the parties of record at the time of issuance and, if applicable, interested persons.</w:t>
      </w:r>
    </w:p>
    <w:p w:rsidR="00441916" w:rsidRDefault="00441916" w:rsidP="00441916">
      <w:pPr>
        <w:pStyle w:val="OrderBody"/>
        <w:keepNext/>
        <w:keepLines/>
      </w:pPr>
    </w:p>
    <w:p w:rsidR="00441916" w:rsidRDefault="00441916" w:rsidP="00441916">
      <w:pPr>
        <w:keepNext/>
        <w:keepLines/>
        <w:jc w:val="both"/>
      </w:pPr>
    </w:p>
    <w:p w:rsidR="00441916" w:rsidRDefault="00441916" w:rsidP="00441916">
      <w:pPr>
        <w:keepNext/>
        <w:keepLines/>
        <w:jc w:val="both"/>
      </w:pPr>
      <w:r>
        <w:t>TLT</w:t>
      </w:r>
    </w:p>
    <w:p w:rsidR="00441916" w:rsidRDefault="00441916" w:rsidP="00FC1944">
      <w:pPr>
        <w:jc w:val="both"/>
      </w:pPr>
    </w:p>
    <w:p w:rsidR="00441916" w:rsidRDefault="00441916" w:rsidP="00FC1944">
      <w:pPr>
        <w:jc w:val="both"/>
      </w:pPr>
    </w:p>
    <w:p w:rsidR="00441916" w:rsidRDefault="00441916" w:rsidP="00FC1944">
      <w:pPr>
        <w:jc w:val="both"/>
      </w:pPr>
    </w:p>
    <w:p w:rsidR="00441916" w:rsidRDefault="00441916" w:rsidP="00FC1944">
      <w:pPr>
        <w:jc w:val="both"/>
      </w:pPr>
    </w:p>
    <w:p w:rsidR="00441916" w:rsidRDefault="00441916" w:rsidP="00441916">
      <w:pPr>
        <w:pStyle w:val="CenterUnderline"/>
      </w:pPr>
      <w:r>
        <w:t>NOTICE OF FURTHER PROCEEDINGS OR JUDICIAL REVIEW</w:t>
      </w:r>
    </w:p>
    <w:p w:rsidR="00FC1944" w:rsidRDefault="00FC1944" w:rsidP="00441916">
      <w:pPr>
        <w:pStyle w:val="CenterUnderline"/>
        <w:rPr>
          <w:u w:val="none"/>
        </w:rPr>
      </w:pPr>
    </w:p>
    <w:p w:rsidR="00441916" w:rsidRDefault="00441916" w:rsidP="004419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1916" w:rsidRDefault="00441916" w:rsidP="00441916">
      <w:pPr>
        <w:pStyle w:val="OrderBody"/>
      </w:pPr>
    </w:p>
    <w:p w:rsidR="00441916" w:rsidRDefault="00441916" w:rsidP="00441916">
      <w:pPr>
        <w:pStyle w:val="OrderBody"/>
      </w:pPr>
      <w:r>
        <w:tab/>
        <w:t>Mediation may be available on a case-by-case basis.  If mediation is conducted, it does not affect a substantially interested person's right to a hearing.</w:t>
      </w:r>
    </w:p>
    <w:p w:rsidR="00441916" w:rsidRDefault="00441916" w:rsidP="00441916">
      <w:pPr>
        <w:pStyle w:val="OrderBody"/>
      </w:pPr>
    </w:p>
    <w:p w:rsidR="00A930CE" w:rsidRDefault="00441916" w:rsidP="0044191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p>
    <w:p w:rsidR="00441916" w:rsidRDefault="00441916" w:rsidP="00441916">
      <w:pPr>
        <w:pStyle w:val="OrderBody"/>
      </w:pP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F2" w:rsidRDefault="004F67F2">
      <w:r>
        <w:separator/>
      </w:r>
    </w:p>
  </w:endnote>
  <w:endnote w:type="continuationSeparator" w:id="0">
    <w:p w:rsidR="004F67F2" w:rsidRDefault="004F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2" w:rsidRDefault="004F67F2">
    <w:pPr>
      <w:pStyle w:val="Footer"/>
    </w:pPr>
  </w:p>
  <w:p w:rsidR="004F67F2" w:rsidRDefault="004F6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F2" w:rsidRDefault="004F67F2">
      <w:r>
        <w:separator/>
      </w:r>
    </w:p>
  </w:footnote>
  <w:footnote w:type="continuationSeparator" w:id="0">
    <w:p w:rsidR="004F67F2" w:rsidRDefault="004F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2" w:rsidRDefault="004F67F2">
    <w:pPr>
      <w:pStyle w:val="OrderHeader"/>
    </w:pPr>
    <w:r>
      <w:t xml:space="preserve">ORDER NO. </w:t>
    </w:r>
    <w:fldSimple w:instr=" REF OrderNo0606 ">
      <w:r w:rsidR="00E93DDA">
        <w:t>PSC-15-0506-PHO-EG</w:t>
      </w:r>
    </w:fldSimple>
  </w:p>
  <w:p w:rsidR="004F67F2" w:rsidRDefault="004F67F2">
    <w:pPr>
      <w:pStyle w:val="OrderHeader"/>
    </w:pPr>
    <w:bookmarkStart w:id="7" w:name="HeaderDocketNo"/>
    <w:bookmarkEnd w:id="7"/>
    <w:r>
      <w:t>DOCKET NO. 150002-EG</w:t>
    </w:r>
  </w:p>
  <w:p w:rsidR="004F67F2" w:rsidRDefault="004F67F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3DDA">
      <w:rPr>
        <w:rStyle w:val="PageNumber"/>
        <w:noProof/>
      </w:rPr>
      <w:t>2</w:t>
    </w:r>
    <w:r>
      <w:rPr>
        <w:rStyle w:val="PageNumber"/>
      </w:rPr>
      <w:fldChar w:fldCharType="end"/>
    </w:r>
  </w:p>
  <w:p w:rsidR="004F67F2" w:rsidRDefault="004F67F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CAE"/>
    <w:multiLevelType w:val="hybridMultilevel"/>
    <w:tmpl w:val="0A06ED30"/>
    <w:lvl w:ilvl="0" w:tplc="A3BCE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065E3"/>
    <w:multiLevelType w:val="hybridMultilevel"/>
    <w:tmpl w:val="76365300"/>
    <w:lvl w:ilvl="0" w:tplc="3C6AF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430A11FE"/>
    <w:multiLevelType w:val="hybridMultilevel"/>
    <w:tmpl w:val="BFD29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3602F2"/>
    <w:multiLevelType w:val="hybridMultilevel"/>
    <w:tmpl w:val="C7C2DC98"/>
    <w:lvl w:ilvl="0" w:tplc="BC8E3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2-EG"/>
  </w:docVars>
  <w:rsids>
    <w:rsidRoot w:val="00FC1944"/>
    <w:rsid w:val="000022B8"/>
    <w:rsid w:val="00002704"/>
    <w:rsid w:val="00007C01"/>
    <w:rsid w:val="0001341F"/>
    <w:rsid w:val="00015291"/>
    <w:rsid w:val="00017965"/>
    <w:rsid w:val="000368E1"/>
    <w:rsid w:val="00053AB9"/>
    <w:rsid w:val="00056229"/>
    <w:rsid w:val="00065FC2"/>
    <w:rsid w:val="00090AFC"/>
    <w:rsid w:val="000D06E8"/>
    <w:rsid w:val="000E344D"/>
    <w:rsid w:val="000E5807"/>
    <w:rsid w:val="000F3B2C"/>
    <w:rsid w:val="000F7BE3"/>
    <w:rsid w:val="00116AD3"/>
    <w:rsid w:val="00126593"/>
    <w:rsid w:val="00142A96"/>
    <w:rsid w:val="00142B44"/>
    <w:rsid w:val="00187E32"/>
    <w:rsid w:val="00194E81"/>
    <w:rsid w:val="001A33C9"/>
    <w:rsid w:val="001D008A"/>
    <w:rsid w:val="001D317C"/>
    <w:rsid w:val="002002ED"/>
    <w:rsid w:val="0022721A"/>
    <w:rsid w:val="00230BB9"/>
    <w:rsid w:val="00252B30"/>
    <w:rsid w:val="002A11AC"/>
    <w:rsid w:val="002A6F30"/>
    <w:rsid w:val="002A76E2"/>
    <w:rsid w:val="002A7FE1"/>
    <w:rsid w:val="002C7E66"/>
    <w:rsid w:val="002D7D15"/>
    <w:rsid w:val="002E2030"/>
    <w:rsid w:val="002F2329"/>
    <w:rsid w:val="00303FDE"/>
    <w:rsid w:val="003140E8"/>
    <w:rsid w:val="003231C7"/>
    <w:rsid w:val="00331ED0"/>
    <w:rsid w:val="00341C72"/>
    <w:rsid w:val="00353DB6"/>
    <w:rsid w:val="0035495B"/>
    <w:rsid w:val="00366F2B"/>
    <w:rsid w:val="003744F5"/>
    <w:rsid w:val="003801E7"/>
    <w:rsid w:val="00390DD8"/>
    <w:rsid w:val="00394DC6"/>
    <w:rsid w:val="00397C3E"/>
    <w:rsid w:val="003D49DC"/>
    <w:rsid w:val="003D4CCA"/>
    <w:rsid w:val="003D6416"/>
    <w:rsid w:val="003E1D48"/>
    <w:rsid w:val="0042527B"/>
    <w:rsid w:val="00441916"/>
    <w:rsid w:val="00443B7A"/>
    <w:rsid w:val="00457DC7"/>
    <w:rsid w:val="00472BCC"/>
    <w:rsid w:val="004A25CD"/>
    <w:rsid w:val="004A26CC"/>
    <w:rsid w:val="004B2108"/>
    <w:rsid w:val="004B3A2B"/>
    <w:rsid w:val="004C2865"/>
    <w:rsid w:val="004D1345"/>
    <w:rsid w:val="004D2D1B"/>
    <w:rsid w:val="004D45B1"/>
    <w:rsid w:val="004E5ED1"/>
    <w:rsid w:val="004F2DDE"/>
    <w:rsid w:val="004F67F2"/>
    <w:rsid w:val="0050097F"/>
    <w:rsid w:val="00511BAB"/>
    <w:rsid w:val="00514B1F"/>
    <w:rsid w:val="00524866"/>
    <w:rsid w:val="00556A10"/>
    <w:rsid w:val="005963C2"/>
    <w:rsid w:val="005B45F7"/>
    <w:rsid w:val="005B63EA"/>
    <w:rsid w:val="00644B29"/>
    <w:rsid w:val="00660774"/>
    <w:rsid w:val="00665CC7"/>
    <w:rsid w:val="006A0BF3"/>
    <w:rsid w:val="006B0DA6"/>
    <w:rsid w:val="006C547E"/>
    <w:rsid w:val="00704C5D"/>
    <w:rsid w:val="00733B6B"/>
    <w:rsid w:val="0074229A"/>
    <w:rsid w:val="00744A44"/>
    <w:rsid w:val="0076170F"/>
    <w:rsid w:val="0076669C"/>
    <w:rsid w:val="00771E72"/>
    <w:rsid w:val="007865E9"/>
    <w:rsid w:val="00792383"/>
    <w:rsid w:val="007A13CD"/>
    <w:rsid w:val="007D3D20"/>
    <w:rsid w:val="007E3AFD"/>
    <w:rsid w:val="007F6444"/>
    <w:rsid w:val="00803189"/>
    <w:rsid w:val="00804E7A"/>
    <w:rsid w:val="00805FBB"/>
    <w:rsid w:val="008169A4"/>
    <w:rsid w:val="008278FE"/>
    <w:rsid w:val="00832598"/>
    <w:rsid w:val="0083397E"/>
    <w:rsid w:val="0083534B"/>
    <w:rsid w:val="00863A66"/>
    <w:rsid w:val="00864CE4"/>
    <w:rsid w:val="0086658A"/>
    <w:rsid w:val="00874429"/>
    <w:rsid w:val="00883D9A"/>
    <w:rsid w:val="008919EF"/>
    <w:rsid w:val="008C6A5B"/>
    <w:rsid w:val="008E26A5"/>
    <w:rsid w:val="008E42D2"/>
    <w:rsid w:val="009040EE"/>
    <w:rsid w:val="009057FD"/>
    <w:rsid w:val="00922A7F"/>
    <w:rsid w:val="00923A5E"/>
    <w:rsid w:val="00940D87"/>
    <w:rsid w:val="00994100"/>
    <w:rsid w:val="009A1121"/>
    <w:rsid w:val="009D4C29"/>
    <w:rsid w:val="00A13ABA"/>
    <w:rsid w:val="00A62DAB"/>
    <w:rsid w:val="00A726A6"/>
    <w:rsid w:val="00A87B4D"/>
    <w:rsid w:val="00A930CE"/>
    <w:rsid w:val="00A97535"/>
    <w:rsid w:val="00AA73F1"/>
    <w:rsid w:val="00AB0E1A"/>
    <w:rsid w:val="00AB1A30"/>
    <w:rsid w:val="00AC3647"/>
    <w:rsid w:val="00AD1ED3"/>
    <w:rsid w:val="00B06441"/>
    <w:rsid w:val="00B0777D"/>
    <w:rsid w:val="00B4057A"/>
    <w:rsid w:val="00B40894"/>
    <w:rsid w:val="00B45E75"/>
    <w:rsid w:val="00B50876"/>
    <w:rsid w:val="00B55EE5"/>
    <w:rsid w:val="00B73DE6"/>
    <w:rsid w:val="00B75BFF"/>
    <w:rsid w:val="00B86EF0"/>
    <w:rsid w:val="00B97900"/>
    <w:rsid w:val="00BA44A8"/>
    <w:rsid w:val="00BF6691"/>
    <w:rsid w:val="00C028FC"/>
    <w:rsid w:val="00C37429"/>
    <w:rsid w:val="00C52C07"/>
    <w:rsid w:val="00C54164"/>
    <w:rsid w:val="00C66692"/>
    <w:rsid w:val="00C91123"/>
    <w:rsid w:val="00CA71FF"/>
    <w:rsid w:val="00CB5276"/>
    <w:rsid w:val="00CB68D7"/>
    <w:rsid w:val="00CC7E68"/>
    <w:rsid w:val="00CD7132"/>
    <w:rsid w:val="00D30B48"/>
    <w:rsid w:val="00D46FAA"/>
    <w:rsid w:val="00D57BB2"/>
    <w:rsid w:val="00D8560E"/>
    <w:rsid w:val="00D8758F"/>
    <w:rsid w:val="00DC1D94"/>
    <w:rsid w:val="00DD1BCD"/>
    <w:rsid w:val="00DE057F"/>
    <w:rsid w:val="00DE2082"/>
    <w:rsid w:val="00DE2289"/>
    <w:rsid w:val="00DE7F28"/>
    <w:rsid w:val="00DF69EF"/>
    <w:rsid w:val="00E04410"/>
    <w:rsid w:val="00E11351"/>
    <w:rsid w:val="00E56169"/>
    <w:rsid w:val="00E93DDA"/>
    <w:rsid w:val="00EA172C"/>
    <w:rsid w:val="00EA259B"/>
    <w:rsid w:val="00EA35A3"/>
    <w:rsid w:val="00EA3E6A"/>
    <w:rsid w:val="00EB18EF"/>
    <w:rsid w:val="00EC0DD2"/>
    <w:rsid w:val="00EE17DF"/>
    <w:rsid w:val="00EF4621"/>
    <w:rsid w:val="00F277B6"/>
    <w:rsid w:val="00F54380"/>
    <w:rsid w:val="00F547A3"/>
    <w:rsid w:val="00F54B47"/>
    <w:rsid w:val="00F6304C"/>
    <w:rsid w:val="00F70E84"/>
    <w:rsid w:val="00F93802"/>
    <w:rsid w:val="00FA6EFD"/>
    <w:rsid w:val="00FB74EA"/>
    <w:rsid w:val="00FC1944"/>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C1944"/>
    <w:pPr>
      <w:autoSpaceDE w:val="0"/>
      <w:autoSpaceDN w:val="0"/>
      <w:adjustRightInd w:val="0"/>
      <w:ind w:left="1440"/>
    </w:pPr>
    <w:rPr>
      <w:sz w:val="24"/>
      <w:szCs w:val="24"/>
    </w:rPr>
  </w:style>
  <w:style w:type="paragraph" w:customStyle="1" w:styleId="IssueHeading">
    <w:name w:val="Issue Heading"/>
    <w:basedOn w:val="Heading3"/>
    <w:next w:val="Normal"/>
    <w:rsid w:val="00C54164"/>
    <w:pPr>
      <w:spacing w:before="240" w:after="60"/>
      <w:ind w:firstLine="0"/>
    </w:pPr>
    <w:rPr>
      <w:rFonts w:cs="Arial"/>
      <w:b/>
      <w:bCs/>
      <w:szCs w:val="26"/>
    </w:rPr>
  </w:style>
  <w:style w:type="paragraph" w:customStyle="1" w:styleId="PositionHeading">
    <w:name w:val="Position Heading"/>
    <w:basedOn w:val="IssueHeading"/>
    <w:next w:val="Normal"/>
    <w:rsid w:val="00C54164"/>
    <w:pPr>
      <w:outlineLvl w:val="3"/>
    </w:pPr>
  </w:style>
  <w:style w:type="paragraph" w:customStyle="1" w:styleId="PrehearingBody">
    <w:name w:val="Prehearing Body"/>
    <w:basedOn w:val="Normal"/>
    <w:link w:val="PrehearingBodyCharChar"/>
    <w:rsid w:val="00F93802"/>
    <w:pPr>
      <w:spacing w:after="240"/>
      <w:ind w:firstLine="720"/>
      <w:jc w:val="both"/>
    </w:pPr>
  </w:style>
  <w:style w:type="character" w:customStyle="1" w:styleId="PrehearingBodyCharChar">
    <w:name w:val="Prehearing Body Char Char"/>
    <w:link w:val="PrehearingBody"/>
    <w:rsid w:val="00F93802"/>
    <w:rPr>
      <w:sz w:val="24"/>
      <w:szCs w:val="24"/>
    </w:rPr>
  </w:style>
  <w:style w:type="paragraph" w:styleId="ListParagraph">
    <w:name w:val="List Paragraph"/>
    <w:basedOn w:val="Normal"/>
    <w:uiPriority w:val="34"/>
    <w:qFormat/>
    <w:rsid w:val="00940D87"/>
    <w:pPr>
      <w:ind w:left="720"/>
      <w:contextualSpacing/>
    </w:pPr>
    <w:rPr>
      <w:sz w:val="20"/>
      <w:szCs w:val="20"/>
    </w:rPr>
  </w:style>
  <w:style w:type="paragraph" w:customStyle="1" w:styleId="ccSubsequentLines">
    <w:name w:val="cc_SubsequentLines"/>
    <w:basedOn w:val="Normal"/>
    <w:rsid w:val="00C37429"/>
    <w:pPr>
      <w:ind w:left="720"/>
      <w:jc w:val="both"/>
    </w:pPr>
    <w:rPr>
      <w:szCs w:val="20"/>
    </w:rPr>
  </w:style>
  <w:style w:type="character" w:customStyle="1" w:styleId="WitnessandExhibitTableHeader">
    <w:name w:val="Witness and Exhibit Table Header"/>
    <w:rsid w:val="00C37429"/>
    <w:rPr>
      <w:u w:val="single"/>
    </w:rPr>
  </w:style>
  <w:style w:type="paragraph" w:customStyle="1" w:styleId="QuickA">
    <w:name w:val="Quick A."/>
    <w:rsid w:val="00A87B4D"/>
    <w:pPr>
      <w:widowControl w:val="0"/>
      <w:ind w:left="-2160"/>
    </w:pPr>
    <w:rPr>
      <w:snapToGrid w:val="0"/>
      <w:sz w:val="24"/>
    </w:rPr>
  </w:style>
  <w:style w:type="paragraph" w:styleId="NoSpacing">
    <w:name w:val="No Spacing"/>
    <w:uiPriority w:val="1"/>
    <w:qFormat/>
    <w:rsid w:val="002F2329"/>
    <w:rPr>
      <w:sz w:val="24"/>
      <w:szCs w:val="24"/>
    </w:rPr>
  </w:style>
  <w:style w:type="paragraph" w:styleId="BalloonText">
    <w:name w:val="Balloon Text"/>
    <w:basedOn w:val="Normal"/>
    <w:link w:val="BalloonTextChar"/>
    <w:rsid w:val="00AC3647"/>
    <w:rPr>
      <w:rFonts w:ascii="Tahoma" w:hAnsi="Tahoma" w:cs="Tahoma"/>
      <w:sz w:val="16"/>
      <w:szCs w:val="16"/>
    </w:rPr>
  </w:style>
  <w:style w:type="character" w:customStyle="1" w:styleId="BalloonTextChar">
    <w:name w:val="Balloon Text Char"/>
    <w:basedOn w:val="DefaultParagraphFont"/>
    <w:link w:val="BalloonText"/>
    <w:rsid w:val="00AC3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C1944"/>
    <w:pPr>
      <w:autoSpaceDE w:val="0"/>
      <w:autoSpaceDN w:val="0"/>
      <w:adjustRightInd w:val="0"/>
      <w:ind w:left="1440"/>
    </w:pPr>
    <w:rPr>
      <w:sz w:val="24"/>
      <w:szCs w:val="24"/>
    </w:rPr>
  </w:style>
  <w:style w:type="paragraph" w:customStyle="1" w:styleId="IssueHeading">
    <w:name w:val="Issue Heading"/>
    <w:basedOn w:val="Heading3"/>
    <w:next w:val="Normal"/>
    <w:rsid w:val="00C54164"/>
    <w:pPr>
      <w:spacing w:before="240" w:after="60"/>
      <w:ind w:firstLine="0"/>
    </w:pPr>
    <w:rPr>
      <w:rFonts w:cs="Arial"/>
      <w:b/>
      <w:bCs/>
      <w:szCs w:val="26"/>
    </w:rPr>
  </w:style>
  <w:style w:type="paragraph" w:customStyle="1" w:styleId="PositionHeading">
    <w:name w:val="Position Heading"/>
    <w:basedOn w:val="IssueHeading"/>
    <w:next w:val="Normal"/>
    <w:rsid w:val="00C54164"/>
    <w:pPr>
      <w:outlineLvl w:val="3"/>
    </w:pPr>
  </w:style>
  <w:style w:type="paragraph" w:customStyle="1" w:styleId="PrehearingBody">
    <w:name w:val="Prehearing Body"/>
    <w:basedOn w:val="Normal"/>
    <w:link w:val="PrehearingBodyCharChar"/>
    <w:rsid w:val="00F93802"/>
    <w:pPr>
      <w:spacing w:after="240"/>
      <w:ind w:firstLine="720"/>
      <w:jc w:val="both"/>
    </w:pPr>
  </w:style>
  <w:style w:type="character" w:customStyle="1" w:styleId="PrehearingBodyCharChar">
    <w:name w:val="Prehearing Body Char Char"/>
    <w:link w:val="PrehearingBody"/>
    <w:rsid w:val="00F93802"/>
    <w:rPr>
      <w:sz w:val="24"/>
      <w:szCs w:val="24"/>
    </w:rPr>
  </w:style>
  <w:style w:type="paragraph" w:styleId="ListParagraph">
    <w:name w:val="List Paragraph"/>
    <w:basedOn w:val="Normal"/>
    <w:uiPriority w:val="34"/>
    <w:qFormat/>
    <w:rsid w:val="00940D87"/>
    <w:pPr>
      <w:ind w:left="720"/>
      <w:contextualSpacing/>
    </w:pPr>
    <w:rPr>
      <w:sz w:val="20"/>
      <w:szCs w:val="20"/>
    </w:rPr>
  </w:style>
  <w:style w:type="paragraph" w:customStyle="1" w:styleId="ccSubsequentLines">
    <w:name w:val="cc_SubsequentLines"/>
    <w:basedOn w:val="Normal"/>
    <w:rsid w:val="00C37429"/>
    <w:pPr>
      <w:ind w:left="720"/>
      <w:jc w:val="both"/>
    </w:pPr>
    <w:rPr>
      <w:szCs w:val="20"/>
    </w:rPr>
  </w:style>
  <w:style w:type="character" w:customStyle="1" w:styleId="WitnessandExhibitTableHeader">
    <w:name w:val="Witness and Exhibit Table Header"/>
    <w:rsid w:val="00C37429"/>
    <w:rPr>
      <w:u w:val="single"/>
    </w:rPr>
  </w:style>
  <w:style w:type="paragraph" w:customStyle="1" w:styleId="QuickA">
    <w:name w:val="Quick A."/>
    <w:rsid w:val="00A87B4D"/>
    <w:pPr>
      <w:widowControl w:val="0"/>
      <w:ind w:left="-2160"/>
    </w:pPr>
    <w:rPr>
      <w:snapToGrid w:val="0"/>
      <w:sz w:val="24"/>
    </w:rPr>
  </w:style>
  <w:style w:type="paragraph" w:styleId="NoSpacing">
    <w:name w:val="No Spacing"/>
    <w:uiPriority w:val="1"/>
    <w:qFormat/>
    <w:rsid w:val="002F2329"/>
    <w:rPr>
      <w:sz w:val="24"/>
      <w:szCs w:val="24"/>
    </w:rPr>
  </w:style>
  <w:style w:type="paragraph" w:styleId="BalloonText">
    <w:name w:val="Balloon Text"/>
    <w:basedOn w:val="Normal"/>
    <w:link w:val="BalloonTextChar"/>
    <w:rsid w:val="00AC3647"/>
    <w:rPr>
      <w:rFonts w:ascii="Tahoma" w:hAnsi="Tahoma" w:cs="Tahoma"/>
      <w:sz w:val="16"/>
      <w:szCs w:val="16"/>
    </w:rPr>
  </w:style>
  <w:style w:type="character" w:customStyle="1" w:styleId="BalloonTextChar">
    <w:name w:val="Balloon Text Char"/>
    <w:basedOn w:val="DefaultParagraphFont"/>
    <w:link w:val="BalloonText"/>
    <w:rsid w:val="00AC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6955">
      <w:bodyDiv w:val="1"/>
      <w:marLeft w:val="0"/>
      <w:marRight w:val="0"/>
      <w:marTop w:val="0"/>
      <w:marBottom w:val="0"/>
      <w:divBdr>
        <w:top w:val="none" w:sz="0" w:space="0" w:color="auto"/>
        <w:left w:val="none" w:sz="0" w:space="0" w:color="auto"/>
        <w:bottom w:val="none" w:sz="0" w:space="0" w:color="auto"/>
        <w:right w:val="none" w:sz="0" w:space="0" w:color="auto"/>
      </w:divBdr>
    </w:div>
    <w:div w:id="621686852">
      <w:bodyDiv w:val="1"/>
      <w:marLeft w:val="0"/>
      <w:marRight w:val="0"/>
      <w:marTop w:val="0"/>
      <w:marBottom w:val="0"/>
      <w:divBdr>
        <w:top w:val="none" w:sz="0" w:space="0" w:color="auto"/>
        <w:left w:val="none" w:sz="0" w:space="0" w:color="auto"/>
        <w:bottom w:val="none" w:sz="0" w:space="0" w:color="auto"/>
        <w:right w:val="none" w:sz="0" w:space="0" w:color="auto"/>
      </w:divBdr>
    </w:div>
    <w:div w:id="1048920014">
      <w:bodyDiv w:val="1"/>
      <w:marLeft w:val="0"/>
      <w:marRight w:val="0"/>
      <w:marTop w:val="0"/>
      <w:marBottom w:val="0"/>
      <w:divBdr>
        <w:top w:val="none" w:sz="0" w:space="0" w:color="auto"/>
        <w:left w:val="none" w:sz="0" w:space="0" w:color="auto"/>
        <w:bottom w:val="none" w:sz="0" w:space="0" w:color="auto"/>
        <w:right w:val="none" w:sz="0" w:space="0" w:color="auto"/>
      </w:divBdr>
    </w:div>
    <w:div w:id="1543906827">
      <w:bodyDiv w:val="1"/>
      <w:marLeft w:val="0"/>
      <w:marRight w:val="0"/>
      <w:marTop w:val="0"/>
      <w:marBottom w:val="0"/>
      <w:divBdr>
        <w:top w:val="none" w:sz="0" w:space="0" w:color="auto"/>
        <w:left w:val="none" w:sz="0" w:space="0" w:color="auto"/>
        <w:bottom w:val="none" w:sz="0" w:space="0" w:color="auto"/>
        <w:right w:val="none" w:sz="0" w:space="0" w:color="auto"/>
      </w:divBdr>
    </w:div>
    <w:div w:id="20363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15</Pages>
  <Words>3783</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8</cp:revision>
  <cp:lastPrinted>2015-10-27T19:16:00Z</cp:lastPrinted>
  <dcterms:created xsi:type="dcterms:W3CDTF">2015-10-27T18:48:00Z</dcterms:created>
  <dcterms:modified xsi:type="dcterms:W3CDTF">2015-10-27T19:16:00Z</dcterms:modified>
</cp:coreProperties>
</file>