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434769">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34769">
            <w:pPr>
              <w:pStyle w:val="MemoHeading"/>
            </w:pPr>
            <w:bookmarkStart w:id="1" w:name="FilingDate"/>
            <w:r>
              <w:t>November 22,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34769" w:rsidRDefault="00434769">
            <w:pPr>
              <w:pStyle w:val="MemoHeading"/>
            </w:pPr>
            <w:bookmarkStart w:id="2" w:name="From"/>
            <w:r>
              <w:t>Division of Economics (Higgins)</w:t>
            </w:r>
          </w:p>
          <w:p w:rsidR="00434769" w:rsidRDefault="00434769">
            <w:pPr>
              <w:pStyle w:val="MemoHeading"/>
            </w:pPr>
            <w:r>
              <w:t>Division of Account</w:t>
            </w:r>
            <w:r w:rsidR="00596D4F">
              <w:t>ing and Finance (</w:t>
            </w:r>
            <w:r>
              <w:t>Cicchetti</w:t>
            </w:r>
            <w:r w:rsidR="00AF3D13">
              <w:t>, Wolmers</w:t>
            </w:r>
            <w:r>
              <w:t>)</w:t>
            </w:r>
          </w:p>
          <w:p w:rsidR="007C0528" w:rsidRDefault="00434769">
            <w:pPr>
              <w:pStyle w:val="MemoHeading"/>
            </w:pPr>
            <w:r>
              <w:t>Office of the General Counsel (Leathers)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34769">
            <w:pPr>
              <w:pStyle w:val="MemoHeadingRe"/>
            </w:pPr>
            <w:bookmarkStart w:id="3" w:name="Re"/>
            <w:r>
              <w:t>Docket No. 160174-GU – Request for approval of 2016 depreciat</w:t>
            </w:r>
            <w:r w:rsidR="00490E12">
              <w:t>ion study by Sebring Gas System</w:t>
            </w:r>
            <w:r>
              <w:t>,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34769">
            <w:pPr>
              <w:pStyle w:val="MemoHeading"/>
            </w:pPr>
            <w:bookmarkStart w:id="4" w:name="AgendaDate"/>
            <w:r>
              <w:t>12/06/16</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3476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34769">
            <w:pPr>
              <w:pStyle w:val="MemoHeading"/>
            </w:pPr>
            <w:bookmarkStart w:id="7" w:name="PrehearingOfficer"/>
            <w:r>
              <w:t>Patronis</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34769">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34769">
            <w:pPr>
              <w:pStyle w:val="MemoHeading"/>
            </w:pPr>
            <w:bookmarkStart w:id="10" w:name="SpecialInstructions"/>
            <w:r>
              <w:t>None</w:t>
            </w:r>
            <w:bookmarkEnd w:id="10"/>
          </w:p>
        </w:tc>
      </w:tr>
    </w:tbl>
    <w:p w:rsidR="007C0528" w:rsidRDefault="007C0528">
      <w:pPr>
        <w:pStyle w:val="BodyText"/>
      </w:pPr>
    </w:p>
    <w:p w:rsidR="007C0528" w:rsidRPr="007E013B" w:rsidRDefault="007C0528">
      <w:pPr>
        <w:pStyle w:val="RecommendationMajorSectionHeading"/>
      </w:pPr>
      <w:bookmarkStart w:id="11" w:name="RecToC"/>
      <w:bookmarkEnd w:id="11"/>
      <w:r w:rsidRPr="007E013B">
        <w:t xml:space="preserve"> </w:t>
      </w:r>
      <w:bookmarkStart w:id="12" w:name="CaseBackground"/>
      <w:r w:rsidRPr="007E013B">
        <w:t>Case Background</w:t>
      </w:r>
      <w:r w:rsidRPr="007E013B">
        <w:fldChar w:fldCharType="begin"/>
      </w:r>
      <w:r w:rsidRPr="007E013B">
        <w:instrText xml:space="preserve"> TC  "</w:instrText>
      </w:r>
      <w:r w:rsidRPr="007E013B">
        <w:tab/>
      </w:r>
      <w:bookmarkStart w:id="13" w:name="_Toc94516455"/>
      <w:r w:rsidRPr="007E013B">
        <w:instrText>Case Background</w:instrText>
      </w:r>
      <w:bookmarkEnd w:id="13"/>
      <w:r w:rsidRPr="007E013B">
        <w:instrText xml:space="preserve">" \l 1 </w:instrText>
      </w:r>
      <w:r w:rsidRPr="007E013B">
        <w:fldChar w:fldCharType="end"/>
      </w:r>
    </w:p>
    <w:p w:rsidR="004A3457" w:rsidRPr="004A3457" w:rsidRDefault="004A3457" w:rsidP="004A3457">
      <w:pPr>
        <w:pStyle w:val="BodyText"/>
        <w:rPr>
          <w:highlight w:val="yellow"/>
        </w:rPr>
      </w:pPr>
      <w:r w:rsidRPr="007E013B">
        <w:t xml:space="preserve">Rule 25-7.045, Florida Administrative Code </w:t>
      </w:r>
      <w:r w:rsidR="002C7A9D" w:rsidRPr="007E013B">
        <w:t>(F.A.C.), requires natural gas public utilities</w:t>
      </w:r>
      <w:r w:rsidRPr="007E013B">
        <w:t xml:space="preserve"> to file a comprehensive depreciation study </w:t>
      </w:r>
      <w:r w:rsidR="00596D4F">
        <w:t>with the</w:t>
      </w:r>
      <w:r w:rsidR="00EF00C0" w:rsidRPr="007E013B">
        <w:t xml:space="preserve"> Florida Public Service</w:t>
      </w:r>
      <w:r w:rsidR="002C7A9D" w:rsidRPr="007E013B">
        <w:t xml:space="preserve"> Commission</w:t>
      </w:r>
      <w:r w:rsidR="00EF00C0" w:rsidRPr="007E013B">
        <w:t xml:space="preserve"> (Commission)</w:t>
      </w:r>
      <w:r w:rsidR="002C7A9D" w:rsidRPr="007E013B">
        <w:t xml:space="preserve"> </w:t>
      </w:r>
      <w:r w:rsidR="00596D4F">
        <w:t xml:space="preserve">for </w:t>
      </w:r>
      <w:r w:rsidR="002C7A9D" w:rsidRPr="007E013B">
        <w:t>review at least once every five years from the submission date of the previous study</w:t>
      </w:r>
      <w:r w:rsidRPr="007E013B">
        <w:t xml:space="preserve">. </w:t>
      </w:r>
      <w:r w:rsidR="002C7A9D" w:rsidRPr="007E013B">
        <w:t>On July 20, 2016</w:t>
      </w:r>
      <w:r w:rsidRPr="007E013B">
        <w:t xml:space="preserve">, Sebring Gas </w:t>
      </w:r>
      <w:r w:rsidR="002C7A9D" w:rsidRPr="007E013B">
        <w:t>System, Inc. (Sebring or company) filed its 2016</w:t>
      </w:r>
      <w:r w:rsidRPr="007E013B">
        <w:t xml:space="preserve"> depreciation stud</w:t>
      </w:r>
      <w:r w:rsidR="002C7A9D" w:rsidRPr="007E013B">
        <w:t xml:space="preserve">y in </w:t>
      </w:r>
      <w:proofErr w:type="gramStart"/>
      <w:r w:rsidR="002C7A9D" w:rsidRPr="007E013B">
        <w:t>compliance</w:t>
      </w:r>
      <w:proofErr w:type="gramEnd"/>
      <w:r w:rsidR="002C7A9D" w:rsidRPr="007E013B">
        <w:t xml:space="preserve"> with the aforecited rule.</w:t>
      </w:r>
      <w:r w:rsidRPr="007E013B">
        <w:t xml:space="preserve"> </w:t>
      </w:r>
      <w:r w:rsidR="002C7A9D" w:rsidRPr="007E013B">
        <w:t>The c</w:t>
      </w:r>
      <w:r w:rsidRPr="007E013B">
        <w:t xml:space="preserve">ompany’s last depreciation </w:t>
      </w:r>
      <w:r w:rsidR="002C7A9D" w:rsidRPr="007E013B">
        <w:t>study</w:t>
      </w:r>
      <w:r w:rsidR="00596D4F">
        <w:t xml:space="preserve"> was filed July 22, 2011</w:t>
      </w:r>
      <w:r w:rsidR="005A38C3" w:rsidRPr="007E013B">
        <w:t>.</w:t>
      </w:r>
      <w:r w:rsidR="002C7A9D" w:rsidRPr="007E013B">
        <w:t xml:space="preserve"> </w:t>
      </w:r>
      <w:r w:rsidR="00156555">
        <w:t xml:space="preserve">Staff notes </w:t>
      </w:r>
      <w:r w:rsidR="002C7A9D" w:rsidRPr="007E013B">
        <w:t>Sebring had 2015</w:t>
      </w:r>
      <w:r w:rsidR="007E013B" w:rsidRPr="007E013B">
        <w:t xml:space="preserve"> </w:t>
      </w:r>
      <w:r w:rsidRPr="007E013B">
        <w:t xml:space="preserve">operating </w:t>
      </w:r>
      <w:r w:rsidRPr="002C7A9D">
        <w:t>revenues of</w:t>
      </w:r>
      <w:r w:rsidR="002C7A9D" w:rsidRPr="002C7A9D">
        <w:t xml:space="preserve"> approximate</w:t>
      </w:r>
      <w:r w:rsidR="002C7A9D" w:rsidRPr="00532322">
        <w:t>ly $959,000</w:t>
      </w:r>
      <w:r w:rsidRPr="00532322">
        <w:t xml:space="preserve">, </w:t>
      </w:r>
      <w:r w:rsidR="00532322">
        <w:t>serving 559</w:t>
      </w:r>
      <w:r w:rsidRPr="00532322">
        <w:t xml:space="preserve"> customers.</w:t>
      </w:r>
      <w:r w:rsidR="00532322" w:rsidRPr="00EF00C0">
        <w:rPr>
          <w:rStyle w:val="FootnoteReference"/>
        </w:rPr>
        <w:footnoteReference w:id="1"/>
      </w:r>
      <w:r w:rsidRPr="00EF00C0">
        <w:t xml:space="preserve"> Staff has completed its review of Sebring’s</w:t>
      </w:r>
      <w:r w:rsidR="00F86855">
        <w:t xml:space="preserve"> 2016 Depreciation S</w:t>
      </w:r>
      <w:r w:rsidRPr="00EF00C0">
        <w:t xml:space="preserve">tudy and presents its recommendations </w:t>
      </w:r>
      <w:r w:rsidR="00EF00C0">
        <w:t xml:space="preserve">to the Commission </w:t>
      </w:r>
      <w:r w:rsidRPr="00EF00C0">
        <w:t>herein.</w:t>
      </w:r>
    </w:p>
    <w:p w:rsidR="007E013B" w:rsidRDefault="007E013B" w:rsidP="007E013B">
      <w:pPr>
        <w:pStyle w:val="BodyText"/>
      </w:pPr>
      <w:r w:rsidRPr="00115681">
        <w:lastRenderedPageBreak/>
        <w:t>The Commission is vested with jurisdiction over these matte</w:t>
      </w:r>
      <w:r w:rsidR="001554E7">
        <w:t xml:space="preserve">rs through several provisions of </w:t>
      </w:r>
      <w:r w:rsidR="004F28F3">
        <w:t xml:space="preserve">the </w:t>
      </w:r>
      <w:r w:rsidRPr="00115681">
        <w:t>Florida Statutes, includi</w:t>
      </w:r>
      <w:r>
        <w:t>ng S</w:t>
      </w:r>
      <w:r w:rsidRPr="00115681">
        <w:t xml:space="preserve">ections </w:t>
      </w:r>
      <w:r w:rsidRPr="007E013B">
        <w:t>350.11</w:t>
      </w:r>
      <w:r>
        <w:t xml:space="preserve">5, </w:t>
      </w:r>
      <w:r w:rsidRPr="00115681">
        <w:t xml:space="preserve">366.05, </w:t>
      </w:r>
      <w:r>
        <w:t xml:space="preserve">and </w:t>
      </w:r>
      <w:r w:rsidR="004F28F3">
        <w:t>366.06, F.S.</w:t>
      </w:r>
    </w:p>
    <w:p w:rsidR="007E013B" w:rsidRDefault="007E013B" w:rsidP="004A3457">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15B52" w:rsidRDefault="00E15B52">
      <w:pPr>
        <w:pStyle w:val="IssueHeading"/>
        <w:rPr>
          <w:vanish/>
          <w:specVanish/>
        </w:rPr>
      </w:pPr>
      <w:r w:rsidRPr="004C3641">
        <w:t xml:space="preserve">Issue </w:t>
      </w:r>
      <w:fldSimple w:instr=" SEQ Issue \* MERGEFORMAT ">
        <w:r w:rsidR="00537A16">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537A16">
        <w:rPr>
          <w:noProof/>
        </w:rPr>
        <w:instrText>1</w:instrText>
      </w:r>
      <w:r>
        <w:fldChar w:fldCharType="end"/>
      </w:r>
      <w:r>
        <w:tab/>
        <w:instrText xml:space="preserve">(Higgins)" \l 1 </w:instrText>
      </w:r>
      <w:r>
        <w:fldChar w:fldCharType="end"/>
      </w:r>
      <w:r>
        <w:t> </w:t>
      </w:r>
    </w:p>
    <w:p w:rsidR="00E15B52" w:rsidRDefault="00E15B52">
      <w:pPr>
        <w:pStyle w:val="BodyText"/>
      </w:pPr>
      <w:r>
        <w:t xml:space="preserve"> Should currently prescribed depreciation rates </w:t>
      </w:r>
      <w:r w:rsidR="003E59B0">
        <w:t>for Sebring Gas System</w:t>
      </w:r>
      <w:r>
        <w:t xml:space="preserve"> be revised?</w:t>
      </w:r>
    </w:p>
    <w:p w:rsidR="00E15B52" w:rsidRPr="004C3641" w:rsidRDefault="00E15B52">
      <w:pPr>
        <w:pStyle w:val="IssueSubsectionHeading"/>
        <w:rPr>
          <w:vanish/>
          <w:specVanish/>
        </w:rPr>
      </w:pPr>
      <w:r w:rsidRPr="004C3641">
        <w:t>Recommendation: </w:t>
      </w:r>
    </w:p>
    <w:p w:rsidR="00E15B52" w:rsidRDefault="00E15B52">
      <w:pPr>
        <w:pStyle w:val="BodyText"/>
      </w:pPr>
      <w:r>
        <w:t> </w:t>
      </w:r>
      <w:r w:rsidR="003E59B0">
        <w:t xml:space="preserve">Yes. The review of </w:t>
      </w:r>
      <w:r w:rsidR="003E59B0" w:rsidRPr="003E59B0">
        <w:t>Sebring’s</w:t>
      </w:r>
      <w:r w:rsidR="003E59B0">
        <w:t xml:space="preserve"> plant</w:t>
      </w:r>
      <w:r w:rsidR="007E013B">
        <w:t xml:space="preserve"> </w:t>
      </w:r>
      <w:r w:rsidR="003E59B0">
        <w:t xml:space="preserve">depreciation information indicates a need for </w:t>
      </w:r>
      <w:r w:rsidR="007E013B">
        <w:t>revisi</w:t>
      </w:r>
      <w:r w:rsidR="003E59B0">
        <w:t>ng</w:t>
      </w:r>
      <w:r w:rsidR="003E59B0" w:rsidRPr="003E59B0">
        <w:t xml:space="preserve"> </w:t>
      </w:r>
      <w:r w:rsidR="003E59B0">
        <w:t>the company</w:t>
      </w:r>
      <w:r w:rsidR="003E59B0" w:rsidRPr="003E59B0">
        <w:t>’s</w:t>
      </w:r>
      <w:r w:rsidR="007E013B">
        <w:t xml:space="preserve"> currently prescribed depreciation rat</w:t>
      </w:r>
      <w:r w:rsidR="003E59B0">
        <w:t xml:space="preserve">es.  </w:t>
      </w:r>
      <w:r>
        <w:t>(Higgins)</w:t>
      </w:r>
    </w:p>
    <w:p w:rsidR="00E15B52" w:rsidRPr="004C3641" w:rsidRDefault="00E15B52">
      <w:pPr>
        <w:pStyle w:val="IssueSubsectionHeading"/>
        <w:rPr>
          <w:vanish/>
          <w:specVanish/>
        </w:rPr>
      </w:pPr>
      <w:r w:rsidRPr="004C3641">
        <w:t>Staff Analysis: </w:t>
      </w:r>
    </w:p>
    <w:p w:rsidR="006C71D6" w:rsidRDefault="00E15B52" w:rsidP="003E59B0">
      <w:pPr>
        <w:pStyle w:val="BodyText"/>
      </w:pPr>
      <w:r>
        <w:t> </w:t>
      </w:r>
      <w:r w:rsidR="003E59B0">
        <w:t xml:space="preserve">Sebring’s last depreciation filing was </w:t>
      </w:r>
      <w:r w:rsidR="006C71D6">
        <w:t xml:space="preserve">made </w:t>
      </w:r>
      <w:r w:rsidR="009B5F29">
        <w:t>on July 22, 2011.</w:t>
      </w:r>
      <w:r w:rsidR="003E59B0">
        <w:t xml:space="preserve"> </w:t>
      </w:r>
      <w:proofErr w:type="gramStart"/>
      <w:r w:rsidR="003E59B0">
        <w:t>By Order No.</w:t>
      </w:r>
      <w:proofErr w:type="gramEnd"/>
      <w:r w:rsidR="003E59B0">
        <w:t xml:space="preserve"> PSC-12-0043-PAA-GU</w:t>
      </w:r>
      <w:r w:rsidR="006C71D6">
        <w:t>,</w:t>
      </w:r>
      <w:r w:rsidR="003E59B0">
        <w:t xml:space="preserve"> the Commission approved revised depreciation </w:t>
      </w:r>
      <w:r w:rsidR="009C2569">
        <w:t>rates that</w:t>
      </w:r>
      <w:r w:rsidR="006C71D6">
        <w:t xml:space="preserve"> became</w:t>
      </w:r>
      <w:r w:rsidR="003E59B0">
        <w:t xml:space="preserve"> e</w:t>
      </w:r>
      <w:r w:rsidR="006C71D6">
        <w:t>ffective January 1, 2011</w:t>
      </w:r>
      <w:r w:rsidR="003E59B0">
        <w:t>.</w:t>
      </w:r>
      <w:r w:rsidR="006C71D6">
        <w:rPr>
          <w:rStyle w:val="FootnoteReference"/>
        </w:rPr>
        <w:footnoteReference w:id="2"/>
      </w:r>
      <w:r w:rsidR="003E59B0">
        <w:t xml:space="preserve">  </w:t>
      </w:r>
    </w:p>
    <w:p w:rsidR="003E59B0" w:rsidRDefault="00156555" w:rsidP="003E59B0">
      <w:pPr>
        <w:pStyle w:val="BodyText"/>
      </w:pPr>
      <w:r>
        <w:t>The c</w:t>
      </w:r>
      <w:r w:rsidR="003E59B0">
        <w:t>ompany h</w:t>
      </w:r>
      <w:r w:rsidR="004D0807">
        <w:t>as filed it</w:t>
      </w:r>
      <w:r w:rsidR="003E59B0">
        <w:t>s current study in accordance with Rule 25-7.045, F.A.C., which requires natural gas companies to file a comprehensive depreciation study at least once every five years from the submission date of the previously</w:t>
      </w:r>
      <w:r w:rsidR="006C71D6">
        <w:t xml:space="preserve"> filed study.</w:t>
      </w:r>
      <w:r>
        <w:t xml:space="preserve"> A review of the c</w:t>
      </w:r>
      <w:r w:rsidR="003E59B0">
        <w:t xml:space="preserve">ompany’s </w:t>
      </w:r>
      <w:r>
        <w:t xml:space="preserve">plant </w:t>
      </w:r>
      <w:r w:rsidR="003E59B0">
        <w:t>activity</w:t>
      </w:r>
      <w:r w:rsidR="004D0807">
        <w:t xml:space="preserve"> and</w:t>
      </w:r>
      <w:r w:rsidR="003E59B0">
        <w:t xml:space="preserve"> data indicates the need for revising depreciation rates.</w:t>
      </w:r>
      <w:r w:rsidR="006C71D6">
        <w:t xml:space="preserve"> </w:t>
      </w:r>
      <w:r w:rsidR="00AD7517">
        <w:t>Staff’s</w:t>
      </w:r>
      <w:r w:rsidR="006C71D6">
        <w:t xml:space="preserve"> recommended depreciation components and rates are discussed in Issue 3 and sho</w:t>
      </w:r>
      <w:r w:rsidR="006C71D6" w:rsidRPr="006015A8">
        <w:t xml:space="preserve">wn on </w:t>
      </w:r>
      <w:r w:rsidR="006015A8" w:rsidRPr="006015A8">
        <w:t>Attachments</w:t>
      </w:r>
      <w:r w:rsidR="006C71D6" w:rsidRPr="006015A8">
        <w:t xml:space="preserve"> A and B.</w:t>
      </w:r>
      <w:r w:rsidR="006C71D6">
        <w:t xml:space="preserve"> </w:t>
      </w:r>
    </w:p>
    <w:p w:rsidR="00E15B52" w:rsidRDefault="00E15B52">
      <w:pPr>
        <w:pStyle w:val="BodyText"/>
      </w:pPr>
    </w:p>
    <w:p w:rsidR="00E15B52" w:rsidRDefault="00E15B52">
      <w:r>
        <w:br w:type="page"/>
      </w:r>
    </w:p>
    <w:p w:rsidR="00E15B52" w:rsidRDefault="00E15B52">
      <w:pPr>
        <w:pStyle w:val="IssueHeading"/>
        <w:rPr>
          <w:vanish/>
          <w:specVanish/>
        </w:rPr>
      </w:pPr>
      <w:r w:rsidRPr="004C3641">
        <w:lastRenderedPageBreak/>
        <w:t xml:space="preserve">Issue </w:t>
      </w:r>
      <w:fldSimple w:instr=" SEQ Issue \* MERGEFORMAT ">
        <w:r w:rsidR="00537A16">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537A16">
        <w:rPr>
          <w:noProof/>
        </w:rPr>
        <w:instrText>2</w:instrText>
      </w:r>
      <w:r>
        <w:fldChar w:fldCharType="end"/>
      </w:r>
      <w:r>
        <w:tab/>
        <w:instrText xml:space="preserve">(Higgins)" \l 1 </w:instrText>
      </w:r>
      <w:r>
        <w:fldChar w:fldCharType="end"/>
      </w:r>
      <w:r>
        <w:t> </w:t>
      </w:r>
    </w:p>
    <w:p w:rsidR="00E15B52" w:rsidRDefault="00E15B52">
      <w:pPr>
        <w:pStyle w:val="BodyText"/>
      </w:pPr>
      <w:r>
        <w:t>  What should be the implementation date for new</w:t>
      </w:r>
      <w:r w:rsidR="004D0807">
        <w:t>ly proposed</w:t>
      </w:r>
      <w:r>
        <w:t xml:space="preserve"> depreciation</w:t>
      </w:r>
      <w:r w:rsidR="00E70C5C">
        <w:t xml:space="preserve"> </w:t>
      </w:r>
      <w:r>
        <w:t>rates?</w:t>
      </w:r>
    </w:p>
    <w:p w:rsidR="00E15B52" w:rsidRPr="004C3641" w:rsidRDefault="00E15B52">
      <w:pPr>
        <w:pStyle w:val="IssueSubsectionHeading"/>
        <w:rPr>
          <w:vanish/>
          <w:specVanish/>
        </w:rPr>
      </w:pPr>
      <w:r w:rsidRPr="004C3641">
        <w:t>Recommendation: </w:t>
      </w:r>
    </w:p>
    <w:p w:rsidR="00E15B52" w:rsidRDefault="00E15B52">
      <w:pPr>
        <w:pStyle w:val="BodyText"/>
      </w:pPr>
      <w:r>
        <w:t> </w:t>
      </w:r>
      <w:r w:rsidR="00415CDF">
        <w:t xml:space="preserve">Staff recommends January 1, 2017, </w:t>
      </w:r>
      <w:r w:rsidR="004D0807">
        <w:t>for implementing</w:t>
      </w:r>
      <w:r w:rsidR="00415CDF">
        <w:t xml:space="preserve"> </w:t>
      </w:r>
      <w:r w:rsidR="004D0807" w:rsidRPr="004D0807">
        <w:t>newly proposed depreciation rates</w:t>
      </w:r>
      <w:r w:rsidR="004D0807">
        <w:t xml:space="preserve"> as shown on Attachments A and B to this recommendation</w:t>
      </w:r>
      <w:r w:rsidR="00415CDF">
        <w:t>.</w:t>
      </w:r>
      <w:r>
        <w:t xml:space="preserve"> (Higgins)</w:t>
      </w:r>
    </w:p>
    <w:p w:rsidR="00E15B52" w:rsidRPr="004C3641" w:rsidRDefault="00E15B52">
      <w:pPr>
        <w:pStyle w:val="IssueSubsectionHeading"/>
        <w:rPr>
          <w:vanish/>
          <w:specVanish/>
        </w:rPr>
      </w:pPr>
      <w:r w:rsidRPr="004C3641">
        <w:t>Staff Analysis: </w:t>
      </w:r>
    </w:p>
    <w:p w:rsidR="00E15B52" w:rsidRDefault="00E15B52">
      <w:pPr>
        <w:pStyle w:val="BodyText"/>
      </w:pPr>
      <w:r>
        <w:t> </w:t>
      </w:r>
      <w:r w:rsidR="00415CDF">
        <w:t> Rule 25-7.045, F.A.C., requires that the data submitted in a depreciation study, including plant and reserve balanc</w:t>
      </w:r>
      <w:r w:rsidR="004F28F3">
        <w:t>es or company estimates, “shall</w:t>
      </w:r>
      <w:r w:rsidR="00415CDF">
        <w:t xml:space="preserve"> be brought to the effective date of the proposed rates.”  The supporting data and calculations provided by Sebring match an implementation date of January 1, 2017.</w:t>
      </w:r>
    </w:p>
    <w:p w:rsidR="00E15B52" w:rsidRDefault="00E15B52">
      <w:pPr>
        <w:pStyle w:val="IssueHeading"/>
        <w:rPr>
          <w:vanish/>
          <w:specVanish/>
        </w:rPr>
      </w:pPr>
      <w:r>
        <w:br w:type="page"/>
      </w:r>
      <w:r w:rsidRPr="004C3641">
        <w:lastRenderedPageBreak/>
        <w:t xml:space="preserve">Issue </w:t>
      </w:r>
      <w:fldSimple w:instr=" SEQ Issue \* MERGEFORMAT ">
        <w:r w:rsidR="00537A16">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537A16">
        <w:rPr>
          <w:noProof/>
        </w:rPr>
        <w:instrText>3</w:instrText>
      </w:r>
      <w:r>
        <w:fldChar w:fldCharType="end"/>
      </w:r>
      <w:r>
        <w:tab/>
        <w:instrText xml:space="preserve">" \l 1 </w:instrText>
      </w:r>
      <w:r>
        <w:fldChar w:fldCharType="end"/>
      </w:r>
      <w:r>
        <w:t> </w:t>
      </w:r>
    </w:p>
    <w:p w:rsidR="00E15B52" w:rsidRDefault="00E15B52" w:rsidP="00017A6B">
      <w:pPr>
        <w:pStyle w:val="BodyText"/>
        <w:tabs>
          <w:tab w:val="left" w:pos="270"/>
        </w:tabs>
      </w:pPr>
      <w:r>
        <w:t> What are the appropriate depreciation</w:t>
      </w:r>
      <w:r w:rsidR="00017A6B">
        <w:t xml:space="preserve"> parameters and resulting rate</w:t>
      </w:r>
      <w:r>
        <w:t>s?</w:t>
      </w:r>
    </w:p>
    <w:p w:rsidR="00E15B52" w:rsidRPr="004C3641" w:rsidRDefault="00E15B52">
      <w:pPr>
        <w:pStyle w:val="IssueSubsectionHeading"/>
        <w:rPr>
          <w:vanish/>
          <w:specVanish/>
        </w:rPr>
      </w:pPr>
      <w:r w:rsidRPr="004C3641">
        <w:t>Recommendation: </w:t>
      </w:r>
    </w:p>
    <w:p w:rsidR="00E15B52" w:rsidRDefault="00E15B52">
      <w:pPr>
        <w:pStyle w:val="BodyText"/>
      </w:pPr>
      <w:r>
        <w:t> </w:t>
      </w:r>
      <w:r w:rsidR="00AD7517">
        <w:t>Staff</w:t>
      </w:r>
      <w:r w:rsidR="00136F72">
        <w:t xml:space="preserve"> recom</w:t>
      </w:r>
      <w:r w:rsidR="0026427F">
        <w:t>mends the Commission approve the</w:t>
      </w:r>
      <w:r w:rsidR="00136F72">
        <w:t xml:space="preserve"> lives, </w:t>
      </w:r>
      <w:r w:rsidR="007A7D94">
        <w:t>reserve percentages</w:t>
      </w:r>
      <w:r w:rsidR="004D0807" w:rsidRPr="004D0807">
        <w:t>,</w:t>
      </w:r>
      <w:r w:rsidR="004D0807">
        <w:t xml:space="preserve"> </w:t>
      </w:r>
      <w:r w:rsidR="007A7D94">
        <w:t>net salvage percentages</w:t>
      </w:r>
      <w:r w:rsidR="00136F72">
        <w:t xml:space="preserve">, </w:t>
      </w:r>
      <w:r w:rsidR="007A7D94">
        <w:t>and resulting</w:t>
      </w:r>
      <w:r w:rsidR="00136F72">
        <w:t xml:space="preserve"> </w:t>
      </w:r>
      <w:r w:rsidR="007A7D94">
        <w:t xml:space="preserve">remaining life </w:t>
      </w:r>
      <w:r w:rsidR="00136F72">
        <w:t>depreciation rates</w:t>
      </w:r>
      <w:r w:rsidR="0026427F">
        <w:t xml:space="preserve"> for Sebring</w:t>
      </w:r>
      <w:r w:rsidR="00136F72">
        <w:t xml:space="preserve"> </w:t>
      </w:r>
      <w:r w:rsidR="0026427F">
        <w:t xml:space="preserve">that </w:t>
      </w:r>
      <w:r w:rsidR="00136F72">
        <w:t xml:space="preserve">are </w:t>
      </w:r>
      <w:r w:rsidR="00136F72" w:rsidRPr="00A40E9C">
        <w:t>shown on Attac</w:t>
      </w:r>
      <w:r w:rsidR="003C3944">
        <w:t>hment A.</w:t>
      </w:r>
      <w:r w:rsidR="00136F72" w:rsidRPr="00A40E9C">
        <w:t xml:space="preserve"> </w:t>
      </w:r>
      <w:r w:rsidR="008915DB">
        <w:t xml:space="preserve">As </w:t>
      </w:r>
      <w:r w:rsidR="008915DB" w:rsidRPr="008915DB">
        <w:t>shown on Attachment B</w:t>
      </w:r>
      <w:r w:rsidR="008915DB">
        <w:t>,</w:t>
      </w:r>
      <w:r w:rsidR="008915DB" w:rsidRPr="008915DB">
        <w:t xml:space="preserve"> </w:t>
      </w:r>
      <w:r w:rsidR="008915DB">
        <w:t>t</w:t>
      </w:r>
      <w:r w:rsidR="00E70C5C">
        <w:t xml:space="preserve">he </w:t>
      </w:r>
      <w:r w:rsidR="008915DB">
        <w:t xml:space="preserve">corresponding depreciation </w:t>
      </w:r>
      <w:r w:rsidR="00E70C5C">
        <w:t>expense</w:t>
      </w:r>
      <w:r w:rsidR="0026427F">
        <w:t xml:space="preserve"> effect</w:t>
      </w:r>
      <w:r w:rsidR="006B331E">
        <w:t xml:space="preserve"> of staff’s</w:t>
      </w:r>
      <w:r w:rsidR="008915DB">
        <w:t xml:space="preserve"> </w:t>
      </w:r>
      <w:r w:rsidR="00E70C5C">
        <w:t>rate</w:t>
      </w:r>
      <w:r w:rsidR="0026427F">
        <w:t xml:space="preserve"> recommendation</w:t>
      </w:r>
      <w:r w:rsidR="008915DB">
        <w:t xml:space="preserve">s </w:t>
      </w:r>
      <w:r w:rsidR="008915DB" w:rsidRPr="008915DB">
        <w:t>is a decrease of $</w:t>
      </w:r>
      <w:r w:rsidR="006D610C">
        <w:t>6,980</w:t>
      </w:r>
      <w:r w:rsidR="008915DB" w:rsidRPr="008915DB">
        <w:t xml:space="preserve"> annua</w:t>
      </w:r>
      <w:r w:rsidR="00C51545">
        <w:t>lly</w:t>
      </w:r>
      <w:r w:rsidR="00154B41">
        <w:t xml:space="preserve">, or </w:t>
      </w:r>
      <w:r w:rsidR="00C51545">
        <w:t>3.8 percent,</w:t>
      </w:r>
      <w:r w:rsidR="00AD7517">
        <w:t xml:space="preserve"> based on December 31, 2016</w:t>
      </w:r>
      <w:r w:rsidR="008915DB" w:rsidRPr="008915DB">
        <w:t xml:space="preserve"> investments</w:t>
      </w:r>
      <w:r w:rsidR="00AF359B">
        <w:t>.</w:t>
      </w:r>
      <w:r>
        <w:t xml:space="preserve"> (Higgins)</w:t>
      </w:r>
    </w:p>
    <w:p w:rsidR="00E15B52" w:rsidRPr="004C3641" w:rsidRDefault="00E15B52">
      <w:pPr>
        <w:pStyle w:val="IssueSubsectionHeading"/>
        <w:rPr>
          <w:vanish/>
          <w:specVanish/>
        </w:rPr>
      </w:pPr>
      <w:r w:rsidRPr="004C3641">
        <w:t>Staff Analysis: </w:t>
      </w:r>
    </w:p>
    <w:p w:rsidR="00E15B52" w:rsidRDefault="00E15B52">
      <w:pPr>
        <w:pStyle w:val="BodyText"/>
      </w:pPr>
      <w:r>
        <w:t> </w:t>
      </w:r>
    </w:p>
    <w:p w:rsidR="00D635D3" w:rsidRPr="00AF359B" w:rsidRDefault="00D635D3" w:rsidP="00D635D3">
      <w:pPr>
        <w:pStyle w:val="BodyText"/>
      </w:pPr>
      <w:r w:rsidRPr="00AF359B">
        <w:t>Staff’s recommendations are the result of a comprehensive review of</w:t>
      </w:r>
      <w:r w:rsidR="009B5F29">
        <w:t xml:space="preserve"> Sebring’s</w:t>
      </w:r>
      <w:r w:rsidR="00D22023">
        <w:t xml:space="preserve"> plant depreciation data filed in this docket. </w:t>
      </w:r>
      <w:r w:rsidRPr="00AF359B">
        <w:t>Attachment A</w:t>
      </w:r>
      <w:r w:rsidR="00AF359B" w:rsidRPr="00AF359B">
        <w:t xml:space="preserve"> to this recommendation</w:t>
      </w:r>
      <w:r w:rsidRPr="00AF359B">
        <w:t xml:space="preserve"> shows a comparison of </w:t>
      </w:r>
      <w:r w:rsidR="009B5F29">
        <w:t>certain</w:t>
      </w:r>
      <w:r w:rsidRPr="00AF359B">
        <w:t xml:space="preserve"> curr</w:t>
      </w:r>
      <w:r w:rsidR="00D22023">
        <w:t>ently-</w:t>
      </w:r>
      <w:r w:rsidR="00AF359B" w:rsidRPr="00AF359B">
        <w:t>approved depreciation</w:t>
      </w:r>
      <w:r w:rsidRPr="00AF359B">
        <w:t xml:space="preserve"> parameters</w:t>
      </w:r>
      <w:r w:rsidR="00D22023">
        <w:t xml:space="preserve"> and rates to</w:t>
      </w:r>
      <w:r w:rsidRPr="00AF359B">
        <w:t xml:space="preserve"> those staff is recommending </w:t>
      </w:r>
      <w:proofErr w:type="gramStart"/>
      <w:r w:rsidR="00D22023">
        <w:t>become</w:t>
      </w:r>
      <w:proofErr w:type="gramEnd"/>
      <w:r w:rsidR="00D22023">
        <w:t xml:space="preserve"> effective January 1, 2017 (Issue 2)</w:t>
      </w:r>
      <w:r w:rsidR="00AF359B" w:rsidRPr="00AF359B">
        <w:t>.</w:t>
      </w:r>
      <w:r w:rsidRPr="00AF359B">
        <w:t xml:space="preserve"> </w:t>
      </w:r>
      <w:r w:rsidR="00D22023">
        <w:t>Staff and the c</w:t>
      </w:r>
      <w:r w:rsidRPr="00AF359B">
        <w:t xml:space="preserve">ompany </w:t>
      </w:r>
      <w:r w:rsidR="00D22023">
        <w:t xml:space="preserve">are in agreement on all proposed </w:t>
      </w:r>
      <w:r w:rsidR="00AF359B" w:rsidRPr="00AF359B">
        <w:t>depreciation</w:t>
      </w:r>
      <w:r w:rsidRPr="00AF359B">
        <w:t xml:space="preserve"> parameters</w:t>
      </w:r>
      <w:r w:rsidR="00AF359B" w:rsidRPr="00AF359B">
        <w:t xml:space="preserve"> and resulting rates</w:t>
      </w:r>
      <w:r w:rsidRPr="00AF359B">
        <w:t>.</w:t>
      </w:r>
      <w:r w:rsidR="00AF359B" w:rsidRPr="00AF359B">
        <w:rPr>
          <w:rStyle w:val="FootnoteReference"/>
        </w:rPr>
        <w:footnoteReference w:id="3"/>
      </w:r>
      <w:r w:rsidRPr="00AF359B">
        <w:t xml:space="preserve"> </w:t>
      </w:r>
      <w:r w:rsidR="00D22023">
        <w:t xml:space="preserve">Displayed on </w:t>
      </w:r>
      <w:r w:rsidRPr="00AF359B">
        <w:t xml:space="preserve">Attachment B </w:t>
      </w:r>
      <w:r w:rsidR="00D22023">
        <w:t>is a comparison of depreciation</w:t>
      </w:r>
      <w:r w:rsidRPr="00AF359B">
        <w:t xml:space="preserve"> expenses</w:t>
      </w:r>
      <w:r w:rsidR="009B5F29">
        <w:t xml:space="preserve"> between </w:t>
      </w:r>
      <w:r w:rsidR="009B5F29" w:rsidRPr="009B5F29">
        <w:t>currently-approved</w:t>
      </w:r>
      <w:r w:rsidR="009B5F29">
        <w:t xml:space="preserve"> and proposed rates</w:t>
      </w:r>
      <w:r w:rsidRPr="00AF359B">
        <w:t xml:space="preserve"> based on December 31, 201</w:t>
      </w:r>
      <w:r w:rsidR="00AF359B" w:rsidRPr="00AF359B">
        <w:t>6</w:t>
      </w:r>
      <w:r w:rsidRPr="00AF359B">
        <w:t xml:space="preserve"> investments.</w:t>
      </w:r>
      <w:r w:rsidRPr="00AF359B">
        <w:tab/>
      </w:r>
    </w:p>
    <w:p w:rsidR="006B22DD" w:rsidRDefault="00D635D3" w:rsidP="00D635D3">
      <w:pPr>
        <w:pStyle w:val="BodyText"/>
      </w:pPr>
      <w:r w:rsidRPr="00AF359B">
        <w:t>This filing was essentially a staff-assiste</w:t>
      </w:r>
      <w:r w:rsidR="00D85346">
        <w:t>d study.</w:t>
      </w:r>
      <w:r w:rsidR="00B81AC5">
        <w:t xml:space="preserve"> The c</w:t>
      </w:r>
      <w:r w:rsidRPr="00AF359B">
        <w:t>ompany provided</w:t>
      </w:r>
      <w:r w:rsidR="00D85346">
        <w:t xml:space="preserve"> plant</w:t>
      </w:r>
      <w:r w:rsidRPr="00AF359B">
        <w:t xml:space="preserve"> addit</w:t>
      </w:r>
      <w:r w:rsidR="00D85346">
        <w:t>ion and retirement</w:t>
      </w:r>
      <w:r w:rsidR="00AF359B" w:rsidRPr="00AF359B">
        <w:t xml:space="preserve"> </w:t>
      </w:r>
      <w:r w:rsidR="00A51AAA">
        <w:t>data spanning</w:t>
      </w:r>
      <w:r w:rsidR="00AF359B" w:rsidRPr="00AF359B">
        <w:t xml:space="preserve"> 20</w:t>
      </w:r>
      <w:r w:rsidR="00F77783">
        <w:t>11-</w:t>
      </w:r>
      <w:r w:rsidR="00A51AAA">
        <w:t>2016 (</w:t>
      </w:r>
      <w:r w:rsidR="005E6213">
        <w:t>2016</w:t>
      </w:r>
      <w:r w:rsidR="00AF359B" w:rsidRPr="00AF359B">
        <w:t xml:space="preserve"> projected</w:t>
      </w:r>
      <w:r w:rsidR="00A51AAA">
        <w:t xml:space="preserve">), </w:t>
      </w:r>
      <w:r w:rsidR="009C4C5F">
        <w:t xml:space="preserve">proposed </w:t>
      </w:r>
      <w:r w:rsidR="00A51AAA">
        <w:t>net salvage values</w:t>
      </w:r>
      <w:r w:rsidR="009C4C5F">
        <w:t>,</w:t>
      </w:r>
      <w:r w:rsidR="00D80B56">
        <w:t xml:space="preserve"> proposed</w:t>
      </w:r>
      <w:r w:rsidR="009C4C5F">
        <w:t xml:space="preserve"> average service lives, and</w:t>
      </w:r>
      <w:r w:rsidR="00D80B56">
        <w:t xml:space="preserve"> </w:t>
      </w:r>
      <w:r w:rsidR="009C4C5F">
        <w:t xml:space="preserve">proposed </w:t>
      </w:r>
      <w:r w:rsidR="00D80B56">
        <w:t>Iowa-</w:t>
      </w:r>
      <w:r w:rsidR="006C1579">
        <w:t>type</w:t>
      </w:r>
      <w:r w:rsidR="009C4C5F">
        <w:t xml:space="preserve"> survivor</w:t>
      </w:r>
      <w:r w:rsidR="006C1579">
        <w:t xml:space="preserve"> </w:t>
      </w:r>
      <w:r w:rsidR="00F343EE">
        <w:t>curve</w:t>
      </w:r>
      <w:r w:rsidR="009C4C5F">
        <w:t>s</w:t>
      </w:r>
      <w:r w:rsidR="00AF359B" w:rsidRPr="00AF359B">
        <w:t>.</w:t>
      </w:r>
      <w:r w:rsidR="00D80B56">
        <w:rPr>
          <w:rStyle w:val="FootnoteReference"/>
        </w:rPr>
        <w:footnoteReference w:id="4"/>
      </w:r>
      <w:r w:rsidRPr="00AF359B">
        <w:t xml:space="preserve"> </w:t>
      </w:r>
      <w:r w:rsidR="0076592F">
        <w:t>With this information, s</w:t>
      </w:r>
      <w:r w:rsidRPr="00AF359B">
        <w:t>taff determined the a</w:t>
      </w:r>
      <w:r w:rsidR="00B81AC5">
        <w:t>verage age</w:t>
      </w:r>
      <w:r w:rsidR="0076592F">
        <w:t xml:space="preserve"> of investments on an account-by-account basis</w:t>
      </w:r>
      <w:r w:rsidR="006B22DD">
        <w:t>, the</w:t>
      </w:r>
      <w:r w:rsidR="000E7D0A">
        <w:t>n</w:t>
      </w:r>
      <w:r w:rsidR="00152066">
        <w:t xml:space="preserve"> applied </w:t>
      </w:r>
      <w:proofErr w:type="gramStart"/>
      <w:r w:rsidR="00152066">
        <w:t>the</w:t>
      </w:r>
      <w:r w:rsidR="00D85346">
        <w:t xml:space="preserve"> </w:t>
      </w:r>
      <w:r w:rsidR="00152066">
        <w:t xml:space="preserve"> resul</w:t>
      </w:r>
      <w:r w:rsidR="006B22DD">
        <w:t>ts</w:t>
      </w:r>
      <w:proofErr w:type="gramEnd"/>
      <w:r w:rsidR="006B22DD">
        <w:t xml:space="preserve"> to Sebring’s</w:t>
      </w:r>
      <w:r w:rsidR="00152066" w:rsidRPr="006B22DD">
        <w:t xml:space="preserve"> proposed curve/life combinations</w:t>
      </w:r>
      <w:r w:rsidR="00D85346">
        <w:t xml:space="preserve"> for</w:t>
      </w:r>
      <w:r w:rsidR="006B22DD" w:rsidRPr="006B22DD">
        <w:t xml:space="preserve"> determ</w:t>
      </w:r>
      <w:r w:rsidR="006B22DD">
        <w:t xml:space="preserve">ining </w:t>
      </w:r>
      <w:r w:rsidR="00D85346">
        <w:t xml:space="preserve">account-specific </w:t>
      </w:r>
      <w:r w:rsidR="006B22DD">
        <w:t>average remaining lives</w:t>
      </w:r>
      <w:r w:rsidRPr="00AF359B">
        <w:t>.</w:t>
      </w:r>
      <w:r w:rsidR="005E6213">
        <w:t xml:space="preserve"> </w:t>
      </w:r>
      <w:r w:rsidR="006B22DD">
        <w:t>Sebring’s proposed account-specific average service lives are unchanged from its</w:t>
      </w:r>
      <w:r w:rsidR="005E6213">
        <w:t xml:space="preserve"> prio</w:t>
      </w:r>
      <w:r w:rsidR="005E6213" w:rsidRPr="00152066">
        <w:t>r study.</w:t>
      </w:r>
      <w:r w:rsidRPr="00152066">
        <w:t xml:space="preserve"> </w:t>
      </w:r>
    </w:p>
    <w:p w:rsidR="00D635D3" w:rsidRDefault="00D635D3" w:rsidP="00D635D3">
      <w:pPr>
        <w:pStyle w:val="BodyText"/>
      </w:pPr>
      <w:r w:rsidRPr="00152066">
        <w:t>As a result of the</w:t>
      </w:r>
      <w:r w:rsidRPr="006B6087">
        <w:t xml:space="preserve"> review and analyt</w:t>
      </w:r>
      <w:r w:rsidR="006B6087">
        <w:t xml:space="preserve">ical process, staff and Sebring </w:t>
      </w:r>
      <w:r w:rsidR="006B22DD">
        <w:t>agree on lives, net salvage values, and resulting</w:t>
      </w:r>
      <w:r w:rsidRPr="006B6087">
        <w:t xml:space="preserve"> depreciation rates for all accounts</w:t>
      </w:r>
      <w:r w:rsidR="001C55D7">
        <w:t xml:space="preserve"> as shown on Attachments A and B to this recommendation</w:t>
      </w:r>
      <w:r w:rsidRPr="006B6087">
        <w:t>.</w:t>
      </w:r>
    </w:p>
    <w:p w:rsidR="00D635D3" w:rsidRPr="002330AB" w:rsidRDefault="001C55D7" w:rsidP="002330AB">
      <w:pPr>
        <w:pStyle w:val="BodyText"/>
        <w:ind w:firstLine="720"/>
        <w:rPr>
          <w:rFonts w:ascii="Arial" w:hAnsi="Arial" w:cs="Arial"/>
          <w:b/>
          <w:i/>
        </w:rPr>
      </w:pPr>
      <w:r w:rsidRPr="002330AB">
        <w:rPr>
          <w:rFonts w:ascii="Arial" w:hAnsi="Arial" w:cs="Arial"/>
          <w:b/>
          <w:i/>
        </w:rPr>
        <w:t>Plant Additions</w:t>
      </w:r>
    </w:p>
    <w:p w:rsidR="0089650C" w:rsidRDefault="008B2371" w:rsidP="00D635D3">
      <w:pPr>
        <w:pStyle w:val="BodyText"/>
      </w:pPr>
      <w:r w:rsidRPr="008B2371">
        <w:t>S</w:t>
      </w:r>
      <w:r w:rsidR="00D85346">
        <w:t xml:space="preserve">ebring’s total plant investment </w:t>
      </w:r>
      <w:r>
        <w:t xml:space="preserve">has grown substantially over the study period. </w:t>
      </w:r>
      <w:r w:rsidR="00AD7517">
        <w:t xml:space="preserve">During </w:t>
      </w:r>
      <w:proofErr w:type="gramStart"/>
      <w:r w:rsidR="00AD7517">
        <w:t xml:space="preserve">the </w:t>
      </w:r>
      <w:r w:rsidR="001E5EDC" w:rsidRPr="001E5EDC">
        <w:t xml:space="preserve"> 2011</w:t>
      </w:r>
      <w:proofErr w:type="gramEnd"/>
      <w:r w:rsidR="001E5EDC" w:rsidRPr="001E5EDC">
        <w:t>-2016</w:t>
      </w:r>
      <w:r w:rsidR="001E5EDC">
        <w:t xml:space="preserve"> period</w:t>
      </w:r>
      <w:r w:rsidR="001E5EDC" w:rsidRPr="001E5EDC">
        <w:t xml:space="preserve"> (2016 projected)</w:t>
      </w:r>
      <w:r>
        <w:t>, the company’s system grew by</w:t>
      </w:r>
      <w:r w:rsidR="00F35132">
        <w:t xml:space="preserve"> approximately 89</w:t>
      </w:r>
      <w:r w:rsidR="00846B71">
        <w:t xml:space="preserve"> percent</w:t>
      </w:r>
      <w:r w:rsidR="00F35132">
        <w:t xml:space="preserve">, or from </w:t>
      </w:r>
      <w:r w:rsidR="00F35132" w:rsidRPr="00F35132">
        <w:t xml:space="preserve">approximately </w:t>
      </w:r>
      <w:r w:rsidR="00F35132">
        <w:t>$2.9 million to</w:t>
      </w:r>
      <w:r w:rsidR="00F35132" w:rsidRPr="00F35132">
        <w:t xml:space="preserve"> approximately</w:t>
      </w:r>
      <w:r w:rsidR="00F35132">
        <w:t xml:space="preserve"> $5.6 million</w:t>
      </w:r>
      <w:r>
        <w:t xml:space="preserve">. </w:t>
      </w:r>
      <w:r w:rsidR="0089650C">
        <w:t>Over two-thirds</w:t>
      </w:r>
      <w:r>
        <w:t xml:space="preserve"> of</w:t>
      </w:r>
      <w:r w:rsidR="0089650C">
        <w:t xml:space="preserve"> this</w:t>
      </w:r>
      <w:r w:rsidR="00824421">
        <w:t xml:space="preserve"> system growth is</w:t>
      </w:r>
      <w:r>
        <w:t xml:space="preserve"> attributable to initiating gas service</w:t>
      </w:r>
      <w:r w:rsidR="00824421">
        <w:t>s</w:t>
      </w:r>
      <w:r w:rsidR="00D85346">
        <w:t xml:space="preserve"> in 2013</w:t>
      </w:r>
      <w:r w:rsidR="000078BA">
        <w:t xml:space="preserve"> </w:t>
      </w:r>
      <w:r>
        <w:t>to both the Hardee and Desoto Correctional Institutes.</w:t>
      </w:r>
      <w:r w:rsidR="001E36A8">
        <w:t xml:space="preserve"> </w:t>
      </w:r>
      <w:r w:rsidR="00824421">
        <w:t>Specifically,</w:t>
      </w:r>
      <w:r w:rsidR="0089650C" w:rsidRPr="0089650C">
        <w:t xml:space="preserve"> </w:t>
      </w:r>
      <w:r w:rsidR="00824421">
        <w:t xml:space="preserve">Sebring invested in the construction of </w:t>
      </w:r>
      <w:r w:rsidR="0089650C" w:rsidRPr="0089650C">
        <w:t xml:space="preserve">two new gate stations (Account 379.00 </w:t>
      </w:r>
      <w:proofErr w:type="gramStart"/>
      <w:r w:rsidR="0089650C" w:rsidRPr="0089650C">
        <w:t>-  Measuring</w:t>
      </w:r>
      <w:proofErr w:type="gramEnd"/>
      <w:r w:rsidR="0089650C" w:rsidRPr="0089650C">
        <w:t xml:space="preserve"> &amp; Regulating Station Equipment – City Gate) </w:t>
      </w:r>
      <w:r w:rsidR="00824421">
        <w:t xml:space="preserve">which </w:t>
      </w:r>
      <w:r w:rsidR="0089650C" w:rsidRPr="0089650C">
        <w:t>were required in order to fulfill its newly acquired service contract</w:t>
      </w:r>
      <w:r w:rsidR="00434055">
        <w:t>s</w:t>
      </w:r>
      <w:r w:rsidR="00AD7517">
        <w:t xml:space="preserve"> with t</w:t>
      </w:r>
      <w:r w:rsidR="0089650C" w:rsidRPr="0089650C">
        <w:t xml:space="preserve">he Florida Department of Corrections. </w:t>
      </w:r>
      <w:r w:rsidR="00434055">
        <w:t>Staff notes that these two special service contracts were approved by the Commission in 2013.</w:t>
      </w:r>
      <w:r w:rsidR="00434055">
        <w:rPr>
          <w:rStyle w:val="FootnoteReference"/>
        </w:rPr>
        <w:footnoteReference w:id="5"/>
      </w:r>
      <w:r w:rsidR="00434055">
        <w:t xml:space="preserve"> </w:t>
      </w:r>
      <w:r w:rsidR="0089650C" w:rsidRPr="0089650C">
        <w:t xml:space="preserve">The </w:t>
      </w:r>
      <w:r w:rsidR="0089650C" w:rsidRPr="0089650C">
        <w:lastRenderedPageBreak/>
        <w:t>two ne</w:t>
      </w:r>
      <w:r w:rsidR="00824421">
        <w:t>w gate stations tapped both the Gulfstream (</w:t>
      </w:r>
      <w:r w:rsidR="0089650C" w:rsidRPr="0089650C">
        <w:t>serving the Hardee Institution</w:t>
      </w:r>
      <w:r w:rsidR="00824421">
        <w:t>)</w:t>
      </w:r>
      <w:r w:rsidR="0089650C" w:rsidRPr="0089650C">
        <w:t xml:space="preserve">, and Florida </w:t>
      </w:r>
      <w:r w:rsidR="000078BA">
        <w:t>Gas Transportation p</w:t>
      </w:r>
      <w:r w:rsidR="0089650C" w:rsidRPr="0089650C">
        <w:t>ipeline</w:t>
      </w:r>
      <w:r w:rsidR="00824421">
        <w:t>s (</w:t>
      </w:r>
      <w:r w:rsidR="0089650C" w:rsidRPr="0089650C">
        <w:t>serving the Desoto Institution</w:t>
      </w:r>
      <w:r w:rsidR="00824421">
        <w:t>)</w:t>
      </w:r>
      <w:r w:rsidR="0089650C" w:rsidRPr="0089650C">
        <w:t xml:space="preserve">. </w:t>
      </w:r>
    </w:p>
    <w:p w:rsidR="00194129" w:rsidRDefault="002330AB" w:rsidP="00194129">
      <w:pPr>
        <w:pStyle w:val="BodyText"/>
      </w:pPr>
      <w:r>
        <w:t xml:space="preserve">Additional investments attributable to </w:t>
      </w:r>
      <w:r w:rsidR="00194129">
        <w:t>newly-</w:t>
      </w:r>
      <w:r>
        <w:t xml:space="preserve">serving </w:t>
      </w:r>
      <w:r w:rsidR="00117F6A">
        <w:t>the correctional institutes include</w:t>
      </w:r>
      <w:r>
        <w:t xml:space="preserve"> the installation of mains and meters</w:t>
      </w:r>
      <w:r w:rsidR="00194129">
        <w:t xml:space="preserve"> placed</w:t>
      </w:r>
      <w:r>
        <w:t xml:space="preserve"> downstream from the gate stations. The</w:t>
      </w:r>
      <w:r w:rsidR="00194129">
        <w:t xml:space="preserve"> investments were recorded in:</w:t>
      </w:r>
      <w:r>
        <w:t xml:space="preserve"> Account 376 - Mains – Plastic, and Account</w:t>
      </w:r>
      <w:r w:rsidR="00194129">
        <w:t xml:space="preserve"> 382 </w:t>
      </w:r>
      <w:r w:rsidR="00F77783" w:rsidRPr="00F77783">
        <w:t>-</w:t>
      </w:r>
      <w:r w:rsidR="00194129">
        <w:t xml:space="preserve"> Mete</w:t>
      </w:r>
      <w:r w:rsidR="002622C3">
        <w:t xml:space="preserve">r Installations. The total </w:t>
      </w:r>
      <w:r w:rsidR="00194129">
        <w:t>investment required to initiate service to the correctional institutes was</w:t>
      </w:r>
      <w:r>
        <w:t xml:space="preserve"> approximately $1.5 million.</w:t>
      </w:r>
      <w:r w:rsidR="00194129">
        <w:t xml:space="preserve"> </w:t>
      </w:r>
      <w:r w:rsidR="002622C3">
        <w:t xml:space="preserve">This investment is net of the approximate $250,000 refund paid to Sebring by Gulfstream and Florida Gas Transportation companies </w:t>
      </w:r>
      <w:r w:rsidR="002622C3" w:rsidRPr="002622C3">
        <w:t>from mandatory prepayment of engineering and construction costs</w:t>
      </w:r>
      <w:r w:rsidR="002622C3">
        <w:t xml:space="preserve">. </w:t>
      </w:r>
      <w:r w:rsidR="00FE74FA">
        <w:t xml:space="preserve">In addition to the correctional institutions, </w:t>
      </w:r>
      <w:r w:rsidR="00FB3B30" w:rsidRPr="00FB3B30">
        <w:t xml:space="preserve">over the study period </w:t>
      </w:r>
      <w:r w:rsidR="00FE74FA">
        <w:t>Sebring also i</w:t>
      </w:r>
      <w:r w:rsidR="00194129">
        <w:t>nstalled new plant/extending</w:t>
      </w:r>
      <w:r w:rsidR="00FE74FA">
        <w:t xml:space="preserve"> mainline</w:t>
      </w:r>
      <w:r w:rsidR="00194129">
        <w:t>s</w:t>
      </w:r>
      <w:r w:rsidR="00FE74FA">
        <w:t xml:space="preserve"> in Sebring, Florida, for serving businesses, a fire department, and a residential community.</w:t>
      </w:r>
      <w:r w:rsidR="00D15CD8">
        <w:t xml:space="preserve"> </w:t>
      </w:r>
    </w:p>
    <w:p w:rsidR="00FE74FA" w:rsidRDefault="001E5EDC" w:rsidP="00194129">
      <w:pPr>
        <w:pStyle w:val="BodyText"/>
      </w:pPr>
      <w:r>
        <w:t>I</w:t>
      </w:r>
      <w:r w:rsidR="00D15CD8">
        <w:t xml:space="preserve">n response </w:t>
      </w:r>
      <w:r w:rsidR="00DD3393">
        <w:t>to a staff data request,</w:t>
      </w:r>
      <w:r w:rsidR="00194129">
        <w:t xml:space="preserve"> the company stated it does not foresee similar</w:t>
      </w:r>
      <w:r w:rsidR="00D15CD8">
        <w:t xml:space="preserve"> level</w:t>
      </w:r>
      <w:r w:rsidR="00194129">
        <w:t>s</w:t>
      </w:r>
      <w:r w:rsidR="00D15CD8">
        <w:t xml:space="preserve"> of </w:t>
      </w:r>
      <w:r w:rsidR="00194129">
        <w:t>investment growth</w:t>
      </w:r>
      <w:r w:rsidR="00AD478A">
        <w:t xml:space="preserve"> as it </w:t>
      </w:r>
      <w:r w:rsidR="00FB3B30">
        <w:t>experienced</w:t>
      </w:r>
      <w:r w:rsidR="00AD478A">
        <w:t xml:space="preserve"> in 2013</w:t>
      </w:r>
      <w:r w:rsidR="00FB3B30">
        <w:t xml:space="preserve"> and </w:t>
      </w:r>
      <w:r w:rsidR="00D15CD8">
        <w:t>believes it</w:t>
      </w:r>
      <w:r w:rsidR="00CC199C">
        <w:t>s</w:t>
      </w:r>
      <w:r w:rsidR="003D3D58">
        <w:t xml:space="preserve"> system</w:t>
      </w:r>
      <w:r w:rsidR="00D15CD8">
        <w:t xml:space="preserve"> will </w:t>
      </w:r>
      <w:r w:rsidR="00A71E5D">
        <w:t>revert to</w:t>
      </w:r>
      <w:r w:rsidR="00DC578E">
        <w:t xml:space="preserve"> more typical</w:t>
      </w:r>
      <w:r w:rsidR="003D3D58">
        <w:t xml:space="preserve"> growth patterns</w:t>
      </w:r>
      <w:r w:rsidR="00D15CD8">
        <w:t xml:space="preserve"> over the next study period.</w:t>
      </w:r>
      <w:r w:rsidR="003D3D58">
        <w:rPr>
          <w:rStyle w:val="FootnoteReference"/>
        </w:rPr>
        <w:footnoteReference w:id="6"/>
      </w:r>
    </w:p>
    <w:p w:rsidR="001C55D7" w:rsidRDefault="006F7E24" w:rsidP="00117F6A">
      <w:pPr>
        <w:pStyle w:val="BodyText"/>
        <w:ind w:firstLine="720"/>
        <w:rPr>
          <w:rFonts w:ascii="Arial" w:hAnsi="Arial" w:cs="Arial"/>
          <w:b/>
          <w:i/>
        </w:rPr>
      </w:pPr>
      <w:r>
        <w:rPr>
          <w:rFonts w:ascii="Arial" w:hAnsi="Arial" w:cs="Arial"/>
          <w:b/>
          <w:i/>
        </w:rPr>
        <w:t xml:space="preserve">Plant </w:t>
      </w:r>
      <w:r w:rsidR="001C55D7" w:rsidRPr="002330AB">
        <w:rPr>
          <w:rFonts w:ascii="Arial" w:hAnsi="Arial" w:cs="Arial"/>
          <w:b/>
          <w:i/>
        </w:rPr>
        <w:t>Retirements</w:t>
      </w:r>
    </w:p>
    <w:p w:rsidR="002330AB" w:rsidRPr="002330AB" w:rsidRDefault="00887C9D" w:rsidP="00194129">
      <w:pPr>
        <w:pStyle w:val="BodyText"/>
      </w:pPr>
      <w:r>
        <w:t>The company</w:t>
      </w:r>
      <w:r w:rsidR="003A2CAF">
        <w:t xml:space="preserve">’s plant has experienced minimal </w:t>
      </w:r>
      <w:r>
        <w:t>retirement</w:t>
      </w:r>
      <w:r w:rsidR="003A2CAF">
        <w:t xml:space="preserve"> activity</w:t>
      </w:r>
      <w:r>
        <w:t xml:space="preserve"> over the study period.</w:t>
      </w:r>
      <w:r w:rsidR="00314A6D" w:rsidRPr="00314A6D">
        <w:t xml:space="preserve"> Expressed a</w:t>
      </w:r>
      <w:r w:rsidR="003A2CAF">
        <w:t>s a</w:t>
      </w:r>
      <w:r w:rsidR="00314A6D" w:rsidRPr="00314A6D">
        <w:t xml:space="preserve"> percentage of </w:t>
      </w:r>
      <w:r w:rsidR="009954F2">
        <w:t xml:space="preserve">study period </w:t>
      </w:r>
      <w:r w:rsidR="008C1AFA">
        <w:t xml:space="preserve">additions, </w:t>
      </w:r>
      <w:r w:rsidR="00314A6D" w:rsidRPr="00314A6D">
        <w:t xml:space="preserve">plant retirements </w:t>
      </w:r>
      <w:r w:rsidR="008C1AFA">
        <w:t>total</w:t>
      </w:r>
      <w:r w:rsidR="00314A6D" w:rsidRPr="00314A6D">
        <w:t xml:space="preserve"> </w:t>
      </w:r>
      <w:proofErr w:type="gramStart"/>
      <w:r w:rsidR="00314A6D" w:rsidRPr="00314A6D">
        <w:t>under</w:t>
      </w:r>
      <w:proofErr w:type="gramEnd"/>
      <w:r w:rsidR="00DC578E">
        <w:t xml:space="preserve"> 2 percent from 2011-</w:t>
      </w:r>
      <w:r w:rsidR="009954F2">
        <w:t>2016</w:t>
      </w:r>
      <w:r w:rsidR="00314A6D" w:rsidRPr="00314A6D">
        <w:t>.</w:t>
      </w:r>
      <w:r w:rsidR="009954F2">
        <w:t xml:space="preserve"> Staff notes</w:t>
      </w:r>
      <w:r>
        <w:t xml:space="preserve"> the refund </w:t>
      </w:r>
      <w:r w:rsidR="008C1AFA">
        <w:t>associated with tapping</w:t>
      </w:r>
      <w:r w:rsidR="009954F2">
        <w:t xml:space="preserve"> the two transmission </w:t>
      </w:r>
      <w:r w:rsidR="008C1AFA">
        <w:t xml:space="preserve">pipelines </w:t>
      </w:r>
      <w:r>
        <w:t xml:space="preserve">discussed in the </w:t>
      </w:r>
      <w:r w:rsidRPr="00887C9D">
        <w:rPr>
          <w:i/>
        </w:rPr>
        <w:t xml:space="preserve">Plant </w:t>
      </w:r>
      <w:r>
        <w:rPr>
          <w:i/>
        </w:rPr>
        <w:t>Additions</w:t>
      </w:r>
      <w:r w:rsidR="008C1AFA">
        <w:t xml:space="preserve"> section</w:t>
      </w:r>
      <w:r>
        <w:t xml:space="preserve"> was initially recorded as retirement in 2014</w:t>
      </w:r>
      <w:r w:rsidR="00314A6D">
        <w:t xml:space="preserve"> (year of refund)</w:t>
      </w:r>
      <w:r>
        <w:t xml:space="preserve">, but later correctly revised as a </w:t>
      </w:r>
      <w:r w:rsidR="008C1AFA">
        <w:t>“reduction of plant addition,” thus</w:t>
      </w:r>
      <w:r>
        <w:t xml:space="preserve"> accurately reflect</w:t>
      </w:r>
      <w:r w:rsidR="008C1AFA">
        <w:t>ing</w:t>
      </w:r>
      <w:r>
        <w:t xml:space="preserve"> the final investment amount.</w:t>
      </w:r>
      <w:r w:rsidR="00E01864">
        <w:t xml:space="preserve"> </w:t>
      </w:r>
    </w:p>
    <w:p w:rsidR="00381365" w:rsidRDefault="005E6213" w:rsidP="00117F6A">
      <w:pPr>
        <w:pStyle w:val="BodyText"/>
        <w:ind w:firstLine="720"/>
        <w:rPr>
          <w:rFonts w:ascii="Arial" w:hAnsi="Arial" w:cs="Arial"/>
          <w:b/>
          <w:i/>
        </w:rPr>
      </w:pPr>
      <w:r>
        <w:rPr>
          <w:rFonts w:ascii="Arial" w:hAnsi="Arial" w:cs="Arial"/>
          <w:b/>
          <w:i/>
        </w:rPr>
        <w:t xml:space="preserve">Average Service and Remaining </w:t>
      </w:r>
      <w:r w:rsidR="00381365">
        <w:rPr>
          <w:rFonts w:ascii="Arial" w:hAnsi="Arial" w:cs="Arial"/>
          <w:b/>
          <w:i/>
        </w:rPr>
        <w:t>Lives</w:t>
      </w:r>
    </w:p>
    <w:p w:rsidR="005E6213" w:rsidRDefault="00117F6A" w:rsidP="00381365">
      <w:pPr>
        <w:pStyle w:val="BodyText"/>
      </w:pPr>
      <w:r>
        <w:t xml:space="preserve">Neither the </w:t>
      </w:r>
      <w:proofErr w:type="gramStart"/>
      <w:r>
        <w:t>company, nor staff, propose</w:t>
      </w:r>
      <w:proofErr w:type="gramEnd"/>
      <w:r w:rsidR="005E6213">
        <w:t xml:space="preserve"> any changes</w:t>
      </w:r>
      <w:r w:rsidR="00381365">
        <w:t xml:space="preserve"> </w:t>
      </w:r>
      <w:r w:rsidR="005E6213">
        <w:t xml:space="preserve">to </w:t>
      </w:r>
      <w:r w:rsidR="00381365">
        <w:t>Sebring’s currently</w:t>
      </w:r>
      <w:r w:rsidR="005E6213">
        <w:t>-</w:t>
      </w:r>
      <w:r w:rsidR="00381365">
        <w:t>authorized</w:t>
      </w:r>
      <w:r w:rsidR="005E6213">
        <w:t>, account-specific,</w:t>
      </w:r>
      <w:r w:rsidR="00381365">
        <w:t xml:space="preserve"> average service lives.</w:t>
      </w:r>
      <w:r w:rsidR="00E01864">
        <w:rPr>
          <w:rStyle w:val="FootnoteReference"/>
        </w:rPr>
        <w:footnoteReference w:id="7"/>
      </w:r>
      <w:r w:rsidR="002068CA">
        <w:t xml:space="preserve"> Staff does</w:t>
      </w:r>
      <w:r w:rsidR="00C73413">
        <w:t>,</w:t>
      </w:r>
      <w:r w:rsidR="002068CA">
        <w:t xml:space="preserve"> however</w:t>
      </w:r>
      <w:r w:rsidR="00C73413">
        <w:t>,</w:t>
      </w:r>
      <w:r w:rsidR="002068CA">
        <w:t xml:space="preserve"> recommend the company closely </w:t>
      </w:r>
      <w:r w:rsidR="006A497B">
        <w:t xml:space="preserve">monitor </w:t>
      </w:r>
      <w:r w:rsidR="008C1AFA">
        <w:t xml:space="preserve">the </w:t>
      </w:r>
      <w:r w:rsidR="002068CA">
        <w:t xml:space="preserve">life characteristics of </w:t>
      </w:r>
      <w:r w:rsidR="001E5EDC">
        <w:t>all its investments f</w:t>
      </w:r>
      <w:r w:rsidR="00FB3B30">
        <w:t>o</w:t>
      </w:r>
      <w:r w:rsidR="001E5EDC">
        <w:t>r evaluating</w:t>
      </w:r>
      <w:r w:rsidR="00C73413">
        <w:t xml:space="preserve"> </w:t>
      </w:r>
      <w:r w:rsidR="005E6213">
        <w:t>if</w:t>
      </w:r>
      <w:r w:rsidR="00C73413">
        <w:t xml:space="preserve"> </w:t>
      </w:r>
      <w:r w:rsidR="005E6213">
        <w:t xml:space="preserve">any </w:t>
      </w:r>
      <w:r w:rsidR="008C1AFA">
        <w:t>average service life adjustments</w:t>
      </w:r>
      <w:r w:rsidR="00C73413">
        <w:t xml:space="preserve"> </w:t>
      </w:r>
      <w:r w:rsidR="008C1AFA">
        <w:t>are warranted as part of</w:t>
      </w:r>
      <w:r w:rsidR="005E6213">
        <w:t xml:space="preserve"> future depreciation studies</w:t>
      </w:r>
      <w:r w:rsidR="00C73413">
        <w:t>.</w:t>
      </w:r>
      <w:r w:rsidR="00E01864">
        <w:t xml:space="preserve"> </w:t>
      </w:r>
    </w:p>
    <w:p w:rsidR="00381365" w:rsidRPr="00381365" w:rsidRDefault="002652A7" w:rsidP="00381365">
      <w:pPr>
        <w:pStyle w:val="BodyText"/>
      </w:pPr>
      <w:r>
        <w:t xml:space="preserve">As similarly performed in the </w:t>
      </w:r>
      <w:r w:rsidR="001E5EDC">
        <w:t>c</w:t>
      </w:r>
      <w:r w:rsidR="00EE5C2E">
        <w:t>ompany’s last depreciation</w:t>
      </w:r>
      <w:r>
        <w:t xml:space="preserve"> review</w:t>
      </w:r>
      <w:r w:rsidR="00EE5C2E">
        <w:t xml:space="preserve"> and mentioned above</w:t>
      </w:r>
      <w:r>
        <w:t>, staff computed</w:t>
      </w:r>
      <w:r w:rsidR="005E6213">
        <w:t xml:space="preserve"> account-specific </w:t>
      </w:r>
      <w:r w:rsidR="006A497B">
        <w:t>average remaining liv</w:t>
      </w:r>
      <w:r>
        <w:t>es</w:t>
      </w:r>
      <w:r w:rsidR="00117F6A" w:rsidRPr="00117F6A">
        <w:t xml:space="preserve"> (shown on Attachment A)</w:t>
      </w:r>
      <w:r>
        <w:t xml:space="preserve"> by</w:t>
      </w:r>
      <w:r w:rsidR="00E01864">
        <w:t xml:space="preserve"> </w:t>
      </w:r>
      <w:r w:rsidR="006A497B">
        <w:t xml:space="preserve">first </w:t>
      </w:r>
      <w:r w:rsidR="00E01864">
        <w:t>ag</w:t>
      </w:r>
      <w:r>
        <w:t>ing</w:t>
      </w:r>
      <w:r w:rsidR="00293979">
        <w:t xml:space="preserve"> Sebring’s</w:t>
      </w:r>
      <w:r w:rsidR="00E01864">
        <w:t xml:space="preserve"> p</w:t>
      </w:r>
      <w:r w:rsidR="00EE5C2E">
        <w:t>rojected p</w:t>
      </w:r>
      <w:r w:rsidR="00E01864">
        <w:t>lant</w:t>
      </w:r>
      <w:r w:rsidR="006A497B">
        <w:t xml:space="preserve"> investments</w:t>
      </w:r>
      <w:r w:rsidR="00372BE3">
        <w:t xml:space="preserve"> </w:t>
      </w:r>
      <w:r>
        <w:t>at December 31, 2016,</w:t>
      </w:r>
      <w:r w:rsidR="006A497B">
        <w:t xml:space="preserve"> then</w:t>
      </w:r>
      <w:r>
        <w:t xml:space="preserve"> applying</w:t>
      </w:r>
      <w:r w:rsidR="00FB3B30">
        <w:t xml:space="preserve"> the result</w:t>
      </w:r>
      <w:r w:rsidR="00E01864">
        <w:t>s to the company’s</w:t>
      </w:r>
      <w:r w:rsidR="007B11E8">
        <w:t xml:space="preserve"> Iowa </w:t>
      </w:r>
      <w:r w:rsidR="006A497B">
        <w:t>C</w:t>
      </w:r>
      <w:r w:rsidR="00372BE3">
        <w:t>urve and service l</w:t>
      </w:r>
      <w:r w:rsidR="007B11E8">
        <w:t>ife selectio</w:t>
      </w:r>
      <w:r w:rsidR="00372BE3">
        <w:t>ns</w:t>
      </w:r>
      <w:r w:rsidR="00FB3B30">
        <w:t xml:space="preserve"> on an account-by-account basis</w:t>
      </w:r>
      <w:r w:rsidR="007B11E8">
        <w:t>.</w:t>
      </w:r>
    </w:p>
    <w:p w:rsidR="00F60470" w:rsidRDefault="00EB307D" w:rsidP="00381365">
      <w:pPr>
        <w:pStyle w:val="BodyText"/>
        <w:ind w:firstLine="720"/>
        <w:rPr>
          <w:rFonts w:ascii="Arial" w:hAnsi="Arial" w:cs="Arial"/>
          <w:b/>
          <w:i/>
        </w:rPr>
      </w:pPr>
      <w:r>
        <w:rPr>
          <w:rFonts w:ascii="Arial" w:hAnsi="Arial" w:cs="Arial"/>
          <w:b/>
          <w:i/>
        </w:rPr>
        <w:t>Net Salvage</w:t>
      </w:r>
    </w:p>
    <w:p w:rsidR="0026427F" w:rsidRDefault="001E5EDC" w:rsidP="00D635D3">
      <w:pPr>
        <w:pStyle w:val="BodyText"/>
      </w:pPr>
      <w:r>
        <w:t>The c</w:t>
      </w:r>
      <w:r w:rsidR="00EB307D">
        <w:t>ompany has not requested any change</w:t>
      </w:r>
      <w:r w:rsidR="00C4765E">
        <w:t>s</w:t>
      </w:r>
      <w:r w:rsidR="00EB307D">
        <w:t xml:space="preserve"> to its currently authorized net salvage levels.</w:t>
      </w:r>
      <w:r w:rsidR="00EB307D">
        <w:rPr>
          <w:rStyle w:val="FootnoteReference"/>
        </w:rPr>
        <w:footnoteReference w:id="8"/>
      </w:r>
      <w:r w:rsidR="00EB307D">
        <w:t xml:space="preserve"> </w:t>
      </w:r>
      <w:r>
        <w:t>W</w:t>
      </w:r>
      <w:r w:rsidR="00C4765E">
        <w:t xml:space="preserve">ithout experiencing meaningful </w:t>
      </w:r>
      <w:r w:rsidR="00EB307D">
        <w:t>leve</w:t>
      </w:r>
      <w:r w:rsidR="00C4765E">
        <w:t>ls of retirement over a period of time</w:t>
      </w:r>
      <w:r w:rsidR="00EB307D">
        <w:t>, company specific net salvag</w:t>
      </w:r>
      <w:r w:rsidR="00C4765E">
        <w:t>e investigations may prove inconclusive</w:t>
      </w:r>
      <w:r w:rsidR="00EB307D" w:rsidRPr="00C4765E">
        <w:t xml:space="preserve">. </w:t>
      </w:r>
      <w:r w:rsidR="00C4765E">
        <w:t>Thus, s</w:t>
      </w:r>
      <w:r w:rsidR="00EB307D" w:rsidRPr="00C4765E">
        <w:t xml:space="preserve">taff </w:t>
      </w:r>
      <w:r w:rsidR="0026427F" w:rsidRPr="00C4765E">
        <w:t xml:space="preserve">compared </w:t>
      </w:r>
      <w:r w:rsidR="005E3214" w:rsidRPr="00C4765E">
        <w:t>the company’s currently-</w:t>
      </w:r>
      <w:r w:rsidR="00EB307D" w:rsidRPr="00C4765E">
        <w:t>authoriz</w:t>
      </w:r>
      <w:r w:rsidR="00DC578E">
        <w:t>ed/proposed-for-continued-</w:t>
      </w:r>
      <w:r w:rsidR="00C4765E">
        <w:t>use net salvage levels</w:t>
      </w:r>
      <w:r w:rsidR="0026427F" w:rsidRPr="00C4765E">
        <w:t xml:space="preserve"> to</w:t>
      </w:r>
      <w:r w:rsidR="00C4765E">
        <w:t xml:space="preserve"> those experienced by</w:t>
      </w:r>
      <w:r w:rsidR="00EB307D" w:rsidRPr="00C4765E">
        <w:t xml:space="preserve"> </w:t>
      </w:r>
      <w:r w:rsidR="0026427F" w:rsidRPr="00C4765E">
        <w:t xml:space="preserve">other </w:t>
      </w:r>
      <w:r w:rsidR="0026427F" w:rsidRPr="00C4765E">
        <w:lastRenderedPageBreak/>
        <w:t>nat</w:t>
      </w:r>
      <w:r w:rsidR="00294019" w:rsidRPr="00C4765E">
        <w:t>ural gas distribution companies</w:t>
      </w:r>
      <w:r w:rsidR="0026427F">
        <w:t>. Staff believes Sebring’</w:t>
      </w:r>
      <w:r w:rsidR="005E3214">
        <w:t xml:space="preserve">s </w:t>
      </w:r>
      <w:r w:rsidR="00C520A7" w:rsidRPr="00C520A7">
        <w:t>currently-authorized/</w:t>
      </w:r>
      <w:r w:rsidR="00E3531B">
        <w:t>propos</w:t>
      </w:r>
      <w:r w:rsidR="0026427F">
        <w:t xml:space="preserve">ed net salvage </w:t>
      </w:r>
      <w:r w:rsidR="002652A7">
        <w:t>values</w:t>
      </w:r>
      <w:r w:rsidR="0026427F">
        <w:t xml:space="preserve"> remain</w:t>
      </w:r>
      <w:r w:rsidR="005E3214">
        <w:t xml:space="preserve"> in-line to those </w:t>
      </w:r>
      <w:r w:rsidR="00E3531B">
        <w:t xml:space="preserve">currently </w:t>
      </w:r>
      <w:r w:rsidR="005E3214">
        <w:t xml:space="preserve">being </w:t>
      </w:r>
      <w:r w:rsidR="002652A7">
        <w:t>estimated</w:t>
      </w:r>
      <w:r w:rsidR="005E3214">
        <w:t xml:space="preserve"> by</w:t>
      </w:r>
      <w:r w:rsidR="0026427F">
        <w:t xml:space="preserve"> </w:t>
      </w:r>
      <w:r w:rsidR="005E3214">
        <w:t xml:space="preserve">its </w:t>
      </w:r>
      <w:r w:rsidR="0026427F">
        <w:t xml:space="preserve">industry peers and should </w:t>
      </w:r>
      <w:r w:rsidR="002652A7">
        <w:t>continue to be used for</w:t>
      </w:r>
      <w:r w:rsidR="00E3531B">
        <w:t xml:space="preserve"> applicable</w:t>
      </w:r>
      <w:r w:rsidR="002652A7">
        <w:t xml:space="preserve"> rate-making purposes</w:t>
      </w:r>
      <w:r w:rsidR="0026427F">
        <w:t xml:space="preserve">. </w:t>
      </w:r>
    </w:p>
    <w:p w:rsidR="00D635D3" w:rsidRPr="00B81AC5" w:rsidRDefault="00D635D3" w:rsidP="006B331E">
      <w:pPr>
        <w:pStyle w:val="BodyText"/>
        <w:ind w:firstLine="720"/>
        <w:rPr>
          <w:rFonts w:ascii="Arial" w:hAnsi="Arial" w:cs="Arial"/>
          <w:b/>
          <w:i/>
        </w:rPr>
      </w:pPr>
      <w:r w:rsidRPr="00B81AC5">
        <w:rPr>
          <w:rFonts w:ascii="Arial" w:hAnsi="Arial" w:cs="Arial"/>
          <w:b/>
          <w:i/>
        </w:rPr>
        <w:t>Reserve Transfers</w:t>
      </w:r>
    </w:p>
    <w:p w:rsidR="00D635D3" w:rsidRPr="00896134" w:rsidRDefault="00896134" w:rsidP="00D635D3">
      <w:pPr>
        <w:pStyle w:val="BodyText"/>
      </w:pPr>
      <w:r>
        <w:t>As part of</w:t>
      </w:r>
      <w:r w:rsidR="00D635D3" w:rsidRPr="00314A6D">
        <w:t xml:space="preserve"> review</w:t>
      </w:r>
      <w:r>
        <w:t>ing</w:t>
      </w:r>
      <w:r w:rsidR="00D635D3" w:rsidRPr="00314A6D">
        <w:t xml:space="preserve"> Sebring’s </w:t>
      </w:r>
      <w:r w:rsidR="00314A6D" w:rsidRPr="00314A6D">
        <w:t>2016 Depreciation S</w:t>
      </w:r>
      <w:r w:rsidR="0055456B">
        <w:t>tudy, staff calculate</w:t>
      </w:r>
      <w:r>
        <w:t>d</w:t>
      </w:r>
      <w:r w:rsidR="0055456B">
        <w:t xml:space="preserve"> the</w:t>
      </w:r>
      <w:r>
        <w:t xml:space="preserve"> book</w:t>
      </w:r>
      <w:r w:rsidR="0055456B">
        <w:t xml:space="preserve"> </w:t>
      </w:r>
      <w:r w:rsidR="00D635D3" w:rsidRPr="00314A6D">
        <w:t>res</w:t>
      </w:r>
      <w:r>
        <w:t xml:space="preserve">erve position of </w:t>
      </w:r>
      <w:r w:rsidR="00314A6D" w:rsidRPr="00314A6D">
        <w:t>each</w:t>
      </w:r>
      <w:r>
        <w:t xml:space="preserve"> plant</w:t>
      </w:r>
      <w:r w:rsidR="00314A6D" w:rsidRPr="00314A6D">
        <w:t xml:space="preserve"> account.</w:t>
      </w:r>
      <w:r w:rsidR="00D635D3" w:rsidRPr="00314A6D">
        <w:t xml:space="preserve"> </w:t>
      </w:r>
      <w:r>
        <w:t>S</w:t>
      </w:r>
      <w:r w:rsidR="0055456B">
        <w:t>taff also calculated</w:t>
      </w:r>
      <w:r w:rsidR="00D635D3" w:rsidRPr="00314A6D">
        <w:t xml:space="preserve"> </w:t>
      </w:r>
      <w:r>
        <w:t>the associated</w:t>
      </w:r>
      <w:r w:rsidR="00D635D3" w:rsidRPr="00314A6D">
        <w:t xml:space="preserve"> the</w:t>
      </w:r>
      <w:r>
        <w:t>oretical reserve positions of each plant account, which are</w:t>
      </w:r>
      <w:r w:rsidR="00D635D3" w:rsidRPr="00314A6D">
        <w:t xml:space="preserve"> </w:t>
      </w:r>
      <w:r w:rsidR="00A74DA8">
        <w:t>based on the</w:t>
      </w:r>
      <w:r w:rsidRPr="00896134">
        <w:t xml:space="preserve"> </w:t>
      </w:r>
      <w:r>
        <w:t xml:space="preserve">current </w:t>
      </w:r>
      <w:r w:rsidRPr="00896134">
        <w:t>recommended life an</w:t>
      </w:r>
      <w:r>
        <w:t xml:space="preserve">d net salvage inputs. </w:t>
      </w:r>
      <w:r w:rsidR="00D635D3" w:rsidRPr="00314A6D">
        <w:t>The difference between an account’s book and theoretical reserve</w:t>
      </w:r>
      <w:r w:rsidR="001E5EDC">
        <w:t xml:space="preserve"> amounts</w:t>
      </w:r>
      <w:r w:rsidR="00D635D3" w:rsidRPr="00314A6D">
        <w:t xml:space="preserve"> may be described as a</w:t>
      </w:r>
      <w:r w:rsidR="00314A6D" w:rsidRPr="00314A6D">
        <w:t>n imbalance, either</w:t>
      </w:r>
      <w:r w:rsidR="00D635D3" w:rsidRPr="00314A6D">
        <w:t xml:space="preserve"> positive or negative</w:t>
      </w:r>
      <w:r w:rsidR="00314A6D" w:rsidRPr="00314A6D">
        <w:t>,</w:t>
      </w:r>
      <w:r w:rsidR="00D635D3" w:rsidRPr="00314A6D">
        <w:t xml:space="preserve"> or as a surplus or deficiency</w:t>
      </w:r>
      <w:r w:rsidR="00F60470">
        <w:t>.</w:t>
      </w:r>
      <w:r w:rsidR="00314A6D" w:rsidRPr="00F60470">
        <w:t xml:space="preserve"> When imbalances are present</w:t>
      </w:r>
      <w:r w:rsidR="00D635D3" w:rsidRPr="00F60470">
        <w:t>, corrective transfers among accounts should be</w:t>
      </w:r>
      <w:r w:rsidR="00314A6D" w:rsidRPr="00F60470">
        <w:t xml:space="preserve"> evaluated</w:t>
      </w:r>
      <w:r w:rsidR="00F60470">
        <w:t>,</w:t>
      </w:r>
      <w:r w:rsidR="00F60470" w:rsidRPr="00F60470">
        <w:t xml:space="preserve"> and</w:t>
      </w:r>
      <w:r w:rsidR="00F60470">
        <w:t xml:space="preserve"> </w:t>
      </w:r>
      <w:r w:rsidR="00F60470" w:rsidRPr="00F60470">
        <w:t>if warranted, recommended</w:t>
      </w:r>
      <w:r w:rsidR="00DD3393">
        <w:t xml:space="preserve"> to</w:t>
      </w:r>
      <w:r w:rsidR="00F60470" w:rsidRPr="00F60470">
        <w:t xml:space="preserve"> be performed.</w:t>
      </w:r>
      <w:r w:rsidR="00D635D3" w:rsidRPr="00F60470">
        <w:t xml:space="preserve"> </w:t>
      </w:r>
      <w:r w:rsidR="00F60470">
        <w:t>Staff discusses its recommended reserve transfers below.</w:t>
      </w:r>
      <w:r w:rsidR="00D635D3" w:rsidRPr="00F60470">
        <w:t xml:space="preserve"> </w:t>
      </w:r>
    </w:p>
    <w:p w:rsidR="00E265AD" w:rsidRDefault="00896134" w:rsidP="00D635D3">
      <w:pPr>
        <w:pStyle w:val="BodyText"/>
      </w:pPr>
      <w:r>
        <w:t>Over</w:t>
      </w:r>
      <w:r w:rsidR="006B6087">
        <w:t xml:space="preserve"> the study period</w:t>
      </w:r>
      <w:r w:rsidR="00F60470">
        <w:t xml:space="preserve"> of</w:t>
      </w:r>
      <w:r w:rsidR="006B6087">
        <w:t xml:space="preserve"> 2011-2016</w:t>
      </w:r>
      <w:r w:rsidR="006B6087" w:rsidRPr="006B6087">
        <w:t xml:space="preserve">, </w:t>
      </w:r>
      <w:r w:rsidR="006B6087">
        <w:t>Sebring</w:t>
      </w:r>
      <w:r w:rsidR="00396363">
        <w:t xml:space="preserve"> carried</w:t>
      </w:r>
      <w:r w:rsidR="00A76ED2">
        <w:t xml:space="preserve"> depreciation reserve</w:t>
      </w:r>
      <w:r w:rsidR="00396363">
        <w:t xml:space="preserve">s </w:t>
      </w:r>
      <w:r w:rsidR="00A76ED2">
        <w:t>of</w:t>
      </w:r>
      <w:r w:rsidR="006B6087" w:rsidRPr="006B6087">
        <w:t xml:space="preserve"> $9,788</w:t>
      </w:r>
      <w:r w:rsidR="006B6087">
        <w:t xml:space="preserve"> in </w:t>
      </w:r>
      <w:r w:rsidR="006B6087" w:rsidRPr="006B6087">
        <w:t>Account 399</w:t>
      </w:r>
      <w:r w:rsidR="006B6087">
        <w:t xml:space="preserve"> – Prior Period Adjustment. </w:t>
      </w:r>
      <w:r w:rsidR="006B6087" w:rsidRPr="006B6087">
        <w:t>This</w:t>
      </w:r>
      <w:r w:rsidR="00A76ED2">
        <w:t xml:space="preserve"> amount was associated with a prior rate case</w:t>
      </w:r>
      <w:r w:rsidR="006B6087" w:rsidRPr="006B6087">
        <w:t xml:space="preserve"> audit finding</w:t>
      </w:r>
      <w:r w:rsidR="00396363">
        <w:t xml:space="preserve"> related to the appropriate level of</w:t>
      </w:r>
      <w:r w:rsidR="00A76ED2">
        <w:t xml:space="preserve"> accumulated depreciation. This audit finding </w:t>
      </w:r>
      <w:r w:rsidR="006B6087" w:rsidRPr="006B6087">
        <w:t>was ultimately identified by Commission Order PSC-04-1260-PAA-GU.</w:t>
      </w:r>
      <w:r w:rsidR="00A76ED2">
        <w:rPr>
          <w:rStyle w:val="FootnoteReference"/>
        </w:rPr>
        <w:footnoteReference w:id="9"/>
      </w:r>
      <w:r w:rsidR="00396363">
        <w:t xml:space="preserve"> </w:t>
      </w:r>
      <w:r w:rsidR="00A76ED2">
        <w:t xml:space="preserve">As part of the </w:t>
      </w:r>
      <w:r w:rsidR="00396363">
        <w:t>d</w:t>
      </w:r>
      <w:r w:rsidR="00DD3393">
        <w:t>ata request</w:t>
      </w:r>
      <w:r w:rsidR="00396363">
        <w:t xml:space="preserve"> process</w:t>
      </w:r>
      <w:r w:rsidR="00A76ED2">
        <w:t>, t</w:t>
      </w:r>
      <w:r w:rsidR="006B6087" w:rsidRPr="006B6087">
        <w:t>he company</w:t>
      </w:r>
      <w:r w:rsidR="00A76ED2">
        <w:t xml:space="preserve"> was asked if it has</w:t>
      </w:r>
      <w:r w:rsidR="006B6087" w:rsidRPr="006B6087">
        <w:t xml:space="preserve"> any </w:t>
      </w:r>
      <w:r w:rsidR="00A76ED2">
        <w:t>spec</w:t>
      </w:r>
      <w:r w:rsidR="00396363">
        <w:t>ific treatment proposals for this reserve amount and</w:t>
      </w:r>
      <w:r w:rsidR="006B6087" w:rsidRPr="006B6087">
        <w:t xml:space="preserve"> </w:t>
      </w:r>
      <w:r w:rsidR="00A76ED2">
        <w:t>responded it did</w:t>
      </w:r>
      <w:r w:rsidR="006B6087" w:rsidRPr="006B6087">
        <w:t xml:space="preserve"> not</w:t>
      </w:r>
      <w:r w:rsidR="00A76ED2">
        <w:t>.</w:t>
      </w:r>
      <w:r w:rsidR="00396363" w:rsidRPr="00396363">
        <w:rPr>
          <w:vertAlign w:val="superscript"/>
        </w:rPr>
        <w:footnoteReference w:id="10"/>
      </w:r>
      <w:r w:rsidR="006B6087" w:rsidRPr="006B6087">
        <w:t xml:space="preserve"> </w:t>
      </w:r>
      <w:r w:rsidR="00E265AD">
        <w:t xml:space="preserve">Staff </w:t>
      </w:r>
      <w:r w:rsidR="00396363">
        <w:t xml:space="preserve">further </w:t>
      </w:r>
      <w:r w:rsidR="00E265AD">
        <w:t>inquired i</w:t>
      </w:r>
      <w:r w:rsidR="00396363">
        <w:t>f the company was amenable to</w:t>
      </w:r>
      <w:r w:rsidR="003849A8">
        <w:t xml:space="preserve"> the Commission </w:t>
      </w:r>
      <w:r w:rsidR="00E265AD">
        <w:t>allocating</w:t>
      </w:r>
      <w:r w:rsidR="003849A8">
        <w:t xml:space="preserve"> this</w:t>
      </w:r>
      <w:r w:rsidR="006B6087" w:rsidRPr="006B6087">
        <w:t xml:space="preserve"> reserve </w:t>
      </w:r>
      <w:r w:rsidR="00A74DA8">
        <w:t>to</w:t>
      </w:r>
      <w:r w:rsidR="00E265AD">
        <w:t xml:space="preserve"> other plant accounts</w:t>
      </w:r>
      <w:r w:rsidR="00E265AD" w:rsidRPr="00E265AD">
        <w:t xml:space="preserve"> in a rational manner</w:t>
      </w:r>
      <w:r w:rsidR="00E265AD">
        <w:t xml:space="preserve">. The company was supportive of both staff’s suggestion and transfer results/proposals. The </w:t>
      </w:r>
      <w:r w:rsidR="00F60470">
        <w:t xml:space="preserve">specific </w:t>
      </w:r>
      <w:r w:rsidR="00E265AD">
        <w:t>depreciation reserve</w:t>
      </w:r>
      <w:r w:rsidR="003849A8">
        <w:t xml:space="preserve"> transfer proposals</w:t>
      </w:r>
      <w:r w:rsidR="00F60470">
        <w:t xml:space="preserve"> are presented in Table 3-1.</w:t>
      </w:r>
    </w:p>
    <w:tbl>
      <w:tblPr>
        <w:tblStyle w:val="TableGrid"/>
        <w:tblW w:w="0" w:type="auto"/>
        <w:jc w:val="center"/>
        <w:tblInd w:w="450" w:type="dxa"/>
        <w:tblLook w:val="04A0" w:firstRow="1" w:lastRow="0" w:firstColumn="1" w:lastColumn="0" w:noHBand="0" w:noVBand="1"/>
      </w:tblPr>
      <w:tblGrid>
        <w:gridCol w:w="990"/>
        <w:gridCol w:w="3548"/>
        <w:gridCol w:w="1852"/>
      </w:tblGrid>
      <w:tr w:rsidR="00E265AD" w:rsidTr="00976587">
        <w:trPr>
          <w:trHeight w:val="828"/>
          <w:jc w:val="center"/>
        </w:trPr>
        <w:tc>
          <w:tcPr>
            <w:tcW w:w="6390" w:type="dxa"/>
            <w:gridSpan w:val="3"/>
            <w:tcBorders>
              <w:top w:val="nil"/>
              <w:left w:val="nil"/>
              <w:right w:val="nil"/>
            </w:tcBorders>
            <w:vAlign w:val="center"/>
          </w:tcPr>
          <w:p w:rsidR="00DD3393" w:rsidRDefault="00DD3393" w:rsidP="001C55D7">
            <w:pPr>
              <w:pStyle w:val="ListParagraph"/>
              <w:ind w:left="0"/>
              <w:jc w:val="center"/>
              <w:rPr>
                <w:rFonts w:ascii="Arial" w:hAnsi="Arial" w:cs="Arial"/>
                <w:b/>
              </w:rPr>
            </w:pPr>
          </w:p>
          <w:p w:rsidR="00E265AD" w:rsidRPr="00976587" w:rsidRDefault="00E265AD" w:rsidP="001C55D7">
            <w:pPr>
              <w:pStyle w:val="ListParagraph"/>
              <w:ind w:left="0"/>
              <w:jc w:val="center"/>
              <w:rPr>
                <w:rFonts w:ascii="Arial" w:hAnsi="Arial" w:cs="Arial"/>
                <w:b/>
              </w:rPr>
            </w:pPr>
            <w:r w:rsidRPr="00976587">
              <w:rPr>
                <w:rFonts w:ascii="Arial" w:hAnsi="Arial" w:cs="Arial"/>
                <w:b/>
              </w:rPr>
              <w:t>Table 3-1</w:t>
            </w:r>
          </w:p>
          <w:p w:rsidR="007B37B0" w:rsidRPr="00DC578E" w:rsidRDefault="00976587" w:rsidP="00DC578E">
            <w:pPr>
              <w:pStyle w:val="ListParagraph"/>
              <w:ind w:left="0"/>
              <w:jc w:val="center"/>
              <w:rPr>
                <w:rFonts w:ascii="Arial" w:hAnsi="Arial" w:cs="Arial"/>
                <w:b/>
              </w:rPr>
            </w:pPr>
            <w:r w:rsidRPr="00976587">
              <w:rPr>
                <w:rFonts w:ascii="Arial" w:hAnsi="Arial" w:cs="Arial"/>
                <w:b/>
              </w:rPr>
              <w:t>Proposed Accumulated Depreciation Transfers</w:t>
            </w:r>
          </w:p>
        </w:tc>
      </w:tr>
      <w:tr w:rsidR="00E265AD" w:rsidTr="001C55D7">
        <w:trPr>
          <w:jc w:val="center"/>
        </w:trPr>
        <w:tc>
          <w:tcPr>
            <w:tcW w:w="990" w:type="dxa"/>
            <w:vAlign w:val="center"/>
          </w:tcPr>
          <w:p w:rsidR="00E265AD" w:rsidRPr="0000615E" w:rsidRDefault="00E265AD" w:rsidP="001C55D7">
            <w:pPr>
              <w:pStyle w:val="ListParagraph"/>
              <w:ind w:left="0"/>
              <w:jc w:val="center"/>
              <w:rPr>
                <w:b/>
              </w:rPr>
            </w:pPr>
            <w:r w:rsidRPr="0000615E">
              <w:rPr>
                <w:b/>
              </w:rPr>
              <w:t>Acct. No.</w:t>
            </w:r>
          </w:p>
        </w:tc>
        <w:tc>
          <w:tcPr>
            <w:tcW w:w="3548" w:type="dxa"/>
            <w:vAlign w:val="center"/>
          </w:tcPr>
          <w:p w:rsidR="00E265AD" w:rsidRPr="0000615E" w:rsidRDefault="00E265AD" w:rsidP="001C55D7">
            <w:pPr>
              <w:pStyle w:val="ListParagraph"/>
              <w:ind w:left="0"/>
              <w:jc w:val="center"/>
              <w:rPr>
                <w:b/>
              </w:rPr>
            </w:pPr>
            <w:r w:rsidRPr="0000615E">
              <w:rPr>
                <w:b/>
              </w:rPr>
              <w:t>Account Title</w:t>
            </w:r>
          </w:p>
        </w:tc>
        <w:tc>
          <w:tcPr>
            <w:tcW w:w="1852" w:type="dxa"/>
            <w:vAlign w:val="center"/>
          </w:tcPr>
          <w:p w:rsidR="00426963" w:rsidRPr="0000615E" w:rsidRDefault="00426963" w:rsidP="001C55D7">
            <w:pPr>
              <w:pStyle w:val="ListParagraph"/>
              <w:ind w:left="0"/>
              <w:jc w:val="center"/>
              <w:rPr>
                <w:b/>
              </w:rPr>
            </w:pPr>
            <w:r w:rsidRPr="0000615E">
              <w:rPr>
                <w:b/>
              </w:rPr>
              <w:t>Reserve</w:t>
            </w:r>
            <w:r w:rsidR="00E265AD" w:rsidRPr="0000615E">
              <w:rPr>
                <w:b/>
              </w:rPr>
              <w:t xml:space="preserve"> </w:t>
            </w:r>
          </w:p>
          <w:p w:rsidR="00E265AD" w:rsidRPr="0000615E" w:rsidRDefault="00426963" w:rsidP="001C55D7">
            <w:pPr>
              <w:pStyle w:val="ListParagraph"/>
              <w:ind w:left="0"/>
              <w:jc w:val="center"/>
              <w:rPr>
                <w:b/>
              </w:rPr>
            </w:pPr>
            <w:r w:rsidRPr="0000615E">
              <w:rPr>
                <w:b/>
              </w:rPr>
              <w:t>Transfer Amounts</w:t>
            </w:r>
          </w:p>
        </w:tc>
      </w:tr>
      <w:tr w:rsidR="00E265AD" w:rsidTr="001C55D7">
        <w:trPr>
          <w:jc w:val="center"/>
        </w:trPr>
        <w:tc>
          <w:tcPr>
            <w:tcW w:w="990" w:type="dxa"/>
          </w:tcPr>
          <w:p w:rsidR="00E265AD" w:rsidRDefault="00E265AD" w:rsidP="001C55D7">
            <w:pPr>
              <w:pStyle w:val="ListParagraph"/>
              <w:ind w:left="0"/>
            </w:pPr>
            <w:r w:rsidRPr="00DC0B64">
              <w:t>376.1</w:t>
            </w:r>
          </w:p>
        </w:tc>
        <w:tc>
          <w:tcPr>
            <w:tcW w:w="3548" w:type="dxa"/>
          </w:tcPr>
          <w:p w:rsidR="00E265AD" w:rsidRDefault="00E265AD" w:rsidP="001C55D7">
            <w:pPr>
              <w:pStyle w:val="ListParagraph"/>
              <w:ind w:left="0"/>
            </w:pPr>
            <w:r w:rsidRPr="00DC0B64">
              <w:t>Mains – Steel</w:t>
            </w:r>
          </w:p>
        </w:tc>
        <w:tc>
          <w:tcPr>
            <w:tcW w:w="1852" w:type="dxa"/>
            <w:vAlign w:val="bottom"/>
          </w:tcPr>
          <w:p w:rsidR="00E265AD" w:rsidRDefault="00E265AD" w:rsidP="001C55D7">
            <w:pPr>
              <w:pStyle w:val="ListParagraph"/>
              <w:ind w:left="0"/>
              <w:jc w:val="right"/>
            </w:pPr>
            <w:r>
              <w:t>2,357</w:t>
            </w:r>
          </w:p>
        </w:tc>
      </w:tr>
      <w:tr w:rsidR="00E265AD" w:rsidTr="00896134">
        <w:trPr>
          <w:jc w:val="center"/>
        </w:trPr>
        <w:tc>
          <w:tcPr>
            <w:tcW w:w="990" w:type="dxa"/>
            <w:vAlign w:val="center"/>
          </w:tcPr>
          <w:p w:rsidR="00E265AD" w:rsidRDefault="00E265AD" w:rsidP="00896134">
            <w:pPr>
              <w:pStyle w:val="ListParagraph"/>
              <w:ind w:left="0"/>
              <w:jc w:val="left"/>
            </w:pPr>
            <w:r>
              <w:t>379</w:t>
            </w:r>
          </w:p>
        </w:tc>
        <w:tc>
          <w:tcPr>
            <w:tcW w:w="3548" w:type="dxa"/>
          </w:tcPr>
          <w:p w:rsidR="00E265AD" w:rsidRDefault="00E265AD" w:rsidP="001C55D7">
            <w:pPr>
              <w:pStyle w:val="ListParagraph"/>
              <w:ind w:left="0"/>
            </w:pPr>
            <w:r w:rsidRPr="00DC0B64">
              <w:t xml:space="preserve">Meas. &amp; Reg. </w:t>
            </w:r>
            <w:r w:rsidR="0093470F">
              <w:t xml:space="preserve">Station </w:t>
            </w:r>
            <w:r w:rsidRPr="00DC0B64">
              <w:t>Equip.(City Gate)</w:t>
            </w:r>
          </w:p>
        </w:tc>
        <w:tc>
          <w:tcPr>
            <w:tcW w:w="1852" w:type="dxa"/>
            <w:vAlign w:val="bottom"/>
          </w:tcPr>
          <w:p w:rsidR="00E265AD" w:rsidRDefault="00E265AD" w:rsidP="001C55D7">
            <w:pPr>
              <w:pStyle w:val="ListParagraph"/>
              <w:ind w:left="0"/>
              <w:jc w:val="right"/>
            </w:pPr>
            <w:r>
              <w:t>2,129</w:t>
            </w:r>
          </w:p>
        </w:tc>
      </w:tr>
      <w:tr w:rsidR="00E265AD" w:rsidTr="001C55D7">
        <w:trPr>
          <w:jc w:val="center"/>
        </w:trPr>
        <w:tc>
          <w:tcPr>
            <w:tcW w:w="990" w:type="dxa"/>
          </w:tcPr>
          <w:p w:rsidR="00E265AD" w:rsidRDefault="00E265AD" w:rsidP="001C55D7">
            <w:pPr>
              <w:pStyle w:val="ListParagraph"/>
              <w:ind w:left="0"/>
            </w:pPr>
            <w:r>
              <w:t>380.2</w:t>
            </w:r>
          </w:p>
        </w:tc>
        <w:tc>
          <w:tcPr>
            <w:tcW w:w="3548" w:type="dxa"/>
          </w:tcPr>
          <w:p w:rsidR="00E265AD" w:rsidRPr="00DC0B64" w:rsidRDefault="00E265AD" w:rsidP="001C55D7">
            <w:pPr>
              <w:pStyle w:val="ListParagraph"/>
              <w:ind w:left="0"/>
            </w:pPr>
            <w:r>
              <w:t>Services - Plastic</w:t>
            </w:r>
          </w:p>
        </w:tc>
        <w:tc>
          <w:tcPr>
            <w:tcW w:w="1852" w:type="dxa"/>
            <w:vAlign w:val="bottom"/>
          </w:tcPr>
          <w:p w:rsidR="00E265AD" w:rsidRDefault="00E265AD" w:rsidP="001C55D7">
            <w:pPr>
              <w:pStyle w:val="ListParagraph"/>
              <w:ind w:left="0"/>
              <w:jc w:val="right"/>
            </w:pPr>
            <w:r>
              <w:t>2,058</w:t>
            </w:r>
          </w:p>
        </w:tc>
      </w:tr>
      <w:tr w:rsidR="00E265AD" w:rsidTr="001C55D7">
        <w:trPr>
          <w:jc w:val="center"/>
        </w:trPr>
        <w:tc>
          <w:tcPr>
            <w:tcW w:w="990" w:type="dxa"/>
          </w:tcPr>
          <w:p w:rsidR="00E265AD" w:rsidRDefault="00E265AD" w:rsidP="001C55D7">
            <w:pPr>
              <w:pStyle w:val="ListParagraph"/>
              <w:ind w:left="0"/>
            </w:pPr>
            <w:r>
              <w:t>382</w:t>
            </w:r>
          </w:p>
        </w:tc>
        <w:tc>
          <w:tcPr>
            <w:tcW w:w="3548" w:type="dxa"/>
          </w:tcPr>
          <w:p w:rsidR="00E265AD" w:rsidRDefault="00E265AD" w:rsidP="001C55D7">
            <w:pPr>
              <w:pStyle w:val="ListParagraph"/>
              <w:ind w:left="0"/>
            </w:pPr>
            <w:r w:rsidRPr="00DC0B64">
              <w:t>Meter Installations</w:t>
            </w:r>
          </w:p>
        </w:tc>
        <w:tc>
          <w:tcPr>
            <w:tcW w:w="1852" w:type="dxa"/>
            <w:vAlign w:val="bottom"/>
          </w:tcPr>
          <w:p w:rsidR="00E265AD" w:rsidRDefault="00E265AD" w:rsidP="001C55D7">
            <w:pPr>
              <w:pStyle w:val="ListParagraph"/>
              <w:ind w:left="0"/>
              <w:jc w:val="right"/>
            </w:pPr>
            <w:r>
              <w:t>119</w:t>
            </w:r>
          </w:p>
        </w:tc>
      </w:tr>
      <w:tr w:rsidR="00E265AD" w:rsidTr="001C55D7">
        <w:trPr>
          <w:jc w:val="center"/>
        </w:trPr>
        <w:tc>
          <w:tcPr>
            <w:tcW w:w="990" w:type="dxa"/>
          </w:tcPr>
          <w:p w:rsidR="00E265AD" w:rsidRDefault="00E265AD" w:rsidP="001C55D7">
            <w:pPr>
              <w:pStyle w:val="ListParagraph"/>
              <w:ind w:left="0"/>
            </w:pPr>
            <w:r>
              <w:t>387</w:t>
            </w:r>
          </w:p>
        </w:tc>
        <w:tc>
          <w:tcPr>
            <w:tcW w:w="3548" w:type="dxa"/>
          </w:tcPr>
          <w:p w:rsidR="00E265AD" w:rsidRDefault="00E265AD" w:rsidP="001C55D7">
            <w:pPr>
              <w:pStyle w:val="ListParagraph"/>
              <w:ind w:left="0"/>
            </w:pPr>
            <w:r w:rsidRPr="00DC0B64">
              <w:t>Other Equipment</w:t>
            </w:r>
          </w:p>
        </w:tc>
        <w:tc>
          <w:tcPr>
            <w:tcW w:w="1852" w:type="dxa"/>
            <w:vAlign w:val="bottom"/>
          </w:tcPr>
          <w:p w:rsidR="00E265AD" w:rsidRDefault="00E265AD" w:rsidP="001C55D7">
            <w:pPr>
              <w:pStyle w:val="ListParagraph"/>
              <w:ind w:left="0"/>
              <w:jc w:val="right"/>
            </w:pPr>
            <w:r>
              <w:t>153</w:t>
            </w:r>
          </w:p>
        </w:tc>
      </w:tr>
      <w:tr w:rsidR="00E265AD" w:rsidTr="001C55D7">
        <w:trPr>
          <w:jc w:val="center"/>
        </w:trPr>
        <w:tc>
          <w:tcPr>
            <w:tcW w:w="990" w:type="dxa"/>
          </w:tcPr>
          <w:p w:rsidR="00E265AD" w:rsidRDefault="00E265AD" w:rsidP="001C55D7">
            <w:pPr>
              <w:pStyle w:val="ListParagraph"/>
              <w:ind w:left="0"/>
            </w:pPr>
            <w:r>
              <w:t>394</w:t>
            </w:r>
          </w:p>
        </w:tc>
        <w:tc>
          <w:tcPr>
            <w:tcW w:w="3548" w:type="dxa"/>
          </w:tcPr>
          <w:p w:rsidR="00E265AD" w:rsidRDefault="00E265AD" w:rsidP="001C55D7">
            <w:pPr>
              <w:pStyle w:val="ListParagraph"/>
              <w:ind w:left="0"/>
            </w:pPr>
            <w:r w:rsidRPr="00DC0B64">
              <w:t>Tools, Shop &amp; Garage Equipment</w:t>
            </w:r>
          </w:p>
        </w:tc>
        <w:tc>
          <w:tcPr>
            <w:tcW w:w="1852" w:type="dxa"/>
            <w:vAlign w:val="bottom"/>
          </w:tcPr>
          <w:p w:rsidR="00E265AD" w:rsidRDefault="00E265AD" w:rsidP="001C55D7">
            <w:pPr>
              <w:pStyle w:val="ListParagraph"/>
              <w:ind w:left="0"/>
              <w:jc w:val="right"/>
            </w:pPr>
            <w:r>
              <w:t>2,972</w:t>
            </w:r>
          </w:p>
        </w:tc>
      </w:tr>
      <w:tr w:rsidR="00E265AD" w:rsidTr="001C55D7">
        <w:trPr>
          <w:jc w:val="center"/>
        </w:trPr>
        <w:tc>
          <w:tcPr>
            <w:tcW w:w="990" w:type="dxa"/>
          </w:tcPr>
          <w:p w:rsidR="00E265AD" w:rsidRDefault="00E265AD" w:rsidP="001C55D7">
            <w:pPr>
              <w:pStyle w:val="ListParagraph"/>
              <w:ind w:left="0"/>
            </w:pPr>
            <w:r>
              <w:t>399</w:t>
            </w:r>
          </w:p>
        </w:tc>
        <w:tc>
          <w:tcPr>
            <w:tcW w:w="3548" w:type="dxa"/>
          </w:tcPr>
          <w:p w:rsidR="00E265AD" w:rsidRDefault="00E265AD" w:rsidP="001C55D7">
            <w:pPr>
              <w:pStyle w:val="ListParagraph"/>
              <w:ind w:left="0"/>
            </w:pPr>
            <w:r w:rsidRPr="00DC0B64">
              <w:t>Prior Period Adjustment</w:t>
            </w:r>
          </w:p>
        </w:tc>
        <w:tc>
          <w:tcPr>
            <w:tcW w:w="1852" w:type="dxa"/>
            <w:vAlign w:val="bottom"/>
          </w:tcPr>
          <w:p w:rsidR="00E265AD" w:rsidRDefault="00E265AD" w:rsidP="001C55D7">
            <w:pPr>
              <w:pStyle w:val="ListParagraph"/>
              <w:ind w:left="0"/>
              <w:jc w:val="right"/>
            </w:pPr>
            <w:r>
              <w:t>(9,788)</w:t>
            </w:r>
          </w:p>
        </w:tc>
      </w:tr>
    </w:tbl>
    <w:p w:rsidR="00976587" w:rsidRDefault="00976587" w:rsidP="00E265AD">
      <w:pPr>
        <w:pStyle w:val="BodyText"/>
      </w:pPr>
    </w:p>
    <w:p w:rsidR="00381365" w:rsidRDefault="00A74DA8" w:rsidP="000F013B">
      <w:pPr>
        <w:pStyle w:val="BodyText"/>
      </w:pPr>
      <w:r>
        <w:t>S</w:t>
      </w:r>
      <w:r w:rsidR="00976587">
        <w:t>taff’s</w:t>
      </w:r>
      <w:r w:rsidR="00E265AD">
        <w:t xml:space="preserve"> methodology</w:t>
      </w:r>
      <w:r w:rsidR="000F013B">
        <w:t xml:space="preserve"> was to first bring any account</w:t>
      </w:r>
      <w:r w:rsidR="00E265AD">
        <w:t xml:space="preserve"> with a theoretically negative reserve</w:t>
      </w:r>
      <w:r w:rsidR="00426963">
        <w:t xml:space="preserve"> position</w:t>
      </w:r>
      <w:r w:rsidR="000F013B">
        <w:t xml:space="preserve"> to its theoretically correct level. However, after bringing all </w:t>
      </w:r>
      <w:r w:rsidR="0000615E">
        <w:t xml:space="preserve">accounts with </w:t>
      </w:r>
      <w:r w:rsidR="000F013B" w:rsidRPr="000F013B">
        <w:t>theoretically</w:t>
      </w:r>
      <w:r w:rsidR="000F013B">
        <w:t xml:space="preserve"> negative </w:t>
      </w:r>
      <w:r w:rsidR="000F013B">
        <w:lastRenderedPageBreak/>
        <w:t>reserve</w:t>
      </w:r>
      <w:r w:rsidR="0000615E">
        <w:t xml:space="preserve"> position</w:t>
      </w:r>
      <w:r w:rsidR="000F013B">
        <w:t>s</w:t>
      </w:r>
      <w:r w:rsidR="000F013B" w:rsidRPr="000F013B">
        <w:t xml:space="preserve"> </w:t>
      </w:r>
      <w:r w:rsidR="000F013B">
        <w:t>to their correct level</w:t>
      </w:r>
      <w:r w:rsidR="009E5722">
        <w:t>s</w:t>
      </w:r>
      <w:r w:rsidR="000F013B">
        <w:t xml:space="preserve">, </w:t>
      </w:r>
      <w:r w:rsidR="000F013B" w:rsidRPr="000F013B">
        <w:t>$2,058</w:t>
      </w:r>
      <w:r w:rsidR="000F013B">
        <w:t xml:space="preserve"> of the original $9,788 remained. </w:t>
      </w:r>
      <w:r w:rsidR="009E5722">
        <w:t>For this remainder, s</w:t>
      </w:r>
      <w:r w:rsidR="00425AB8" w:rsidRPr="006F7E24">
        <w:t>taff</w:t>
      </w:r>
      <w:r w:rsidR="00B81AC5" w:rsidRPr="006F7E24">
        <w:t xml:space="preserve"> </w:t>
      </w:r>
      <w:r w:rsidR="00425AB8" w:rsidRPr="006F7E24">
        <w:t>propose</w:t>
      </w:r>
      <w:r w:rsidR="00B81AC5" w:rsidRPr="006F7E24">
        <w:t>s</w:t>
      </w:r>
      <w:r w:rsidR="00426963" w:rsidRPr="006F7E24">
        <w:t xml:space="preserve"> </w:t>
      </w:r>
      <w:r w:rsidR="00425AB8" w:rsidRPr="006F7E24">
        <w:t>allocating</w:t>
      </w:r>
      <w:r w:rsidR="009E5722">
        <w:t xml:space="preserve"> the</w:t>
      </w:r>
      <w:r w:rsidR="00E265AD" w:rsidRPr="006F7E24">
        <w:t xml:space="preserve"> entire amount to Account 380.2 – Services – Plastic, due</w:t>
      </w:r>
      <w:r w:rsidR="006F7E24" w:rsidRPr="006F7E24">
        <w:t xml:space="preserve"> to</w:t>
      </w:r>
      <w:r w:rsidR="00425AB8" w:rsidRPr="006F7E24">
        <w:t xml:space="preserve"> this</w:t>
      </w:r>
      <w:r w:rsidR="006F7E24" w:rsidRPr="006F7E24">
        <w:t xml:space="preserve"> account having</w:t>
      </w:r>
      <w:r w:rsidR="00E265AD" w:rsidRPr="006F7E24">
        <w:t xml:space="preserve"> an approximate 31-year average remaining life in which the</w:t>
      </w:r>
      <w:r w:rsidR="00E265AD">
        <w:t xml:space="preserve"> surplus is spread over</w:t>
      </w:r>
      <w:r w:rsidR="0000615E">
        <w:t>/amortize</w:t>
      </w:r>
      <w:r w:rsidR="00846B71">
        <w:t>d</w:t>
      </w:r>
      <w:r w:rsidR="003A2CAF">
        <w:t>, as well as mitigating the</w:t>
      </w:r>
      <w:r w:rsidR="00DC578E">
        <w:t xml:space="preserve"> minor</w:t>
      </w:r>
      <w:r w:rsidR="003A2CAF">
        <w:t xml:space="preserve"> </w:t>
      </w:r>
      <w:r w:rsidR="009E5722">
        <w:t>expense increase associated with</w:t>
      </w:r>
      <w:r w:rsidR="003A2CAF">
        <w:t xml:space="preserve"> this account. Staff believes any effect</w:t>
      </w:r>
      <w:r w:rsidR="009E5722">
        <w:t>s resulting from the transfer are minimal</w:t>
      </w:r>
      <w:r w:rsidR="00E265AD">
        <w:t xml:space="preserve"> </w:t>
      </w:r>
      <w:r w:rsidR="009E5722">
        <w:t>due to</w:t>
      </w:r>
      <w:r w:rsidR="00426963">
        <w:t xml:space="preserve"> the </w:t>
      </w:r>
      <w:r w:rsidR="009E5722">
        <w:t xml:space="preserve">account’s </w:t>
      </w:r>
      <w:r w:rsidR="00426963">
        <w:t>long remaining</w:t>
      </w:r>
      <w:r w:rsidR="0000615E">
        <w:t xml:space="preserve"> life, as well as the</w:t>
      </w:r>
      <w:r w:rsidR="003A2CAF">
        <w:t xml:space="preserve"> </w:t>
      </w:r>
      <w:r w:rsidR="00426963">
        <w:t>small</w:t>
      </w:r>
      <w:r w:rsidR="0000615E">
        <w:t xml:space="preserve"> transfer amount relative</w:t>
      </w:r>
      <w:r w:rsidR="00426963">
        <w:t xml:space="preserve"> </w:t>
      </w:r>
      <w:r w:rsidR="009E5722">
        <w:t>to overall investment</w:t>
      </w:r>
      <w:r w:rsidR="00E265AD">
        <w:t>.</w:t>
      </w:r>
    </w:p>
    <w:p w:rsidR="007B37B0" w:rsidRDefault="007B37B0" w:rsidP="00BB2041">
      <w:pPr>
        <w:pStyle w:val="BodyText"/>
      </w:pPr>
      <w:r>
        <w:t>Staff also recommends the Commission approve transferring $180</w:t>
      </w:r>
      <w:r w:rsidR="005718D6">
        <w:t>,</w:t>
      </w:r>
      <w:r w:rsidRPr="000B05B2">
        <w:t xml:space="preserve"> </w:t>
      </w:r>
      <w:r>
        <w:t xml:space="preserve">from </w:t>
      </w:r>
      <w:r w:rsidRPr="000B05B2">
        <w:t xml:space="preserve">Account 392 – Trans. Equipment – Other Vehicles </w:t>
      </w:r>
      <w:r>
        <w:t xml:space="preserve">to </w:t>
      </w:r>
      <w:r w:rsidRPr="009D7C06">
        <w:t>Account 392 – Trans. Equipment – Light Trucks</w:t>
      </w:r>
      <w:r>
        <w:t xml:space="preserve">, as the former account has no corresponding investment. Staff notes </w:t>
      </w:r>
      <w:r w:rsidR="00CC199C">
        <w:t>that its</w:t>
      </w:r>
      <w:r>
        <w:t xml:space="preserve"> current rate recommendations incorporate </w:t>
      </w:r>
      <w:r w:rsidR="0052459B">
        <w:t xml:space="preserve">all proposed reserve </w:t>
      </w:r>
      <w:r>
        <w:t>transfer</w:t>
      </w:r>
      <w:r w:rsidR="0052459B">
        <w:t>s discussed in this section</w:t>
      </w:r>
      <w:r>
        <w:t xml:space="preserve">. </w:t>
      </w:r>
    </w:p>
    <w:p w:rsidR="00BB2041" w:rsidRDefault="00BB2041" w:rsidP="006F7E24">
      <w:pPr>
        <w:pStyle w:val="BodyText"/>
        <w:ind w:firstLine="720"/>
        <w:rPr>
          <w:rFonts w:ascii="Arial" w:hAnsi="Arial" w:cs="Arial"/>
          <w:b/>
          <w:i/>
        </w:rPr>
      </w:pPr>
      <w:r w:rsidRPr="00BB2041">
        <w:rPr>
          <w:rFonts w:ascii="Arial" w:hAnsi="Arial" w:cs="Arial"/>
          <w:b/>
          <w:i/>
        </w:rPr>
        <w:t>Other Matters</w:t>
      </w:r>
    </w:p>
    <w:p w:rsidR="0026427F" w:rsidRDefault="0052459B" w:rsidP="00BB2041">
      <w:pPr>
        <w:pStyle w:val="BodyText"/>
      </w:pPr>
      <w:r>
        <w:t>For natural gas utilities, t</w:t>
      </w:r>
      <w:r w:rsidR="00BB2041">
        <w:t xml:space="preserve">he Commission </w:t>
      </w:r>
      <w:r w:rsidR="00BB2041" w:rsidRPr="00BD378C">
        <w:t>observes</w:t>
      </w:r>
      <w:r w:rsidR="00B465E5">
        <w:t xml:space="preserve"> $500 a</w:t>
      </w:r>
      <w:r w:rsidR="00BB2041">
        <w:t xml:space="preserve">s </w:t>
      </w:r>
      <w:r w:rsidR="00B465E5">
        <w:t>being</w:t>
      </w:r>
      <w:r w:rsidR="00BB2041">
        <w:t xml:space="preserve"> the appropriate mi</w:t>
      </w:r>
      <w:r w:rsidR="00B465E5">
        <w:t xml:space="preserve">nimum threshold for capitalization of </w:t>
      </w:r>
      <w:r w:rsidR="00BB2041">
        <w:t xml:space="preserve">property, while </w:t>
      </w:r>
      <w:r w:rsidR="00B465E5">
        <w:t xml:space="preserve">minor </w:t>
      </w:r>
      <w:r w:rsidR="00BB2041">
        <w:t xml:space="preserve">items costing less than $500 are recorded as </w:t>
      </w:r>
      <w:r w:rsidR="00D15CD8">
        <w:t xml:space="preserve">maintenance </w:t>
      </w:r>
      <w:r w:rsidR="00BB2041">
        <w:t>expense.</w:t>
      </w:r>
      <w:r w:rsidR="005718D6" w:rsidRPr="005718D6">
        <w:rPr>
          <w:vertAlign w:val="superscript"/>
        </w:rPr>
        <w:footnoteReference w:id="11"/>
      </w:r>
      <w:r w:rsidR="00BB2041">
        <w:t xml:space="preserve"> Staff </w:t>
      </w:r>
      <w:r w:rsidR="00D15CD8">
        <w:t>in</w:t>
      </w:r>
      <w:r w:rsidR="00BB2041">
        <w:t xml:space="preserve"> its review of Sebring’s 2016 Depreciation Study</w:t>
      </w:r>
      <w:r w:rsidR="005718D6">
        <w:t xml:space="preserve"> </w:t>
      </w:r>
      <w:r w:rsidR="00BD378C">
        <w:t>became aware of a small number of</w:t>
      </w:r>
      <w:r w:rsidR="00094828">
        <w:t xml:space="preserve"> capital</w:t>
      </w:r>
      <w:r w:rsidR="00BB2041">
        <w:t xml:space="preserve"> entries</w:t>
      </w:r>
      <w:r w:rsidR="005718D6">
        <w:t xml:space="preserve"> which</w:t>
      </w:r>
      <w:r w:rsidR="00BD378C">
        <w:t xml:space="preserve"> were</w:t>
      </w:r>
      <w:r w:rsidR="00BB2041">
        <w:t xml:space="preserve"> below the</w:t>
      </w:r>
      <w:r w:rsidR="00B465E5">
        <w:t xml:space="preserve"> $500</w:t>
      </w:r>
      <w:r w:rsidR="00BB2041">
        <w:t xml:space="preserve"> </w:t>
      </w:r>
      <w:r w:rsidR="00D15CD8">
        <w:t xml:space="preserve">minimum </w:t>
      </w:r>
      <w:r w:rsidR="0016274F">
        <w:t>threshold</w:t>
      </w:r>
      <w:r w:rsidR="00BB2041">
        <w:t xml:space="preserve">. </w:t>
      </w:r>
      <w:r w:rsidR="00C94C7B">
        <w:t>However, s</w:t>
      </w:r>
      <w:r w:rsidR="00C94C7B" w:rsidRPr="00C94C7B">
        <w:t>taff no</w:t>
      </w:r>
      <w:r w:rsidR="00C94C7B">
        <w:t>tes the vast majority of capital items/</w:t>
      </w:r>
      <w:r w:rsidR="00F464F2">
        <w:t xml:space="preserve">plant </w:t>
      </w:r>
      <w:r w:rsidR="00C94C7B">
        <w:t>entries</w:t>
      </w:r>
      <w:r w:rsidR="00C94C7B" w:rsidRPr="00C94C7B">
        <w:t xml:space="preserve"> are appropriately above the minimum threshold. </w:t>
      </w:r>
      <w:r w:rsidR="00B465E5">
        <w:t>Staff consulted with</w:t>
      </w:r>
      <w:r w:rsidR="00B465E5" w:rsidRPr="00B465E5">
        <w:t xml:space="preserve"> the company concerning </w:t>
      </w:r>
      <w:r w:rsidR="00C94C7B">
        <w:t>these</w:t>
      </w:r>
      <w:r w:rsidR="00EC1695">
        <w:t xml:space="preserve"> specific entr</w:t>
      </w:r>
      <w:r w:rsidR="00BD378C">
        <w:t>ie</w:t>
      </w:r>
      <w:r w:rsidR="00B465E5">
        <w:t>s.</w:t>
      </w:r>
      <w:r w:rsidR="00D15CD8">
        <w:t xml:space="preserve"> </w:t>
      </w:r>
      <w:r w:rsidR="00B465E5">
        <w:t>T</w:t>
      </w:r>
      <w:r w:rsidR="00094828">
        <w:t xml:space="preserve">he company </w:t>
      </w:r>
      <w:r w:rsidR="00B465E5">
        <w:t>clai</w:t>
      </w:r>
      <w:r w:rsidR="002A52AF">
        <w:t>med it ceased making capital entries</w:t>
      </w:r>
      <w:r w:rsidR="00094828">
        <w:t xml:space="preserve"> </w:t>
      </w:r>
      <w:r w:rsidR="002A52AF">
        <w:t xml:space="preserve">below $500, </w:t>
      </w:r>
      <w:r w:rsidR="00B465E5">
        <w:t xml:space="preserve">and will only </w:t>
      </w:r>
      <w:r w:rsidR="00F666CB">
        <w:t xml:space="preserve">capitalize property valued at </w:t>
      </w:r>
      <w:r w:rsidR="00094828">
        <w:t>$500</w:t>
      </w:r>
      <w:r w:rsidR="00F666CB">
        <w:t xml:space="preserve"> or greater</w:t>
      </w:r>
      <w:r w:rsidR="00094828">
        <w:t xml:space="preserve"> going forward</w:t>
      </w:r>
      <w:r w:rsidR="002A52AF">
        <w:t>.</w:t>
      </w:r>
      <w:r w:rsidR="002A52AF">
        <w:rPr>
          <w:rStyle w:val="FootnoteReference"/>
        </w:rPr>
        <w:footnoteReference w:id="12"/>
      </w:r>
    </w:p>
    <w:p w:rsidR="006D610C" w:rsidRDefault="00925B5B" w:rsidP="004D0BE9">
      <w:pPr>
        <w:pStyle w:val="BodyText"/>
      </w:pPr>
      <w:r>
        <w:t xml:space="preserve">For calendar year 2012, the company recorded </w:t>
      </w:r>
      <w:r w:rsidR="004D0BE9">
        <w:t>($4,250) of plant retirements to</w:t>
      </w:r>
      <w:r>
        <w:t xml:space="preserve"> Account 381 – Meters, while only recording ($330) to the</w:t>
      </w:r>
      <w:r w:rsidR="004D0BE9">
        <w:t xml:space="preserve"> account’s</w:t>
      </w:r>
      <w:r>
        <w:t xml:space="preserve"> corresponding reserve. </w:t>
      </w:r>
      <w:r w:rsidR="00F666CB">
        <w:t>F</w:t>
      </w:r>
      <w:r w:rsidRPr="00925B5B">
        <w:t>or calendar</w:t>
      </w:r>
      <w:r>
        <w:t xml:space="preserve"> year 2014, the company recorded</w:t>
      </w:r>
      <w:r w:rsidR="00510C8F">
        <w:t xml:space="preserve"> ($20,647) of plant retirements</w:t>
      </w:r>
      <w:r>
        <w:t xml:space="preserve"> </w:t>
      </w:r>
      <w:r w:rsidR="00510C8F">
        <w:t>to Account 392.</w:t>
      </w:r>
      <w:r w:rsidR="00510C8F" w:rsidRPr="00510C8F">
        <w:t>1 –</w:t>
      </w:r>
      <w:r w:rsidR="00510C8F">
        <w:t xml:space="preserve"> Transportation </w:t>
      </w:r>
      <w:r w:rsidR="004D0BE9">
        <w:t>–</w:t>
      </w:r>
      <w:r w:rsidR="00510C8F">
        <w:t xml:space="preserve"> Trucks</w:t>
      </w:r>
      <w:r w:rsidR="00165E8A">
        <w:t>,</w:t>
      </w:r>
      <w:r w:rsidR="004D0BE9">
        <w:t xml:space="preserve"> while only recording ($14,955</w:t>
      </w:r>
      <w:r w:rsidR="004D0BE9" w:rsidRPr="004D0BE9">
        <w:t>) to the account’s corresponding reserve.</w:t>
      </w:r>
      <w:r w:rsidR="004D0BE9">
        <w:t xml:space="preserve"> Staff proposes to correct</w:t>
      </w:r>
      <w:r w:rsidR="000E7D0A">
        <w:t xml:space="preserve"> accumulated depreciation</w:t>
      </w:r>
      <w:r w:rsidR="00F666CB">
        <w:t xml:space="preserve"> levels</w:t>
      </w:r>
      <w:r w:rsidR="004D0BE9">
        <w:t xml:space="preserve"> by</w:t>
      </w:r>
      <w:r w:rsidR="00F666CB">
        <w:t xml:space="preserve"> matching the reserve entries to the corresponding plant entries. This proposal results in</w:t>
      </w:r>
      <w:r w:rsidR="004D0BE9">
        <w:t xml:space="preserve"> reducing</w:t>
      </w:r>
      <w:r w:rsidR="0018662F">
        <w:t xml:space="preserve"> a</w:t>
      </w:r>
      <w:r w:rsidR="0018662F" w:rsidRPr="0018662F">
        <w:t>ccount 381</w:t>
      </w:r>
      <w:r w:rsidR="0018662F">
        <w:t>’s reserve by ($3,920), and account 392.1’s reserve by ($5,692).</w:t>
      </w:r>
      <w:r w:rsidR="00F666CB">
        <w:t xml:space="preserve"> Staff notes its current depreciation rate recommendations incorporate these proposed reserve reductions.  </w:t>
      </w:r>
      <w:r w:rsidR="0018662F">
        <w:t xml:space="preserve">  </w:t>
      </w:r>
      <w:r w:rsidR="004D0BE9">
        <w:t xml:space="preserve"> </w:t>
      </w:r>
    </w:p>
    <w:p w:rsidR="0026427F" w:rsidRPr="00537A16" w:rsidRDefault="0026427F" w:rsidP="00BB2041">
      <w:pPr>
        <w:pStyle w:val="BodyText"/>
      </w:pPr>
      <w:r w:rsidRPr="00537A16">
        <w:rPr>
          <w:rFonts w:ascii="Arial" w:hAnsi="Arial" w:cs="Arial"/>
          <w:b/>
        </w:rPr>
        <w:t>Conclusion</w:t>
      </w:r>
    </w:p>
    <w:p w:rsidR="00BB2041" w:rsidRDefault="00F57F10" w:rsidP="00BB2041">
      <w:pPr>
        <w:pStyle w:val="BodyText"/>
      </w:pPr>
      <w:r>
        <w:t>Staff</w:t>
      </w:r>
      <w:r w:rsidR="003E4459" w:rsidRPr="003E4459">
        <w:t xml:space="preserve"> recommends the Commission approve the lives, net salvages, reserves, </w:t>
      </w:r>
      <w:r>
        <w:t xml:space="preserve">and </w:t>
      </w:r>
      <w:r w:rsidR="003E4459" w:rsidRPr="003E4459">
        <w:t>resultant depreciation rates for Sebring that are shown on Attachment A. The expense effect of staff’s plant depreciation rate recommendations, which is shown on Attachment B, is a decrease of $</w:t>
      </w:r>
      <w:r w:rsidR="006D610C">
        <w:t>6,980</w:t>
      </w:r>
      <w:r w:rsidR="003E4459" w:rsidRPr="003E4459">
        <w:t xml:space="preserve"> annua</w:t>
      </w:r>
      <w:r w:rsidR="00C51545">
        <w:t>lly</w:t>
      </w:r>
      <w:r w:rsidR="00154B41">
        <w:t>, or</w:t>
      </w:r>
      <w:r w:rsidR="00C51545">
        <w:t xml:space="preserve"> 3.8 percent,</w:t>
      </w:r>
      <w:r>
        <w:t xml:space="preserve"> based on December 31, 2016</w:t>
      </w:r>
      <w:r w:rsidR="003E4459" w:rsidRPr="003E4459">
        <w:t xml:space="preserve"> investments.</w:t>
      </w:r>
    </w:p>
    <w:p w:rsidR="00DD3393" w:rsidRDefault="00DD3393" w:rsidP="00BB2041">
      <w:pPr>
        <w:pStyle w:val="BodyText"/>
      </w:pPr>
    </w:p>
    <w:p w:rsidR="00DD3393" w:rsidRDefault="00DD3393" w:rsidP="00BB2041">
      <w:pPr>
        <w:pStyle w:val="BodyText"/>
      </w:pPr>
    </w:p>
    <w:p w:rsidR="00DD3393" w:rsidRDefault="00DD3393" w:rsidP="00BB2041">
      <w:pPr>
        <w:pStyle w:val="BodyText"/>
      </w:pPr>
    </w:p>
    <w:p w:rsidR="00E15B52" w:rsidRDefault="00E15B52">
      <w:pPr>
        <w:pStyle w:val="IssueHeading"/>
        <w:rPr>
          <w:vanish/>
          <w:specVanish/>
        </w:rPr>
      </w:pPr>
      <w:r w:rsidRPr="004C3641">
        <w:rPr>
          <w:b w:val="0"/>
          <w:i w:val="0"/>
        </w:rPr>
        <w:br w:type="page"/>
      </w:r>
      <w:r w:rsidRPr="004C3641">
        <w:lastRenderedPageBreak/>
        <w:t xml:space="preserve">Issue </w:t>
      </w:r>
      <w:fldSimple w:instr=" SEQ Issue \* MERGEFORMAT ">
        <w:r w:rsidR="00537A16">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537A16">
        <w:rPr>
          <w:noProof/>
        </w:rPr>
        <w:instrText>4</w:instrText>
      </w:r>
      <w:r>
        <w:fldChar w:fldCharType="end"/>
      </w:r>
      <w:r>
        <w:tab/>
        <w:instrText xml:space="preserve">(Cicchetti, Buys)" \l 1 </w:instrText>
      </w:r>
      <w:r>
        <w:fldChar w:fldCharType="end"/>
      </w:r>
      <w:r>
        <w:t> </w:t>
      </w:r>
    </w:p>
    <w:p w:rsidR="00E15B52" w:rsidRDefault="00E15B52">
      <w:pPr>
        <w:pStyle w:val="BodyText"/>
      </w:pPr>
      <w:r>
        <w:t> Should the current amortization of investment tax credits (ITCs) and flow back of excess deferred income taxes (EDITs) be revised to reflect the approved depreciation rates and amortization schedules?</w:t>
      </w:r>
    </w:p>
    <w:p w:rsidR="00E15B52" w:rsidRPr="004C3641" w:rsidRDefault="00E15B52">
      <w:pPr>
        <w:pStyle w:val="IssueSubsectionHeading"/>
        <w:rPr>
          <w:vanish/>
          <w:specVanish/>
        </w:rPr>
      </w:pPr>
      <w:r w:rsidRPr="004C3641">
        <w:t>Recommendation: </w:t>
      </w:r>
    </w:p>
    <w:p w:rsidR="00E15B52" w:rsidRDefault="00E15B52" w:rsidP="00EA5A95">
      <w:pPr>
        <w:jc w:val="both"/>
      </w:pPr>
      <w:r>
        <w:t> </w:t>
      </w:r>
      <w:r w:rsidR="00EA5A95" w:rsidRPr="00C606F5">
        <w:t>Yes. The current amortization of ITCs should be revised to match the actual recovery periods for the related property. The company should file detailed calculations of the revised ITC amortization at the same time it files its earnings surveillance report covering period ending December 31, 2017, as specified in rule 27-7.1352, F.A.C.</w:t>
      </w:r>
      <w:r w:rsidR="00EA5A95">
        <w:t xml:space="preserve"> (Cicchetti, Wolmers</w:t>
      </w:r>
      <w:r w:rsidR="00EA5A95" w:rsidRPr="00C606F5">
        <w:t>).</w:t>
      </w:r>
    </w:p>
    <w:p w:rsidR="00EA5A95" w:rsidRDefault="00EA5A95" w:rsidP="00EA5A95"/>
    <w:p w:rsidR="00E15B52" w:rsidRPr="004C3641" w:rsidRDefault="00E15B52">
      <w:pPr>
        <w:pStyle w:val="IssueSubsectionHeading"/>
        <w:rPr>
          <w:vanish/>
          <w:specVanish/>
        </w:rPr>
      </w:pPr>
      <w:r w:rsidRPr="004C3641">
        <w:t>Staff Analysis: </w:t>
      </w:r>
    </w:p>
    <w:p w:rsidR="00EA5A95" w:rsidRDefault="00E15B52" w:rsidP="00EA5A95">
      <w:pPr>
        <w:jc w:val="both"/>
      </w:pPr>
      <w:r>
        <w:t> </w:t>
      </w:r>
      <w:r w:rsidR="00EA5A95" w:rsidRPr="000332B6">
        <w:t>In Issue 2, staff has recommended approval of revised depreciation rates for the company, to be effective January 1, 2017, which reflect changes to most accounts’ remaining lives to be effective January 1, 2017. Revising a utility's book depreciation lives generally results in a change in its rate of ITC amo</w:t>
      </w:r>
      <w:r w:rsidR="00EA5A95" w:rsidRPr="00E94BC0">
        <w:t>rtization in order to comply with the normalization requirements of the Internal</w:t>
      </w:r>
      <w:r w:rsidR="00EA5A95">
        <w:t xml:space="preserve"> Revenue Code (IRC or Code) set forth in sections 168(f)(2) and (</w:t>
      </w:r>
      <w:proofErr w:type="spellStart"/>
      <w:r w:rsidR="00EA5A95">
        <w:t>i</w:t>
      </w:r>
      <w:proofErr w:type="spellEnd"/>
      <w:r w:rsidR="00EA5A95">
        <w:t>)</w:t>
      </w:r>
      <w:r w:rsidR="00EA5A95" w:rsidRPr="00486365">
        <w:t>(9),</w:t>
      </w:r>
      <w:r w:rsidR="00EA5A95" w:rsidRPr="00486365">
        <w:rPr>
          <w:vertAlign w:val="superscript"/>
        </w:rPr>
        <w:footnoteReference w:id="13"/>
      </w:r>
      <w:r w:rsidR="00EA5A95" w:rsidRPr="00486365">
        <w:t xml:space="preserve"> former I</w:t>
      </w:r>
      <w:r w:rsidR="00EA5A95">
        <w:t>RC section 167(l),</w:t>
      </w:r>
      <w:r w:rsidR="00EA5A95" w:rsidRPr="0025771A">
        <w:rPr>
          <w:vertAlign w:val="superscript"/>
        </w:rPr>
        <w:t>[</w:t>
      </w:r>
      <w:r w:rsidR="00EA5A95">
        <w:rPr>
          <w:rStyle w:val="FootnoteReference"/>
        </w:rPr>
        <w:footnoteReference w:id="14"/>
      </w:r>
      <w:r w:rsidR="00EA5A95" w:rsidRPr="00BB30EA">
        <w:rPr>
          <w:vertAlign w:val="superscript"/>
        </w:rPr>
        <w:t>,</w:t>
      </w:r>
      <w:r w:rsidR="00EA5A95">
        <w:rPr>
          <w:vertAlign w:val="superscript"/>
        </w:rPr>
        <w:t xml:space="preserve"> </w:t>
      </w:r>
      <w:r w:rsidR="00EA5A95">
        <w:rPr>
          <w:rStyle w:val="FootnoteReference"/>
        </w:rPr>
        <w:footnoteReference w:id="15"/>
      </w:r>
      <w:r w:rsidR="00EA5A95">
        <w:rPr>
          <w:vertAlign w:val="superscript"/>
        </w:rPr>
        <w:t>]</w:t>
      </w:r>
      <w:r w:rsidR="00EA5A95" w:rsidRPr="00BB30EA">
        <w:t xml:space="preserve"> </w:t>
      </w:r>
      <w:r w:rsidR="00EA5A95">
        <w:t>former IRC Section 46(f),</w:t>
      </w:r>
      <w:r w:rsidR="00EA5A95" w:rsidRPr="0025771A">
        <w:rPr>
          <w:vertAlign w:val="superscript"/>
        </w:rPr>
        <w:t>[</w:t>
      </w:r>
      <w:r w:rsidR="00EA5A95">
        <w:rPr>
          <w:rStyle w:val="FootnoteReference"/>
        </w:rPr>
        <w:footnoteReference w:id="16"/>
      </w:r>
      <w:r w:rsidR="00EA5A95" w:rsidRPr="002B7B2A">
        <w:rPr>
          <w:vertAlign w:val="superscript"/>
        </w:rPr>
        <w:t>,</w:t>
      </w:r>
      <w:r w:rsidR="00EA5A95">
        <w:rPr>
          <w:vertAlign w:val="superscript"/>
        </w:rPr>
        <w:t xml:space="preserve"> </w:t>
      </w:r>
      <w:r w:rsidR="00EA5A95">
        <w:rPr>
          <w:rStyle w:val="FootnoteReference"/>
        </w:rPr>
        <w:footnoteReference w:id="17"/>
      </w:r>
      <w:r w:rsidR="00EA5A95">
        <w:rPr>
          <w:vertAlign w:val="superscript"/>
        </w:rPr>
        <w:t>]</w:t>
      </w:r>
      <w:r w:rsidR="00EA5A95">
        <w:t xml:space="preserve"> Federal Tax Regulations under the Code sections,</w:t>
      </w:r>
      <w:r w:rsidR="00EA5A95">
        <w:rPr>
          <w:rStyle w:val="FootnoteReference"/>
        </w:rPr>
        <w:footnoteReference w:id="18"/>
      </w:r>
      <w:r w:rsidR="00EA5A95">
        <w:t xml:space="preserve"> and section 203(e) of the Tax Reform Act of 1986 (the Act).</w:t>
      </w:r>
      <w:r w:rsidR="00EA5A95">
        <w:rPr>
          <w:rStyle w:val="FootnoteReference"/>
        </w:rPr>
        <w:footnoteReference w:id="19"/>
      </w:r>
    </w:p>
    <w:p w:rsidR="00EA5A95" w:rsidRDefault="00EA5A95" w:rsidP="00EA5A95">
      <w:pPr>
        <w:jc w:val="both"/>
      </w:pPr>
    </w:p>
    <w:p w:rsidR="00EA5A95" w:rsidRDefault="00EA5A95" w:rsidP="00EA5A95">
      <w:pPr>
        <w:jc w:val="both"/>
      </w:pPr>
      <w:r>
        <w:t>Staff, the Internal Revenue Service (IRS), and independent outside auditors look at a company's books and records, and the orders and rules of the jurisdictional regulatory authorities to determine if the books and records are maintained in the appropriate manner. The books are also reviewed to determine if they are in compliance with the regulatory guidelines in regard to normalization.</w:t>
      </w:r>
    </w:p>
    <w:p w:rsidR="00EA5A95" w:rsidRDefault="00EA5A95" w:rsidP="00EA5A95">
      <w:pPr>
        <w:jc w:val="both"/>
      </w:pPr>
    </w:p>
    <w:p w:rsidR="00EA5A95" w:rsidRPr="00D52EE1" w:rsidRDefault="00EA5A95" w:rsidP="00EA5A95">
      <w:pPr>
        <w:jc w:val="both"/>
        <w:rPr>
          <w:vertAlign w:val="superscript"/>
        </w:rPr>
      </w:pPr>
      <w:r>
        <w:t>Former IRC Section 46(f</w:t>
      </w:r>
      <w:proofErr w:type="gramStart"/>
      <w:r>
        <w:t>)(</w:t>
      </w:r>
      <w:proofErr w:type="gramEnd"/>
      <w:r>
        <w:t>6)</w:t>
      </w:r>
      <w:r>
        <w:rPr>
          <w:bCs/>
        </w:rPr>
        <w:t xml:space="preserve"> of the Code</w:t>
      </w:r>
      <w:r>
        <w:rPr>
          <w:b/>
          <w:bCs/>
        </w:rPr>
        <w:t xml:space="preserve"> </w:t>
      </w:r>
      <w:r>
        <w:t>indicated that the amortization of ITC should be determined by the period of time actually used in computing depreciation expense for ratemaking purposes and on the regulated books of the utility.</w:t>
      </w:r>
      <w:r>
        <w:rPr>
          <w:rStyle w:val="FootnoteReference"/>
        </w:rPr>
        <w:footnoteReference w:id="20"/>
      </w:r>
      <w:r>
        <w:t xml:space="preserve"> While, Section 46(f</w:t>
      </w:r>
      <w:proofErr w:type="gramStart"/>
      <w:r>
        <w:t>)(</w:t>
      </w:r>
      <w:proofErr w:type="gramEnd"/>
      <w:r>
        <w:t>6) was repealed, under IRC Section 50(d)(2), the terms of former IRC Section 46(f)(6) remain applicable to public utility property for which a regulated utility previously claimed ITCs. Since staff is recommending changes to the company’s remaining lives, it is also important to change the amortization of ITCs to avoid violation of the provisions of IRC section 50(d)(2),</w:t>
      </w:r>
      <w:r w:rsidRPr="0025771A">
        <w:t xml:space="preserve"> </w:t>
      </w:r>
      <w:r>
        <w:t xml:space="preserve">and its underlying Treasury Regulations. The consequence of an ITC normalization violation is a repayment of unamortized ITC balances to the IRS. </w:t>
      </w:r>
      <w:r w:rsidRPr="00AF5B64">
        <w:t xml:space="preserve">Therefore, staff recommends the current amortization of ITCs should be revised to match the actual recovery periods for the related property. The company should file detailed calculations of the revised ITC amortization at the </w:t>
      </w:r>
      <w:r w:rsidRPr="00AF5B64">
        <w:lastRenderedPageBreak/>
        <w:t>same time it files its earnings surveillance report covering the period ending December 31, 2</w:t>
      </w:r>
      <w:r>
        <w:t>017, as specified in Rule 25-7.1352, F.A.C.</w:t>
      </w:r>
    </w:p>
    <w:p w:rsidR="00E15B52" w:rsidRDefault="00E15B52" w:rsidP="00EA5A95">
      <w:pPr>
        <w:spacing w:after="240"/>
        <w:jc w:val="both"/>
        <w:rPr>
          <w:vanish/>
          <w:specVanish/>
        </w:rPr>
      </w:pPr>
      <w:r w:rsidRPr="004C3641">
        <w:br w:type="page"/>
      </w:r>
      <w:r w:rsidRPr="004C3641">
        <w:lastRenderedPageBreak/>
        <w:t xml:space="preserve">Issue </w:t>
      </w:r>
      <w:fldSimple w:instr=" SEQ Issue \* MERGEFORMAT ">
        <w:r w:rsidR="00537A16">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sidR="00537A16">
        <w:rPr>
          <w:noProof/>
        </w:rPr>
        <w:instrText>5</w:instrText>
      </w:r>
      <w:r>
        <w:fldChar w:fldCharType="end"/>
      </w:r>
      <w:r>
        <w:tab/>
        <w:instrText xml:space="preserve">(Leathers)" \l 1 </w:instrText>
      </w:r>
      <w:r>
        <w:fldChar w:fldCharType="end"/>
      </w:r>
      <w:r>
        <w:t> </w:t>
      </w:r>
    </w:p>
    <w:p w:rsidR="00E15B52" w:rsidRDefault="00E15B52">
      <w:pPr>
        <w:pStyle w:val="BodyText"/>
      </w:pPr>
      <w:r>
        <w:t> Should this docket be closed?</w:t>
      </w:r>
    </w:p>
    <w:p w:rsidR="00E15B52" w:rsidRPr="004C3641" w:rsidRDefault="00E15B52">
      <w:pPr>
        <w:pStyle w:val="IssueSubsectionHeading"/>
        <w:rPr>
          <w:vanish/>
          <w:specVanish/>
        </w:rPr>
      </w:pPr>
      <w:r w:rsidRPr="004C3641">
        <w:t>Recommendation: </w:t>
      </w:r>
    </w:p>
    <w:p w:rsidR="00E15B52" w:rsidRDefault="00E15B52">
      <w:pPr>
        <w:pStyle w:val="BodyText"/>
      </w:pPr>
      <w:r>
        <w:t> </w:t>
      </w:r>
      <w:r w:rsidR="006457C3" w:rsidRPr="008732E6">
        <w:t>If no person whose substantial interests are affected by the proposed agency action files a protest within 21 days of the issuance of the order, this docket should be closed upon the issuance of a consummating order.</w:t>
      </w:r>
      <w:r>
        <w:t xml:space="preserve"> (Leathers)</w:t>
      </w:r>
    </w:p>
    <w:p w:rsidR="00E15B52" w:rsidRPr="004C3641" w:rsidRDefault="00E15B52">
      <w:pPr>
        <w:pStyle w:val="IssueSubsectionHeading"/>
        <w:rPr>
          <w:vanish/>
          <w:specVanish/>
        </w:rPr>
      </w:pPr>
      <w:r w:rsidRPr="004C3641">
        <w:t>Staff Analysis: </w:t>
      </w:r>
    </w:p>
    <w:p w:rsidR="00E15B52" w:rsidRDefault="00E15B52">
      <w:pPr>
        <w:pStyle w:val="BodyText"/>
      </w:pPr>
      <w:r>
        <w:t> </w:t>
      </w:r>
      <w:r w:rsidR="006457C3">
        <w:t>At the conclusion of the protest period, if no protest is filed, this docket should be closed upon the issuance of a consummating order.</w:t>
      </w:r>
    </w:p>
    <w:p w:rsidR="00F20B36" w:rsidRDefault="00F20B36">
      <w:pPr>
        <w:sectPr w:rsidR="00F20B36" w:rsidSect="0068481F">
          <w:headerReference w:type="even" r:id="rId12"/>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tbl>
      <w:tblPr>
        <w:tblW w:w="10604" w:type="dxa"/>
        <w:jc w:val="center"/>
        <w:tblLook w:val="04A0" w:firstRow="1" w:lastRow="0" w:firstColumn="1" w:lastColumn="0" w:noHBand="0" w:noVBand="1"/>
      </w:tblPr>
      <w:tblGrid>
        <w:gridCol w:w="894"/>
        <w:gridCol w:w="2046"/>
        <w:gridCol w:w="1013"/>
        <w:gridCol w:w="1057"/>
        <w:gridCol w:w="1094"/>
        <w:gridCol w:w="266"/>
        <w:gridCol w:w="1013"/>
        <w:gridCol w:w="933"/>
        <w:gridCol w:w="316"/>
        <w:gridCol w:w="878"/>
        <w:gridCol w:w="1094"/>
      </w:tblGrid>
      <w:tr w:rsidR="008B6473" w:rsidTr="00DC578E">
        <w:trPr>
          <w:trHeight w:val="276"/>
          <w:jc w:val="center"/>
        </w:trPr>
        <w:tc>
          <w:tcPr>
            <w:tcW w:w="10604" w:type="dxa"/>
            <w:gridSpan w:val="11"/>
            <w:tcBorders>
              <w:top w:val="nil"/>
              <w:left w:val="nil"/>
              <w:bottom w:val="single" w:sz="8" w:space="0" w:color="auto"/>
              <w:right w:val="nil"/>
            </w:tcBorders>
            <w:shd w:val="clear" w:color="000000" w:fill="FFFFFF"/>
            <w:noWrap/>
            <w:vAlign w:val="bottom"/>
            <w:hideMark/>
          </w:tcPr>
          <w:p w:rsidR="008B6473" w:rsidRDefault="008B6473">
            <w:pPr>
              <w:jc w:val="right"/>
              <w:rPr>
                <w:sz w:val="20"/>
                <w:szCs w:val="20"/>
              </w:rPr>
            </w:pPr>
            <w:r>
              <w:rPr>
                <w:sz w:val="20"/>
                <w:szCs w:val="20"/>
              </w:rPr>
              <w:lastRenderedPageBreak/>
              <w:t>Attachment A</w:t>
            </w:r>
          </w:p>
        </w:tc>
      </w:tr>
      <w:tr w:rsidR="008B6473" w:rsidTr="00DC578E">
        <w:trPr>
          <w:trHeight w:val="264"/>
          <w:jc w:val="center"/>
        </w:trPr>
        <w:tc>
          <w:tcPr>
            <w:tcW w:w="10604" w:type="dxa"/>
            <w:gridSpan w:val="11"/>
            <w:tcBorders>
              <w:top w:val="single" w:sz="8" w:space="0" w:color="auto"/>
              <w:left w:val="single" w:sz="8" w:space="0" w:color="auto"/>
              <w:bottom w:val="nil"/>
              <w:right w:val="single" w:sz="8" w:space="0" w:color="000000"/>
            </w:tcBorders>
            <w:shd w:val="clear" w:color="000000" w:fill="C0C0C0"/>
            <w:noWrap/>
            <w:vAlign w:val="bottom"/>
            <w:hideMark/>
          </w:tcPr>
          <w:p w:rsidR="008B6473" w:rsidRDefault="008B6473">
            <w:pPr>
              <w:jc w:val="center"/>
              <w:rPr>
                <w:b/>
                <w:bCs/>
                <w:sz w:val="20"/>
                <w:szCs w:val="20"/>
              </w:rPr>
            </w:pPr>
            <w:r>
              <w:rPr>
                <w:b/>
                <w:bCs/>
                <w:sz w:val="20"/>
                <w:szCs w:val="20"/>
              </w:rPr>
              <w:t>Comparison of Rates and Components</w:t>
            </w:r>
          </w:p>
        </w:tc>
      </w:tr>
      <w:tr w:rsidR="008B6473" w:rsidTr="00DC578E">
        <w:trPr>
          <w:trHeight w:val="276"/>
          <w:jc w:val="center"/>
        </w:trPr>
        <w:tc>
          <w:tcPr>
            <w:tcW w:w="894" w:type="dxa"/>
            <w:tcBorders>
              <w:top w:val="nil"/>
              <w:left w:val="single" w:sz="8" w:space="0" w:color="auto"/>
              <w:bottom w:val="nil"/>
              <w:right w:val="nil"/>
            </w:tcBorders>
            <w:shd w:val="clear" w:color="000000" w:fill="C0C0C0"/>
            <w:noWrap/>
            <w:vAlign w:val="bottom"/>
            <w:hideMark/>
          </w:tcPr>
          <w:p w:rsidR="008B6473" w:rsidRDefault="008B6473">
            <w:pPr>
              <w:jc w:val="center"/>
              <w:rPr>
                <w:b/>
                <w:bCs/>
                <w:sz w:val="20"/>
                <w:szCs w:val="20"/>
              </w:rPr>
            </w:pPr>
            <w:r>
              <w:rPr>
                <w:b/>
                <w:bCs/>
                <w:sz w:val="20"/>
                <w:szCs w:val="20"/>
              </w:rPr>
              <w:t> </w:t>
            </w:r>
          </w:p>
        </w:tc>
        <w:tc>
          <w:tcPr>
            <w:tcW w:w="2046"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 </w:t>
            </w:r>
          </w:p>
        </w:tc>
        <w:tc>
          <w:tcPr>
            <w:tcW w:w="3164" w:type="dxa"/>
            <w:gridSpan w:val="3"/>
            <w:tcBorders>
              <w:top w:val="nil"/>
              <w:left w:val="nil"/>
              <w:bottom w:val="nil"/>
              <w:right w:val="nil"/>
            </w:tcBorders>
            <w:shd w:val="clear" w:color="000000" w:fill="C0C0C0"/>
            <w:noWrap/>
            <w:vAlign w:val="bottom"/>
            <w:hideMark/>
          </w:tcPr>
          <w:p w:rsidR="008B6473" w:rsidRDefault="008B6473">
            <w:pPr>
              <w:jc w:val="center"/>
              <w:rPr>
                <w:b/>
                <w:bCs/>
                <w:sz w:val="20"/>
                <w:szCs w:val="20"/>
              </w:rPr>
            </w:pPr>
            <w:r>
              <w:rPr>
                <w:b/>
                <w:bCs/>
                <w:sz w:val="20"/>
                <w:szCs w:val="20"/>
              </w:rPr>
              <w:t>Current</w:t>
            </w:r>
            <w:r>
              <w:rPr>
                <w:rFonts w:ascii="Calibri" w:hAnsi="Calibri"/>
                <w:b/>
                <w:bCs/>
                <w:sz w:val="20"/>
                <w:szCs w:val="20"/>
              </w:rPr>
              <w:t>¹</w:t>
            </w:r>
          </w:p>
        </w:tc>
        <w:tc>
          <w:tcPr>
            <w:tcW w:w="266"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 </w:t>
            </w:r>
          </w:p>
        </w:tc>
        <w:tc>
          <w:tcPr>
            <w:tcW w:w="4234" w:type="dxa"/>
            <w:gridSpan w:val="5"/>
            <w:tcBorders>
              <w:top w:val="nil"/>
              <w:left w:val="nil"/>
              <w:bottom w:val="nil"/>
              <w:right w:val="single" w:sz="8" w:space="0" w:color="000000"/>
            </w:tcBorders>
            <w:shd w:val="clear" w:color="000000" w:fill="C0C0C0"/>
            <w:noWrap/>
            <w:vAlign w:val="bottom"/>
            <w:hideMark/>
          </w:tcPr>
          <w:p w:rsidR="008B6473" w:rsidRDefault="008B6473">
            <w:pPr>
              <w:jc w:val="center"/>
              <w:rPr>
                <w:b/>
                <w:bCs/>
                <w:sz w:val="20"/>
                <w:szCs w:val="20"/>
              </w:rPr>
            </w:pPr>
            <w:r>
              <w:rPr>
                <w:b/>
                <w:bCs/>
                <w:sz w:val="20"/>
                <w:szCs w:val="20"/>
              </w:rPr>
              <w:t>Staff Recommended</w:t>
            </w:r>
          </w:p>
        </w:tc>
      </w:tr>
      <w:tr w:rsidR="008B6473" w:rsidTr="00DC578E">
        <w:trPr>
          <w:trHeight w:val="264"/>
          <w:jc w:val="center"/>
        </w:trPr>
        <w:tc>
          <w:tcPr>
            <w:tcW w:w="894" w:type="dxa"/>
            <w:tcBorders>
              <w:top w:val="nil"/>
              <w:left w:val="single" w:sz="8" w:space="0" w:color="auto"/>
              <w:bottom w:val="nil"/>
              <w:right w:val="nil"/>
            </w:tcBorders>
            <w:shd w:val="clear" w:color="000000" w:fill="C0C0C0"/>
            <w:noWrap/>
            <w:vAlign w:val="bottom"/>
            <w:hideMark/>
          </w:tcPr>
          <w:p w:rsidR="008B6473" w:rsidRDefault="008B6473">
            <w:pPr>
              <w:jc w:val="center"/>
              <w:rPr>
                <w:sz w:val="20"/>
                <w:szCs w:val="20"/>
              </w:rPr>
            </w:pPr>
            <w:r>
              <w:rPr>
                <w:sz w:val="20"/>
                <w:szCs w:val="20"/>
              </w:rPr>
              <w:t>Account</w:t>
            </w:r>
          </w:p>
        </w:tc>
        <w:tc>
          <w:tcPr>
            <w:tcW w:w="2046" w:type="dxa"/>
            <w:vMerge w:val="restart"/>
            <w:tcBorders>
              <w:top w:val="nil"/>
              <w:left w:val="nil"/>
              <w:bottom w:val="nil"/>
              <w:right w:val="nil"/>
            </w:tcBorders>
            <w:shd w:val="clear" w:color="000000" w:fill="C0C0C0"/>
            <w:noWrap/>
            <w:vAlign w:val="center"/>
            <w:hideMark/>
          </w:tcPr>
          <w:p w:rsidR="008B6473" w:rsidRDefault="008B6473">
            <w:pPr>
              <w:jc w:val="center"/>
              <w:rPr>
                <w:sz w:val="20"/>
                <w:szCs w:val="20"/>
              </w:rPr>
            </w:pPr>
            <w:r>
              <w:rPr>
                <w:sz w:val="20"/>
                <w:szCs w:val="20"/>
              </w:rPr>
              <w:t>Account Title</w:t>
            </w:r>
          </w:p>
        </w:tc>
        <w:tc>
          <w:tcPr>
            <w:tcW w:w="1013"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Ave.</w:t>
            </w:r>
          </w:p>
        </w:tc>
        <w:tc>
          <w:tcPr>
            <w:tcW w:w="1057"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Future</w:t>
            </w:r>
          </w:p>
        </w:tc>
        <w:tc>
          <w:tcPr>
            <w:tcW w:w="1094"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 xml:space="preserve">Remaining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Ave.</w:t>
            </w:r>
          </w:p>
        </w:tc>
        <w:tc>
          <w:tcPr>
            <w:tcW w:w="933"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Reserve</w:t>
            </w:r>
          </w:p>
        </w:tc>
        <w:tc>
          <w:tcPr>
            <w:tcW w:w="316"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 </w:t>
            </w:r>
          </w:p>
        </w:tc>
        <w:tc>
          <w:tcPr>
            <w:tcW w:w="878"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Future</w:t>
            </w:r>
          </w:p>
        </w:tc>
        <w:tc>
          <w:tcPr>
            <w:tcW w:w="1094" w:type="dxa"/>
            <w:tcBorders>
              <w:top w:val="nil"/>
              <w:left w:val="nil"/>
              <w:bottom w:val="nil"/>
              <w:right w:val="single" w:sz="8" w:space="0" w:color="auto"/>
            </w:tcBorders>
            <w:shd w:val="clear" w:color="000000" w:fill="C0C0C0"/>
            <w:noWrap/>
            <w:vAlign w:val="bottom"/>
            <w:hideMark/>
          </w:tcPr>
          <w:p w:rsidR="008B6473" w:rsidRDefault="008B6473">
            <w:pPr>
              <w:jc w:val="center"/>
              <w:rPr>
                <w:sz w:val="20"/>
                <w:szCs w:val="20"/>
              </w:rPr>
            </w:pPr>
            <w:r>
              <w:rPr>
                <w:sz w:val="20"/>
                <w:szCs w:val="20"/>
              </w:rPr>
              <w:t xml:space="preserve">Remaining </w:t>
            </w:r>
          </w:p>
        </w:tc>
      </w:tr>
      <w:tr w:rsidR="008B6473" w:rsidTr="00DC578E">
        <w:trPr>
          <w:trHeight w:val="264"/>
          <w:jc w:val="center"/>
        </w:trPr>
        <w:tc>
          <w:tcPr>
            <w:tcW w:w="894" w:type="dxa"/>
            <w:tcBorders>
              <w:top w:val="nil"/>
              <w:left w:val="single" w:sz="8" w:space="0" w:color="auto"/>
              <w:bottom w:val="nil"/>
              <w:right w:val="nil"/>
            </w:tcBorders>
            <w:shd w:val="clear" w:color="000000" w:fill="C0C0C0"/>
            <w:noWrap/>
            <w:vAlign w:val="bottom"/>
            <w:hideMark/>
          </w:tcPr>
          <w:p w:rsidR="008B6473" w:rsidRDefault="008B6473">
            <w:pPr>
              <w:jc w:val="center"/>
              <w:rPr>
                <w:sz w:val="20"/>
                <w:szCs w:val="20"/>
              </w:rPr>
            </w:pPr>
            <w:r>
              <w:rPr>
                <w:sz w:val="20"/>
                <w:szCs w:val="20"/>
              </w:rPr>
              <w:t>Number</w:t>
            </w:r>
          </w:p>
        </w:tc>
        <w:tc>
          <w:tcPr>
            <w:tcW w:w="2046" w:type="dxa"/>
            <w:vMerge/>
            <w:tcBorders>
              <w:top w:val="nil"/>
              <w:left w:val="nil"/>
              <w:bottom w:val="nil"/>
              <w:right w:val="nil"/>
            </w:tcBorders>
            <w:vAlign w:val="center"/>
            <w:hideMark/>
          </w:tcPr>
          <w:p w:rsidR="008B6473" w:rsidRDefault="008B6473">
            <w:pPr>
              <w:rPr>
                <w:sz w:val="20"/>
                <w:szCs w:val="20"/>
              </w:rPr>
            </w:pPr>
          </w:p>
        </w:tc>
        <w:tc>
          <w:tcPr>
            <w:tcW w:w="1013"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Rem. Life</w:t>
            </w:r>
          </w:p>
        </w:tc>
        <w:tc>
          <w:tcPr>
            <w:tcW w:w="1057"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Net Salvage</w:t>
            </w:r>
          </w:p>
        </w:tc>
        <w:tc>
          <w:tcPr>
            <w:tcW w:w="1094"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Life Rate</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Rem. Life</w:t>
            </w:r>
          </w:p>
        </w:tc>
        <w:tc>
          <w:tcPr>
            <w:tcW w:w="933"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316"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 </w:t>
            </w:r>
          </w:p>
        </w:tc>
        <w:tc>
          <w:tcPr>
            <w:tcW w:w="878"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Net Salvage</w:t>
            </w:r>
          </w:p>
        </w:tc>
        <w:tc>
          <w:tcPr>
            <w:tcW w:w="1094" w:type="dxa"/>
            <w:tcBorders>
              <w:top w:val="nil"/>
              <w:left w:val="nil"/>
              <w:bottom w:val="nil"/>
              <w:right w:val="single" w:sz="8" w:space="0" w:color="auto"/>
            </w:tcBorders>
            <w:shd w:val="clear" w:color="000000" w:fill="C0C0C0"/>
            <w:noWrap/>
            <w:vAlign w:val="bottom"/>
            <w:hideMark/>
          </w:tcPr>
          <w:p w:rsidR="008B6473" w:rsidRDefault="008B6473">
            <w:pPr>
              <w:jc w:val="center"/>
              <w:rPr>
                <w:sz w:val="20"/>
                <w:szCs w:val="20"/>
              </w:rPr>
            </w:pPr>
            <w:r>
              <w:rPr>
                <w:sz w:val="20"/>
                <w:szCs w:val="20"/>
              </w:rPr>
              <w:t>Life Rate</w:t>
            </w:r>
          </w:p>
        </w:tc>
      </w:tr>
      <w:tr w:rsidR="008B6473" w:rsidTr="00DC578E">
        <w:trPr>
          <w:trHeight w:val="276"/>
          <w:jc w:val="center"/>
        </w:trPr>
        <w:tc>
          <w:tcPr>
            <w:tcW w:w="894" w:type="dxa"/>
            <w:tcBorders>
              <w:top w:val="nil"/>
              <w:left w:val="single" w:sz="8" w:space="0" w:color="auto"/>
              <w:bottom w:val="single" w:sz="8" w:space="0" w:color="auto"/>
              <w:right w:val="nil"/>
            </w:tcBorders>
            <w:shd w:val="clear" w:color="000000" w:fill="C0C0C0"/>
            <w:noWrap/>
            <w:vAlign w:val="bottom"/>
            <w:hideMark/>
          </w:tcPr>
          <w:p w:rsidR="008B6473" w:rsidRDefault="008B6473">
            <w:pPr>
              <w:jc w:val="center"/>
              <w:rPr>
                <w:sz w:val="20"/>
                <w:szCs w:val="20"/>
              </w:rPr>
            </w:pPr>
            <w:r>
              <w:rPr>
                <w:sz w:val="20"/>
                <w:szCs w:val="20"/>
              </w:rPr>
              <w:t> </w:t>
            </w:r>
          </w:p>
        </w:tc>
        <w:tc>
          <w:tcPr>
            <w:tcW w:w="2046" w:type="dxa"/>
            <w:tcBorders>
              <w:top w:val="nil"/>
              <w:left w:val="nil"/>
              <w:bottom w:val="single" w:sz="8" w:space="0" w:color="auto"/>
              <w:right w:val="nil"/>
            </w:tcBorders>
            <w:shd w:val="clear" w:color="000000" w:fill="C0C0C0"/>
            <w:noWrap/>
            <w:vAlign w:val="bottom"/>
            <w:hideMark/>
          </w:tcPr>
          <w:p w:rsidR="008B6473" w:rsidRDefault="008B6473">
            <w:pPr>
              <w:jc w:val="center"/>
              <w:rPr>
                <w:sz w:val="20"/>
                <w:szCs w:val="20"/>
              </w:rPr>
            </w:pPr>
            <w:r>
              <w:rPr>
                <w:sz w:val="20"/>
                <w:szCs w:val="20"/>
              </w:rPr>
              <w:t> </w:t>
            </w:r>
          </w:p>
        </w:tc>
        <w:tc>
          <w:tcPr>
            <w:tcW w:w="1013" w:type="dxa"/>
            <w:tcBorders>
              <w:top w:val="nil"/>
              <w:left w:val="nil"/>
              <w:bottom w:val="single" w:sz="8" w:space="0" w:color="auto"/>
              <w:right w:val="nil"/>
            </w:tcBorders>
            <w:shd w:val="clear" w:color="000000" w:fill="C0C0C0"/>
            <w:noWrap/>
            <w:vAlign w:val="bottom"/>
            <w:hideMark/>
          </w:tcPr>
          <w:p w:rsidR="008B6473" w:rsidRDefault="008B6473">
            <w:pPr>
              <w:jc w:val="center"/>
              <w:rPr>
                <w:sz w:val="20"/>
                <w:szCs w:val="20"/>
              </w:rPr>
            </w:pPr>
            <w:r>
              <w:rPr>
                <w:sz w:val="20"/>
                <w:szCs w:val="20"/>
              </w:rPr>
              <w:t>(yrs.)</w:t>
            </w:r>
          </w:p>
        </w:tc>
        <w:tc>
          <w:tcPr>
            <w:tcW w:w="1057" w:type="dxa"/>
            <w:tcBorders>
              <w:top w:val="nil"/>
              <w:left w:val="nil"/>
              <w:bottom w:val="single" w:sz="8" w:space="0" w:color="auto"/>
              <w:right w:val="nil"/>
            </w:tcBorders>
            <w:shd w:val="clear" w:color="000000" w:fill="C0C0C0"/>
            <w:noWrap/>
            <w:vAlign w:val="bottom"/>
            <w:hideMark/>
          </w:tcPr>
          <w:p w:rsidR="008B6473" w:rsidRDefault="008B6473">
            <w:pPr>
              <w:jc w:val="center"/>
              <w:rPr>
                <w:sz w:val="20"/>
                <w:szCs w:val="20"/>
              </w:rPr>
            </w:pPr>
            <w:r>
              <w:rPr>
                <w:sz w:val="20"/>
                <w:szCs w:val="20"/>
              </w:rPr>
              <w:t>(%)</w:t>
            </w:r>
          </w:p>
        </w:tc>
        <w:tc>
          <w:tcPr>
            <w:tcW w:w="1094" w:type="dxa"/>
            <w:tcBorders>
              <w:top w:val="nil"/>
              <w:left w:val="nil"/>
              <w:bottom w:val="single" w:sz="8" w:space="0" w:color="auto"/>
              <w:right w:val="nil"/>
            </w:tcBorders>
            <w:shd w:val="clear" w:color="000000" w:fill="C0C0C0"/>
            <w:noWrap/>
            <w:vAlign w:val="bottom"/>
            <w:hideMark/>
          </w:tcPr>
          <w:p w:rsidR="008B6473" w:rsidRDefault="008B6473">
            <w:pPr>
              <w:jc w:val="center"/>
              <w:rPr>
                <w:sz w:val="20"/>
                <w:szCs w:val="20"/>
              </w:rPr>
            </w:pPr>
            <w:r>
              <w:rPr>
                <w:sz w:val="20"/>
                <w:szCs w:val="20"/>
              </w:rPr>
              <w:t>(%)</w:t>
            </w:r>
          </w:p>
        </w:tc>
        <w:tc>
          <w:tcPr>
            <w:tcW w:w="266" w:type="dxa"/>
            <w:tcBorders>
              <w:top w:val="nil"/>
              <w:left w:val="nil"/>
              <w:bottom w:val="single" w:sz="8" w:space="0" w:color="auto"/>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nil"/>
              <w:bottom w:val="single" w:sz="8" w:space="0" w:color="auto"/>
              <w:right w:val="nil"/>
            </w:tcBorders>
            <w:shd w:val="clear" w:color="000000" w:fill="C0C0C0"/>
            <w:noWrap/>
            <w:vAlign w:val="bottom"/>
            <w:hideMark/>
          </w:tcPr>
          <w:p w:rsidR="008B6473" w:rsidRDefault="008B6473">
            <w:pPr>
              <w:jc w:val="center"/>
              <w:rPr>
                <w:sz w:val="20"/>
                <w:szCs w:val="20"/>
              </w:rPr>
            </w:pPr>
            <w:r>
              <w:rPr>
                <w:sz w:val="20"/>
                <w:szCs w:val="20"/>
              </w:rPr>
              <w:t>(yrs.)</w:t>
            </w:r>
          </w:p>
        </w:tc>
        <w:tc>
          <w:tcPr>
            <w:tcW w:w="933" w:type="dxa"/>
            <w:tcBorders>
              <w:top w:val="nil"/>
              <w:left w:val="nil"/>
              <w:bottom w:val="single" w:sz="8" w:space="0" w:color="auto"/>
              <w:right w:val="nil"/>
            </w:tcBorders>
            <w:shd w:val="clear" w:color="000000" w:fill="C0C0C0"/>
            <w:noWrap/>
            <w:vAlign w:val="bottom"/>
            <w:hideMark/>
          </w:tcPr>
          <w:p w:rsidR="008B6473" w:rsidRDefault="008B6473">
            <w:pPr>
              <w:jc w:val="center"/>
              <w:rPr>
                <w:sz w:val="20"/>
                <w:szCs w:val="20"/>
              </w:rPr>
            </w:pPr>
            <w:r>
              <w:rPr>
                <w:sz w:val="20"/>
                <w:szCs w:val="20"/>
              </w:rPr>
              <w:t>(%)</w:t>
            </w:r>
          </w:p>
        </w:tc>
        <w:tc>
          <w:tcPr>
            <w:tcW w:w="316" w:type="dxa"/>
            <w:tcBorders>
              <w:top w:val="nil"/>
              <w:left w:val="nil"/>
              <w:bottom w:val="single" w:sz="8" w:space="0" w:color="auto"/>
              <w:right w:val="nil"/>
            </w:tcBorders>
            <w:shd w:val="clear" w:color="000000" w:fill="C0C0C0"/>
            <w:noWrap/>
            <w:vAlign w:val="bottom"/>
            <w:hideMark/>
          </w:tcPr>
          <w:p w:rsidR="008B6473" w:rsidRDefault="008B6473">
            <w:pPr>
              <w:jc w:val="center"/>
              <w:rPr>
                <w:sz w:val="20"/>
                <w:szCs w:val="20"/>
              </w:rPr>
            </w:pPr>
            <w:r>
              <w:rPr>
                <w:sz w:val="20"/>
                <w:szCs w:val="20"/>
              </w:rPr>
              <w:t> </w:t>
            </w:r>
          </w:p>
        </w:tc>
        <w:tc>
          <w:tcPr>
            <w:tcW w:w="878" w:type="dxa"/>
            <w:tcBorders>
              <w:top w:val="nil"/>
              <w:left w:val="nil"/>
              <w:bottom w:val="single" w:sz="8" w:space="0" w:color="auto"/>
              <w:right w:val="nil"/>
            </w:tcBorders>
            <w:shd w:val="clear" w:color="000000" w:fill="C0C0C0"/>
            <w:noWrap/>
            <w:vAlign w:val="bottom"/>
            <w:hideMark/>
          </w:tcPr>
          <w:p w:rsidR="008B6473" w:rsidRDefault="008B6473">
            <w:pPr>
              <w:jc w:val="center"/>
              <w:rPr>
                <w:sz w:val="20"/>
                <w:szCs w:val="20"/>
              </w:rPr>
            </w:pPr>
            <w:r>
              <w:rPr>
                <w:sz w:val="20"/>
                <w:szCs w:val="20"/>
              </w:rPr>
              <w:t>(%)</w:t>
            </w:r>
          </w:p>
        </w:tc>
        <w:tc>
          <w:tcPr>
            <w:tcW w:w="1094" w:type="dxa"/>
            <w:tcBorders>
              <w:top w:val="nil"/>
              <w:left w:val="nil"/>
              <w:bottom w:val="single" w:sz="8" w:space="0" w:color="auto"/>
              <w:right w:val="single" w:sz="8" w:space="0" w:color="auto"/>
            </w:tcBorders>
            <w:shd w:val="clear" w:color="000000" w:fill="C0C0C0"/>
            <w:noWrap/>
            <w:vAlign w:val="bottom"/>
            <w:hideMark/>
          </w:tcPr>
          <w:p w:rsidR="008B6473" w:rsidRDefault="008B6473">
            <w:pPr>
              <w:jc w:val="center"/>
              <w:rPr>
                <w:sz w:val="20"/>
                <w:szCs w:val="20"/>
              </w:rPr>
            </w:pPr>
            <w:r>
              <w:rPr>
                <w:sz w:val="20"/>
                <w:szCs w:val="20"/>
              </w:rPr>
              <w:t>(%)</w:t>
            </w:r>
          </w:p>
        </w:tc>
      </w:tr>
      <w:tr w:rsidR="008B6473" w:rsidTr="00DC578E">
        <w:trPr>
          <w:trHeight w:val="300"/>
          <w:jc w:val="center"/>
        </w:trPr>
        <w:tc>
          <w:tcPr>
            <w:tcW w:w="89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376.1</w:t>
            </w:r>
          </w:p>
        </w:tc>
        <w:tc>
          <w:tcPr>
            <w:tcW w:w="2046"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8B6473" w:rsidRDefault="008B6473">
            <w:pPr>
              <w:rPr>
                <w:sz w:val="20"/>
                <w:szCs w:val="20"/>
              </w:rPr>
            </w:pPr>
            <w:r>
              <w:rPr>
                <w:sz w:val="20"/>
                <w:szCs w:val="20"/>
              </w:rPr>
              <w:t>Mains - Steel</w:t>
            </w:r>
          </w:p>
        </w:tc>
        <w:tc>
          <w:tcPr>
            <w:tcW w:w="101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12.7</w:t>
            </w:r>
          </w:p>
        </w:tc>
        <w:tc>
          <w:tcPr>
            <w:tcW w:w="105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color w:val="FF0000"/>
                <w:sz w:val="20"/>
                <w:szCs w:val="20"/>
              </w:rPr>
              <w:t>(30)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2.9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14.6</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87.66%</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rsidR="008B6473" w:rsidRDefault="008B6473">
            <w:pPr>
              <w:jc w:val="center"/>
              <w:rPr>
                <w:sz w:val="20"/>
                <w:szCs w:val="20"/>
              </w:rPr>
            </w:pPr>
            <w:r>
              <w:rPr>
                <w:sz w:val="20"/>
                <w:szCs w:val="20"/>
              </w:rPr>
              <w:t>*</w:t>
            </w:r>
          </w:p>
        </w:tc>
        <w:tc>
          <w:tcPr>
            <w:tcW w:w="878" w:type="dxa"/>
            <w:tcBorders>
              <w:top w:val="single" w:sz="4" w:space="0" w:color="auto"/>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color w:val="FF0000"/>
                <w:sz w:val="20"/>
                <w:szCs w:val="20"/>
              </w:rPr>
              <w:t>(30)</w:t>
            </w:r>
          </w:p>
        </w:tc>
        <w:tc>
          <w:tcPr>
            <w:tcW w:w="1094" w:type="dxa"/>
            <w:tcBorders>
              <w:top w:val="single" w:sz="4" w:space="0" w:color="auto"/>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2.9</w:t>
            </w:r>
          </w:p>
        </w:tc>
      </w:tr>
      <w:tr w:rsidR="008B6473" w:rsidTr="00DC578E">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376.2</w:t>
            </w:r>
          </w:p>
        </w:tc>
        <w:tc>
          <w:tcPr>
            <w:tcW w:w="2046" w:type="dxa"/>
            <w:tcBorders>
              <w:top w:val="nil"/>
              <w:left w:val="single" w:sz="8" w:space="0" w:color="auto"/>
              <w:bottom w:val="single" w:sz="4" w:space="0" w:color="auto"/>
              <w:right w:val="single" w:sz="4" w:space="0" w:color="auto"/>
            </w:tcBorders>
            <w:shd w:val="clear" w:color="auto" w:fill="auto"/>
            <w:vAlign w:val="bottom"/>
            <w:hideMark/>
          </w:tcPr>
          <w:p w:rsidR="008B6473" w:rsidRDefault="008B6473">
            <w:pPr>
              <w:rPr>
                <w:sz w:val="20"/>
                <w:szCs w:val="20"/>
              </w:rPr>
            </w:pPr>
            <w:r>
              <w:rPr>
                <w:sz w:val="20"/>
                <w:szCs w:val="20"/>
              </w:rPr>
              <w:t>Mains - Plastic</w:t>
            </w:r>
          </w:p>
        </w:tc>
        <w:tc>
          <w:tcPr>
            <w:tcW w:w="101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34.2</w:t>
            </w:r>
          </w:p>
        </w:tc>
        <w:tc>
          <w:tcPr>
            <w:tcW w:w="105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color w:val="FF0000"/>
                <w:sz w:val="20"/>
                <w:szCs w:val="20"/>
              </w:rPr>
              <w:t>(30)</w:t>
            </w:r>
          </w:p>
        </w:tc>
        <w:tc>
          <w:tcPr>
            <w:tcW w:w="10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2.9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33.8</w:t>
            </w:r>
          </w:p>
        </w:tc>
        <w:tc>
          <w:tcPr>
            <w:tcW w:w="93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32.50%</w:t>
            </w:r>
          </w:p>
        </w:tc>
        <w:tc>
          <w:tcPr>
            <w:tcW w:w="316" w:type="dxa"/>
            <w:tcBorders>
              <w:top w:val="nil"/>
              <w:left w:val="nil"/>
              <w:bottom w:val="single" w:sz="4" w:space="0" w:color="auto"/>
              <w:right w:val="single" w:sz="4" w:space="0" w:color="auto"/>
            </w:tcBorders>
            <w:shd w:val="clear" w:color="auto" w:fill="auto"/>
            <w:noWrap/>
            <w:vAlign w:val="bottom"/>
            <w:hideMark/>
          </w:tcPr>
          <w:p w:rsidR="008B6473" w:rsidRDefault="008B6473">
            <w:pPr>
              <w:jc w:val="center"/>
              <w:rPr>
                <w:sz w:val="20"/>
                <w:szCs w:val="20"/>
              </w:rPr>
            </w:pPr>
            <w:r>
              <w:rPr>
                <w:sz w:val="20"/>
                <w:szCs w:val="20"/>
              </w:rPr>
              <w:t> </w:t>
            </w:r>
          </w:p>
        </w:tc>
        <w:tc>
          <w:tcPr>
            <w:tcW w:w="878"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color w:val="FF0000"/>
                <w:sz w:val="20"/>
                <w:szCs w:val="20"/>
              </w:rPr>
              <w:t>(30)</w:t>
            </w:r>
          </w:p>
        </w:tc>
        <w:tc>
          <w:tcPr>
            <w:tcW w:w="1094"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2.9</w:t>
            </w:r>
          </w:p>
        </w:tc>
      </w:tr>
      <w:tr w:rsidR="008B6473" w:rsidTr="00DC578E">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378</w:t>
            </w:r>
          </w:p>
        </w:tc>
        <w:tc>
          <w:tcPr>
            <w:tcW w:w="2046" w:type="dxa"/>
            <w:tcBorders>
              <w:top w:val="nil"/>
              <w:left w:val="single" w:sz="8" w:space="0" w:color="auto"/>
              <w:bottom w:val="single" w:sz="4" w:space="0" w:color="auto"/>
              <w:right w:val="single" w:sz="4" w:space="0" w:color="auto"/>
            </w:tcBorders>
            <w:shd w:val="clear" w:color="auto" w:fill="auto"/>
            <w:vAlign w:val="bottom"/>
            <w:hideMark/>
          </w:tcPr>
          <w:p w:rsidR="008B6473" w:rsidRDefault="008B6473">
            <w:pPr>
              <w:rPr>
                <w:sz w:val="20"/>
                <w:szCs w:val="20"/>
              </w:rPr>
            </w:pPr>
            <w:r>
              <w:rPr>
                <w:sz w:val="20"/>
                <w:szCs w:val="20"/>
              </w:rPr>
              <w:t>Meas. &amp; Reg. Equip. (Embedded)</w:t>
            </w:r>
          </w:p>
        </w:tc>
        <w:tc>
          <w:tcPr>
            <w:tcW w:w="101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13.1</w:t>
            </w:r>
          </w:p>
        </w:tc>
        <w:tc>
          <w:tcPr>
            <w:tcW w:w="105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color w:val="FF0000"/>
                <w:sz w:val="20"/>
                <w:szCs w:val="20"/>
              </w:rPr>
              <w:t>(2)</w:t>
            </w:r>
          </w:p>
        </w:tc>
        <w:tc>
          <w:tcPr>
            <w:tcW w:w="10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3.1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16.0</w:t>
            </w:r>
          </w:p>
        </w:tc>
        <w:tc>
          <w:tcPr>
            <w:tcW w:w="93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52.87%</w:t>
            </w:r>
          </w:p>
        </w:tc>
        <w:tc>
          <w:tcPr>
            <w:tcW w:w="316" w:type="dxa"/>
            <w:tcBorders>
              <w:top w:val="nil"/>
              <w:left w:val="nil"/>
              <w:bottom w:val="single" w:sz="4" w:space="0" w:color="auto"/>
              <w:right w:val="single" w:sz="4" w:space="0" w:color="auto"/>
            </w:tcBorders>
            <w:shd w:val="clear" w:color="auto" w:fill="auto"/>
            <w:noWrap/>
            <w:vAlign w:val="bottom"/>
            <w:hideMark/>
          </w:tcPr>
          <w:p w:rsidR="008B6473" w:rsidRDefault="008B6473">
            <w:pPr>
              <w:jc w:val="center"/>
              <w:rPr>
                <w:sz w:val="20"/>
                <w:szCs w:val="20"/>
              </w:rPr>
            </w:pPr>
            <w:r>
              <w:rPr>
                <w:sz w:val="20"/>
                <w:szCs w:val="20"/>
              </w:rPr>
              <w:t> </w:t>
            </w:r>
          </w:p>
        </w:tc>
        <w:tc>
          <w:tcPr>
            <w:tcW w:w="878"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color w:val="FF0000"/>
                <w:sz w:val="20"/>
                <w:szCs w:val="20"/>
              </w:rPr>
              <w:t>(2)</w:t>
            </w:r>
          </w:p>
        </w:tc>
        <w:tc>
          <w:tcPr>
            <w:tcW w:w="1094"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3.1</w:t>
            </w:r>
          </w:p>
        </w:tc>
      </w:tr>
      <w:tr w:rsidR="008B6473" w:rsidTr="00DC578E">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379</w:t>
            </w:r>
          </w:p>
        </w:tc>
        <w:tc>
          <w:tcPr>
            <w:tcW w:w="2046" w:type="dxa"/>
            <w:tcBorders>
              <w:top w:val="nil"/>
              <w:left w:val="single" w:sz="8" w:space="0" w:color="auto"/>
              <w:bottom w:val="single" w:sz="4" w:space="0" w:color="auto"/>
              <w:right w:val="single" w:sz="4" w:space="0" w:color="auto"/>
            </w:tcBorders>
            <w:shd w:val="clear" w:color="auto" w:fill="auto"/>
            <w:vAlign w:val="bottom"/>
            <w:hideMark/>
          </w:tcPr>
          <w:p w:rsidR="008B6473" w:rsidRDefault="008B6473">
            <w:pPr>
              <w:rPr>
                <w:sz w:val="20"/>
                <w:szCs w:val="20"/>
              </w:rPr>
            </w:pPr>
            <w:r>
              <w:rPr>
                <w:sz w:val="20"/>
                <w:szCs w:val="20"/>
              </w:rPr>
              <w:t>Meas. &amp; Reg. Equip.(City Gate)</w:t>
            </w:r>
          </w:p>
        </w:tc>
        <w:tc>
          <w:tcPr>
            <w:tcW w:w="101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16.5</w:t>
            </w:r>
          </w:p>
        </w:tc>
        <w:tc>
          <w:tcPr>
            <w:tcW w:w="105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color w:val="FF0000"/>
                <w:sz w:val="20"/>
                <w:szCs w:val="20"/>
              </w:rPr>
              <w:t>(2)</w:t>
            </w:r>
          </w:p>
        </w:tc>
        <w:tc>
          <w:tcPr>
            <w:tcW w:w="10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3.2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27.6</w:t>
            </w:r>
          </w:p>
        </w:tc>
        <w:tc>
          <w:tcPr>
            <w:tcW w:w="93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13.68%</w:t>
            </w:r>
          </w:p>
        </w:tc>
        <w:tc>
          <w:tcPr>
            <w:tcW w:w="316" w:type="dxa"/>
            <w:tcBorders>
              <w:top w:val="nil"/>
              <w:left w:val="nil"/>
              <w:bottom w:val="single" w:sz="4" w:space="0" w:color="auto"/>
              <w:right w:val="single" w:sz="4" w:space="0" w:color="auto"/>
            </w:tcBorders>
            <w:shd w:val="clear" w:color="auto" w:fill="auto"/>
            <w:noWrap/>
            <w:vAlign w:val="bottom"/>
            <w:hideMark/>
          </w:tcPr>
          <w:p w:rsidR="008B6473" w:rsidRDefault="008B6473">
            <w:pPr>
              <w:jc w:val="center"/>
              <w:rPr>
                <w:sz w:val="20"/>
                <w:szCs w:val="20"/>
              </w:rPr>
            </w:pPr>
            <w:r>
              <w:rPr>
                <w:sz w:val="20"/>
                <w:szCs w:val="20"/>
              </w:rPr>
              <w:t>*</w:t>
            </w:r>
          </w:p>
        </w:tc>
        <w:tc>
          <w:tcPr>
            <w:tcW w:w="878"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color w:val="FF0000"/>
                <w:sz w:val="20"/>
                <w:szCs w:val="20"/>
              </w:rPr>
              <w:t>(2)</w:t>
            </w:r>
          </w:p>
        </w:tc>
        <w:tc>
          <w:tcPr>
            <w:tcW w:w="1094"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3.2</w:t>
            </w:r>
          </w:p>
        </w:tc>
      </w:tr>
      <w:tr w:rsidR="008B6473" w:rsidTr="00DC578E">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380.1</w:t>
            </w:r>
          </w:p>
        </w:tc>
        <w:tc>
          <w:tcPr>
            <w:tcW w:w="2046" w:type="dxa"/>
            <w:tcBorders>
              <w:top w:val="nil"/>
              <w:left w:val="single" w:sz="8" w:space="0" w:color="auto"/>
              <w:bottom w:val="single" w:sz="4" w:space="0" w:color="auto"/>
              <w:right w:val="single" w:sz="4" w:space="0" w:color="auto"/>
            </w:tcBorders>
            <w:shd w:val="clear" w:color="auto" w:fill="auto"/>
            <w:vAlign w:val="bottom"/>
            <w:hideMark/>
          </w:tcPr>
          <w:p w:rsidR="008B6473" w:rsidRDefault="008B6473">
            <w:pPr>
              <w:rPr>
                <w:sz w:val="20"/>
                <w:szCs w:val="20"/>
              </w:rPr>
            </w:pPr>
            <w:r>
              <w:rPr>
                <w:sz w:val="20"/>
                <w:szCs w:val="20"/>
              </w:rPr>
              <w:t>Services - Steel</w:t>
            </w:r>
          </w:p>
        </w:tc>
        <w:tc>
          <w:tcPr>
            <w:tcW w:w="101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14.3</w:t>
            </w:r>
          </w:p>
        </w:tc>
        <w:tc>
          <w:tcPr>
            <w:tcW w:w="105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color w:val="FF0000"/>
                <w:sz w:val="20"/>
                <w:szCs w:val="20"/>
              </w:rPr>
              <w:t>(30)</w:t>
            </w:r>
          </w:p>
        </w:tc>
        <w:tc>
          <w:tcPr>
            <w:tcW w:w="10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1.7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11.8</w:t>
            </w:r>
          </w:p>
        </w:tc>
        <w:tc>
          <w:tcPr>
            <w:tcW w:w="93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117.74%</w:t>
            </w:r>
          </w:p>
        </w:tc>
        <w:tc>
          <w:tcPr>
            <w:tcW w:w="316" w:type="dxa"/>
            <w:tcBorders>
              <w:top w:val="nil"/>
              <w:left w:val="nil"/>
              <w:bottom w:val="single" w:sz="4" w:space="0" w:color="auto"/>
              <w:right w:val="single" w:sz="4" w:space="0" w:color="auto"/>
            </w:tcBorders>
            <w:shd w:val="clear" w:color="auto" w:fill="auto"/>
            <w:noWrap/>
            <w:vAlign w:val="bottom"/>
            <w:hideMark/>
          </w:tcPr>
          <w:p w:rsidR="008B6473" w:rsidRDefault="008B6473">
            <w:pPr>
              <w:jc w:val="center"/>
              <w:rPr>
                <w:sz w:val="20"/>
                <w:szCs w:val="20"/>
              </w:rPr>
            </w:pPr>
            <w:r>
              <w:rPr>
                <w:sz w:val="20"/>
                <w:szCs w:val="20"/>
              </w:rPr>
              <w:t> </w:t>
            </w:r>
          </w:p>
        </w:tc>
        <w:tc>
          <w:tcPr>
            <w:tcW w:w="878"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color w:val="FF0000"/>
                <w:sz w:val="20"/>
                <w:szCs w:val="20"/>
              </w:rPr>
              <w:t>(30)</w:t>
            </w:r>
          </w:p>
        </w:tc>
        <w:tc>
          <w:tcPr>
            <w:tcW w:w="1094"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1.0</w:t>
            </w:r>
          </w:p>
        </w:tc>
      </w:tr>
      <w:tr w:rsidR="008B6473" w:rsidTr="00DC578E">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380.2</w:t>
            </w:r>
          </w:p>
        </w:tc>
        <w:tc>
          <w:tcPr>
            <w:tcW w:w="2046" w:type="dxa"/>
            <w:tcBorders>
              <w:top w:val="nil"/>
              <w:left w:val="single" w:sz="8" w:space="0" w:color="auto"/>
              <w:bottom w:val="single" w:sz="4" w:space="0" w:color="auto"/>
              <w:right w:val="single" w:sz="4" w:space="0" w:color="auto"/>
            </w:tcBorders>
            <w:shd w:val="clear" w:color="auto" w:fill="auto"/>
            <w:vAlign w:val="bottom"/>
            <w:hideMark/>
          </w:tcPr>
          <w:p w:rsidR="008B6473" w:rsidRDefault="008B6473">
            <w:pPr>
              <w:rPr>
                <w:sz w:val="20"/>
                <w:szCs w:val="20"/>
              </w:rPr>
            </w:pPr>
            <w:r>
              <w:rPr>
                <w:sz w:val="20"/>
                <w:szCs w:val="20"/>
              </w:rPr>
              <w:t>Services - Plastic</w:t>
            </w:r>
          </w:p>
        </w:tc>
        <w:tc>
          <w:tcPr>
            <w:tcW w:w="101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32.0</w:t>
            </w:r>
          </w:p>
        </w:tc>
        <w:tc>
          <w:tcPr>
            <w:tcW w:w="105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color w:val="FF0000"/>
                <w:sz w:val="20"/>
                <w:szCs w:val="20"/>
              </w:rPr>
              <w:t>(30)</w:t>
            </w:r>
          </w:p>
        </w:tc>
        <w:tc>
          <w:tcPr>
            <w:tcW w:w="10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3.1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30.7</w:t>
            </w:r>
          </w:p>
        </w:tc>
        <w:tc>
          <w:tcPr>
            <w:tcW w:w="93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31.29%</w:t>
            </w:r>
          </w:p>
        </w:tc>
        <w:tc>
          <w:tcPr>
            <w:tcW w:w="316" w:type="dxa"/>
            <w:tcBorders>
              <w:top w:val="nil"/>
              <w:left w:val="nil"/>
              <w:bottom w:val="single" w:sz="4" w:space="0" w:color="auto"/>
              <w:right w:val="single" w:sz="4" w:space="0" w:color="auto"/>
            </w:tcBorders>
            <w:shd w:val="clear" w:color="auto" w:fill="auto"/>
            <w:noWrap/>
            <w:vAlign w:val="bottom"/>
            <w:hideMark/>
          </w:tcPr>
          <w:p w:rsidR="008B6473" w:rsidRDefault="008B6473">
            <w:pPr>
              <w:jc w:val="center"/>
              <w:rPr>
                <w:sz w:val="20"/>
                <w:szCs w:val="20"/>
              </w:rPr>
            </w:pPr>
            <w:r>
              <w:rPr>
                <w:sz w:val="20"/>
                <w:szCs w:val="20"/>
              </w:rPr>
              <w:t>*</w:t>
            </w:r>
          </w:p>
        </w:tc>
        <w:tc>
          <w:tcPr>
            <w:tcW w:w="878"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color w:val="FF0000"/>
                <w:sz w:val="20"/>
                <w:szCs w:val="20"/>
              </w:rPr>
              <w:t>(30)</w:t>
            </w:r>
          </w:p>
        </w:tc>
        <w:tc>
          <w:tcPr>
            <w:tcW w:w="1094"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3.2</w:t>
            </w:r>
          </w:p>
        </w:tc>
      </w:tr>
      <w:tr w:rsidR="008B6473" w:rsidTr="00DC578E">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381</w:t>
            </w:r>
          </w:p>
        </w:tc>
        <w:tc>
          <w:tcPr>
            <w:tcW w:w="2046" w:type="dxa"/>
            <w:tcBorders>
              <w:top w:val="nil"/>
              <w:left w:val="single" w:sz="8" w:space="0" w:color="auto"/>
              <w:bottom w:val="single" w:sz="4" w:space="0" w:color="auto"/>
              <w:right w:val="single" w:sz="4" w:space="0" w:color="auto"/>
            </w:tcBorders>
            <w:shd w:val="clear" w:color="auto" w:fill="auto"/>
            <w:vAlign w:val="bottom"/>
            <w:hideMark/>
          </w:tcPr>
          <w:p w:rsidR="008B6473" w:rsidRDefault="008B6473">
            <w:pPr>
              <w:rPr>
                <w:sz w:val="20"/>
                <w:szCs w:val="20"/>
              </w:rPr>
            </w:pPr>
            <w:r>
              <w:rPr>
                <w:sz w:val="20"/>
                <w:szCs w:val="20"/>
              </w:rPr>
              <w:t>Meters</w:t>
            </w:r>
          </w:p>
        </w:tc>
        <w:tc>
          <w:tcPr>
            <w:tcW w:w="101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12.1</w:t>
            </w:r>
          </w:p>
        </w:tc>
        <w:tc>
          <w:tcPr>
            <w:tcW w:w="105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4.0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9.4</w:t>
            </w:r>
          </w:p>
        </w:tc>
        <w:tc>
          <w:tcPr>
            <w:tcW w:w="93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63.83%</w:t>
            </w:r>
          </w:p>
        </w:tc>
        <w:tc>
          <w:tcPr>
            <w:tcW w:w="316" w:type="dxa"/>
            <w:tcBorders>
              <w:top w:val="nil"/>
              <w:left w:val="nil"/>
              <w:bottom w:val="single" w:sz="4" w:space="0" w:color="auto"/>
              <w:right w:val="single" w:sz="4" w:space="0" w:color="auto"/>
            </w:tcBorders>
            <w:shd w:val="clear" w:color="auto" w:fill="auto"/>
            <w:noWrap/>
            <w:vAlign w:val="bottom"/>
            <w:hideMark/>
          </w:tcPr>
          <w:p w:rsidR="008B6473" w:rsidRDefault="008B6473">
            <w:pPr>
              <w:jc w:val="center"/>
              <w:rPr>
                <w:sz w:val="20"/>
                <w:szCs w:val="20"/>
              </w:rPr>
            </w:pPr>
            <w:r>
              <w:rPr>
                <w:sz w:val="20"/>
                <w:szCs w:val="20"/>
              </w:rPr>
              <w:t> </w:t>
            </w:r>
          </w:p>
        </w:tc>
        <w:tc>
          <w:tcPr>
            <w:tcW w:w="878"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3.8</w:t>
            </w:r>
          </w:p>
        </w:tc>
      </w:tr>
      <w:tr w:rsidR="008B6473" w:rsidTr="00DC578E">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382</w:t>
            </w:r>
          </w:p>
        </w:tc>
        <w:tc>
          <w:tcPr>
            <w:tcW w:w="2046" w:type="dxa"/>
            <w:tcBorders>
              <w:top w:val="nil"/>
              <w:left w:val="single" w:sz="8" w:space="0" w:color="auto"/>
              <w:bottom w:val="single" w:sz="4" w:space="0" w:color="auto"/>
              <w:right w:val="single" w:sz="4" w:space="0" w:color="auto"/>
            </w:tcBorders>
            <w:shd w:val="clear" w:color="auto" w:fill="auto"/>
            <w:vAlign w:val="bottom"/>
            <w:hideMark/>
          </w:tcPr>
          <w:p w:rsidR="008B6473" w:rsidRDefault="008B6473">
            <w:pPr>
              <w:rPr>
                <w:sz w:val="20"/>
                <w:szCs w:val="20"/>
              </w:rPr>
            </w:pPr>
            <w:r>
              <w:rPr>
                <w:sz w:val="20"/>
                <w:szCs w:val="20"/>
              </w:rPr>
              <w:t>Meter Installations</w:t>
            </w:r>
          </w:p>
        </w:tc>
        <w:tc>
          <w:tcPr>
            <w:tcW w:w="101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17.1</w:t>
            </w:r>
          </w:p>
        </w:tc>
        <w:tc>
          <w:tcPr>
            <w:tcW w:w="105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color w:val="FF0000"/>
                <w:sz w:val="20"/>
                <w:szCs w:val="20"/>
              </w:rPr>
              <w:t>(5)</w:t>
            </w:r>
          </w:p>
        </w:tc>
        <w:tc>
          <w:tcPr>
            <w:tcW w:w="10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3.1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19.5</w:t>
            </w:r>
          </w:p>
        </w:tc>
        <w:tc>
          <w:tcPr>
            <w:tcW w:w="93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44.55%</w:t>
            </w:r>
          </w:p>
        </w:tc>
        <w:tc>
          <w:tcPr>
            <w:tcW w:w="316" w:type="dxa"/>
            <w:tcBorders>
              <w:top w:val="nil"/>
              <w:left w:val="nil"/>
              <w:bottom w:val="single" w:sz="4" w:space="0" w:color="auto"/>
              <w:right w:val="single" w:sz="4" w:space="0" w:color="auto"/>
            </w:tcBorders>
            <w:shd w:val="clear" w:color="auto" w:fill="auto"/>
            <w:noWrap/>
            <w:vAlign w:val="bottom"/>
            <w:hideMark/>
          </w:tcPr>
          <w:p w:rsidR="008B6473" w:rsidRDefault="008B6473">
            <w:pPr>
              <w:jc w:val="center"/>
              <w:rPr>
                <w:sz w:val="20"/>
                <w:szCs w:val="20"/>
              </w:rPr>
            </w:pPr>
            <w:r>
              <w:rPr>
                <w:sz w:val="20"/>
                <w:szCs w:val="20"/>
              </w:rPr>
              <w:t>*</w:t>
            </w:r>
          </w:p>
        </w:tc>
        <w:tc>
          <w:tcPr>
            <w:tcW w:w="878"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color w:val="FF0000"/>
                <w:sz w:val="20"/>
                <w:szCs w:val="20"/>
              </w:rPr>
              <w:t>(5)</w:t>
            </w:r>
          </w:p>
        </w:tc>
        <w:tc>
          <w:tcPr>
            <w:tcW w:w="1094"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3.1</w:t>
            </w:r>
          </w:p>
        </w:tc>
      </w:tr>
      <w:tr w:rsidR="008B6473" w:rsidTr="00DC578E">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383</w:t>
            </w:r>
          </w:p>
        </w:tc>
        <w:tc>
          <w:tcPr>
            <w:tcW w:w="2046" w:type="dxa"/>
            <w:tcBorders>
              <w:top w:val="nil"/>
              <w:left w:val="single" w:sz="8" w:space="0" w:color="auto"/>
              <w:bottom w:val="single" w:sz="4" w:space="0" w:color="auto"/>
              <w:right w:val="single" w:sz="4" w:space="0" w:color="auto"/>
            </w:tcBorders>
            <w:shd w:val="clear" w:color="auto" w:fill="auto"/>
            <w:vAlign w:val="bottom"/>
            <w:hideMark/>
          </w:tcPr>
          <w:p w:rsidR="008B6473" w:rsidRDefault="008B6473">
            <w:pPr>
              <w:rPr>
                <w:sz w:val="20"/>
                <w:szCs w:val="20"/>
              </w:rPr>
            </w:pPr>
            <w:r>
              <w:rPr>
                <w:sz w:val="20"/>
                <w:szCs w:val="20"/>
              </w:rPr>
              <w:t>House Regulators</w:t>
            </w:r>
          </w:p>
        </w:tc>
        <w:tc>
          <w:tcPr>
            <w:tcW w:w="101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10.5</w:t>
            </w:r>
          </w:p>
        </w:tc>
        <w:tc>
          <w:tcPr>
            <w:tcW w:w="105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3.3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7.0</w:t>
            </w:r>
          </w:p>
        </w:tc>
        <w:tc>
          <w:tcPr>
            <w:tcW w:w="93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78.21%</w:t>
            </w:r>
          </w:p>
        </w:tc>
        <w:tc>
          <w:tcPr>
            <w:tcW w:w="316" w:type="dxa"/>
            <w:tcBorders>
              <w:top w:val="nil"/>
              <w:left w:val="nil"/>
              <w:bottom w:val="single" w:sz="4" w:space="0" w:color="auto"/>
              <w:right w:val="single" w:sz="4" w:space="0" w:color="auto"/>
            </w:tcBorders>
            <w:shd w:val="clear" w:color="auto" w:fill="auto"/>
            <w:noWrap/>
            <w:vAlign w:val="bottom"/>
            <w:hideMark/>
          </w:tcPr>
          <w:p w:rsidR="008B6473" w:rsidRDefault="008B6473">
            <w:pPr>
              <w:jc w:val="center"/>
              <w:rPr>
                <w:sz w:val="20"/>
                <w:szCs w:val="20"/>
              </w:rPr>
            </w:pPr>
            <w:r>
              <w:rPr>
                <w:sz w:val="20"/>
                <w:szCs w:val="20"/>
              </w:rPr>
              <w:t> </w:t>
            </w:r>
          </w:p>
        </w:tc>
        <w:tc>
          <w:tcPr>
            <w:tcW w:w="878"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3.1</w:t>
            </w:r>
          </w:p>
        </w:tc>
      </w:tr>
      <w:tr w:rsidR="008B6473" w:rsidTr="00DC578E">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384</w:t>
            </w:r>
          </w:p>
        </w:tc>
        <w:tc>
          <w:tcPr>
            <w:tcW w:w="2046" w:type="dxa"/>
            <w:tcBorders>
              <w:top w:val="nil"/>
              <w:left w:val="single" w:sz="8" w:space="0" w:color="auto"/>
              <w:bottom w:val="single" w:sz="4" w:space="0" w:color="auto"/>
              <w:right w:val="single" w:sz="4" w:space="0" w:color="auto"/>
            </w:tcBorders>
            <w:shd w:val="clear" w:color="auto" w:fill="auto"/>
            <w:vAlign w:val="bottom"/>
            <w:hideMark/>
          </w:tcPr>
          <w:p w:rsidR="008B6473" w:rsidRDefault="008B6473">
            <w:pPr>
              <w:rPr>
                <w:sz w:val="20"/>
                <w:szCs w:val="20"/>
              </w:rPr>
            </w:pPr>
            <w:r>
              <w:rPr>
                <w:sz w:val="20"/>
                <w:szCs w:val="20"/>
              </w:rPr>
              <w:t>House Regulator Installations</w:t>
            </w:r>
          </w:p>
        </w:tc>
        <w:tc>
          <w:tcPr>
            <w:tcW w:w="101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13.7</w:t>
            </w:r>
          </w:p>
        </w:tc>
        <w:tc>
          <w:tcPr>
            <w:tcW w:w="105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color w:val="FF0000"/>
                <w:sz w:val="20"/>
                <w:szCs w:val="20"/>
              </w:rPr>
              <w:t>(3)</w:t>
            </w:r>
          </w:p>
        </w:tc>
        <w:tc>
          <w:tcPr>
            <w:tcW w:w="10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3.0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14.7</w:t>
            </w:r>
          </w:p>
        </w:tc>
        <w:tc>
          <w:tcPr>
            <w:tcW w:w="93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59.17%</w:t>
            </w:r>
          </w:p>
        </w:tc>
        <w:tc>
          <w:tcPr>
            <w:tcW w:w="316" w:type="dxa"/>
            <w:tcBorders>
              <w:top w:val="nil"/>
              <w:left w:val="nil"/>
              <w:bottom w:val="single" w:sz="4" w:space="0" w:color="auto"/>
              <w:right w:val="single" w:sz="4" w:space="0" w:color="auto"/>
            </w:tcBorders>
            <w:shd w:val="clear" w:color="auto" w:fill="auto"/>
            <w:noWrap/>
            <w:vAlign w:val="bottom"/>
            <w:hideMark/>
          </w:tcPr>
          <w:p w:rsidR="008B6473" w:rsidRDefault="008B6473">
            <w:pPr>
              <w:jc w:val="center"/>
              <w:rPr>
                <w:sz w:val="20"/>
                <w:szCs w:val="20"/>
              </w:rPr>
            </w:pPr>
            <w:r>
              <w:rPr>
                <w:sz w:val="20"/>
                <w:szCs w:val="20"/>
              </w:rPr>
              <w:t> </w:t>
            </w:r>
          </w:p>
        </w:tc>
        <w:tc>
          <w:tcPr>
            <w:tcW w:w="878"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color w:val="FF0000"/>
                <w:sz w:val="20"/>
                <w:szCs w:val="20"/>
              </w:rPr>
              <w:t>(3)</w:t>
            </w:r>
          </w:p>
        </w:tc>
        <w:tc>
          <w:tcPr>
            <w:tcW w:w="1094"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3.0</w:t>
            </w:r>
          </w:p>
        </w:tc>
      </w:tr>
      <w:tr w:rsidR="008B6473" w:rsidTr="00DC578E">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386</w:t>
            </w:r>
          </w:p>
        </w:tc>
        <w:tc>
          <w:tcPr>
            <w:tcW w:w="2046" w:type="dxa"/>
            <w:tcBorders>
              <w:top w:val="nil"/>
              <w:left w:val="single" w:sz="8" w:space="0" w:color="auto"/>
              <w:bottom w:val="single" w:sz="4" w:space="0" w:color="auto"/>
              <w:right w:val="single" w:sz="4" w:space="0" w:color="auto"/>
            </w:tcBorders>
            <w:shd w:val="clear" w:color="auto" w:fill="auto"/>
            <w:vAlign w:val="bottom"/>
            <w:hideMark/>
          </w:tcPr>
          <w:p w:rsidR="008B6473" w:rsidRDefault="008B6473">
            <w:pPr>
              <w:rPr>
                <w:sz w:val="20"/>
                <w:szCs w:val="20"/>
              </w:rPr>
            </w:pPr>
            <w:r>
              <w:rPr>
                <w:sz w:val="20"/>
                <w:szCs w:val="20"/>
              </w:rPr>
              <w:t>Property on Customers' Premises</w:t>
            </w:r>
          </w:p>
        </w:tc>
        <w:tc>
          <w:tcPr>
            <w:tcW w:w="101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9.5</w:t>
            </w:r>
          </w:p>
        </w:tc>
        <w:tc>
          <w:tcPr>
            <w:tcW w:w="105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4.0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6.9</w:t>
            </w:r>
          </w:p>
        </w:tc>
        <w:tc>
          <w:tcPr>
            <w:tcW w:w="93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83.87%</w:t>
            </w:r>
          </w:p>
        </w:tc>
        <w:tc>
          <w:tcPr>
            <w:tcW w:w="316" w:type="dxa"/>
            <w:tcBorders>
              <w:top w:val="nil"/>
              <w:left w:val="nil"/>
              <w:bottom w:val="single" w:sz="4" w:space="0" w:color="auto"/>
              <w:right w:val="single" w:sz="4" w:space="0" w:color="auto"/>
            </w:tcBorders>
            <w:shd w:val="clear" w:color="auto" w:fill="auto"/>
            <w:noWrap/>
            <w:vAlign w:val="bottom"/>
            <w:hideMark/>
          </w:tcPr>
          <w:p w:rsidR="008B6473" w:rsidRDefault="008B6473">
            <w:pPr>
              <w:jc w:val="center"/>
              <w:rPr>
                <w:sz w:val="20"/>
                <w:szCs w:val="20"/>
              </w:rPr>
            </w:pPr>
            <w:r>
              <w:rPr>
                <w:sz w:val="20"/>
                <w:szCs w:val="20"/>
              </w:rPr>
              <w:t> </w:t>
            </w:r>
          </w:p>
        </w:tc>
        <w:tc>
          <w:tcPr>
            <w:tcW w:w="878"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2.3</w:t>
            </w:r>
          </w:p>
        </w:tc>
      </w:tr>
      <w:tr w:rsidR="008B6473" w:rsidTr="00DC578E">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387</w:t>
            </w:r>
          </w:p>
        </w:tc>
        <w:tc>
          <w:tcPr>
            <w:tcW w:w="2046" w:type="dxa"/>
            <w:tcBorders>
              <w:top w:val="nil"/>
              <w:left w:val="single" w:sz="8" w:space="0" w:color="auto"/>
              <w:bottom w:val="single" w:sz="4" w:space="0" w:color="auto"/>
              <w:right w:val="single" w:sz="4" w:space="0" w:color="auto"/>
            </w:tcBorders>
            <w:shd w:val="clear" w:color="auto" w:fill="auto"/>
            <w:vAlign w:val="bottom"/>
            <w:hideMark/>
          </w:tcPr>
          <w:p w:rsidR="008B6473" w:rsidRDefault="008B6473">
            <w:pPr>
              <w:rPr>
                <w:sz w:val="20"/>
                <w:szCs w:val="20"/>
              </w:rPr>
            </w:pPr>
            <w:r>
              <w:rPr>
                <w:sz w:val="20"/>
                <w:szCs w:val="20"/>
              </w:rPr>
              <w:t>Other Equipment</w:t>
            </w:r>
          </w:p>
        </w:tc>
        <w:tc>
          <w:tcPr>
            <w:tcW w:w="101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15.5</w:t>
            </w:r>
          </w:p>
        </w:tc>
        <w:tc>
          <w:tcPr>
            <w:tcW w:w="105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4.0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16.8</w:t>
            </w:r>
          </w:p>
        </w:tc>
        <w:tc>
          <w:tcPr>
            <w:tcW w:w="93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32.80%</w:t>
            </w:r>
          </w:p>
        </w:tc>
        <w:tc>
          <w:tcPr>
            <w:tcW w:w="316" w:type="dxa"/>
            <w:tcBorders>
              <w:top w:val="nil"/>
              <w:left w:val="nil"/>
              <w:bottom w:val="single" w:sz="4" w:space="0" w:color="auto"/>
              <w:right w:val="single" w:sz="4" w:space="0" w:color="auto"/>
            </w:tcBorders>
            <w:shd w:val="clear" w:color="auto" w:fill="auto"/>
            <w:noWrap/>
            <w:vAlign w:val="bottom"/>
            <w:hideMark/>
          </w:tcPr>
          <w:p w:rsidR="008B6473" w:rsidRDefault="008B6473">
            <w:pPr>
              <w:jc w:val="center"/>
              <w:rPr>
                <w:sz w:val="20"/>
                <w:szCs w:val="20"/>
              </w:rPr>
            </w:pPr>
            <w:r>
              <w:rPr>
                <w:sz w:val="20"/>
                <w:szCs w:val="20"/>
              </w:rPr>
              <w:t>*</w:t>
            </w:r>
          </w:p>
        </w:tc>
        <w:tc>
          <w:tcPr>
            <w:tcW w:w="878"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4.0</w:t>
            </w:r>
          </w:p>
        </w:tc>
      </w:tr>
      <w:tr w:rsidR="008B6473" w:rsidTr="00DC578E">
        <w:trPr>
          <w:trHeight w:val="81"/>
          <w:jc w:val="center"/>
        </w:trPr>
        <w:tc>
          <w:tcPr>
            <w:tcW w:w="894" w:type="dxa"/>
            <w:tcBorders>
              <w:top w:val="nil"/>
              <w:left w:val="single" w:sz="8" w:space="0" w:color="auto"/>
              <w:bottom w:val="single" w:sz="4" w:space="0" w:color="auto"/>
              <w:right w:val="nil"/>
            </w:tcBorders>
            <w:shd w:val="clear" w:color="000000" w:fill="C0C0C0"/>
            <w:noWrap/>
            <w:vAlign w:val="bottom"/>
            <w:hideMark/>
          </w:tcPr>
          <w:p w:rsidR="008B6473" w:rsidRDefault="008B6473">
            <w:pPr>
              <w:rPr>
                <w:sz w:val="20"/>
                <w:szCs w:val="20"/>
              </w:rPr>
            </w:pPr>
            <w:r>
              <w:rPr>
                <w:sz w:val="20"/>
                <w:szCs w:val="20"/>
              </w:rPr>
              <w:t> </w:t>
            </w:r>
          </w:p>
        </w:tc>
        <w:tc>
          <w:tcPr>
            <w:tcW w:w="2046" w:type="dxa"/>
            <w:tcBorders>
              <w:top w:val="nil"/>
              <w:left w:val="nil"/>
              <w:bottom w:val="single" w:sz="4" w:space="0" w:color="auto"/>
              <w:right w:val="nil"/>
            </w:tcBorders>
            <w:shd w:val="clear" w:color="000000" w:fill="C0C0C0"/>
            <w:vAlign w:val="bottom"/>
            <w:hideMark/>
          </w:tcPr>
          <w:p w:rsidR="008B6473" w:rsidRDefault="008B6473">
            <w:pPr>
              <w:rPr>
                <w:sz w:val="20"/>
                <w:szCs w:val="20"/>
              </w:rPr>
            </w:pPr>
            <w:r>
              <w:rPr>
                <w:sz w:val="20"/>
                <w:szCs w:val="20"/>
              </w:rPr>
              <w:t> </w:t>
            </w:r>
          </w:p>
        </w:tc>
        <w:tc>
          <w:tcPr>
            <w:tcW w:w="1013" w:type="dxa"/>
            <w:tcBorders>
              <w:top w:val="nil"/>
              <w:left w:val="nil"/>
              <w:bottom w:val="single" w:sz="4" w:space="0" w:color="auto"/>
              <w:right w:val="nil"/>
            </w:tcBorders>
            <w:shd w:val="clear" w:color="000000" w:fill="C0C0C0"/>
            <w:noWrap/>
            <w:vAlign w:val="bottom"/>
            <w:hideMark/>
          </w:tcPr>
          <w:p w:rsidR="008B6473" w:rsidRDefault="008B6473">
            <w:pPr>
              <w:rPr>
                <w:sz w:val="20"/>
                <w:szCs w:val="20"/>
              </w:rPr>
            </w:pPr>
            <w:r>
              <w:rPr>
                <w:sz w:val="20"/>
                <w:szCs w:val="20"/>
              </w:rPr>
              <w:t> </w:t>
            </w:r>
          </w:p>
        </w:tc>
        <w:tc>
          <w:tcPr>
            <w:tcW w:w="1057" w:type="dxa"/>
            <w:tcBorders>
              <w:top w:val="nil"/>
              <w:left w:val="nil"/>
              <w:bottom w:val="single" w:sz="4" w:space="0" w:color="auto"/>
              <w:right w:val="nil"/>
            </w:tcBorders>
            <w:shd w:val="clear" w:color="000000" w:fill="C0C0C0"/>
            <w:noWrap/>
            <w:vAlign w:val="bottom"/>
            <w:hideMark/>
          </w:tcPr>
          <w:p w:rsidR="008B6473" w:rsidRDefault="008B6473">
            <w:pPr>
              <w:rPr>
                <w:sz w:val="20"/>
                <w:szCs w:val="20"/>
              </w:rPr>
            </w:pPr>
            <w:r>
              <w:rPr>
                <w:sz w:val="20"/>
                <w:szCs w:val="20"/>
              </w:rPr>
              <w:t> </w:t>
            </w:r>
          </w:p>
        </w:tc>
        <w:tc>
          <w:tcPr>
            <w:tcW w:w="1094" w:type="dxa"/>
            <w:tcBorders>
              <w:top w:val="nil"/>
              <w:left w:val="nil"/>
              <w:bottom w:val="single" w:sz="4" w:space="0" w:color="auto"/>
              <w:right w:val="single" w:sz="4" w:space="0" w:color="auto"/>
            </w:tcBorders>
            <w:shd w:val="clear" w:color="000000" w:fill="C0C0C0"/>
            <w:noWrap/>
            <w:vAlign w:val="bottom"/>
            <w:hideMark/>
          </w:tcPr>
          <w:p w:rsidR="008B6473" w:rsidRDefault="008B6473">
            <w:pPr>
              <w:rPr>
                <w:sz w:val="20"/>
                <w:szCs w:val="20"/>
              </w:rPr>
            </w:pPr>
            <w:r>
              <w:rPr>
                <w:sz w:val="20"/>
                <w:szCs w:val="20"/>
              </w:rPr>
              <w:t>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single" w:sz="4" w:space="0" w:color="auto"/>
              <w:bottom w:val="single" w:sz="4" w:space="0" w:color="auto"/>
              <w:right w:val="nil"/>
            </w:tcBorders>
            <w:shd w:val="clear" w:color="000000" w:fill="C0C0C0"/>
            <w:noWrap/>
            <w:vAlign w:val="bottom"/>
            <w:hideMark/>
          </w:tcPr>
          <w:p w:rsidR="008B6473" w:rsidRDefault="008B6473">
            <w:pPr>
              <w:rPr>
                <w:sz w:val="20"/>
                <w:szCs w:val="20"/>
              </w:rPr>
            </w:pPr>
            <w:r>
              <w:rPr>
                <w:sz w:val="20"/>
                <w:szCs w:val="20"/>
              </w:rPr>
              <w:t> </w:t>
            </w:r>
          </w:p>
        </w:tc>
        <w:tc>
          <w:tcPr>
            <w:tcW w:w="933" w:type="dxa"/>
            <w:tcBorders>
              <w:top w:val="nil"/>
              <w:left w:val="nil"/>
              <w:bottom w:val="single" w:sz="4" w:space="0" w:color="auto"/>
              <w:right w:val="nil"/>
            </w:tcBorders>
            <w:shd w:val="clear" w:color="000000" w:fill="C0C0C0"/>
            <w:noWrap/>
            <w:vAlign w:val="bottom"/>
            <w:hideMark/>
          </w:tcPr>
          <w:p w:rsidR="008B6473" w:rsidRDefault="008B6473">
            <w:pPr>
              <w:rPr>
                <w:sz w:val="20"/>
                <w:szCs w:val="20"/>
              </w:rPr>
            </w:pPr>
            <w:r>
              <w:rPr>
                <w:sz w:val="20"/>
                <w:szCs w:val="20"/>
              </w:rPr>
              <w:t> </w:t>
            </w:r>
          </w:p>
        </w:tc>
        <w:tc>
          <w:tcPr>
            <w:tcW w:w="316" w:type="dxa"/>
            <w:tcBorders>
              <w:top w:val="nil"/>
              <w:left w:val="nil"/>
              <w:bottom w:val="single" w:sz="4" w:space="0" w:color="auto"/>
              <w:right w:val="nil"/>
            </w:tcBorders>
            <w:shd w:val="clear" w:color="000000" w:fill="C0C0C0"/>
            <w:noWrap/>
            <w:vAlign w:val="bottom"/>
            <w:hideMark/>
          </w:tcPr>
          <w:p w:rsidR="008B6473" w:rsidRDefault="008B6473">
            <w:pPr>
              <w:rPr>
                <w:sz w:val="20"/>
                <w:szCs w:val="20"/>
              </w:rPr>
            </w:pPr>
            <w:r>
              <w:rPr>
                <w:sz w:val="20"/>
                <w:szCs w:val="20"/>
              </w:rPr>
              <w:t> </w:t>
            </w:r>
          </w:p>
        </w:tc>
        <w:tc>
          <w:tcPr>
            <w:tcW w:w="878" w:type="dxa"/>
            <w:tcBorders>
              <w:top w:val="nil"/>
              <w:left w:val="nil"/>
              <w:bottom w:val="single" w:sz="4" w:space="0" w:color="auto"/>
              <w:right w:val="nil"/>
            </w:tcBorders>
            <w:shd w:val="clear" w:color="000000" w:fill="C0C0C0"/>
            <w:noWrap/>
            <w:vAlign w:val="bottom"/>
            <w:hideMark/>
          </w:tcPr>
          <w:p w:rsidR="008B6473" w:rsidRDefault="008B6473">
            <w:pPr>
              <w:rPr>
                <w:sz w:val="20"/>
                <w:szCs w:val="20"/>
              </w:rPr>
            </w:pPr>
            <w:r>
              <w:rPr>
                <w:sz w:val="20"/>
                <w:szCs w:val="20"/>
              </w:rPr>
              <w:t> </w:t>
            </w:r>
          </w:p>
        </w:tc>
        <w:tc>
          <w:tcPr>
            <w:tcW w:w="1094" w:type="dxa"/>
            <w:tcBorders>
              <w:top w:val="nil"/>
              <w:left w:val="nil"/>
              <w:bottom w:val="single" w:sz="4" w:space="0" w:color="auto"/>
              <w:right w:val="single" w:sz="8" w:space="0" w:color="auto"/>
            </w:tcBorders>
            <w:shd w:val="clear" w:color="000000" w:fill="C0C0C0"/>
            <w:noWrap/>
            <w:vAlign w:val="bottom"/>
            <w:hideMark/>
          </w:tcPr>
          <w:p w:rsidR="008B6473" w:rsidRDefault="008B6473">
            <w:pPr>
              <w:rPr>
                <w:sz w:val="20"/>
                <w:szCs w:val="20"/>
              </w:rPr>
            </w:pPr>
            <w:r>
              <w:rPr>
                <w:sz w:val="20"/>
                <w:szCs w:val="20"/>
              </w:rPr>
              <w:t> </w:t>
            </w:r>
          </w:p>
        </w:tc>
      </w:tr>
      <w:tr w:rsidR="008B6473" w:rsidTr="00DC578E">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390</w:t>
            </w:r>
          </w:p>
        </w:tc>
        <w:tc>
          <w:tcPr>
            <w:tcW w:w="2046" w:type="dxa"/>
            <w:tcBorders>
              <w:top w:val="nil"/>
              <w:left w:val="single" w:sz="8" w:space="0" w:color="auto"/>
              <w:bottom w:val="single" w:sz="4" w:space="0" w:color="auto"/>
              <w:right w:val="single" w:sz="4" w:space="0" w:color="auto"/>
            </w:tcBorders>
            <w:shd w:val="clear" w:color="auto" w:fill="auto"/>
            <w:vAlign w:val="bottom"/>
            <w:hideMark/>
          </w:tcPr>
          <w:p w:rsidR="008B6473" w:rsidRDefault="008B6473">
            <w:pPr>
              <w:rPr>
                <w:sz w:val="20"/>
                <w:szCs w:val="20"/>
              </w:rPr>
            </w:pPr>
            <w:r>
              <w:rPr>
                <w:sz w:val="20"/>
                <w:szCs w:val="20"/>
              </w:rPr>
              <w:t>Leasehold Improvements</w:t>
            </w:r>
          </w:p>
        </w:tc>
        <w:tc>
          <w:tcPr>
            <w:tcW w:w="101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38.0</w:t>
            </w:r>
          </w:p>
        </w:tc>
        <w:tc>
          <w:tcPr>
            <w:tcW w:w="105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2.5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40.0</w:t>
            </w:r>
          </w:p>
        </w:tc>
        <w:tc>
          <w:tcPr>
            <w:tcW w:w="93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19.85%</w:t>
            </w:r>
          </w:p>
        </w:tc>
        <w:tc>
          <w:tcPr>
            <w:tcW w:w="316" w:type="dxa"/>
            <w:tcBorders>
              <w:top w:val="nil"/>
              <w:left w:val="nil"/>
              <w:bottom w:val="single" w:sz="4" w:space="0" w:color="auto"/>
              <w:right w:val="single" w:sz="4" w:space="0" w:color="auto"/>
            </w:tcBorders>
            <w:shd w:val="clear" w:color="auto" w:fill="auto"/>
            <w:noWrap/>
            <w:vAlign w:val="bottom"/>
            <w:hideMark/>
          </w:tcPr>
          <w:p w:rsidR="008B6473" w:rsidRDefault="008B6473">
            <w:pPr>
              <w:jc w:val="center"/>
              <w:rPr>
                <w:sz w:val="20"/>
                <w:szCs w:val="20"/>
              </w:rPr>
            </w:pPr>
            <w:r>
              <w:rPr>
                <w:sz w:val="20"/>
                <w:szCs w:val="20"/>
              </w:rPr>
              <w:t> </w:t>
            </w:r>
          </w:p>
        </w:tc>
        <w:tc>
          <w:tcPr>
            <w:tcW w:w="878"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2.5</w:t>
            </w:r>
          </w:p>
        </w:tc>
      </w:tr>
      <w:tr w:rsidR="008B6473" w:rsidTr="00DC578E">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391.1</w:t>
            </w:r>
          </w:p>
        </w:tc>
        <w:tc>
          <w:tcPr>
            <w:tcW w:w="2046" w:type="dxa"/>
            <w:tcBorders>
              <w:top w:val="nil"/>
              <w:left w:val="single" w:sz="8" w:space="0" w:color="auto"/>
              <w:bottom w:val="single" w:sz="4" w:space="0" w:color="auto"/>
              <w:right w:val="single" w:sz="4" w:space="0" w:color="auto"/>
            </w:tcBorders>
            <w:shd w:val="clear" w:color="auto" w:fill="auto"/>
            <w:vAlign w:val="bottom"/>
            <w:hideMark/>
          </w:tcPr>
          <w:p w:rsidR="008B6473" w:rsidRDefault="008B6473">
            <w:pPr>
              <w:rPr>
                <w:sz w:val="20"/>
                <w:szCs w:val="20"/>
              </w:rPr>
            </w:pPr>
            <w:r>
              <w:rPr>
                <w:sz w:val="20"/>
                <w:szCs w:val="20"/>
              </w:rPr>
              <w:t>Office Furniture</w:t>
            </w:r>
          </w:p>
        </w:tc>
        <w:tc>
          <w:tcPr>
            <w:tcW w:w="101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8.8</w:t>
            </w:r>
          </w:p>
        </w:tc>
        <w:tc>
          <w:tcPr>
            <w:tcW w:w="105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4.0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25.0</w:t>
            </w:r>
          </w:p>
        </w:tc>
        <w:tc>
          <w:tcPr>
            <w:tcW w:w="93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58.08%</w:t>
            </w:r>
          </w:p>
        </w:tc>
        <w:tc>
          <w:tcPr>
            <w:tcW w:w="316" w:type="dxa"/>
            <w:tcBorders>
              <w:top w:val="nil"/>
              <w:left w:val="nil"/>
              <w:bottom w:val="single" w:sz="4" w:space="0" w:color="auto"/>
              <w:right w:val="single" w:sz="4" w:space="0" w:color="auto"/>
            </w:tcBorders>
            <w:shd w:val="clear" w:color="auto" w:fill="auto"/>
            <w:noWrap/>
            <w:vAlign w:val="bottom"/>
            <w:hideMark/>
          </w:tcPr>
          <w:p w:rsidR="008B6473" w:rsidRDefault="008B6473">
            <w:pPr>
              <w:jc w:val="center"/>
              <w:rPr>
                <w:sz w:val="20"/>
                <w:szCs w:val="20"/>
              </w:rPr>
            </w:pPr>
            <w:r>
              <w:rPr>
                <w:sz w:val="20"/>
                <w:szCs w:val="20"/>
              </w:rPr>
              <w:t> </w:t>
            </w:r>
          </w:p>
        </w:tc>
        <w:tc>
          <w:tcPr>
            <w:tcW w:w="878"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4.0</w:t>
            </w:r>
          </w:p>
        </w:tc>
      </w:tr>
      <w:tr w:rsidR="008B6473" w:rsidTr="00DC578E">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391.2</w:t>
            </w:r>
          </w:p>
        </w:tc>
        <w:tc>
          <w:tcPr>
            <w:tcW w:w="2046" w:type="dxa"/>
            <w:tcBorders>
              <w:top w:val="nil"/>
              <w:left w:val="single" w:sz="8" w:space="0" w:color="auto"/>
              <w:bottom w:val="single" w:sz="4" w:space="0" w:color="auto"/>
              <w:right w:val="single" w:sz="4" w:space="0" w:color="auto"/>
            </w:tcBorders>
            <w:shd w:val="clear" w:color="auto" w:fill="auto"/>
            <w:vAlign w:val="bottom"/>
            <w:hideMark/>
          </w:tcPr>
          <w:p w:rsidR="008B6473" w:rsidRDefault="008B6473">
            <w:pPr>
              <w:rPr>
                <w:sz w:val="20"/>
                <w:szCs w:val="20"/>
              </w:rPr>
            </w:pPr>
            <w:r>
              <w:rPr>
                <w:sz w:val="20"/>
                <w:szCs w:val="20"/>
              </w:rPr>
              <w:t>Office Equipment</w:t>
            </w:r>
          </w:p>
        </w:tc>
        <w:tc>
          <w:tcPr>
            <w:tcW w:w="101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5.8</w:t>
            </w:r>
          </w:p>
        </w:tc>
        <w:tc>
          <w:tcPr>
            <w:tcW w:w="105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6.7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15.0</w:t>
            </w:r>
          </w:p>
        </w:tc>
        <w:tc>
          <w:tcPr>
            <w:tcW w:w="93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83.18%</w:t>
            </w:r>
          </w:p>
        </w:tc>
        <w:tc>
          <w:tcPr>
            <w:tcW w:w="316" w:type="dxa"/>
            <w:tcBorders>
              <w:top w:val="nil"/>
              <w:left w:val="nil"/>
              <w:bottom w:val="single" w:sz="4" w:space="0" w:color="auto"/>
              <w:right w:val="single" w:sz="4" w:space="0" w:color="auto"/>
            </w:tcBorders>
            <w:shd w:val="clear" w:color="auto" w:fill="auto"/>
            <w:noWrap/>
            <w:vAlign w:val="bottom"/>
            <w:hideMark/>
          </w:tcPr>
          <w:p w:rsidR="008B6473" w:rsidRDefault="008B6473">
            <w:pPr>
              <w:jc w:val="center"/>
              <w:rPr>
                <w:sz w:val="20"/>
                <w:szCs w:val="20"/>
              </w:rPr>
            </w:pPr>
            <w:r>
              <w:rPr>
                <w:sz w:val="20"/>
                <w:szCs w:val="20"/>
              </w:rPr>
              <w:t> </w:t>
            </w:r>
          </w:p>
        </w:tc>
        <w:tc>
          <w:tcPr>
            <w:tcW w:w="878"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4.4</w:t>
            </w:r>
          </w:p>
        </w:tc>
      </w:tr>
      <w:tr w:rsidR="008B6473" w:rsidTr="00DC578E">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392.1</w:t>
            </w:r>
          </w:p>
        </w:tc>
        <w:tc>
          <w:tcPr>
            <w:tcW w:w="2046" w:type="dxa"/>
            <w:tcBorders>
              <w:top w:val="nil"/>
              <w:left w:val="single" w:sz="8" w:space="0" w:color="auto"/>
              <w:bottom w:val="single" w:sz="4" w:space="0" w:color="auto"/>
              <w:right w:val="single" w:sz="4" w:space="0" w:color="auto"/>
            </w:tcBorders>
            <w:shd w:val="clear" w:color="auto" w:fill="auto"/>
            <w:vAlign w:val="bottom"/>
            <w:hideMark/>
          </w:tcPr>
          <w:p w:rsidR="008B6473" w:rsidRDefault="008B6473">
            <w:pPr>
              <w:rPr>
                <w:sz w:val="20"/>
                <w:szCs w:val="20"/>
              </w:rPr>
            </w:pPr>
            <w:r>
              <w:rPr>
                <w:sz w:val="20"/>
                <w:szCs w:val="20"/>
              </w:rPr>
              <w:t>Transportation - Trucks</w:t>
            </w:r>
          </w:p>
        </w:tc>
        <w:tc>
          <w:tcPr>
            <w:tcW w:w="101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2.7</w:t>
            </w:r>
          </w:p>
        </w:tc>
        <w:tc>
          <w:tcPr>
            <w:tcW w:w="105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15 </w:t>
            </w:r>
          </w:p>
        </w:tc>
        <w:tc>
          <w:tcPr>
            <w:tcW w:w="10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10.6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8.0</w:t>
            </w:r>
          </w:p>
        </w:tc>
        <w:tc>
          <w:tcPr>
            <w:tcW w:w="93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68.73%</w:t>
            </w:r>
          </w:p>
        </w:tc>
        <w:tc>
          <w:tcPr>
            <w:tcW w:w="316" w:type="dxa"/>
            <w:tcBorders>
              <w:top w:val="nil"/>
              <w:left w:val="nil"/>
              <w:bottom w:val="single" w:sz="4" w:space="0" w:color="auto"/>
              <w:right w:val="single" w:sz="4" w:space="0" w:color="auto"/>
            </w:tcBorders>
            <w:shd w:val="clear" w:color="auto" w:fill="auto"/>
            <w:noWrap/>
            <w:vAlign w:val="bottom"/>
            <w:hideMark/>
          </w:tcPr>
          <w:p w:rsidR="008B6473" w:rsidRDefault="008B6473">
            <w:pPr>
              <w:jc w:val="center"/>
              <w:rPr>
                <w:sz w:val="20"/>
                <w:szCs w:val="20"/>
              </w:rPr>
            </w:pPr>
            <w:r>
              <w:rPr>
                <w:sz w:val="20"/>
                <w:szCs w:val="20"/>
              </w:rPr>
              <w:t> </w:t>
            </w:r>
          </w:p>
        </w:tc>
        <w:tc>
          <w:tcPr>
            <w:tcW w:w="878"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15 </w:t>
            </w:r>
          </w:p>
        </w:tc>
        <w:tc>
          <w:tcPr>
            <w:tcW w:w="1094"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9.0</w:t>
            </w:r>
          </w:p>
        </w:tc>
      </w:tr>
      <w:tr w:rsidR="008B6473" w:rsidTr="00DC578E">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394</w:t>
            </w:r>
          </w:p>
        </w:tc>
        <w:tc>
          <w:tcPr>
            <w:tcW w:w="2046" w:type="dxa"/>
            <w:tcBorders>
              <w:top w:val="nil"/>
              <w:left w:val="single" w:sz="8" w:space="0" w:color="auto"/>
              <w:bottom w:val="single" w:sz="4" w:space="0" w:color="auto"/>
              <w:right w:val="single" w:sz="4" w:space="0" w:color="auto"/>
            </w:tcBorders>
            <w:shd w:val="clear" w:color="auto" w:fill="auto"/>
            <w:vAlign w:val="bottom"/>
            <w:hideMark/>
          </w:tcPr>
          <w:p w:rsidR="008B6473" w:rsidRDefault="008B6473">
            <w:pPr>
              <w:rPr>
                <w:sz w:val="20"/>
                <w:szCs w:val="20"/>
              </w:rPr>
            </w:pPr>
            <w:r>
              <w:rPr>
                <w:sz w:val="20"/>
                <w:szCs w:val="20"/>
              </w:rPr>
              <w:t>Tools, Shop &amp; Garage Equipment</w:t>
            </w:r>
          </w:p>
        </w:tc>
        <w:tc>
          <w:tcPr>
            <w:tcW w:w="101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10.3</w:t>
            </w:r>
          </w:p>
        </w:tc>
        <w:tc>
          <w:tcPr>
            <w:tcW w:w="105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6.7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15.0</w:t>
            </w:r>
          </w:p>
        </w:tc>
        <w:tc>
          <w:tcPr>
            <w:tcW w:w="93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63.15%</w:t>
            </w:r>
          </w:p>
        </w:tc>
        <w:tc>
          <w:tcPr>
            <w:tcW w:w="316" w:type="dxa"/>
            <w:tcBorders>
              <w:top w:val="nil"/>
              <w:left w:val="nil"/>
              <w:bottom w:val="single" w:sz="4" w:space="0" w:color="auto"/>
              <w:right w:val="single" w:sz="4" w:space="0" w:color="auto"/>
            </w:tcBorders>
            <w:shd w:val="clear" w:color="auto" w:fill="auto"/>
            <w:noWrap/>
            <w:vAlign w:val="bottom"/>
            <w:hideMark/>
          </w:tcPr>
          <w:p w:rsidR="008B6473" w:rsidRDefault="008B6473">
            <w:pPr>
              <w:jc w:val="center"/>
              <w:rPr>
                <w:sz w:val="20"/>
                <w:szCs w:val="20"/>
              </w:rPr>
            </w:pPr>
            <w:r>
              <w:rPr>
                <w:sz w:val="20"/>
                <w:szCs w:val="20"/>
              </w:rPr>
              <w:t>*</w:t>
            </w:r>
          </w:p>
        </w:tc>
        <w:tc>
          <w:tcPr>
            <w:tcW w:w="878"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6.7</w:t>
            </w:r>
          </w:p>
        </w:tc>
      </w:tr>
      <w:tr w:rsidR="008B6473" w:rsidTr="00DC578E">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396</w:t>
            </w:r>
          </w:p>
        </w:tc>
        <w:tc>
          <w:tcPr>
            <w:tcW w:w="2046" w:type="dxa"/>
            <w:tcBorders>
              <w:top w:val="nil"/>
              <w:left w:val="single" w:sz="8" w:space="0" w:color="auto"/>
              <w:bottom w:val="single" w:sz="4" w:space="0" w:color="auto"/>
              <w:right w:val="single" w:sz="4" w:space="0" w:color="auto"/>
            </w:tcBorders>
            <w:shd w:val="clear" w:color="auto" w:fill="auto"/>
            <w:vAlign w:val="bottom"/>
            <w:hideMark/>
          </w:tcPr>
          <w:p w:rsidR="008B6473" w:rsidRDefault="008B6473">
            <w:pPr>
              <w:rPr>
                <w:sz w:val="20"/>
                <w:szCs w:val="20"/>
              </w:rPr>
            </w:pPr>
            <w:r>
              <w:rPr>
                <w:sz w:val="20"/>
                <w:szCs w:val="20"/>
              </w:rPr>
              <w:t>Power Operated Equipment</w:t>
            </w:r>
          </w:p>
        </w:tc>
        <w:tc>
          <w:tcPr>
            <w:tcW w:w="101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5.4</w:t>
            </w:r>
          </w:p>
        </w:tc>
        <w:tc>
          <w:tcPr>
            <w:tcW w:w="105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6.7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15.0</w:t>
            </w:r>
          </w:p>
        </w:tc>
        <w:tc>
          <w:tcPr>
            <w:tcW w:w="933"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48.99%</w:t>
            </w:r>
          </w:p>
        </w:tc>
        <w:tc>
          <w:tcPr>
            <w:tcW w:w="316" w:type="dxa"/>
            <w:tcBorders>
              <w:top w:val="nil"/>
              <w:left w:val="nil"/>
              <w:bottom w:val="single" w:sz="4" w:space="0" w:color="auto"/>
              <w:right w:val="single" w:sz="4" w:space="0" w:color="auto"/>
            </w:tcBorders>
            <w:shd w:val="clear" w:color="auto" w:fill="auto"/>
            <w:noWrap/>
            <w:vAlign w:val="bottom"/>
            <w:hideMark/>
          </w:tcPr>
          <w:p w:rsidR="008B6473" w:rsidRDefault="008B6473">
            <w:pPr>
              <w:jc w:val="center"/>
              <w:rPr>
                <w:sz w:val="20"/>
                <w:szCs w:val="20"/>
              </w:rPr>
            </w:pPr>
            <w:r>
              <w:rPr>
                <w:sz w:val="20"/>
                <w:szCs w:val="20"/>
              </w:rPr>
              <w:t> </w:t>
            </w:r>
          </w:p>
        </w:tc>
        <w:tc>
          <w:tcPr>
            <w:tcW w:w="878"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5.9</w:t>
            </w:r>
          </w:p>
        </w:tc>
      </w:tr>
      <w:tr w:rsidR="008B6473" w:rsidTr="00DC578E">
        <w:trPr>
          <w:trHeight w:val="300"/>
          <w:jc w:val="center"/>
        </w:trPr>
        <w:tc>
          <w:tcPr>
            <w:tcW w:w="894" w:type="dxa"/>
            <w:tcBorders>
              <w:top w:val="nil"/>
              <w:left w:val="single" w:sz="8" w:space="0" w:color="auto"/>
              <w:bottom w:val="single" w:sz="8" w:space="0" w:color="auto"/>
              <w:right w:val="single" w:sz="4" w:space="0" w:color="auto"/>
            </w:tcBorders>
            <w:shd w:val="clear" w:color="auto" w:fill="auto"/>
            <w:noWrap/>
            <w:vAlign w:val="bottom"/>
            <w:hideMark/>
          </w:tcPr>
          <w:p w:rsidR="008B6473" w:rsidRDefault="008B6473">
            <w:pPr>
              <w:rPr>
                <w:sz w:val="20"/>
                <w:szCs w:val="20"/>
              </w:rPr>
            </w:pPr>
            <w:r>
              <w:rPr>
                <w:sz w:val="20"/>
                <w:szCs w:val="20"/>
              </w:rPr>
              <w:t>397</w:t>
            </w:r>
          </w:p>
        </w:tc>
        <w:tc>
          <w:tcPr>
            <w:tcW w:w="2046" w:type="dxa"/>
            <w:tcBorders>
              <w:top w:val="nil"/>
              <w:left w:val="single" w:sz="8" w:space="0" w:color="auto"/>
              <w:bottom w:val="single" w:sz="8" w:space="0" w:color="auto"/>
              <w:right w:val="single" w:sz="4" w:space="0" w:color="auto"/>
            </w:tcBorders>
            <w:shd w:val="clear" w:color="auto" w:fill="auto"/>
            <w:vAlign w:val="bottom"/>
            <w:hideMark/>
          </w:tcPr>
          <w:p w:rsidR="008B6473" w:rsidRDefault="008B6473">
            <w:pPr>
              <w:rPr>
                <w:sz w:val="20"/>
                <w:szCs w:val="20"/>
              </w:rPr>
            </w:pPr>
            <w:r>
              <w:rPr>
                <w:sz w:val="20"/>
                <w:szCs w:val="20"/>
              </w:rPr>
              <w:t>Communication Equipment</w:t>
            </w:r>
          </w:p>
        </w:tc>
        <w:tc>
          <w:tcPr>
            <w:tcW w:w="1013" w:type="dxa"/>
            <w:tcBorders>
              <w:top w:val="nil"/>
              <w:left w:val="nil"/>
              <w:bottom w:val="single" w:sz="8"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5.0</w:t>
            </w:r>
          </w:p>
        </w:tc>
        <w:tc>
          <w:tcPr>
            <w:tcW w:w="1057" w:type="dxa"/>
            <w:tcBorders>
              <w:top w:val="nil"/>
              <w:left w:val="nil"/>
              <w:bottom w:val="single" w:sz="8"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c>
          <w:tcPr>
            <w:tcW w:w="1094" w:type="dxa"/>
            <w:tcBorders>
              <w:top w:val="nil"/>
              <w:left w:val="nil"/>
              <w:bottom w:val="single" w:sz="8"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5.6 </w:t>
            </w:r>
          </w:p>
        </w:tc>
        <w:tc>
          <w:tcPr>
            <w:tcW w:w="266" w:type="dxa"/>
            <w:tcBorders>
              <w:top w:val="nil"/>
              <w:left w:val="nil"/>
              <w:bottom w:val="single" w:sz="8" w:space="0" w:color="auto"/>
              <w:right w:val="nil"/>
            </w:tcBorders>
            <w:shd w:val="clear" w:color="000000" w:fill="C0C0C0"/>
            <w:noWrap/>
            <w:vAlign w:val="bottom"/>
            <w:hideMark/>
          </w:tcPr>
          <w:p w:rsidR="008B6473" w:rsidRDefault="008B6473">
            <w:pPr>
              <w:rPr>
                <w:sz w:val="20"/>
                <w:szCs w:val="20"/>
              </w:rPr>
            </w:pPr>
            <w:r>
              <w:rPr>
                <w:sz w:val="20"/>
                <w:szCs w:val="20"/>
              </w:rPr>
              <w:t> </w:t>
            </w:r>
          </w:p>
        </w:tc>
        <w:tc>
          <w:tcPr>
            <w:tcW w:w="1013" w:type="dxa"/>
            <w:tcBorders>
              <w:top w:val="nil"/>
              <w:left w:val="single" w:sz="4" w:space="0" w:color="auto"/>
              <w:bottom w:val="single" w:sz="8"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18.0</w:t>
            </w:r>
          </w:p>
        </w:tc>
        <w:tc>
          <w:tcPr>
            <w:tcW w:w="933" w:type="dxa"/>
            <w:tcBorders>
              <w:top w:val="nil"/>
              <w:left w:val="nil"/>
              <w:bottom w:val="single" w:sz="8"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13.63%</w:t>
            </w:r>
          </w:p>
        </w:tc>
        <w:tc>
          <w:tcPr>
            <w:tcW w:w="316" w:type="dxa"/>
            <w:tcBorders>
              <w:top w:val="nil"/>
              <w:left w:val="nil"/>
              <w:bottom w:val="single" w:sz="8" w:space="0" w:color="auto"/>
              <w:right w:val="single" w:sz="4" w:space="0" w:color="auto"/>
            </w:tcBorders>
            <w:shd w:val="clear" w:color="auto" w:fill="auto"/>
            <w:noWrap/>
            <w:vAlign w:val="bottom"/>
            <w:hideMark/>
          </w:tcPr>
          <w:p w:rsidR="008B6473" w:rsidRDefault="008B6473">
            <w:pPr>
              <w:jc w:val="center"/>
              <w:rPr>
                <w:sz w:val="20"/>
                <w:szCs w:val="20"/>
              </w:rPr>
            </w:pPr>
            <w:r>
              <w:rPr>
                <w:sz w:val="20"/>
                <w:szCs w:val="20"/>
              </w:rPr>
              <w:t> </w:t>
            </w:r>
          </w:p>
        </w:tc>
        <w:tc>
          <w:tcPr>
            <w:tcW w:w="878" w:type="dxa"/>
            <w:tcBorders>
              <w:top w:val="nil"/>
              <w:left w:val="nil"/>
              <w:bottom w:val="single" w:sz="8"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c>
          <w:tcPr>
            <w:tcW w:w="1094" w:type="dxa"/>
            <w:tcBorders>
              <w:top w:val="nil"/>
              <w:left w:val="nil"/>
              <w:bottom w:val="single" w:sz="8"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5.6</w:t>
            </w:r>
          </w:p>
        </w:tc>
      </w:tr>
      <w:tr w:rsidR="008B6473" w:rsidTr="00DC578E">
        <w:trPr>
          <w:trHeight w:hRule="exact" w:val="288"/>
          <w:jc w:val="center"/>
        </w:trPr>
        <w:tc>
          <w:tcPr>
            <w:tcW w:w="3953" w:type="dxa"/>
            <w:gridSpan w:val="3"/>
            <w:tcBorders>
              <w:top w:val="nil"/>
              <w:left w:val="nil"/>
              <w:bottom w:val="nil"/>
              <w:right w:val="nil"/>
            </w:tcBorders>
            <w:shd w:val="clear" w:color="000000" w:fill="FFFFFF"/>
            <w:noWrap/>
            <w:vAlign w:val="bottom"/>
            <w:hideMark/>
          </w:tcPr>
          <w:p w:rsidR="008B6473" w:rsidRDefault="008B6473">
            <w:pPr>
              <w:rPr>
                <w:sz w:val="20"/>
                <w:szCs w:val="20"/>
              </w:rPr>
            </w:pPr>
            <w:r>
              <w:rPr>
                <w:rFonts w:ascii="Calibri" w:hAnsi="Calibri"/>
                <w:sz w:val="20"/>
                <w:szCs w:val="20"/>
              </w:rPr>
              <w:t>¹</w:t>
            </w:r>
            <w:r>
              <w:rPr>
                <w:sz w:val="20"/>
                <w:szCs w:val="20"/>
              </w:rPr>
              <w:t xml:space="preserve"> Order No. PSC-12-0043-PAA-GU.</w:t>
            </w:r>
          </w:p>
          <w:p w:rsidR="008B6473" w:rsidRDefault="008B6473">
            <w:pPr>
              <w:rPr>
                <w:sz w:val="20"/>
                <w:szCs w:val="20"/>
              </w:rPr>
            </w:pPr>
            <w:r>
              <w:rPr>
                <w:sz w:val="20"/>
                <w:szCs w:val="20"/>
              </w:rPr>
              <w:t> </w:t>
            </w:r>
          </w:p>
        </w:tc>
        <w:tc>
          <w:tcPr>
            <w:tcW w:w="1057" w:type="dxa"/>
            <w:tcBorders>
              <w:top w:val="nil"/>
              <w:left w:val="nil"/>
              <w:bottom w:val="nil"/>
              <w:right w:val="nil"/>
            </w:tcBorders>
            <w:shd w:val="clear" w:color="000000" w:fill="FFFFFF"/>
            <w:noWrap/>
            <w:vAlign w:val="bottom"/>
            <w:hideMark/>
          </w:tcPr>
          <w:p w:rsidR="008B6473" w:rsidRDefault="008B6473">
            <w:pPr>
              <w:rPr>
                <w:sz w:val="20"/>
                <w:szCs w:val="20"/>
              </w:rPr>
            </w:pPr>
            <w:r>
              <w:rPr>
                <w:sz w:val="20"/>
                <w:szCs w:val="20"/>
              </w:rPr>
              <w:t> </w:t>
            </w:r>
          </w:p>
        </w:tc>
        <w:tc>
          <w:tcPr>
            <w:tcW w:w="1094" w:type="dxa"/>
            <w:tcBorders>
              <w:top w:val="nil"/>
              <w:left w:val="nil"/>
              <w:bottom w:val="nil"/>
              <w:right w:val="nil"/>
            </w:tcBorders>
            <w:shd w:val="clear" w:color="000000" w:fill="FFFFFF"/>
            <w:noWrap/>
            <w:vAlign w:val="bottom"/>
            <w:hideMark/>
          </w:tcPr>
          <w:p w:rsidR="008B6473" w:rsidRDefault="008B6473">
            <w:pPr>
              <w:rPr>
                <w:sz w:val="20"/>
                <w:szCs w:val="20"/>
              </w:rPr>
            </w:pPr>
            <w:r>
              <w:rPr>
                <w:sz w:val="20"/>
                <w:szCs w:val="20"/>
              </w:rPr>
              <w:t> </w:t>
            </w:r>
          </w:p>
        </w:tc>
        <w:tc>
          <w:tcPr>
            <w:tcW w:w="266" w:type="dxa"/>
            <w:tcBorders>
              <w:top w:val="nil"/>
              <w:left w:val="nil"/>
              <w:bottom w:val="nil"/>
              <w:right w:val="nil"/>
            </w:tcBorders>
            <w:shd w:val="clear" w:color="000000" w:fill="FFFFFF"/>
            <w:noWrap/>
            <w:vAlign w:val="bottom"/>
            <w:hideMark/>
          </w:tcPr>
          <w:p w:rsidR="008B6473" w:rsidRDefault="008B6473">
            <w:pPr>
              <w:rPr>
                <w:sz w:val="20"/>
                <w:szCs w:val="20"/>
              </w:rPr>
            </w:pPr>
            <w:r>
              <w:rPr>
                <w:sz w:val="20"/>
                <w:szCs w:val="20"/>
              </w:rPr>
              <w:t> </w:t>
            </w:r>
          </w:p>
        </w:tc>
        <w:tc>
          <w:tcPr>
            <w:tcW w:w="1013" w:type="dxa"/>
            <w:tcBorders>
              <w:top w:val="nil"/>
              <w:left w:val="nil"/>
              <w:bottom w:val="nil"/>
              <w:right w:val="nil"/>
            </w:tcBorders>
            <w:shd w:val="clear" w:color="000000" w:fill="FFFFFF"/>
            <w:noWrap/>
            <w:vAlign w:val="bottom"/>
            <w:hideMark/>
          </w:tcPr>
          <w:p w:rsidR="008B6473" w:rsidRDefault="008B6473">
            <w:pPr>
              <w:rPr>
                <w:sz w:val="20"/>
                <w:szCs w:val="20"/>
              </w:rPr>
            </w:pPr>
            <w:r>
              <w:rPr>
                <w:sz w:val="20"/>
                <w:szCs w:val="20"/>
              </w:rPr>
              <w:t> </w:t>
            </w:r>
          </w:p>
        </w:tc>
        <w:tc>
          <w:tcPr>
            <w:tcW w:w="933" w:type="dxa"/>
            <w:tcBorders>
              <w:top w:val="nil"/>
              <w:left w:val="nil"/>
              <w:bottom w:val="nil"/>
              <w:right w:val="nil"/>
            </w:tcBorders>
            <w:shd w:val="clear" w:color="000000" w:fill="FFFFFF"/>
            <w:noWrap/>
            <w:vAlign w:val="bottom"/>
            <w:hideMark/>
          </w:tcPr>
          <w:p w:rsidR="008B6473" w:rsidRDefault="008B6473">
            <w:pPr>
              <w:rPr>
                <w:sz w:val="20"/>
                <w:szCs w:val="20"/>
              </w:rPr>
            </w:pPr>
            <w:r>
              <w:rPr>
                <w:sz w:val="20"/>
                <w:szCs w:val="20"/>
              </w:rPr>
              <w:t> </w:t>
            </w:r>
          </w:p>
        </w:tc>
        <w:tc>
          <w:tcPr>
            <w:tcW w:w="316" w:type="dxa"/>
            <w:tcBorders>
              <w:top w:val="nil"/>
              <w:left w:val="nil"/>
              <w:bottom w:val="nil"/>
              <w:right w:val="nil"/>
            </w:tcBorders>
            <w:shd w:val="clear" w:color="000000" w:fill="FFFFFF"/>
            <w:noWrap/>
            <w:vAlign w:val="bottom"/>
            <w:hideMark/>
          </w:tcPr>
          <w:p w:rsidR="008B6473" w:rsidRDefault="008B6473">
            <w:pPr>
              <w:rPr>
                <w:sz w:val="20"/>
                <w:szCs w:val="20"/>
              </w:rPr>
            </w:pPr>
            <w:r>
              <w:rPr>
                <w:sz w:val="20"/>
                <w:szCs w:val="20"/>
              </w:rPr>
              <w:t> </w:t>
            </w:r>
          </w:p>
        </w:tc>
        <w:tc>
          <w:tcPr>
            <w:tcW w:w="878" w:type="dxa"/>
            <w:tcBorders>
              <w:top w:val="nil"/>
              <w:left w:val="nil"/>
              <w:bottom w:val="nil"/>
              <w:right w:val="nil"/>
            </w:tcBorders>
            <w:shd w:val="clear" w:color="000000" w:fill="FFFFFF"/>
            <w:noWrap/>
            <w:vAlign w:val="bottom"/>
            <w:hideMark/>
          </w:tcPr>
          <w:p w:rsidR="008B6473" w:rsidRDefault="008B6473">
            <w:pPr>
              <w:rPr>
                <w:sz w:val="20"/>
                <w:szCs w:val="20"/>
              </w:rPr>
            </w:pPr>
            <w:r>
              <w:rPr>
                <w:sz w:val="20"/>
                <w:szCs w:val="20"/>
              </w:rPr>
              <w:t> </w:t>
            </w:r>
          </w:p>
        </w:tc>
        <w:tc>
          <w:tcPr>
            <w:tcW w:w="1094" w:type="dxa"/>
            <w:tcBorders>
              <w:top w:val="nil"/>
              <w:left w:val="nil"/>
              <w:bottom w:val="nil"/>
              <w:right w:val="nil"/>
            </w:tcBorders>
            <w:shd w:val="clear" w:color="000000" w:fill="FFFFFF"/>
            <w:noWrap/>
            <w:vAlign w:val="bottom"/>
            <w:hideMark/>
          </w:tcPr>
          <w:p w:rsidR="008B6473" w:rsidRDefault="008B6473">
            <w:pPr>
              <w:rPr>
                <w:sz w:val="20"/>
                <w:szCs w:val="20"/>
              </w:rPr>
            </w:pPr>
            <w:r>
              <w:rPr>
                <w:sz w:val="20"/>
                <w:szCs w:val="20"/>
              </w:rPr>
              <w:t> </w:t>
            </w:r>
          </w:p>
        </w:tc>
      </w:tr>
      <w:tr w:rsidR="00DC578E" w:rsidTr="00DC578E">
        <w:trPr>
          <w:trHeight w:hRule="exact" w:val="288"/>
          <w:jc w:val="center"/>
        </w:trPr>
        <w:tc>
          <w:tcPr>
            <w:tcW w:w="5010" w:type="dxa"/>
            <w:gridSpan w:val="4"/>
            <w:tcBorders>
              <w:top w:val="nil"/>
              <w:left w:val="nil"/>
              <w:bottom w:val="nil"/>
              <w:right w:val="nil"/>
            </w:tcBorders>
            <w:shd w:val="clear" w:color="000000" w:fill="FFFFFF"/>
            <w:noWrap/>
            <w:vAlign w:val="bottom"/>
            <w:hideMark/>
          </w:tcPr>
          <w:p w:rsidR="00DC578E" w:rsidRDefault="00DC578E">
            <w:pPr>
              <w:rPr>
                <w:sz w:val="20"/>
                <w:szCs w:val="20"/>
              </w:rPr>
            </w:pPr>
            <w:r>
              <w:rPr>
                <w:sz w:val="20"/>
                <w:szCs w:val="20"/>
              </w:rPr>
              <w:t>*Denotes a Reserve Transfer; see Table 3-1.</w:t>
            </w:r>
          </w:p>
          <w:p w:rsidR="00DC578E" w:rsidRDefault="00DC578E">
            <w:pPr>
              <w:rPr>
                <w:sz w:val="20"/>
                <w:szCs w:val="20"/>
              </w:rPr>
            </w:pPr>
            <w:r>
              <w:rPr>
                <w:sz w:val="20"/>
                <w:szCs w:val="20"/>
              </w:rPr>
              <w:t> </w:t>
            </w:r>
          </w:p>
          <w:p w:rsidR="00DC578E" w:rsidRDefault="00DC578E">
            <w:pPr>
              <w:rPr>
                <w:sz w:val="20"/>
                <w:szCs w:val="20"/>
              </w:rPr>
            </w:pPr>
            <w:r>
              <w:rPr>
                <w:sz w:val="20"/>
                <w:szCs w:val="20"/>
              </w:rPr>
              <w:t> </w:t>
            </w:r>
          </w:p>
        </w:tc>
        <w:tc>
          <w:tcPr>
            <w:tcW w:w="1094" w:type="dxa"/>
            <w:tcBorders>
              <w:top w:val="nil"/>
              <w:left w:val="nil"/>
              <w:bottom w:val="nil"/>
              <w:right w:val="nil"/>
            </w:tcBorders>
            <w:shd w:val="clear" w:color="000000" w:fill="FFFFFF"/>
            <w:noWrap/>
            <w:vAlign w:val="bottom"/>
            <w:hideMark/>
          </w:tcPr>
          <w:p w:rsidR="00DC578E" w:rsidRDefault="00DC578E">
            <w:pPr>
              <w:rPr>
                <w:sz w:val="20"/>
                <w:szCs w:val="20"/>
              </w:rPr>
            </w:pPr>
            <w:r>
              <w:rPr>
                <w:sz w:val="20"/>
                <w:szCs w:val="20"/>
              </w:rPr>
              <w:t> </w:t>
            </w:r>
          </w:p>
        </w:tc>
        <w:tc>
          <w:tcPr>
            <w:tcW w:w="266" w:type="dxa"/>
            <w:tcBorders>
              <w:top w:val="nil"/>
              <w:left w:val="nil"/>
              <w:bottom w:val="nil"/>
              <w:right w:val="nil"/>
            </w:tcBorders>
            <w:shd w:val="clear" w:color="000000" w:fill="FFFFFF"/>
            <w:noWrap/>
            <w:vAlign w:val="bottom"/>
            <w:hideMark/>
          </w:tcPr>
          <w:p w:rsidR="00DC578E" w:rsidRDefault="00DC578E">
            <w:pPr>
              <w:rPr>
                <w:sz w:val="20"/>
                <w:szCs w:val="20"/>
              </w:rPr>
            </w:pPr>
            <w:r>
              <w:rPr>
                <w:sz w:val="20"/>
                <w:szCs w:val="20"/>
              </w:rPr>
              <w:t> </w:t>
            </w:r>
          </w:p>
        </w:tc>
        <w:tc>
          <w:tcPr>
            <w:tcW w:w="1013" w:type="dxa"/>
            <w:tcBorders>
              <w:top w:val="nil"/>
              <w:left w:val="nil"/>
              <w:bottom w:val="nil"/>
              <w:right w:val="nil"/>
            </w:tcBorders>
            <w:shd w:val="clear" w:color="000000" w:fill="FFFFFF"/>
            <w:noWrap/>
            <w:vAlign w:val="bottom"/>
            <w:hideMark/>
          </w:tcPr>
          <w:p w:rsidR="00DC578E" w:rsidRDefault="00DC578E">
            <w:pPr>
              <w:rPr>
                <w:sz w:val="20"/>
                <w:szCs w:val="20"/>
              </w:rPr>
            </w:pPr>
            <w:r>
              <w:rPr>
                <w:sz w:val="20"/>
                <w:szCs w:val="20"/>
              </w:rPr>
              <w:t> </w:t>
            </w:r>
          </w:p>
        </w:tc>
        <w:tc>
          <w:tcPr>
            <w:tcW w:w="933" w:type="dxa"/>
            <w:tcBorders>
              <w:top w:val="nil"/>
              <w:left w:val="nil"/>
              <w:bottom w:val="nil"/>
              <w:right w:val="nil"/>
            </w:tcBorders>
            <w:shd w:val="clear" w:color="000000" w:fill="FFFFFF"/>
            <w:noWrap/>
            <w:vAlign w:val="bottom"/>
            <w:hideMark/>
          </w:tcPr>
          <w:p w:rsidR="00DC578E" w:rsidRDefault="00DC578E">
            <w:pPr>
              <w:rPr>
                <w:sz w:val="20"/>
                <w:szCs w:val="20"/>
              </w:rPr>
            </w:pPr>
            <w:r>
              <w:rPr>
                <w:sz w:val="20"/>
                <w:szCs w:val="20"/>
              </w:rPr>
              <w:t> </w:t>
            </w:r>
          </w:p>
        </w:tc>
        <w:tc>
          <w:tcPr>
            <w:tcW w:w="316" w:type="dxa"/>
            <w:tcBorders>
              <w:top w:val="nil"/>
              <w:left w:val="nil"/>
              <w:bottom w:val="nil"/>
              <w:right w:val="nil"/>
            </w:tcBorders>
            <w:shd w:val="clear" w:color="000000" w:fill="FFFFFF"/>
            <w:noWrap/>
            <w:vAlign w:val="bottom"/>
            <w:hideMark/>
          </w:tcPr>
          <w:p w:rsidR="00DC578E" w:rsidRDefault="00DC578E">
            <w:pPr>
              <w:rPr>
                <w:sz w:val="20"/>
                <w:szCs w:val="20"/>
              </w:rPr>
            </w:pPr>
            <w:r>
              <w:rPr>
                <w:sz w:val="20"/>
                <w:szCs w:val="20"/>
              </w:rPr>
              <w:t> </w:t>
            </w:r>
          </w:p>
        </w:tc>
        <w:tc>
          <w:tcPr>
            <w:tcW w:w="878" w:type="dxa"/>
            <w:tcBorders>
              <w:top w:val="nil"/>
              <w:left w:val="nil"/>
              <w:bottom w:val="nil"/>
              <w:right w:val="nil"/>
            </w:tcBorders>
            <w:shd w:val="clear" w:color="000000" w:fill="FFFFFF"/>
            <w:noWrap/>
            <w:vAlign w:val="bottom"/>
            <w:hideMark/>
          </w:tcPr>
          <w:p w:rsidR="00DC578E" w:rsidRDefault="00DC578E">
            <w:pPr>
              <w:rPr>
                <w:sz w:val="20"/>
                <w:szCs w:val="20"/>
              </w:rPr>
            </w:pPr>
            <w:r>
              <w:rPr>
                <w:sz w:val="20"/>
                <w:szCs w:val="20"/>
              </w:rPr>
              <w:t> </w:t>
            </w:r>
          </w:p>
        </w:tc>
        <w:tc>
          <w:tcPr>
            <w:tcW w:w="1094" w:type="dxa"/>
            <w:tcBorders>
              <w:top w:val="nil"/>
              <w:left w:val="nil"/>
              <w:bottom w:val="nil"/>
              <w:right w:val="nil"/>
            </w:tcBorders>
            <w:shd w:val="clear" w:color="000000" w:fill="FFFFFF"/>
            <w:noWrap/>
            <w:vAlign w:val="bottom"/>
            <w:hideMark/>
          </w:tcPr>
          <w:p w:rsidR="00DC578E" w:rsidRDefault="00DC578E">
            <w:pPr>
              <w:rPr>
                <w:sz w:val="20"/>
                <w:szCs w:val="20"/>
              </w:rPr>
            </w:pPr>
            <w:r>
              <w:rPr>
                <w:sz w:val="20"/>
                <w:szCs w:val="20"/>
              </w:rPr>
              <w:t> </w:t>
            </w:r>
          </w:p>
        </w:tc>
      </w:tr>
    </w:tbl>
    <w:p w:rsidR="00302718" w:rsidRDefault="00302718" w:rsidP="008B6473">
      <w:pPr>
        <w:tabs>
          <w:tab w:val="left" w:pos="720"/>
        </w:tabs>
      </w:pPr>
    </w:p>
    <w:p w:rsidR="00302718" w:rsidRDefault="00302718" w:rsidP="006D610C">
      <w:pPr>
        <w:tabs>
          <w:tab w:val="left" w:pos="5400"/>
          <w:tab w:val="left" w:pos="5490"/>
          <w:tab w:val="left" w:pos="5670"/>
        </w:tabs>
      </w:pPr>
      <w:r>
        <w:br w:type="page"/>
      </w:r>
    </w:p>
    <w:tbl>
      <w:tblPr>
        <w:tblW w:w="10116" w:type="dxa"/>
        <w:jc w:val="center"/>
        <w:tblLook w:val="04A0" w:firstRow="1" w:lastRow="0" w:firstColumn="1" w:lastColumn="0" w:noHBand="0" w:noVBand="1"/>
      </w:tblPr>
      <w:tblGrid>
        <w:gridCol w:w="894"/>
        <w:gridCol w:w="3443"/>
        <w:gridCol w:w="1327"/>
        <w:gridCol w:w="894"/>
        <w:gridCol w:w="266"/>
        <w:gridCol w:w="1327"/>
        <w:gridCol w:w="894"/>
        <w:gridCol w:w="1071"/>
      </w:tblGrid>
      <w:tr w:rsidR="008B6473" w:rsidTr="006D610C">
        <w:trPr>
          <w:trHeight w:val="276"/>
          <w:jc w:val="center"/>
        </w:trPr>
        <w:tc>
          <w:tcPr>
            <w:tcW w:w="10116" w:type="dxa"/>
            <w:gridSpan w:val="8"/>
            <w:tcBorders>
              <w:top w:val="nil"/>
              <w:left w:val="nil"/>
              <w:bottom w:val="single" w:sz="8" w:space="0" w:color="auto"/>
              <w:right w:val="nil"/>
            </w:tcBorders>
            <w:shd w:val="clear" w:color="000000" w:fill="FFFFFF"/>
            <w:noWrap/>
            <w:vAlign w:val="bottom"/>
            <w:hideMark/>
          </w:tcPr>
          <w:p w:rsidR="008B6473" w:rsidRDefault="008B6473">
            <w:pPr>
              <w:jc w:val="right"/>
              <w:rPr>
                <w:sz w:val="20"/>
                <w:szCs w:val="20"/>
              </w:rPr>
            </w:pPr>
            <w:r>
              <w:rPr>
                <w:sz w:val="20"/>
                <w:szCs w:val="20"/>
              </w:rPr>
              <w:lastRenderedPageBreak/>
              <w:t>Attachment B</w:t>
            </w:r>
          </w:p>
        </w:tc>
      </w:tr>
      <w:tr w:rsidR="008B6473" w:rsidTr="006D610C">
        <w:trPr>
          <w:trHeight w:val="264"/>
          <w:jc w:val="center"/>
        </w:trPr>
        <w:tc>
          <w:tcPr>
            <w:tcW w:w="10116" w:type="dxa"/>
            <w:gridSpan w:val="8"/>
            <w:tcBorders>
              <w:top w:val="single" w:sz="8" w:space="0" w:color="auto"/>
              <w:left w:val="single" w:sz="8" w:space="0" w:color="auto"/>
              <w:bottom w:val="nil"/>
              <w:right w:val="single" w:sz="8" w:space="0" w:color="000000"/>
            </w:tcBorders>
            <w:shd w:val="clear" w:color="000000" w:fill="C0C0C0"/>
            <w:noWrap/>
            <w:vAlign w:val="bottom"/>
            <w:hideMark/>
          </w:tcPr>
          <w:p w:rsidR="008B6473" w:rsidRDefault="008B6473">
            <w:pPr>
              <w:jc w:val="center"/>
              <w:rPr>
                <w:b/>
                <w:bCs/>
                <w:sz w:val="20"/>
                <w:szCs w:val="20"/>
              </w:rPr>
            </w:pPr>
            <w:r>
              <w:rPr>
                <w:b/>
                <w:bCs/>
                <w:sz w:val="20"/>
                <w:szCs w:val="20"/>
              </w:rPr>
              <w:t>Comparison of Expenses</w:t>
            </w:r>
          </w:p>
        </w:tc>
      </w:tr>
      <w:tr w:rsidR="008B6473" w:rsidTr="006D610C">
        <w:trPr>
          <w:trHeight w:val="276"/>
          <w:jc w:val="center"/>
        </w:trPr>
        <w:tc>
          <w:tcPr>
            <w:tcW w:w="894" w:type="dxa"/>
            <w:tcBorders>
              <w:top w:val="nil"/>
              <w:left w:val="single" w:sz="8" w:space="0" w:color="auto"/>
              <w:bottom w:val="nil"/>
              <w:right w:val="nil"/>
            </w:tcBorders>
            <w:shd w:val="clear" w:color="000000" w:fill="C0C0C0"/>
            <w:noWrap/>
            <w:vAlign w:val="bottom"/>
            <w:hideMark/>
          </w:tcPr>
          <w:p w:rsidR="008B6473" w:rsidRDefault="008B6473">
            <w:pPr>
              <w:jc w:val="center"/>
              <w:rPr>
                <w:b/>
                <w:bCs/>
                <w:sz w:val="20"/>
                <w:szCs w:val="20"/>
              </w:rPr>
            </w:pPr>
            <w:r>
              <w:rPr>
                <w:b/>
                <w:bCs/>
                <w:sz w:val="20"/>
                <w:szCs w:val="20"/>
              </w:rPr>
              <w:t> </w:t>
            </w:r>
          </w:p>
        </w:tc>
        <w:tc>
          <w:tcPr>
            <w:tcW w:w="3443"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 </w:t>
            </w:r>
          </w:p>
        </w:tc>
        <w:tc>
          <w:tcPr>
            <w:tcW w:w="2487" w:type="dxa"/>
            <w:gridSpan w:val="3"/>
            <w:tcBorders>
              <w:top w:val="nil"/>
              <w:left w:val="nil"/>
              <w:bottom w:val="nil"/>
              <w:right w:val="nil"/>
            </w:tcBorders>
            <w:shd w:val="clear" w:color="000000" w:fill="C0C0C0"/>
            <w:noWrap/>
            <w:vAlign w:val="bottom"/>
            <w:hideMark/>
          </w:tcPr>
          <w:p w:rsidR="008B6473" w:rsidRDefault="008B6473">
            <w:pPr>
              <w:jc w:val="center"/>
              <w:rPr>
                <w:b/>
                <w:bCs/>
                <w:sz w:val="20"/>
                <w:szCs w:val="20"/>
              </w:rPr>
            </w:pPr>
            <w:r>
              <w:rPr>
                <w:b/>
                <w:bCs/>
                <w:sz w:val="20"/>
                <w:szCs w:val="20"/>
              </w:rPr>
              <w:t>Current</w:t>
            </w:r>
            <w:r>
              <w:rPr>
                <w:rFonts w:ascii="Calibri" w:hAnsi="Calibri"/>
                <w:b/>
                <w:bCs/>
                <w:sz w:val="20"/>
                <w:szCs w:val="20"/>
              </w:rPr>
              <w:t>¹</w:t>
            </w:r>
          </w:p>
        </w:tc>
        <w:tc>
          <w:tcPr>
            <w:tcW w:w="3292" w:type="dxa"/>
            <w:gridSpan w:val="3"/>
            <w:tcBorders>
              <w:top w:val="nil"/>
              <w:left w:val="nil"/>
              <w:bottom w:val="nil"/>
              <w:right w:val="single" w:sz="8" w:space="0" w:color="000000"/>
            </w:tcBorders>
            <w:shd w:val="clear" w:color="000000" w:fill="C0C0C0"/>
            <w:noWrap/>
            <w:vAlign w:val="bottom"/>
            <w:hideMark/>
          </w:tcPr>
          <w:p w:rsidR="008B6473" w:rsidRDefault="008B6473">
            <w:pPr>
              <w:jc w:val="center"/>
              <w:rPr>
                <w:b/>
                <w:bCs/>
                <w:sz w:val="20"/>
                <w:szCs w:val="20"/>
              </w:rPr>
            </w:pPr>
            <w:r>
              <w:rPr>
                <w:b/>
                <w:bCs/>
                <w:sz w:val="20"/>
                <w:szCs w:val="20"/>
              </w:rPr>
              <w:t>Staff Proposed</w:t>
            </w:r>
          </w:p>
        </w:tc>
      </w:tr>
      <w:tr w:rsidR="008B6473" w:rsidTr="006D610C">
        <w:trPr>
          <w:trHeight w:val="264"/>
          <w:jc w:val="center"/>
        </w:trPr>
        <w:tc>
          <w:tcPr>
            <w:tcW w:w="894" w:type="dxa"/>
            <w:tcBorders>
              <w:top w:val="nil"/>
              <w:left w:val="single" w:sz="8" w:space="0" w:color="auto"/>
              <w:bottom w:val="nil"/>
              <w:right w:val="nil"/>
            </w:tcBorders>
            <w:shd w:val="clear" w:color="000000" w:fill="C0C0C0"/>
            <w:noWrap/>
            <w:vAlign w:val="bottom"/>
            <w:hideMark/>
          </w:tcPr>
          <w:p w:rsidR="008B6473" w:rsidRDefault="008B6473">
            <w:pPr>
              <w:jc w:val="center"/>
              <w:rPr>
                <w:sz w:val="20"/>
                <w:szCs w:val="20"/>
              </w:rPr>
            </w:pPr>
            <w:r>
              <w:rPr>
                <w:sz w:val="20"/>
                <w:szCs w:val="20"/>
              </w:rPr>
              <w:t>Account</w:t>
            </w:r>
          </w:p>
        </w:tc>
        <w:tc>
          <w:tcPr>
            <w:tcW w:w="3443" w:type="dxa"/>
            <w:vMerge w:val="restart"/>
            <w:tcBorders>
              <w:top w:val="nil"/>
              <w:left w:val="nil"/>
              <w:bottom w:val="nil"/>
              <w:right w:val="nil"/>
            </w:tcBorders>
            <w:shd w:val="clear" w:color="000000" w:fill="C0C0C0"/>
            <w:noWrap/>
            <w:vAlign w:val="center"/>
            <w:hideMark/>
          </w:tcPr>
          <w:p w:rsidR="008B6473" w:rsidRDefault="008B6473">
            <w:pPr>
              <w:jc w:val="center"/>
              <w:rPr>
                <w:sz w:val="20"/>
                <w:szCs w:val="20"/>
              </w:rPr>
            </w:pPr>
            <w:r>
              <w:rPr>
                <w:sz w:val="20"/>
                <w:szCs w:val="20"/>
              </w:rPr>
              <w:t>Account Title</w:t>
            </w:r>
          </w:p>
        </w:tc>
        <w:tc>
          <w:tcPr>
            <w:tcW w:w="1327"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Depreciation</w:t>
            </w:r>
          </w:p>
        </w:tc>
        <w:tc>
          <w:tcPr>
            <w:tcW w:w="894"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Annual</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Depreciation</w:t>
            </w:r>
          </w:p>
        </w:tc>
        <w:tc>
          <w:tcPr>
            <w:tcW w:w="894"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Annual</w:t>
            </w:r>
          </w:p>
        </w:tc>
        <w:tc>
          <w:tcPr>
            <w:tcW w:w="1071" w:type="dxa"/>
            <w:tcBorders>
              <w:top w:val="nil"/>
              <w:left w:val="nil"/>
              <w:bottom w:val="nil"/>
              <w:right w:val="single" w:sz="8" w:space="0" w:color="auto"/>
            </w:tcBorders>
            <w:shd w:val="clear" w:color="000000" w:fill="C0C0C0"/>
            <w:noWrap/>
            <w:vAlign w:val="bottom"/>
            <w:hideMark/>
          </w:tcPr>
          <w:p w:rsidR="008B6473" w:rsidRDefault="008B6473">
            <w:pPr>
              <w:jc w:val="center"/>
              <w:rPr>
                <w:sz w:val="20"/>
                <w:szCs w:val="20"/>
              </w:rPr>
            </w:pPr>
            <w:r>
              <w:rPr>
                <w:sz w:val="20"/>
                <w:szCs w:val="20"/>
              </w:rPr>
              <w:t>Change In</w:t>
            </w:r>
          </w:p>
        </w:tc>
      </w:tr>
      <w:tr w:rsidR="008B6473" w:rsidTr="006D610C">
        <w:trPr>
          <w:trHeight w:val="264"/>
          <w:jc w:val="center"/>
        </w:trPr>
        <w:tc>
          <w:tcPr>
            <w:tcW w:w="894" w:type="dxa"/>
            <w:tcBorders>
              <w:top w:val="nil"/>
              <w:left w:val="single" w:sz="8" w:space="0" w:color="auto"/>
              <w:bottom w:val="nil"/>
              <w:right w:val="nil"/>
            </w:tcBorders>
            <w:shd w:val="clear" w:color="000000" w:fill="C0C0C0"/>
            <w:noWrap/>
            <w:vAlign w:val="bottom"/>
            <w:hideMark/>
          </w:tcPr>
          <w:p w:rsidR="008B6473" w:rsidRDefault="008B6473">
            <w:pPr>
              <w:jc w:val="center"/>
              <w:rPr>
                <w:sz w:val="20"/>
                <w:szCs w:val="20"/>
              </w:rPr>
            </w:pPr>
            <w:r>
              <w:rPr>
                <w:sz w:val="20"/>
                <w:szCs w:val="20"/>
              </w:rPr>
              <w:t>Number</w:t>
            </w:r>
          </w:p>
        </w:tc>
        <w:tc>
          <w:tcPr>
            <w:tcW w:w="3443" w:type="dxa"/>
            <w:vMerge/>
            <w:tcBorders>
              <w:top w:val="nil"/>
              <w:left w:val="nil"/>
              <w:bottom w:val="nil"/>
              <w:right w:val="nil"/>
            </w:tcBorders>
            <w:vAlign w:val="center"/>
            <w:hideMark/>
          </w:tcPr>
          <w:p w:rsidR="008B6473" w:rsidRDefault="008B6473">
            <w:pPr>
              <w:rPr>
                <w:sz w:val="20"/>
                <w:szCs w:val="20"/>
              </w:rPr>
            </w:pPr>
          </w:p>
        </w:tc>
        <w:tc>
          <w:tcPr>
            <w:tcW w:w="1327"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Rate</w:t>
            </w:r>
          </w:p>
        </w:tc>
        <w:tc>
          <w:tcPr>
            <w:tcW w:w="894"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Expense</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Rate</w:t>
            </w:r>
          </w:p>
        </w:tc>
        <w:tc>
          <w:tcPr>
            <w:tcW w:w="894" w:type="dxa"/>
            <w:tcBorders>
              <w:top w:val="nil"/>
              <w:left w:val="nil"/>
              <w:bottom w:val="nil"/>
              <w:right w:val="nil"/>
            </w:tcBorders>
            <w:shd w:val="clear" w:color="000000" w:fill="C0C0C0"/>
            <w:noWrap/>
            <w:vAlign w:val="bottom"/>
            <w:hideMark/>
          </w:tcPr>
          <w:p w:rsidR="008B6473" w:rsidRDefault="008B6473">
            <w:pPr>
              <w:jc w:val="center"/>
              <w:rPr>
                <w:sz w:val="20"/>
                <w:szCs w:val="20"/>
              </w:rPr>
            </w:pPr>
            <w:r>
              <w:rPr>
                <w:sz w:val="20"/>
                <w:szCs w:val="20"/>
              </w:rPr>
              <w:t>Expense</w:t>
            </w:r>
          </w:p>
        </w:tc>
        <w:tc>
          <w:tcPr>
            <w:tcW w:w="1071" w:type="dxa"/>
            <w:tcBorders>
              <w:top w:val="nil"/>
              <w:left w:val="nil"/>
              <w:bottom w:val="nil"/>
              <w:right w:val="single" w:sz="8" w:space="0" w:color="auto"/>
            </w:tcBorders>
            <w:shd w:val="clear" w:color="000000" w:fill="C0C0C0"/>
            <w:noWrap/>
            <w:vAlign w:val="bottom"/>
            <w:hideMark/>
          </w:tcPr>
          <w:p w:rsidR="008B6473" w:rsidRDefault="008B6473">
            <w:pPr>
              <w:jc w:val="center"/>
              <w:rPr>
                <w:sz w:val="20"/>
                <w:szCs w:val="20"/>
              </w:rPr>
            </w:pPr>
            <w:r>
              <w:rPr>
                <w:sz w:val="20"/>
                <w:szCs w:val="20"/>
              </w:rPr>
              <w:t>Expense</w:t>
            </w:r>
          </w:p>
        </w:tc>
      </w:tr>
      <w:tr w:rsidR="008B6473" w:rsidTr="006D610C">
        <w:trPr>
          <w:trHeight w:val="276"/>
          <w:jc w:val="center"/>
        </w:trPr>
        <w:tc>
          <w:tcPr>
            <w:tcW w:w="894" w:type="dxa"/>
            <w:tcBorders>
              <w:top w:val="nil"/>
              <w:left w:val="single" w:sz="8" w:space="0" w:color="auto"/>
              <w:bottom w:val="single" w:sz="8" w:space="0" w:color="auto"/>
              <w:right w:val="nil"/>
            </w:tcBorders>
            <w:shd w:val="clear" w:color="000000" w:fill="C0C0C0"/>
            <w:noWrap/>
            <w:vAlign w:val="bottom"/>
            <w:hideMark/>
          </w:tcPr>
          <w:p w:rsidR="008B6473" w:rsidRDefault="008B6473">
            <w:pPr>
              <w:jc w:val="center"/>
              <w:rPr>
                <w:sz w:val="20"/>
                <w:szCs w:val="20"/>
              </w:rPr>
            </w:pPr>
            <w:r>
              <w:rPr>
                <w:sz w:val="20"/>
                <w:szCs w:val="20"/>
              </w:rPr>
              <w:t> </w:t>
            </w:r>
          </w:p>
        </w:tc>
        <w:tc>
          <w:tcPr>
            <w:tcW w:w="3443" w:type="dxa"/>
            <w:tcBorders>
              <w:top w:val="nil"/>
              <w:left w:val="nil"/>
              <w:bottom w:val="single" w:sz="8" w:space="0" w:color="auto"/>
              <w:right w:val="nil"/>
            </w:tcBorders>
            <w:shd w:val="clear" w:color="000000" w:fill="C0C0C0"/>
            <w:noWrap/>
            <w:vAlign w:val="bottom"/>
            <w:hideMark/>
          </w:tcPr>
          <w:p w:rsidR="008B6473" w:rsidRDefault="008B6473">
            <w:pPr>
              <w:jc w:val="center"/>
              <w:rPr>
                <w:sz w:val="20"/>
                <w:szCs w:val="20"/>
              </w:rPr>
            </w:pPr>
            <w:r>
              <w:rPr>
                <w:sz w:val="20"/>
                <w:szCs w:val="20"/>
              </w:rPr>
              <w:t> </w:t>
            </w:r>
          </w:p>
        </w:tc>
        <w:tc>
          <w:tcPr>
            <w:tcW w:w="1327" w:type="dxa"/>
            <w:tcBorders>
              <w:top w:val="nil"/>
              <w:left w:val="nil"/>
              <w:bottom w:val="single" w:sz="8" w:space="0" w:color="auto"/>
              <w:right w:val="nil"/>
            </w:tcBorders>
            <w:shd w:val="clear" w:color="000000" w:fill="C0C0C0"/>
            <w:noWrap/>
            <w:vAlign w:val="bottom"/>
            <w:hideMark/>
          </w:tcPr>
          <w:p w:rsidR="008B6473" w:rsidRDefault="008B6473">
            <w:pPr>
              <w:jc w:val="center"/>
              <w:rPr>
                <w:sz w:val="20"/>
                <w:szCs w:val="20"/>
              </w:rPr>
            </w:pPr>
            <w:r>
              <w:rPr>
                <w:sz w:val="20"/>
                <w:szCs w:val="20"/>
              </w:rPr>
              <w:t>(%)</w:t>
            </w:r>
          </w:p>
        </w:tc>
        <w:tc>
          <w:tcPr>
            <w:tcW w:w="894" w:type="dxa"/>
            <w:tcBorders>
              <w:top w:val="nil"/>
              <w:left w:val="nil"/>
              <w:bottom w:val="single" w:sz="8" w:space="0" w:color="auto"/>
              <w:right w:val="nil"/>
            </w:tcBorders>
            <w:shd w:val="clear" w:color="000000" w:fill="C0C0C0"/>
            <w:noWrap/>
            <w:vAlign w:val="bottom"/>
            <w:hideMark/>
          </w:tcPr>
          <w:p w:rsidR="008B6473" w:rsidRDefault="008B6473">
            <w:pPr>
              <w:jc w:val="center"/>
              <w:rPr>
                <w:sz w:val="20"/>
                <w:szCs w:val="20"/>
              </w:rPr>
            </w:pPr>
            <w:r>
              <w:rPr>
                <w:sz w:val="20"/>
                <w:szCs w:val="20"/>
              </w:rPr>
              <w:t>($)</w:t>
            </w:r>
          </w:p>
        </w:tc>
        <w:tc>
          <w:tcPr>
            <w:tcW w:w="266" w:type="dxa"/>
            <w:tcBorders>
              <w:top w:val="nil"/>
              <w:left w:val="nil"/>
              <w:bottom w:val="single" w:sz="8" w:space="0" w:color="auto"/>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nil"/>
              <w:bottom w:val="single" w:sz="8" w:space="0" w:color="auto"/>
              <w:right w:val="nil"/>
            </w:tcBorders>
            <w:shd w:val="clear" w:color="000000" w:fill="C0C0C0"/>
            <w:noWrap/>
            <w:vAlign w:val="bottom"/>
            <w:hideMark/>
          </w:tcPr>
          <w:p w:rsidR="008B6473" w:rsidRDefault="008B6473">
            <w:pPr>
              <w:jc w:val="center"/>
              <w:rPr>
                <w:sz w:val="20"/>
                <w:szCs w:val="20"/>
              </w:rPr>
            </w:pPr>
            <w:r>
              <w:rPr>
                <w:sz w:val="20"/>
                <w:szCs w:val="20"/>
              </w:rPr>
              <w:t>(%)</w:t>
            </w:r>
          </w:p>
        </w:tc>
        <w:tc>
          <w:tcPr>
            <w:tcW w:w="894" w:type="dxa"/>
            <w:tcBorders>
              <w:top w:val="nil"/>
              <w:left w:val="nil"/>
              <w:bottom w:val="single" w:sz="8" w:space="0" w:color="auto"/>
              <w:right w:val="nil"/>
            </w:tcBorders>
            <w:shd w:val="clear" w:color="000000" w:fill="C0C0C0"/>
            <w:noWrap/>
            <w:vAlign w:val="bottom"/>
            <w:hideMark/>
          </w:tcPr>
          <w:p w:rsidR="008B6473" w:rsidRDefault="008B6473">
            <w:pPr>
              <w:jc w:val="center"/>
              <w:rPr>
                <w:sz w:val="20"/>
                <w:szCs w:val="20"/>
              </w:rPr>
            </w:pPr>
            <w:r>
              <w:rPr>
                <w:sz w:val="20"/>
                <w:szCs w:val="20"/>
              </w:rPr>
              <w:t>($)</w:t>
            </w:r>
          </w:p>
        </w:tc>
        <w:tc>
          <w:tcPr>
            <w:tcW w:w="1071" w:type="dxa"/>
            <w:tcBorders>
              <w:top w:val="nil"/>
              <w:left w:val="nil"/>
              <w:bottom w:val="single" w:sz="8" w:space="0" w:color="auto"/>
              <w:right w:val="single" w:sz="8" w:space="0" w:color="auto"/>
            </w:tcBorders>
            <w:shd w:val="clear" w:color="000000" w:fill="C0C0C0"/>
            <w:noWrap/>
            <w:vAlign w:val="bottom"/>
            <w:hideMark/>
          </w:tcPr>
          <w:p w:rsidR="008B6473" w:rsidRDefault="008B6473">
            <w:pPr>
              <w:jc w:val="center"/>
              <w:rPr>
                <w:sz w:val="20"/>
                <w:szCs w:val="20"/>
              </w:rPr>
            </w:pPr>
            <w:r>
              <w:rPr>
                <w:sz w:val="20"/>
                <w:szCs w:val="20"/>
              </w:rPr>
              <w:t>($)</w:t>
            </w:r>
          </w:p>
        </w:tc>
      </w:tr>
      <w:tr w:rsidR="008B6473" w:rsidTr="006D610C">
        <w:trPr>
          <w:trHeight w:val="300"/>
          <w:jc w:val="center"/>
        </w:trPr>
        <w:tc>
          <w:tcPr>
            <w:tcW w:w="89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376.1</w:t>
            </w:r>
          </w:p>
        </w:tc>
        <w:tc>
          <w:tcPr>
            <w:tcW w:w="3443" w:type="dxa"/>
            <w:tcBorders>
              <w:top w:val="single" w:sz="4" w:space="0" w:color="auto"/>
              <w:left w:val="nil"/>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Mains - Steel</w:t>
            </w:r>
          </w:p>
        </w:tc>
        <w:tc>
          <w:tcPr>
            <w:tcW w:w="1327" w:type="dxa"/>
            <w:tcBorders>
              <w:top w:val="single" w:sz="4" w:space="0" w:color="auto"/>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2.9</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5,409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2.9</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5,409 </w:t>
            </w:r>
          </w:p>
        </w:tc>
        <w:tc>
          <w:tcPr>
            <w:tcW w:w="1071" w:type="dxa"/>
            <w:tcBorders>
              <w:top w:val="single" w:sz="4" w:space="0" w:color="auto"/>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r>
      <w:tr w:rsidR="008B6473" w:rsidTr="006D610C">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376.2</w:t>
            </w:r>
          </w:p>
        </w:tc>
        <w:tc>
          <w:tcPr>
            <w:tcW w:w="3443" w:type="dxa"/>
            <w:tcBorders>
              <w:top w:val="nil"/>
              <w:left w:val="nil"/>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Mains - Plastic</w:t>
            </w:r>
          </w:p>
        </w:tc>
        <w:tc>
          <w:tcPr>
            <w:tcW w:w="132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2.9</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65,547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2.9</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65,547 </w:t>
            </w:r>
          </w:p>
        </w:tc>
        <w:tc>
          <w:tcPr>
            <w:tcW w:w="1071"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r>
      <w:tr w:rsidR="008B6473" w:rsidTr="006D610C">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378</w:t>
            </w:r>
          </w:p>
        </w:tc>
        <w:tc>
          <w:tcPr>
            <w:tcW w:w="3443" w:type="dxa"/>
            <w:tcBorders>
              <w:top w:val="nil"/>
              <w:left w:val="nil"/>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Meas. &amp; Reg. Equip. (Embedded)</w:t>
            </w:r>
          </w:p>
        </w:tc>
        <w:tc>
          <w:tcPr>
            <w:tcW w:w="132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3.1</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505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3.1</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505 </w:t>
            </w:r>
          </w:p>
        </w:tc>
        <w:tc>
          <w:tcPr>
            <w:tcW w:w="1071"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r>
      <w:tr w:rsidR="008B6473" w:rsidTr="006D610C">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379</w:t>
            </w:r>
          </w:p>
        </w:tc>
        <w:tc>
          <w:tcPr>
            <w:tcW w:w="3443" w:type="dxa"/>
            <w:tcBorders>
              <w:top w:val="nil"/>
              <w:left w:val="nil"/>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Meas. &amp; Reg. Equip.(City Gate)</w:t>
            </w:r>
          </w:p>
        </w:tc>
        <w:tc>
          <w:tcPr>
            <w:tcW w:w="132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3.2</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39,442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3.2</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39,442 </w:t>
            </w:r>
          </w:p>
        </w:tc>
        <w:tc>
          <w:tcPr>
            <w:tcW w:w="1071"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r>
      <w:tr w:rsidR="008B6473" w:rsidTr="006D610C">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380.1</w:t>
            </w:r>
          </w:p>
        </w:tc>
        <w:tc>
          <w:tcPr>
            <w:tcW w:w="3443" w:type="dxa"/>
            <w:tcBorders>
              <w:top w:val="nil"/>
              <w:left w:val="nil"/>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Services - Steel</w:t>
            </w:r>
          </w:p>
        </w:tc>
        <w:tc>
          <w:tcPr>
            <w:tcW w:w="132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1.7</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5,992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1.0</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3,525 </w:t>
            </w:r>
          </w:p>
        </w:tc>
        <w:tc>
          <w:tcPr>
            <w:tcW w:w="1071"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color w:val="FF0000"/>
                <w:sz w:val="20"/>
                <w:szCs w:val="20"/>
              </w:rPr>
              <w:t>(2,467)</w:t>
            </w:r>
          </w:p>
        </w:tc>
      </w:tr>
      <w:tr w:rsidR="008B6473" w:rsidTr="006D610C">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380.2</w:t>
            </w:r>
          </w:p>
        </w:tc>
        <w:tc>
          <w:tcPr>
            <w:tcW w:w="3443" w:type="dxa"/>
            <w:tcBorders>
              <w:top w:val="nil"/>
              <w:left w:val="nil"/>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Services - Plastic</w:t>
            </w:r>
          </w:p>
        </w:tc>
        <w:tc>
          <w:tcPr>
            <w:tcW w:w="132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3.1</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20,891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3.2</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21,565 </w:t>
            </w:r>
          </w:p>
        </w:tc>
        <w:tc>
          <w:tcPr>
            <w:tcW w:w="1071"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 xml:space="preserve">674 </w:t>
            </w:r>
          </w:p>
        </w:tc>
      </w:tr>
      <w:tr w:rsidR="008B6473" w:rsidTr="006D610C">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381</w:t>
            </w:r>
          </w:p>
        </w:tc>
        <w:tc>
          <w:tcPr>
            <w:tcW w:w="3443" w:type="dxa"/>
            <w:tcBorders>
              <w:top w:val="nil"/>
              <w:left w:val="nil"/>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Meters</w:t>
            </w:r>
          </w:p>
        </w:tc>
        <w:tc>
          <w:tcPr>
            <w:tcW w:w="132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4.0</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11,044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3.8</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10,492 </w:t>
            </w:r>
          </w:p>
        </w:tc>
        <w:tc>
          <w:tcPr>
            <w:tcW w:w="1071"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color w:val="FF0000"/>
                <w:sz w:val="20"/>
                <w:szCs w:val="20"/>
              </w:rPr>
              <w:t>(552)</w:t>
            </w:r>
          </w:p>
        </w:tc>
      </w:tr>
      <w:tr w:rsidR="008B6473" w:rsidTr="006D610C">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382</w:t>
            </w:r>
          </w:p>
        </w:tc>
        <w:tc>
          <w:tcPr>
            <w:tcW w:w="3443" w:type="dxa"/>
            <w:tcBorders>
              <w:top w:val="nil"/>
              <w:left w:val="nil"/>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Meter Installations</w:t>
            </w:r>
          </w:p>
        </w:tc>
        <w:tc>
          <w:tcPr>
            <w:tcW w:w="132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3.1</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3,529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3.1</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3,529 </w:t>
            </w:r>
          </w:p>
        </w:tc>
        <w:tc>
          <w:tcPr>
            <w:tcW w:w="1071"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r>
      <w:tr w:rsidR="008B6473" w:rsidTr="006D610C">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383</w:t>
            </w:r>
          </w:p>
        </w:tc>
        <w:tc>
          <w:tcPr>
            <w:tcW w:w="3443" w:type="dxa"/>
            <w:tcBorders>
              <w:top w:val="nil"/>
              <w:left w:val="nil"/>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House Regulators</w:t>
            </w:r>
          </w:p>
        </w:tc>
        <w:tc>
          <w:tcPr>
            <w:tcW w:w="132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3.3</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1,063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3.1</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999 </w:t>
            </w:r>
          </w:p>
        </w:tc>
        <w:tc>
          <w:tcPr>
            <w:tcW w:w="1071"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color w:val="FF0000"/>
                <w:sz w:val="20"/>
                <w:szCs w:val="20"/>
              </w:rPr>
              <w:t>(64)</w:t>
            </w:r>
          </w:p>
        </w:tc>
      </w:tr>
      <w:tr w:rsidR="008B6473" w:rsidTr="006D610C">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384</w:t>
            </w:r>
          </w:p>
        </w:tc>
        <w:tc>
          <w:tcPr>
            <w:tcW w:w="3443" w:type="dxa"/>
            <w:tcBorders>
              <w:top w:val="nil"/>
              <w:left w:val="nil"/>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House Regulator Installations</w:t>
            </w:r>
          </w:p>
        </w:tc>
        <w:tc>
          <w:tcPr>
            <w:tcW w:w="132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3.0</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1,892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3.0</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1,892 </w:t>
            </w:r>
          </w:p>
        </w:tc>
        <w:tc>
          <w:tcPr>
            <w:tcW w:w="1071"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r>
      <w:tr w:rsidR="008B6473" w:rsidTr="006D610C">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386</w:t>
            </w:r>
          </w:p>
        </w:tc>
        <w:tc>
          <w:tcPr>
            <w:tcW w:w="3443" w:type="dxa"/>
            <w:tcBorders>
              <w:top w:val="nil"/>
              <w:left w:val="nil"/>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Property on Customers' Premises</w:t>
            </w:r>
          </w:p>
        </w:tc>
        <w:tc>
          <w:tcPr>
            <w:tcW w:w="132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4.0</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1,432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2.3</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824 </w:t>
            </w:r>
          </w:p>
        </w:tc>
        <w:tc>
          <w:tcPr>
            <w:tcW w:w="1071"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color w:val="FF0000"/>
                <w:sz w:val="20"/>
                <w:szCs w:val="20"/>
              </w:rPr>
              <w:t>(608)</w:t>
            </w:r>
          </w:p>
        </w:tc>
      </w:tr>
      <w:tr w:rsidR="008B6473" w:rsidTr="006D610C">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387</w:t>
            </w:r>
          </w:p>
        </w:tc>
        <w:tc>
          <w:tcPr>
            <w:tcW w:w="3443" w:type="dxa"/>
            <w:tcBorders>
              <w:top w:val="nil"/>
              <w:left w:val="nil"/>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Other Equipment</w:t>
            </w:r>
          </w:p>
        </w:tc>
        <w:tc>
          <w:tcPr>
            <w:tcW w:w="132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4.0</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894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4.0</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894 </w:t>
            </w:r>
          </w:p>
        </w:tc>
        <w:tc>
          <w:tcPr>
            <w:tcW w:w="1071"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r>
      <w:tr w:rsidR="008B6473" w:rsidTr="006D610C">
        <w:trPr>
          <w:trHeight w:val="264"/>
          <w:jc w:val="center"/>
        </w:trPr>
        <w:tc>
          <w:tcPr>
            <w:tcW w:w="894" w:type="dxa"/>
            <w:tcBorders>
              <w:top w:val="nil"/>
              <w:left w:val="single" w:sz="8" w:space="0" w:color="auto"/>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3443"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894" w:type="dxa"/>
            <w:tcBorders>
              <w:top w:val="nil"/>
              <w:left w:val="nil"/>
              <w:bottom w:val="single" w:sz="4" w:space="0" w:color="auto"/>
              <w:right w:val="single" w:sz="4" w:space="0" w:color="auto"/>
            </w:tcBorders>
            <w:shd w:val="clear" w:color="000000" w:fill="C0C0C0"/>
            <w:noWrap/>
            <w:vAlign w:val="bottom"/>
            <w:hideMark/>
          </w:tcPr>
          <w:p w:rsidR="008B6473" w:rsidRDefault="008B6473">
            <w:pPr>
              <w:rPr>
                <w:sz w:val="20"/>
                <w:szCs w:val="20"/>
              </w:rPr>
            </w:pPr>
            <w:r>
              <w:rPr>
                <w:sz w:val="20"/>
                <w:szCs w:val="20"/>
              </w:rPr>
              <w:t>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single" w:sz="4" w:space="0" w:color="auto"/>
              <w:bottom w:val="single" w:sz="4" w:space="0" w:color="auto"/>
              <w:right w:val="nil"/>
            </w:tcBorders>
            <w:shd w:val="clear" w:color="000000" w:fill="C0C0C0"/>
            <w:noWrap/>
            <w:vAlign w:val="bottom"/>
            <w:hideMark/>
          </w:tcPr>
          <w:p w:rsidR="008B6473" w:rsidRDefault="008B6473">
            <w:pPr>
              <w:rPr>
                <w:sz w:val="20"/>
                <w:szCs w:val="20"/>
              </w:rPr>
            </w:pPr>
            <w:r>
              <w:rPr>
                <w:sz w:val="20"/>
                <w:szCs w:val="20"/>
              </w:rPr>
              <w:t> </w:t>
            </w:r>
          </w:p>
        </w:tc>
        <w:tc>
          <w:tcPr>
            <w:tcW w:w="894"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071" w:type="dxa"/>
            <w:tcBorders>
              <w:top w:val="nil"/>
              <w:left w:val="nil"/>
              <w:bottom w:val="nil"/>
              <w:right w:val="single" w:sz="8" w:space="0" w:color="auto"/>
            </w:tcBorders>
            <w:shd w:val="clear" w:color="000000" w:fill="C0C0C0"/>
            <w:noWrap/>
            <w:vAlign w:val="bottom"/>
            <w:hideMark/>
          </w:tcPr>
          <w:p w:rsidR="008B6473" w:rsidRDefault="008B6473">
            <w:pPr>
              <w:rPr>
                <w:sz w:val="20"/>
                <w:szCs w:val="20"/>
              </w:rPr>
            </w:pPr>
            <w:r>
              <w:rPr>
                <w:sz w:val="20"/>
                <w:szCs w:val="20"/>
              </w:rPr>
              <w:t> </w:t>
            </w:r>
          </w:p>
        </w:tc>
      </w:tr>
      <w:tr w:rsidR="008B6473" w:rsidTr="006D610C">
        <w:trPr>
          <w:trHeight w:val="300"/>
          <w:jc w:val="center"/>
        </w:trPr>
        <w:tc>
          <w:tcPr>
            <w:tcW w:w="89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390</w:t>
            </w:r>
          </w:p>
        </w:tc>
        <w:tc>
          <w:tcPr>
            <w:tcW w:w="3443" w:type="dxa"/>
            <w:tcBorders>
              <w:top w:val="single" w:sz="4" w:space="0" w:color="auto"/>
              <w:left w:val="nil"/>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Leasehold Improvements</w:t>
            </w:r>
          </w:p>
        </w:tc>
        <w:tc>
          <w:tcPr>
            <w:tcW w:w="1327" w:type="dxa"/>
            <w:tcBorders>
              <w:top w:val="single" w:sz="4" w:space="0" w:color="auto"/>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2.5</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332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2.5</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332 </w:t>
            </w:r>
          </w:p>
        </w:tc>
        <w:tc>
          <w:tcPr>
            <w:tcW w:w="1071" w:type="dxa"/>
            <w:tcBorders>
              <w:top w:val="single" w:sz="4" w:space="0" w:color="auto"/>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r>
      <w:tr w:rsidR="008B6473" w:rsidTr="006D610C">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391.1</w:t>
            </w:r>
          </w:p>
        </w:tc>
        <w:tc>
          <w:tcPr>
            <w:tcW w:w="3443" w:type="dxa"/>
            <w:tcBorders>
              <w:top w:val="nil"/>
              <w:left w:val="nil"/>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Office Furniture</w:t>
            </w:r>
          </w:p>
        </w:tc>
        <w:tc>
          <w:tcPr>
            <w:tcW w:w="132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4.0</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33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4.0</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33 </w:t>
            </w:r>
          </w:p>
        </w:tc>
        <w:tc>
          <w:tcPr>
            <w:tcW w:w="1071"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r>
      <w:tr w:rsidR="008B6473" w:rsidTr="006D610C">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391.2</w:t>
            </w:r>
          </w:p>
        </w:tc>
        <w:tc>
          <w:tcPr>
            <w:tcW w:w="3443" w:type="dxa"/>
            <w:tcBorders>
              <w:top w:val="nil"/>
              <w:left w:val="nil"/>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Office Equipment</w:t>
            </w:r>
          </w:p>
        </w:tc>
        <w:tc>
          <w:tcPr>
            <w:tcW w:w="132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6.7</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2,096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4.4</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1,377 </w:t>
            </w:r>
          </w:p>
        </w:tc>
        <w:tc>
          <w:tcPr>
            <w:tcW w:w="1071"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color w:val="FF0000"/>
                <w:sz w:val="20"/>
                <w:szCs w:val="20"/>
              </w:rPr>
              <w:t>(719)</w:t>
            </w:r>
          </w:p>
        </w:tc>
      </w:tr>
      <w:tr w:rsidR="008B6473" w:rsidTr="006D610C">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392.1</w:t>
            </w:r>
          </w:p>
        </w:tc>
        <w:tc>
          <w:tcPr>
            <w:tcW w:w="3443" w:type="dxa"/>
            <w:tcBorders>
              <w:top w:val="nil"/>
              <w:left w:val="nil"/>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Transportation - Trucks</w:t>
            </w:r>
          </w:p>
        </w:tc>
        <w:tc>
          <w:tcPr>
            <w:tcW w:w="132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10.6</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19,402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9.0</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16,474 </w:t>
            </w:r>
          </w:p>
        </w:tc>
        <w:tc>
          <w:tcPr>
            <w:tcW w:w="1071"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color w:val="FF0000"/>
                <w:sz w:val="20"/>
                <w:szCs w:val="20"/>
              </w:rPr>
              <w:t>(2,928)</w:t>
            </w:r>
          </w:p>
        </w:tc>
      </w:tr>
      <w:tr w:rsidR="008B6473" w:rsidTr="006D610C">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394</w:t>
            </w:r>
          </w:p>
        </w:tc>
        <w:tc>
          <w:tcPr>
            <w:tcW w:w="3443" w:type="dxa"/>
            <w:tcBorders>
              <w:top w:val="nil"/>
              <w:left w:val="nil"/>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Tools, Shop &amp; Garage Equipment</w:t>
            </w:r>
          </w:p>
        </w:tc>
        <w:tc>
          <w:tcPr>
            <w:tcW w:w="132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6.7</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1,071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6.7</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1,071 </w:t>
            </w:r>
          </w:p>
        </w:tc>
        <w:tc>
          <w:tcPr>
            <w:tcW w:w="1071"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r>
      <w:tr w:rsidR="008B6473" w:rsidTr="006D610C">
        <w:trPr>
          <w:trHeight w:val="300"/>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396</w:t>
            </w:r>
          </w:p>
        </w:tc>
        <w:tc>
          <w:tcPr>
            <w:tcW w:w="3443" w:type="dxa"/>
            <w:tcBorders>
              <w:top w:val="nil"/>
              <w:left w:val="nil"/>
              <w:bottom w:val="single" w:sz="4" w:space="0" w:color="auto"/>
              <w:right w:val="single" w:sz="4" w:space="0" w:color="auto"/>
            </w:tcBorders>
            <w:shd w:val="clear" w:color="auto" w:fill="auto"/>
            <w:noWrap/>
            <w:vAlign w:val="bottom"/>
            <w:hideMark/>
          </w:tcPr>
          <w:p w:rsidR="008B6473" w:rsidRDefault="008B6473">
            <w:pPr>
              <w:rPr>
                <w:sz w:val="20"/>
                <w:szCs w:val="20"/>
              </w:rPr>
            </w:pPr>
            <w:r>
              <w:rPr>
                <w:sz w:val="20"/>
                <w:szCs w:val="20"/>
              </w:rPr>
              <w:t>Power Operated Equipment</w:t>
            </w:r>
          </w:p>
        </w:tc>
        <w:tc>
          <w:tcPr>
            <w:tcW w:w="1327"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6.7</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2,647 </w:t>
            </w:r>
          </w:p>
        </w:tc>
        <w:tc>
          <w:tcPr>
            <w:tcW w:w="266" w:type="dxa"/>
            <w:tcBorders>
              <w:top w:val="nil"/>
              <w:left w:val="nil"/>
              <w:bottom w:val="nil"/>
              <w:right w:val="nil"/>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5.9</w:t>
            </w:r>
          </w:p>
        </w:tc>
        <w:tc>
          <w:tcPr>
            <w:tcW w:w="894" w:type="dxa"/>
            <w:tcBorders>
              <w:top w:val="nil"/>
              <w:left w:val="nil"/>
              <w:bottom w:val="single" w:sz="4"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2,331 </w:t>
            </w:r>
          </w:p>
        </w:tc>
        <w:tc>
          <w:tcPr>
            <w:tcW w:w="1071" w:type="dxa"/>
            <w:tcBorders>
              <w:top w:val="nil"/>
              <w:left w:val="nil"/>
              <w:bottom w:val="single" w:sz="4" w:space="0" w:color="auto"/>
              <w:right w:val="single" w:sz="8" w:space="0" w:color="auto"/>
            </w:tcBorders>
            <w:shd w:val="clear" w:color="auto" w:fill="auto"/>
            <w:noWrap/>
            <w:vAlign w:val="bottom"/>
            <w:hideMark/>
          </w:tcPr>
          <w:p w:rsidR="008B6473" w:rsidRDefault="008B6473">
            <w:pPr>
              <w:jc w:val="right"/>
              <w:rPr>
                <w:sz w:val="20"/>
                <w:szCs w:val="20"/>
              </w:rPr>
            </w:pPr>
            <w:r>
              <w:rPr>
                <w:color w:val="FF0000"/>
                <w:sz w:val="20"/>
                <w:szCs w:val="20"/>
              </w:rPr>
              <w:t>(316)</w:t>
            </w:r>
          </w:p>
        </w:tc>
      </w:tr>
      <w:tr w:rsidR="008B6473" w:rsidTr="006D610C">
        <w:trPr>
          <w:trHeight w:val="300"/>
          <w:jc w:val="center"/>
        </w:trPr>
        <w:tc>
          <w:tcPr>
            <w:tcW w:w="894" w:type="dxa"/>
            <w:tcBorders>
              <w:top w:val="nil"/>
              <w:left w:val="single" w:sz="8" w:space="0" w:color="auto"/>
              <w:bottom w:val="single" w:sz="8" w:space="0" w:color="auto"/>
              <w:right w:val="single" w:sz="4" w:space="0" w:color="auto"/>
            </w:tcBorders>
            <w:shd w:val="clear" w:color="auto" w:fill="auto"/>
            <w:noWrap/>
            <w:vAlign w:val="bottom"/>
            <w:hideMark/>
          </w:tcPr>
          <w:p w:rsidR="008B6473" w:rsidRDefault="008B6473">
            <w:pPr>
              <w:rPr>
                <w:sz w:val="20"/>
                <w:szCs w:val="20"/>
              </w:rPr>
            </w:pPr>
            <w:r>
              <w:rPr>
                <w:sz w:val="20"/>
                <w:szCs w:val="20"/>
              </w:rPr>
              <w:t>397</w:t>
            </w:r>
          </w:p>
        </w:tc>
        <w:tc>
          <w:tcPr>
            <w:tcW w:w="3443" w:type="dxa"/>
            <w:tcBorders>
              <w:top w:val="nil"/>
              <w:left w:val="nil"/>
              <w:bottom w:val="single" w:sz="8" w:space="0" w:color="auto"/>
              <w:right w:val="single" w:sz="4" w:space="0" w:color="auto"/>
            </w:tcBorders>
            <w:shd w:val="clear" w:color="auto" w:fill="auto"/>
            <w:noWrap/>
            <w:vAlign w:val="bottom"/>
            <w:hideMark/>
          </w:tcPr>
          <w:p w:rsidR="008B6473" w:rsidRDefault="008B6473">
            <w:pPr>
              <w:rPr>
                <w:sz w:val="20"/>
                <w:szCs w:val="20"/>
              </w:rPr>
            </w:pPr>
            <w:r>
              <w:rPr>
                <w:sz w:val="20"/>
                <w:szCs w:val="20"/>
              </w:rPr>
              <w:t>Communication Equipment</w:t>
            </w:r>
          </w:p>
        </w:tc>
        <w:tc>
          <w:tcPr>
            <w:tcW w:w="1327" w:type="dxa"/>
            <w:tcBorders>
              <w:top w:val="nil"/>
              <w:left w:val="nil"/>
              <w:bottom w:val="single" w:sz="8"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5.6</w:t>
            </w:r>
          </w:p>
        </w:tc>
        <w:tc>
          <w:tcPr>
            <w:tcW w:w="894" w:type="dxa"/>
            <w:tcBorders>
              <w:top w:val="nil"/>
              <w:left w:val="nil"/>
              <w:bottom w:val="single" w:sz="8"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1,713 </w:t>
            </w:r>
          </w:p>
        </w:tc>
        <w:tc>
          <w:tcPr>
            <w:tcW w:w="266" w:type="dxa"/>
            <w:tcBorders>
              <w:top w:val="nil"/>
              <w:left w:val="nil"/>
              <w:bottom w:val="nil"/>
              <w:right w:val="single" w:sz="4" w:space="0" w:color="auto"/>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nil"/>
              <w:bottom w:val="single" w:sz="8"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5.6</w:t>
            </w:r>
          </w:p>
        </w:tc>
        <w:tc>
          <w:tcPr>
            <w:tcW w:w="894" w:type="dxa"/>
            <w:tcBorders>
              <w:top w:val="nil"/>
              <w:left w:val="nil"/>
              <w:bottom w:val="single" w:sz="8" w:space="0" w:color="auto"/>
              <w:right w:val="single" w:sz="4" w:space="0" w:color="auto"/>
            </w:tcBorders>
            <w:shd w:val="clear" w:color="auto" w:fill="auto"/>
            <w:noWrap/>
            <w:vAlign w:val="bottom"/>
            <w:hideMark/>
          </w:tcPr>
          <w:p w:rsidR="008B6473" w:rsidRDefault="008B6473">
            <w:pPr>
              <w:jc w:val="right"/>
              <w:rPr>
                <w:sz w:val="20"/>
                <w:szCs w:val="20"/>
              </w:rPr>
            </w:pPr>
            <w:r>
              <w:rPr>
                <w:sz w:val="20"/>
                <w:szCs w:val="20"/>
              </w:rPr>
              <w:t xml:space="preserve">1,713 </w:t>
            </w:r>
          </w:p>
        </w:tc>
        <w:tc>
          <w:tcPr>
            <w:tcW w:w="1071" w:type="dxa"/>
            <w:tcBorders>
              <w:top w:val="nil"/>
              <w:left w:val="nil"/>
              <w:bottom w:val="single" w:sz="8" w:space="0" w:color="auto"/>
              <w:right w:val="single" w:sz="8" w:space="0" w:color="auto"/>
            </w:tcBorders>
            <w:shd w:val="clear" w:color="auto" w:fill="auto"/>
            <w:noWrap/>
            <w:vAlign w:val="bottom"/>
            <w:hideMark/>
          </w:tcPr>
          <w:p w:rsidR="008B6473" w:rsidRDefault="008B6473">
            <w:pPr>
              <w:jc w:val="right"/>
              <w:rPr>
                <w:sz w:val="20"/>
                <w:szCs w:val="20"/>
              </w:rPr>
            </w:pPr>
            <w:r>
              <w:rPr>
                <w:sz w:val="20"/>
                <w:szCs w:val="20"/>
              </w:rPr>
              <w:t xml:space="preserve">0 </w:t>
            </w:r>
          </w:p>
        </w:tc>
      </w:tr>
      <w:tr w:rsidR="008B6473" w:rsidTr="006D610C">
        <w:trPr>
          <w:trHeight w:val="300"/>
          <w:jc w:val="center"/>
        </w:trPr>
        <w:tc>
          <w:tcPr>
            <w:tcW w:w="4337" w:type="dxa"/>
            <w:gridSpan w:val="2"/>
            <w:tcBorders>
              <w:top w:val="nil"/>
              <w:left w:val="single" w:sz="8" w:space="0" w:color="auto"/>
              <w:bottom w:val="single" w:sz="8" w:space="0" w:color="auto"/>
              <w:right w:val="nil"/>
            </w:tcBorders>
            <w:shd w:val="clear" w:color="auto" w:fill="auto"/>
            <w:noWrap/>
            <w:vAlign w:val="bottom"/>
            <w:hideMark/>
          </w:tcPr>
          <w:p w:rsidR="008B6473" w:rsidRDefault="008B6473">
            <w:pPr>
              <w:jc w:val="right"/>
              <w:rPr>
                <w:b/>
                <w:bCs/>
                <w:sz w:val="20"/>
                <w:szCs w:val="20"/>
              </w:rPr>
            </w:pPr>
            <w:r>
              <w:rPr>
                <w:b/>
                <w:bCs/>
                <w:sz w:val="20"/>
                <w:szCs w:val="20"/>
              </w:rPr>
              <w:t>Total</w:t>
            </w:r>
          </w:p>
        </w:tc>
        <w:tc>
          <w:tcPr>
            <w:tcW w:w="1327" w:type="dxa"/>
            <w:tcBorders>
              <w:top w:val="nil"/>
              <w:left w:val="single" w:sz="4" w:space="0" w:color="auto"/>
              <w:bottom w:val="single" w:sz="8" w:space="0" w:color="auto"/>
              <w:right w:val="single" w:sz="4" w:space="0" w:color="auto"/>
            </w:tcBorders>
            <w:shd w:val="clear" w:color="000000" w:fill="BFBFBF"/>
            <w:noWrap/>
            <w:vAlign w:val="bottom"/>
            <w:hideMark/>
          </w:tcPr>
          <w:p w:rsidR="008B6473" w:rsidRDefault="008B6473">
            <w:pPr>
              <w:jc w:val="right"/>
              <w:rPr>
                <w:rFonts w:ascii="Arial" w:hAnsi="Arial" w:cs="Arial"/>
              </w:rPr>
            </w:pPr>
            <w:r>
              <w:rPr>
                <w:rFonts w:ascii="Arial" w:hAnsi="Arial" w:cs="Arial"/>
              </w:rPr>
              <w:t> </w:t>
            </w:r>
          </w:p>
        </w:tc>
        <w:tc>
          <w:tcPr>
            <w:tcW w:w="894" w:type="dxa"/>
            <w:tcBorders>
              <w:top w:val="nil"/>
              <w:left w:val="nil"/>
              <w:bottom w:val="single" w:sz="8" w:space="0" w:color="auto"/>
              <w:right w:val="single" w:sz="4" w:space="0" w:color="auto"/>
            </w:tcBorders>
            <w:shd w:val="clear" w:color="auto" w:fill="auto"/>
            <w:noWrap/>
            <w:vAlign w:val="bottom"/>
            <w:hideMark/>
          </w:tcPr>
          <w:p w:rsidR="008B6473" w:rsidRDefault="008B6473">
            <w:pPr>
              <w:jc w:val="right"/>
              <w:rPr>
                <w:b/>
                <w:bCs/>
                <w:sz w:val="20"/>
                <w:szCs w:val="20"/>
              </w:rPr>
            </w:pPr>
            <w:r>
              <w:rPr>
                <w:b/>
                <w:bCs/>
                <w:sz w:val="20"/>
                <w:szCs w:val="20"/>
              </w:rPr>
              <w:t xml:space="preserve">184,934 </w:t>
            </w:r>
          </w:p>
        </w:tc>
        <w:tc>
          <w:tcPr>
            <w:tcW w:w="266" w:type="dxa"/>
            <w:tcBorders>
              <w:top w:val="nil"/>
              <w:left w:val="nil"/>
              <w:bottom w:val="single" w:sz="8" w:space="0" w:color="auto"/>
              <w:right w:val="single" w:sz="4" w:space="0" w:color="auto"/>
            </w:tcBorders>
            <w:shd w:val="clear" w:color="000000" w:fill="C0C0C0"/>
            <w:noWrap/>
            <w:vAlign w:val="bottom"/>
            <w:hideMark/>
          </w:tcPr>
          <w:p w:rsidR="008B6473" w:rsidRDefault="008B6473">
            <w:pPr>
              <w:rPr>
                <w:sz w:val="20"/>
                <w:szCs w:val="20"/>
              </w:rPr>
            </w:pPr>
            <w:r>
              <w:rPr>
                <w:sz w:val="20"/>
                <w:szCs w:val="20"/>
              </w:rPr>
              <w:t> </w:t>
            </w:r>
          </w:p>
        </w:tc>
        <w:tc>
          <w:tcPr>
            <w:tcW w:w="1327" w:type="dxa"/>
            <w:tcBorders>
              <w:top w:val="nil"/>
              <w:left w:val="nil"/>
              <w:bottom w:val="single" w:sz="8" w:space="0" w:color="auto"/>
              <w:right w:val="nil"/>
            </w:tcBorders>
            <w:shd w:val="clear" w:color="000000" w:fill="BFBFBF"/>
            <w:noWrap/>
            <w:vAlign w:val="bottom"/>
            <w:hideMark/>
          </w:tcPr>
          <w:p w:rsidR="008B6473" w:rsidRDefault="008B6473">
            <w:pPr>
              <w:jc w:val="right"/>
              <w:rPr>
                <w:b/>
                <w:bCs/>
                <w:sz w:val="20"/>
                <w:szCs w:val="20"/>
              </w:rPr>
            </w:pPr>
            <w:r>
              <w:rPr>
                <w:b/>
                <w:bCs/>
                <w:sz w:val="20"/>
                <w:szCs w:val="20"/>
              </w:rPr>
              <w:t> </w:t>
            </w:r>
          </w:p>
        </w:tc>
        <w:tc>
          <w:tcPr>
            <w:tcW w:w="894" w:type="dxa"/>
            <w:tcBorders>
              <w:top w:val="nil"/>
              <w:left w:val="single" w:sz="4" w:space="0" w:color="auto"/>
              <w:bottom w:val="single" w:sz="8" w:space="0" w:color="auto"/>
              <w:right w:val="single" w:sz="4" w:space="0" w:color="auto"/>
            </w:tcBorders>
            <w:shd w:val="clear" w:color="auto" w:fill="auto"/>
            <w:noWrap/>
            <w:vAlign w:val="bottom"/>
            <w:hideMark/>
          </w:tcPr>
          <w:p w:rsidR="008B6473" w:rsidRDefault="008B6473">
            <w:pPr>
              <w:jc w:val="right"/>
              <w:rPr>
                <w:b/>
                <w:bCs/>
                <w:sz w:val="20"/>
                <w:szCs w:val="20"/>
              </w:rPr>
            </w:pPr>
            <w:r>
              <w:rPr>
                <w:b/>
                <w:bCs/>
                <w:sz w:val="20"/>
                <w:szCs w:val="20"/>
              </w:rPr>
              <w:t xml:space="preserve">177,954 </w:t>
            </w:r>
          </w:p>
        </w:tc>
        <w:tc>
          <w:tcPr>
            <w:tcW w:w="1071" w:type="dxa"/>
            <w:tcBorders>
              <w:top w:val="nil"/>
              <w:left w:val="nil"/>
              <w:bottom w:val="single" w:sz="8" w:space="0" w:color="auto"/>
              <w:right w:val="single" w:sz="8" w:space="0" w:color="auto"/>
            </w:tcBorders>
            <w:shd w:val="clear" w:color="auto" w:fill="auto"/>
            <w:noWrap/>
            <w:vAlign w:val="bottom"/>
            <w:hideMark/>
          </w:tcPr>
          <w:p w:rsidR="008B6473" w:rsidRDefault="008B6473">
            <w:pPr>
              <w:jc w:val="right"/>
              <w:rPr>
                <w:b/>
                <w:bCs/>
                <w:sz w:val="20"/>
                <w:szCs w:val="20"/>
              </w:rPr>
            </w:pPr>
            <w:r>
              <w:rPr>
                <w:b/>
                <w:bCs/>
                <w:color w:val="FF0000"/>
                <w:sz w:val="20"/>
                <w:szCs w:val="20"/>
              </w:rPr>
              <w:t>(6,980)</w:t>
            </w:r>
          </w:p>
        </w:tc>
      </w:tr>
      <w:tr w:rsidR="008B6473" w:rsidTr="006D610C">
        <w:trPr>
          <w:trHeight w:val="276"/>
          <w:jc w:val="center"/>
        </w:trPr>
        <w:tc>
          <w:tcPr>
            <w:tcW w:w="4337" w:type="dxa"/>
            <w:gridSpan w:val="2"/>
            <w:tcBorders>
              <w:top w:val="nil"/>
              <w:left w:val="nil"/>
              <w:bottom w:val="nil"/>
              <w:right w:val="nil"/>
            </w:tcBorders>
            <w:shd w:val="clear" w:color="000000" w:fill="FFFFFF"/>
            <w:noWrap/>
            <w:vAlign w:val="bottom"/>
            <w:hideMark/>
          </w:tcPr>
          <w:p w:rsidR="008B6473" w:rsidRDefault="008B6473">
            <w:pPr>
              <w:rPr>
                <w:sz w:val="20"/>
                <w:szCs w:val="20"/>
              </w:rPr>
            </w:pPr>
            <w:r>
              <w:rPr>
                <w:rFonts w:ascii="Calibri" w:hAnsi="Calibri"/>
                <w:sz w:val="20"/>
                <w:szCs w:val="20"/>
              </w:rPr>
              <w:t>¹</w:t>
            </w:r>
            <w:r>
              <w:rPr>
                <w:sz w:val="20"/>
                <w:szCs w:val="20"/>
              </w:rPr>
              <w:t xml:space="preserve"> Order No. PSC-12-0043-PAA-GU.</w:t>
            </w:r>
          </w:p>
        </w:tc>
        <w:tc>
          <w:tcPr>
            <w:tcW w:w="1327" w:type="dxa"/>
            <w:tcBorders>
              <w:top w:val="nil"/>
              <w:left w:val="nil"/>
              <w:bottom w:val="nil"/>
              <w:right w:val="nil"/>
            </w:tcBorders>
            <w:shd w:val="clear" w:color="000000" w:fill="FFFFFF"/>
            <w:noWrap/>
            <w:vAlign w:val="bottom"/>
            <w:hideMark/>
          </w:tcPr>
          <w:p w:rsidR="008B6473" w:rsidRDefault="008B6473">
            <w:pPr>
              <w:rPr>
                <w:sz w:val="20"/>
                <w:szCs w:val="20"/>
              </w:rPr>
            </w:pPr>
            <w:r>
              <w:rPr>
                <w:sz w:val="20"/>
                <w:szCs w:val="20"/>
              </w:rPr>
              <w:t> </w:t>
            </w:r>
          </w:p>
        </w:tc>
        <w:tc>
          <w:tcPr>
            <w:tcW w:w="894" w:type="dxa"/>
            <w:tcBorders>
              <w:top w:val="nil"/>
              <w:left w:val="nil"/>
              <w:bottom w:val="nil"/>
              <w:right w:val="nil"/>
            </w:tcBorders>
            <w:shd w:val="clear" w:color="000000" w:fill="FFFFFF"/>
            <w:noWrap/>
            <w:vAlign w:val="bottom"/>
            <w:hideMark/>
          </w:tcPr>
          <w:p w:rsidR="008B6473" w:rsidRDefault="008B6473">
            <w:pPr>
              <w:rPr>
                <w:sz w:val="20"/>
                <w:szCs w:val="20"/>
              </w:rPr>
            </w:pPr>
            <w:r>
              <w:rPr>
                <w:sz w:val="20"/>
                <w:szCs w:val="20"/>
              </w:rPr>
              <w:t> </w:t>
            </w:r>
          </w:p>
        </w:tc>
        <w:tc>
          <w:tcPr>
            <w:tcW w:w="266" w:type="dxa"/>
            <w:tcBorders>
              <w:top w:val="nil"/>
              <w:left w:val="nil"/>
              <w:bottom w:val="nil"/>
              <w:right w:val="nil"/>
            </w:tcBorders>
            <w:shd w:val="clear" w:color="000000" w:fill="FFFFFF"/>
            <w:noWrap/>
            <w:vAlign w:val="bottom"/>
            <w:hideMark/>
          </w:tcPr>
          <w:p w:rsidR="008B6473" w:rsidRDefault="008B6473">
            <w:pPr>
              <w:rPr>
                <w:sz w:val="20"/>
                <w:szCs w:val="20"/>
              </w:rPr>
            </w:pPr>
            <w:r>
              <w:rPr>
                <w:sz w:val="20"/>
                <w:szCs w:val="20"/>
              </w:rPr>
              <w:t> </w:t>
            </w:r>
          </w:p>
        </w:tc>
        <w:tc>
          <w:tcPr>
            <w:tcW w:w="1327" w:type="dxa"/>
            <w:tcBorders>
              <w:top w:val="nil"/>
              <w:left w:val="nil"/>
              <w:bottom w:val="nil"/>
              <w:right w:val="nil"/>
            </w:tcBorders>
            <w:shd w:val="clear" w:color="000000" w:fill="FFFFFF"/>
            <w:noWrap/>
            <w:vAlign w:val="bottom"/>
            <w:hideMark/>
          </w:tcPr>
          <w:p w:rsidR="008B6473" w:rsidRDefault="008B6473">
            <w:pPr>
              <w:rPr>
                <w:sz w:val="20"/>
                <w:szCs w:val="20"/>
              </w:rPr>
            </w:pPr>
            <w:r>
              <w:rPr>
                <w:sz w:val="20"/>
                <w:szCs w:val="20"/>
              </w:rPr>
              <w:t> </w:t>
            </w:r>
          </w:p>
        </w:tc>
        <w:tc>
          <w:tcPr>
            <w:tcW w:w="894" w:type="dxa"/>
            <w:tcBorders>
              <w:top w:val="nil"/>
              <w:left w:val="nil"/>
              <w:bottom w:val="nil"/>
              <w:right w:val="nil"/>
            </w:tcBorders>
            <w:shd w:val="clear" w:color="000000" w:fill="FFFFFF"/>
            <w:noWrap/>
            <w:vAlign w:val="bottom"/>
            <w:hideMark/>
          </w:tcPr>
          <w:p w:rsidR="008B6473" w:rsidRDefault="008B6473">
            <w:pPr>
              <w:rPr>
                <w:sz w:val="20"/>
                <w:szCs w:val="20"/>
              </w:rPr>
            </w:pPr>
            <w:r>
              <w:rPr>
                <w:sz w:val="20"/>
                <w:szCs w:val="20"/>
              </w:rPr>
              <w:t> </w:t>
            </w:r>
          </w:p>
        </w:tc>
        <w:tc>
          <w:tcPr>
            <w:tcW w:w="1071" w:type="dxa"/>
            <w:tcBorders>
              <w:top w:val="nil"/>
              <w:left w:val="nil"/>
              <w:bottom w:val="nil"/>
              <w:right w:val="nil"/>
            </w:tcBorders>
            <w:shd w:val="clear" w:color="000000" w:fill="FFFFFF"/>
            <w:noWrap/>
            <w:vAlign w:val="bottom"/>
            <w:hideMark/>
          </w:tcPr>
          <w:p w:rsidR="008B6473" w:rsidRDefault="008B6473">
            <w:pPr>
              <w:rPr>
                <w:sz w:val="20"/>
                <w:szCs w:val="20"/>
              </w:rPr>
            </w:pPr>
            <w:r>
              <w:rPr>
                <w:sz w:val="20"/>
                <w:szCs w:val="20"/>
              </w:rPr>
              <w:t> </w:t>
            </w:r>
          </w:p>
        </w:tc>
      </w:tr>
    </w:tbl>
    <w:p w:rsidR="00E15B52" w:rsidRDefault="00E15B52"/>
    <w:sectPr w:rsidR="00E15B52" w:rsidSect="0068481F">
      <w:headerReference w:type="even" r:id="rId16"/>
      <w:headerReference w:type="default" r:id="rId17"/>
      <w:headerReference w:type="firs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393" w:rsidRDefault="00DD3393">
      <w:r>
        <w:separator/>
      </w:r>
    </w:p>
  </w:endnote>
  <w:endnote w:type="continuationSeparator" w:id="0">
    <w:p w:rsidR="00DD3393" w:rsidRDefault="00DD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93" w:rsidRDefault="00DD33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16C84">
      <w:rPr>
        <w:rStyle w:val="PageNumber"/>
        <w:noProof/>
      </w:rPr>
      <w:t>13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93" w:rsidRDefault="00DD33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393" w:rsidRDefault="00DD3393">
      <w:r>
        <w:separator/>
      </w:r>
    </w:p>
  </w:footnote>
  <w:footnote w:type="continuationSeparator" w:id="0">
    <w:p w:rsidR="00DD3393" w:rsidRDefault="00DD3393">
      <w:r>
        <w:continuationSeparator/>
      </w:r>
    </w:p>
  </w:footnote>
  <w:footnote w:id="1">
    <w:p w:rsidR="00DD3393" w:rsidRDefault="00DD3393">
      <w:pPr>
        <w:pStyle w:val="FootnoteText"/>
      </w:pPr>
      <w:r>
        <w:rPr>
          <w:rStyle w:val="FootnoteReference"/>
        </w:rPr>
        <w:footnoteRef/>
      </w:r>
      <w:r>
        <w:t xml:space="preserve"> Sebring Gas System’s</w:t>
      </w:r>
      <w:r w:rsidRPr="00532322">
        <w:t xml:space="preserve"> Annual Report of Natural Gas Utilities Form PSC/AFA 20</w:t>
      </w:r>
      <w:r>
        <w:t>,</w:t>
      </w:r>
      <w:r w:rsidRPr="00532322">
        <w:t xml:space="preserve"> at December 31, 2015, filed with the Florida Public Service Commission on June 1, 2016.</w:t>
      </w:r>
    </w:p>
  </w:footnote>
  <w:footnote w:id="2">
    <w:p w:rsidR="00DD3393" w:rsidRDefault="00DD3393">
      <w:pPr>
        <w:pStyle w:val="FootnoteText"/>
      </w:pPr>
      <w:r>
        <w:rPr>
          <w:rStyle w:val="FootnoteReference"/>
        </w:rPr>
        <w:footnoteRef/>
      </w:r>
      <w:r>
        <w:t xml:space="preserve"> </w:t>
      </w:r>
      <w:proofErr w:type="gramStart"/>
      <w:r w:rsidRPr="001554E7">
        <w:t>Order No.</w:t>
      </w:r>
      <w:proofErr w:type="gramEnd"/>
      <w:r w:rsidRPr="001554E7">
        <w:t xml:space="preserve"> PSC-12-0043-PAA-GU, issued January 26, 2012, in Docket No. 110233-GU, </w:t>
      </w:r>
      <w:r w:rsidRPr="001554E7">
        <w:rPr>
          <w:u w:val="single"/>
        </w:rPr>
        <w:t>In re: Petition for approval of 2011 Depreciation Study by Sebring Gas Systems, Inc</w:t>
      </w:r>
      <w:r w:rsidRPr="001554E7">
        <w:t>.</w:t>
      </w:r>
    </w:p>
  </w:footnote>
  <w:footnote w:id="3">
    <w:p w:rsidR="00DD3393" w:rsidRDefault="00DD3393">
      <w:pPr>
        <w:pStyle w:val="FootnoteText"/>
      </w:pPr>
      <w:r>
        <w:rPr>
          <w:rStyle w:val="FootnoteReference"/>
        </w:rPr>
        <w:footnoteRef/>
      </w:r>
      <w:r>
        <w:t xml:space="preserve"> </w:t>
      </w:r>
      <w:proofErr w:type="gramStart"/>
      <w:r>
        <w:t>Sebring’s Response to 2016 Depreciation Study Staff Report, No. 6.</w:t>
      </w:r>
      <w:proofErr w:type="gramEnd"/>
    </w:p>
  </w:footnote>
  <w:footnote w:id="4">
    <w:p w:rsidR="00DD3393" w:rsidRDefault="00DD3393">
      <w:pPr>
        <w:pStyle w:val="FootnoteText"/>
      </w:pPr>
      <w:r>
        <w:rPr>
          <w:rStyle w:val="FootnoteReference"/>
        </w:rPr>
        <w:footnoteRef/>
      </w:r>
      <w:r>
        <w:t xml:space="preserve"> “Iowa-type Curves” are a widely-</w:t>
      </w:r>
      <w:r w:rsidRPr="00D80B56">
        <w:t>used group of generalized s</w:t>
      </w:r>
      <w:r>
        <w:t>urvivor curves that contain the</w:t>
      </w:r>
      <w:r w:rsidRPr="00D80B56">
        <w:t xml:space="preserve"> range of survivor characteristic</w:t>
      </w:r>
      <w:r>
        <w:t>s usually experienced by public utilities, as well as</w:t>
      </w:r>
      <w:r w:rsidRPr="00D80B56">
        <w:t xml:space="preserve"> companies</w:t>
      </w:r>
      <w:r>
        <w:t xml:space="preserve"> in other industries</w:t>
      </w:r>
      <w:r w:rsidRPr="00D80B56">
        <w:t>.</w:t>
      </w:r>
    </w:p>
  </w:footnote>
  <w:footnote w:id="5">
    <w:p w:rsidR="00DD3393" w:rsidRDefault="00DD3393">
      <w:pPr>
        <w:pStyle w:val="FootnoteText"/>
      </w:pPr>
      <w:r>
        <w:rPr>
          <w:rStyle w:val="FootnoteReference"/>
        </w:rPr>
        <w:footnoteRef/>
      </w:r>
      <w:r>
        <w:t xml:space="preserve"> </w:t>
      </w:r>
      <w:proofErr w:type="gramStart"/>
      <w:r w:rsidRPr="00434055">
        <w:t>Order No.</w:t>
      </w:r>
      <w:proofErr w:type="gramEnd"/>
      <w:r w:rsidRPr="00434055">
        <w:t xml:space="preserve"> PSC-13-0366-PAA-GU, issued August 8, 2013, in Docket No. 130130-GU, </w:t>
      </w:r>
      <w:r w:rsidRPr="00434055">
        <w:rPr>
          <w:u w:val="single"/>
        </w:rPr>
        <w:t xml:space="preserve">In re: Petition for approval of special contract with the Florida Department of Corrections - </w:t>
      </w:r>
      <w:proofErr w:type="spellStart"/>
      <w:r w:rsidRPr="00434055">
        <w:rPr>
          <w:u w:val="single"/>
        </w:rPr>
        <w:t>DeSoto</w:t>
      </w:r>
      <w:proofErr w:type="spellEnd"/>
      <w:r w:rsidRPr="00434055">
        <w:rPr>
          <w:u w:val="single"/>
        </w:rPr>
        <w:t xml:space="preserve"> Correctional Institution, by Sebring Gas System, Inc</w:t>
      </w:r>
      <w:r w:rsidRPr="00434055">
        <w:t>.</w:t>
      </w:r>
      <w:r>
        <w:t xml:space="preserve">, and </w:t>
      </w:r>
      <w:r w:rsidRPr="00434055">
        <w:t xml:space="preserve">Order No. PSC-13-0367-PAA-GU, issued August 8, 2013, in Docket No. 130079-GU, </w:t>
      </w:r>
      <w:r w:rsidRPr="00DD3393">
        <w:rPr>
          <w:u w:val="single"/>
        </w:rPr>
        <w:t>I</w:t>
      </w:r>
      <w:r w:rsidRPr="007F4C3A">
        <w:rPr>
          <w:u w:val="single"/>
        </w:rPr>
        <w:t>n re: Petition for approval of special contract with the Florida Department of Corrections, by Sebring Gas System, Inc</w:t>
      </w:r>
      <w:r w:rsidRPr="00434055">
        <w:t>.</w:t>
      </w:r>
    </w:p>
  </w:footnote>
  <w:footnote w:id="6">
    <w:p w:rsidR="00DD3393" w:rsidRDefault="00DD3393">
      <w:pPr>
        <w:pStyle w:val="FootnoteText"/>
      </w:pPr>
      <w:r>
        <w:rPr>
          <w:rStyle w:val="FootnoteReference"/>
        </w:rPr>
        <w:footnoteRef/>
      </w:r>
      <w:r>
        <w:t xml:space="preserve"> </w:t>
      </w:r>
      <w:proofErr w:type="gramStart"/>
      <w:r w:rsidRPr="003D3D58">
        <w:t xml:space="preserve">Sebring’s Responses to </w:t>
      </w:r>
      <w:r>
        <w:t>Staff’s First Data Request, No. 7.</w:t>
      </w:r>
      <w:proofErr w:type="gramEnd"/>
    </w:p>
  </w:footnote>
  <w:footnote w:id="7">
    <w:p w:rsidR="00DD3393" w:rsidRDefault="00DD3393">
      <w:pPr>
        <w:pStyle w:val="FootnoteText"/>
      </w:pPr>
      <w:r>
        <w:rPr>
          <w:rStyle w:val="FootnoteReference"/>
        </w:rPr>
        <w:footnoteRef/>
      </w:r>
      <w:r>
        <w:t xml:space="preserve"> </w:t>
      </w:r>
      <w:proofErr w:type="gramStart"/>
      <w:r w:rsidRPr="00E01864">
        <w:t>Order No.</w:t>
      </w:r>
      <w:proofErr w:type="gramEnd"/>
      <w:r w:rsidRPr="00E01864">
        <w:t xml:space="preserve"> </w:t>
      </w:r>
      <w:proofErr w:type="gramStart"/>
      <w:r w:rsidRPr="00E01864">
        <w:t>PSC-12-0043-PAA-GU</w:t>
      </w:r>
      <w:r>
        <w:t>.</w:t>
      </w:r>
      <w:proofErr w:type="gramEnd"/>
    </w:p>
  </w:footnote>
  <w:footnote w:id="8">
    <w:p w:rsidR="00DD3393" w:rsidRDefault="00DD3393">
      <w:pPr>
        <w:pStyle w:val="FootnoteText"/>
      </w:pPr>
      <w:r>
        <w:rPr>
          <w:rStyle w:val="FootnoteReference"/>
        </w:rPr>
        <w:footnoteRef/>
      </w:r>
      <w:r>
        <w:t xml:space="preserve"> </w:t>
      </w:r>
      <w:r w:rsidRPr="00DD3393">
        <w:rPr>
          <w:u w:val="single"/>
        </w:rPr>
        <w:t>Id</w:t>
      </w:r>
      <w:r w:rsidRPr="00EB307D">
        <w:t>.</w:t>
      </w:r>
    </w:p>
  </w:footnote>
  <w:footnote w:id="9">
    <w:p w:rsidR="00DD3393" w:rsidRDefault="00DD3393" w:rsidP="007F07CB">
      <w:pPr>
        <w:pStyle w:val="FootnoteText"/>
      </w:pPr>
      <w:r>
        <w:rPr>
          <w:rStyle w:val="FootnoteReference"/>
        </w:rPr>
        <w:footnoteRef/>
      </w:r>
      <w:r>
        <w:t xml:space="preserve"> </w:t>
      </w:r>
      <w:proofErr w:type="gramStart"/>
      <w:r w:rsidRPr="00A76ED2">
        <w:t>Order No.</w:t>
      </w:r>
      <w:proofErr w:type="gramEnd"/>
      <w:r w:rsidRPr="00A76ED2">
        <w:t xml:space="preserve"> PSC-04-1260-PAA-GU, issued December 20, 2004, in Docket No. </w:t>
      </w:r>
      <w:bookmarkStart w:id="17" w:name="SSDocketNo"/>
      <w:bookmarkEnd w:id="17"/>
      <w:r w:rsidRPr="00A76ED2">
        <w:t xml:space="preserve">040270-GU, </w:t>
      </w:r>
      <w:r w:rsidRPr="00A76ED2">
        <w:rPr>
          <w:u w:val="single"/>
        </w:rPr>
        <w:t>In re: Application for rate increase by Sebring Gas System, Inc</w:t>
      </w:r>
      <w:r w:rsidRPr="00A76ED2">
        <w:t>.</w:t>
      </w:r>
    </w:p>
  </w:footnote>
  <w:footnote w:id="10">
    <w:p w:rsidR="00DD3393" w:rsidRDefault="00DD3393" w:rsidP="00396363">
      <w:pPr>
        <w:pStyle w:val="FootnoteText"/>
      </w:pPr>
      <w:r>
        <w:rPr>
          <w:rStyle w:val="FootnoteReference"/>
        </w:rPr>
        <w:footnoteRef/>
      </w:r>
      <w:r>
        <w:t xml:space="preserve"> </w:t>
      </w:r>
      <w:r w:rsidRPr="007F07CB">
        <w:t>Sebring’s Response</w:t>
      </w:r>
      <w:r>
        <w:t>s</w:t>
      </w:r>
      <w:r w:rsidRPr="007F07CB">
        <w:t xml:space="preserve"> to</w:t>
      </w:r>
      <w:r>
        <w:t xml:space="preserve"> Staff’s First Data Request No. </w:t>
      </w:r>
      <w:proofErr w:type="gramStart"/>
      <w:r>
        <w:t>1,</w:t>
      </w:r>
      <w:proofErr w:type="gramEnd"/>
      <w:r>
        <w:t xml:space="preserve"> and </w:t>
      </w:r>
      <w:r w:rsidRPr="007F07CB">
        <w:t>Sebring’s Responses to 2016 Depreciation Study Staff Report</w:t>
      </w:r>
      <w:r>
        <w:t>, No. 1.</w:t>
      </w:r>
    </w:p>
  </w:footnote>
  <w:footnote w:id="11">
    <w:p w:rsidR="00DD3393" w:rsidRDefault="00DD3393" w:rsidP="005718D6">
      <w:pPr>
        <w:pStyle w:val="FootnoteText"/>
      </w:pPr>
      <w:r>
        <w:rPr>
          <w:rStyle w:val="FootnoteReference"/>
        </w:rPr>
        <w:footnoteRef/>
      </w:r>
      <w:r>
        <w:t xml:space="preserve"> Rule </w:t>
      </w:r>
      <w:r w:rsidRPr="006272B2">
        <w:t>25-7.0461</w:t>
      </w:r>
      <w:r>
        <w:t>, F.A.C.,</w:t>
      </w:r>
      <w:r w:rsidRPr="006272B2">
        <w:t xml:space="preserve"> </w:t>
      </w:r>
      <w:r>
        <w:t xml:space="preserve">and the </w:t>
      </w:r>
      <w:r w:rsidRPr="00F46515">
        <w:t>Federal Energy Regulatory Commission</w:t>
      </w:r>
      <w:r>
        <w:t xml:space="preserve"> </w:t>
      </w:r>
      <w:r w:rsidRPr="00F46515">
        <w:t>Uniform System of Accounts</w:t>
      </w:r>
      <w:r>
        <w:t>,</w:t>
      </w:r>
      <w:r w:rsidRPr="00F46515">
        <w:t xml:space="preserve"> prescribed by the Code of Federal Regulations, Title 18, Subchapter F, Part 201 (2013)</w:t>
      </w:r>
      <w:r>
        <w:t>.</w:t>
      </w:r>
    </w:p>
  </w:footnote>
  <w:footnote w:id="12">
    <w:p w:rsidR="00DD3393" w:rsidRDefault="00DD3393">
      <w:pPr>
        <w:pStyle w:val="FootnoteText"/>
      </w:pPr>
      <w:r>
        <w:rPr>
          <w:rStyle w:val="FootnoteReference"/>
        </w:rPr>
        <w:footnoteRef/>
      </w:r>
      <w:r>
        <w:t xml:space="preserve"> </w:t>
      </w:r>
      <w:proofErr w:type="gramStart"/>
      <w:r>
        <w:t>S</w:t>
      </w:r>
      <w:r w:rsidRPr="002A52AF">
        <w:t>ebring’s Responses to Staff’s First Data Request,</w:t>
      </w:r>
      <w:r>
        <w:t xml:space="preserve"> No. 8</w:t>
      </w:r>
      <w:r w:rsidRPr="002A52AF">
        <w:t>.</w:t>
      </w:r>
      <w:proofErr w:type="gramEnd"/>
    </w:p>
  </w:footnote>
  <w:footnote w:id="13">
    <w:p w:rsidR="00DD3393" w:rsidRDefault="00DD3393" w:rsidP="00EA5A95">
      <w:pPr>
        <w:pStyle w:val="FootnoteText"/>
      </w:pPr>
      <w:r>
        <w:rPr>
          <w:rStyle w:val="FootnoteReference"/>
        </w:rPr>
        <w:footnoteRef/>
      </w:r>
      <w:r>
        <w:t xml:space="preserve"> 26 USC §§168(f</w:t>
      </w:r>
      <w:proofErr w:type="gramStart"/>
      <w:r>
        <w:t>)(</w:t>
      </w:r>
      <w:proofErr w:type="gramEnd"/>
      <w:r>
        <w:t>2) and (</w:t>
      </w:r>
      <w:proofErr w:type="spellStart"/>
      <w:r>
        <w:t>i</w:t>
      </w:r>
      <w:proofErr w:type="spellEnd"/>
      <w:r>
        <w:t>)(9).</w:t>
      </w:r>
    </w:p>
  </w:footnote>
  <w:footnote w:id="14">
    <w:p w:rsidR="00DD3393" w:rsidRDefault="00DD3393" w:rsidP="00EA5A95">
      <w:pPr>
        <w:pStyle w:val="FootnoteText"/>
      </w:pPr>
      <w:r>
        <w:rPr>
          <w:rStyle w:val="FootnoteReference"/>
        </w:rPr>
        <w:footnoteRef/>
      </w:r>
      <w:r>
        <w:t xml:space="preserve"> Former </w:t>
      </w:r>
      <w:r w:rsidRPr="008D7C15">
        <w:t>26 USC §167(l</w:t>
      </w:r>
      <w:proofErr w:type="gramStart"/>
      <w:r w:rsidRPr="008D7C15">
        <w:t>)</w:t>
      </w:r>
      <w:r w:rsidRPr="00F34F5E">
        <w:t xml:space="preserve"> </w:t>
      </w:r>
      <w:r>
        <w:t>,</w:t>
      </w:r>
      <w:proofErr w:type="gramEnd"/>
      <w:r>
        <w:t xml:space="preserve"> repealed by Revenue Reconciliation Act of 1990, Pub. L. No</w:t>
      </w:r>
      <w:r w:rsidRPr="008D7C15">
        <w:t>.</w:t>
      </w:r>
      <w:r>
        <w:t xml:space="preserve"> 101-508, </w:t>
      </w:r>
      <w:r w:rsidRPr="008D7C15">
        <w:t>§</w:t>
      </w:r>
      <w:r>
        <w:t>11812(a</w:t>
      </w:r>
      <w:proofErr w:type="gramStart"/>
      <w:r>
        <w:t>)(</w:t>
      </w:r>
      <w:proofErr w:type="gramEnd"/>
      <w:r>
        <w:t>1-2)(1990).</w:t>
      </w:r>
    </w:p>
  </w:footnote>
  <w:footnote w:id="15">
    <w:p w:rsidR="00DD3393" w:rsidRDefault="00DD3393" w:rsidP="00EA5A95">
      <w:pPr>
        <w:pStyle w:val="FootnoteText"/>
      </w:pPr>
      <w:r>
        <w:rPr>
          <w:rStyle w:val="FootnoteReference"/>
        </w:rPr>
        <w:footnoteRef/>
      </w:r>
      <w:r>
        <w:t xml:space="preserve"> Under IRC Section 50(d)(2), the terms of former IRC section 167(l) remain applicable to public utility property for which a regulated utility previously claimed ITCs, which is the case here. (I.R.S. Priv. </w:t>
      </w:r>
      <w:proofErr w:type="spellStart"/>
      <w:r>
        <w:t>Ltr</w:t>
      </w:r>
      <w:proofErr w:type="spellEnd"/>
      <w:r>
        <w:t>. Rul. 200933023, 1n.1 (May 7, 2009)).</w:t>
      </w:r>
    </w:p>
  </w:footnote>
  <w:footnote w:id="16">
    <w:p w:rsidR="00DD3393" w:rsidRDefault="00DD3393" w:rsidP="00EA5A95">
      <w:pPr>
        <w:pStyle w:val="FootnoteText"/>
      </w:pPr>
      <w:r>
        <w:rPr>
          <w:rStyle w:val="FootnoteReference"/>
        </w:rPr>
        <w:footnoteRef/>
      </w:r>
      <w:r>
        <w:t xml:space="preserve"> </w:t>
      </w:r>
      <w:proofErr w:type="gramStart"/>
      <w:r>
        <w:t xml:space="preserve">Former </w:t>
      </w:r>
      <w:r w:rsidRPr="008D7C15">
        <w:t>26 USC §46(f)</w:t>
      </w:r>
      <w:r>
        <w:t>, repealed by Revenue Reconciliation Act of 1990, Pub.</w:t>
      </w:r>
      <w:proofErr w:type="gramEnd"/>
      <w:r>
        <w:t xml:space="preserve"> </w:t>
      </w:r>
      <w:proofErr w:type="gramStart"/>
      <w:r>
        <w:t>L. No</w:t>
      </w:r>
      <w:r w:rsidRPr="008D7C15">
        <w:t>.</w:t>
      </w:r>
      <w:r>
        <w:t xml:space="preserve"> 101-508, </w:t>
      </w:r>
      <w:r w:rsidRPr="008D7C15">
        <w:t>§</w:t>
      </w:r>
      <w:r>
        <w:t>11813(1990).</w:t>
      </w:r>
      <w:proofErr w:type="gramEnd"/>
    </w:p>
  </w:footnote>
  <w:footnote w:id="17">
    <w:p w:rsidR="00DD3393" w:rsidRDefault="00DD3393" w:rsidP="00EA5A95">
      <w:pPr>
        <w:pStyle w:val="FootnoteText"/>
      </w:pPr>
      <w:r>
        <w:rPr>
          <w:rStyle w:val="FootnoteReference"/>
        </w:rPr>
        <w:footnoteRef/>
      </w:r>
      <w:r>
        <w:t xml:space="preserve"> Under IRC Section 50(d)(2), the terms of former IRC section 46(f) remain applicable to public utility property for which a regulated utility previously claimed ITCs, which is the case here. (I.R.S. Priv. </w:t>
      </w:r>
      <w:proofErr w:type="spellStart"/>
      <w:r>
        <w:t>Ltr</w:t>
      </w:r>
      <w:proofErr w:type="spellEnd"/>
      <w:r>
        <w:t>. Rul. 200933023, 1n.1 (May 7, 2009)).</w:t>
      </w:r>
    </w:p>
  </w:footnote>
  <w:footnote w:id="18">
    <w:p w:rsidR="00DD3393" w:rsidRDefault="00DD3393" w:rsidP="00EA5A95">
      <w:pPr>
        <w:pStyle w:val="FootnoteText"/>
      </w:pPr>
      <w:r>
        <w:rPr>
          <w:rStyle w:val="FootnoteReference"/>
        </w:rPr>
        <w:footnoteRef/>
      </w:r>
      <w:r>
        <w:t xml:space="preserve"> </w:t>
      </w:r>
      <w:proofErr w:type="gramStart"/>
      <w:r>
        <w:t>Treas. Reg. §1.168; Treas. Reg. §1.167; Treas. Reg. §1.46.</w:t>
      </w:r>
      <w:proofErr w:type="gramEnd"/>
    </w:p>
  </w:footnote>
  <w:footnote w:id="19">
    <w:p w:rsidR="00DD3393" w:rsidRDefault="00DD3393" w:rsidP="00EA5A95">
      <w:pPr>
        <w:pStyle w:val="FootnoteText"/>
      </w:pPr>
      <w:r>
        <w:rPr>
          <w:rStyle w:val="FootnoteReference"/>
        </w:rPr>
        <w:footnoteRef/>
      </w:r>
      <w:r>
        <w:t xml:space="preserve"> Tax Reform Act of 1986, Pub. L. No. 99-514 (100 Stat. 2085, 2146</w:t>
      </w:r>
      <w:proofErr w:type="gramStart"/>
      <w:r>
        <w:t>)(</w:t>
      </w:r>
      <w:proofErr w:type="gramEnd"/>
      <w:r>
        <w:t>1986).</w:t>
      </w:r>
    </w:p>
  </w:footnote>
  <w:footnote w:id="20">
    <w:p w:rsidR="00DD3393" w:rsidRDefault="00DD3393" w:rsidP="00EA5A95">
      <w:pPr>
        <w:pStyle w:val="FootnoteText"/>
      </w:pPr>
      <w:r>
        <w:rPr>
          <w:rStyle w:val="FootnoteReference"/>
        </w:rPr>
        <w:footnoteRef/>
      </w:r>
      <w:r>
        <w:t xml:space="preserve"> Former 26 USC §46(f</w:t>
      </w:r>
      <w:proofErr w:type="gramStart"/>
      <w:r>
        <w:t>)(</w:t>
      </w:r>
      <w:proofErr w:type="gramEnd"/>
      <w:r>
        <w:t>6) (establishing proper determination of ratable portion).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93" w:rsidRDefault="00DD3393" w:rsidP="00220732">
    <w:pPr>
      <w:pStyle w:val="Header"/>
      <w:tabs>
        <w:tab w:val="clear" w:pos="4320"/>
        <w:tab w:val="clear" w:pos="8640"/>
        <w:tab w:val="right" w:pos="9360"/>
      </w:tabs>
    </w:pPr>
    <w:bookmarkStart w:id="14" w:name="DocketLabel"/>
    <w:r>
      <w:t>Docket No.</w:t>
    </w:r>
    <w:bookmarkEnd w:id="14"/>
    <w:r>
      <w:t xml:space="preserve"> </w:t>
    </w:r>
    <w:bookmarkStart w:id="15" w:name="DocketList"/>
    <w:r>
      <w:t>160174-GU</w:t>
    </w:r>
    <w:bookmarkEnd w:id="15"/>
  </w:p>
  <w:p w:rsidR="00DD3393" w:rsidRDefault="00DD3393">
    <w:pPr>
      <w:pStyle w:val="Header"/>
    </w:pPr>
    <w:r>
      <w:t xml:space="preserve">Date: </w:t>
    </w:r>
    <w:r w:rsidR="001336AD">
      <w:fldChar w:fldCharType="begin"/>
    </w:r>
    <w:r w:rsidR="001336AD">
      <w:instrText xml:space="preserve"> REF FilingDate </w:instrText>
    </w:r>
    <w:r w:rsidR="001336AD">
      <w:fldChar w:fldCharType="separate"/>
    </w:r>
    <w:r w:rsidR="00537A16">
      <w:t>November 22, 2016</w:t>
    </w:r>
    <w:r w:rsidR="001336AD">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93" w:rsidRDefault="00DD33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93" w:rsidRDefault="00DD3393" w:rsidP="00220732">
    <w:pPr>
      <w:pStyle w:val="Header"/>
      <w:tabs>
        <w:tab w:val="clear" w:pos="4320"/>
        <w:tab w:val="clear" w:pos="8640"/>
        <w:tab w:val="right" w:pos="9360"/>
      </w:tabs>
    </w:pPr>
    <w:r>
      <w:fldChar w:fldCharType="begin"/>
    </w:r>
    <w:r>
      <w:instrText xml:space="preserve"> REF DocketLabel</w:instrText>
    </w:r>
    <w:r>
      <w:fldChar w:fldCharType="separate"/>
    </w:r>
    <w:r w:rsidR="00537A16">
      <w:t>Docket No.</w:t>
    </w:r>
    <w:r>
      <w:fldChar w:fldCharType="end"/>
    </w:r>
    <w:r>
      <w:t xml:space="preserve"> </w:t>
    </w:r>
    <w:r>
      <w:fldChar w:fldCharType="begin"/>
    </w:r>
    <w:r>
      <w:instrText xml:space="preserve"> REF DocketList</w:instrText>
    </w:r>
    <w:r>
      <w:fldChar w:fldCharType="separate"/>
    </w:r>
    <w:r w:rsidR="00537A16">
      <w:t>160174-GU</w:t>
    </w:r>
    <w:r>
      <w:fldChar w:fldCharType="end"/>
    </w:r>
    <w:r>
      <w:tab/>
      <w:t xml:space="preserve">Issue </w:t>
    </w:r>
    <w:r w:rsidR="001336AD">
      <w:fldChar w:fldCharType="begin"/>
    </w:r>
    <w:r w:rsidR="001336AD">
      <w:instrText xml:space="preserve"> Seq Issue \c \* Arabic </w:instrText>
    </w:r>
    <w:r w:rsidR="001336AD">
      <w:fldChar w:fldCharType="separate"/>
    </w:r>
    <w:r w:rsidR="00F16C84">
      <w:rPr>
        <w:noProof/>
      </w:rPr>
      <w:t>5</w:t>
    </w:r>
    <w:r w:rsidR="001336AD">
      <w:rPr>
        <w:noProof/>
      </w:rPr>
      <w:fldChar w:fldCharType="end"/>
    </w:r>
  </w:p>
  <w:p w:rsidR="00DD3393" w:rsidRDefault="00DD3393">
    <w:pPr>
      <w:pStyle w:val="Header"/>
    </w:pPr>
    <w:r>
      <w:t xml:space="preserve">Date: </w:t>
    </w:r>
    <w:r w:rsidR="001336AD">
      <w:fldChar w:fldCharType="begin"/>
    </w:r>
    <w:r w:rsidR="001336AD">
      <w:instrText xml:space="preserve"> REF FilingDate </w:instrText>
    </w:r>
    <w:r w:rsidR="001336AD">
      <w:fldChar w:fldCharType="separate"/>
    </w:r>
    <w:r w:rsidR="00537A16">
      <w:t>November 22, 2016</w:t>
    </w:r>
    <w:r w:rsidR="001336AD">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93" w:rsidRDefault="00DD339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93" w:rsidRDefault="00DD339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93" w:rsidRDefault="00DD3393" w:rsidP="00220732">
    <w:pPr>
      <w:pStyle w:val="Header"/>
      <w:tabs>
        <w:tab w:val="clear" w:pos="4320"/>
        <w:tab w:val="clear" w:pos="8640"/>
        <w:tab w:val="right" w:pos="9360"/>
      </w:tabs>
    </w:pPr>
    <w:r>
      <w:fldChar w:fldCharType="begin"/>
    </w:r>
    <w:r>
      <w:instrText xml:space="preserve"> REF DocketLabel</w:instrText>
    </w:r>
    <w:r>
      <w:fldChar w:fldCharType="separate"/>
    </w:r>
    <w:r w:rsidR="00537A16">
      <w:t>Docket No.</w:t>
    </w:r>
    <w:r>
      <w:fldChar w:fldCharType="end"/>
    </w:r>
    <w:r>
      <w:t xml:space="preserve"> </w:t>
    </w:r>
    <w:r>
      <w:fldChar w:fldCharType="begin"/>
    </w:r>
    <w:r>
      <w:instrText xml:space="preserve"> REF DocketList</w:instrText>
    </w:r>
    <w:r>
      <w:fldChar w:fldCharType="separate"/>
    </w:r>
    <w:r w:rsidR="00537A16">
      <w:t>160174-GU</w:t>
    </w:r>
    <w:r>
      <w:fldChar w:fldCharType="end"/>
    </w:r>
    <w:r>
      <w:tab/>
    </w:r>
  </w:p>
  <w:p w:rsidR="00DD3393" w:rsidRDefault="00DD3393">
    <w:pPr>
      <w:pStyle w:val="Header"/>
    </w:pPr>
    <w:r>
      <w:t xml:space="preserve">Date: </w:t>
    </w:r>
    <w:r w:rsidR="001336AD">
      <w:fldChar w:fldCharType="begin"/>
    </w:r>
    <w:r w:rsidR="001336AD">
      <w:instrText xml:space="preserve"> REF FilingDate </w:instrText>
    </w:r>
    <w:r w:rsidR="001336AD">
      <w:fldChar w:fldCharType="separate"/>
    </w:r>
    <w:r w:rsidR="00537A16">
      <w:t>November 22, 2016</w:t>
    </w:r>
    <w:r w:rsidR="001336AD">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93" w:rsidRDefault="00DD33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7ED15E6"/>
    <w:multiLevelType w:val="hybridMultilevel"/>
    <w:tmpl w:val="BE3EC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34769"/>
    <w:rsid w:val="00005192"/>
    <w:rsid w:val="0000615E"/>
    <w:rsid w:val="000078BA"/>
    <w:rsid w:val="00010E37"/>
    <w:rsid w:val="00017A6B"/>
    <w:rsid w:val="000247C5"/>
    <w:rsid w:val="000277C2"/>
    <w:rsid w:val="000332B6"/>
    <w:rsid w:val="00035B48"/>
    <w:rsid w:val="00036CE2"/>
    <w:rsid w:val="00041764"/>
    <w:rsid w:val="000437FE"/>
    <w:rsid w:val="000513BE"/>
    <w:rsid w:val="00065A06"/>
    <w:rsid w:val="000666F3"/>
    <w:rsid w:val="00070DCB"/>
    <w:rsid w:val="00073120"/>
    <w:rsid w:val="000764D0"/>
    <w:rsid w:val="000828D3"/>
    <w:rsid w:val="00094828"/>
    <w:rsid w:val="000A2B57"/>
    <w:rsid w:val="000A418B"/>
    <w:rsid w:val="000C4431"/>
    <w:rsid w:val="000D4319"/>
    <w:rsid w:val="000E7D0A"/>
    <w:rsid w:val="000F013B"/>
    <w:rsid w:val="000F368C"/>
    <w:rsid w:val="000F374A"/>
    <w:rsid w:val="00117C8C"/>
    <w:rsid w:val="00117F6A"/>
    <w:rsid w:val="00124E2E"/>
    <w:rsid w:val="00125ED4"/>
    <w:rsid w:val="001305E9"/>
    <w:rsid w:val="001307AF"/>
    <w:rsid w:val="00135687"/>
    <w:rsid w:val="00136F72"/>
    <w:rsid w:val="00152066"/>
    <w:rsid w:val="00154B41"/>
    <w:rsid w:val="0015506E"/>
    <w:rsid w:val="001554E7"/>
    <w:rsid w:val="00156555"/>
    <w:rsid w:val="00157263"/>
    <w:rsid w:val="0016274F"/>
    <w:rsid w:val="00163031"/>
    <w:rsid w:val="00165E8A"/>
    <w:rsid w:val="00171A90"/>
    <w:rsid w:val="00180254"/>
    <w:rsid w:val="0018662F"/>
    <w:rsid w:val="00191E1F"/>
    <w:rsid w:val="00192943"/>
    <w:rsid w:val="00194129"/>
    <w:rsid w:val="001A7406"/>
    <w:rsid w:val="001B4FEE"/>
    <w:rsid w:val="001B51C5"/>
    <w:rsid w:val="001B6F3F"/>
    <w:rsid w:val="001C2D5E"/>
    <w:rsid w:val="001C52B5"/>
    <w:rsid w:val="001C55D7"/>
    <w:rsid w:val="001D0D3E"/>
    <w:rsid w:val="001E36A8"/>
    <w:rsid w:val="001E5EDC"/>
    <w:rsid w:val="001F2245"/>
    <w:rsid w:val="001F6DA1"/>
    <w:rsid w:val="002044E6"/>
    <w:rsid w:val="00205C82"/>
    <w:rsid w:val="00205DC2"/>
    <w:rsid w:val="002068CA"/>
    <w:rsid w:val="00212B17"/>
    <w:rsid w:val="002163B6"/>
    <w:rsid w:val="00220732"/>
    <w:rsid w:val="00221D32"/>
    <w:rsid w:val="00225C3F"/>
    <w:rsid w:val="002330AB"/>
    <w:rsid w:val="00233BBD"/>
    <w:rsid w:val="002622C3"/>
    <w:rsid w:val="00263D44"/>
    <w:rsid w:val="0026427F"/>
    <w:rsid w:val="002652A7"/>
    <w:rsid w:val="002702AD"/>
    <w:rsid w:val="00292D82"/>
    <w:rsid w:val="00293979"/>
    <w:rsid w:val="00294019"/>
    <w:rsid w:val="002963CB"/>
    <w:rsid w:val="002A52AF"/>
    <w:rsid w:val="002C0D94"/>
    <w:rsid w:val="002C7A9D"/>
    <w:rsid w:val="002D226D"/>
    <w:rsid w:val="002D722A"/>
    <w:rsid w:val="002F6030"/>
    <w:rsid w:val="00302718"/>
    <w:rsid w:val="003037E1"/>
    <w:rsid w:val="00307E51"/>
    <w:rsid w:val="003103EC"/>
    <w:rsid w:val="003144EF"/>
    <w:rsid w:val="00314A6D"/>
    <w:rsid w:val="00322F74"/>
    <w:rsid w:val="00340073"/>
    <w:rsid w:val="00341AEE"/>
    <w:rsid w:val="00372805"/>
    <w:rsid w:val="00372BE3"/>
    <w:rsid w:val="00373180"/>
    <w:rsid w:val="00375AB9"/>
    <w:rsid w:val="00381365"/>
    <w:rsid w:val="003821A0"/>
    <w:rsid w:val="003849A8"/>
    <w:rsid w:val="00385B04"/>
    <w:rsid w:val="003864CF"/>
    <w:rsid w:val="00396363"/>
    <w:rsid w:val="003A22A6"/>
    <w:rsid w:val="003A2CAF"/>
    <w:rsid w:val="003A5494"/>
    <w:rsid w:val="003B2510"/>
    <w:rsid w:val="003C2CC4"/>
    <w:rsid w:val="003C3944"/>
    <w:rsid w:val="003D3D58"/>
    <w:rsid w:val="003E0EFC"/>
    <w:rsid w:val="003E4459"/>
    <w:rsid w:val="003E4A2B"/>
    <w:rsid w:val="003E59B0"/>
    <w:rsid w:val="003E76C2"/>
    <w:rsid w:val="003F1679"/>
    <w:rsid w:val="003F4A35"/>
    <w:rsid w:val="003F7FDD"/>
    <w:rsid w:val="00402481"/>
    <w:rsid w:val="004042B4"/>
    <w:rsid w:val="00412DAE"/>
    <w:rsid w:val="00415CDF"/>
    <w:rsid w:val="00425AB8"/>
    <w:rsid w:val="00426963"/>
    <w:rsid w:val="00431598"/>
    <w:rsid w:val="00434055"/>
    <w:rsid w:val="00434769"/>
    <w:rsid w:val="004426B8"/>
    <w:rsid w:val="00444432"/>
    <w:rsid w:val="00471860"/>
    <w:rsid w:val="00486AA4"/>
    <w:rsid w:val="00490E12"/>
    <w:rsid w:val="004A3457"/>
    <w:rsid w:val="004B60BD"/>
    <w:rsid w:val="004C3150"/>
    <w:rsid w:val="004C3641"/>
    <w:rsid w:val="004C4390"/>
    <w:rsid w:val="004C4AF7"/>
    <w:rsid w:val="004D0807"/>
    <w:rsid w:val="004D0BE9"/>
    <w:rsid w:val="004D2881"/>
    <w:rsid w:val="004D3718"/>
    <w:rsid w:val="004D385F"/>
    <w:rsid w:val="004D5B39"/>
    <w:rsid w:val="004E330D"/>
    <w:rsid w:val="004E5147"/>
    <w:rsid w:val="004F28F3"/>
    <w:rsid w:val="0050652D"/>
    <w:rsid w:val="00506C03"/>
    <w:rsid w:val="00510C8F"/>
    <w:rsid w:val="00516496"/>
    <w:rsid w:val="0052459B"/>
    <w:rsid w:val="0052572A"/>
    <w:rsid w:val="00532322"/>
    <w:rsid w:val="00537A16"/>
    <w:rsid w:val="00543CB3"/>
    <w:rsid w:val="0055456B"/>
    <w:rsid w:val="00560FF0"/>
    <w:rsid w:val="005614BD"/>
    <w:rsid w:val="0057154F"/>
    <w:rsid w:val="005718D6"/>
    <w:rsid w:val="00581CA3"/>
    <w:rsid w:val="00587A44"/>
    <w:rsid w:val="00596D4F"/>
    <w:rsid w:val="00597730"/>
    <w:rsid w:val="005977EC"/>
    <w:rsid w:val="00597DE7"/>
    <w:rsid w:val="005A38C3"/>
    <w:rsid w:val="005A4AA2"/>
    <w:rsid w:val="005B34B6"/>
    <w:rsid w:val="005B6911"/>
    <w:rsid w:val="005B6C8F"/>
    <w:rsid w:val="005D0F74"/>
    <w:rsid w:val="005D2E7D"/>
    <w:rsid w:val="005D4A8F"/>
    <w:rsid w:val="005D561B"/>
    <w:rsid w:val="005E3214"/>
    <w:rsid w:val="005E6213"/>
    <w:rsid w:val="005F468D"/>
    <w:rsid w:val="005F69A3"/>
    <w:rsid w:val="006015A8"/>
    <w:rsid w:val="00615423"/>
    <w:rsid w:val="006165B2"/>
    <w:rsid w:val="00617276"/>
    <w:rsid w:val="00625D97"/>
    <w:rsid w:val="00625F1C"/>
    <w:rsid w:val="00630CEB"/>
    <w:rsid w:val="00632264"/>
    <w:rsid w:val="006457C3"/>
    <w:rsid w:val="006470BC"/>
    <w:rsid w:val="00667036"/>
    <w:rsid w:val="00673BDB"/>
    <w:rsid w:val="006771B8"/>
    <w:rsid w:val="006843B6"/>
    <w:rsid w:val="0068481F"/>
    <w:rsid w:val="00696F5D"/>
    <w:rsid w:val="00697249"/>
    <w:rsid w:val="006A497B"/>
    <w:rsid w:val="006B22DD"/>
    <w:rsid w:val="006B331E"/>
    <w:rsid w:val="006B3947"/>
    <w:rsid w:val="006B4293"/>
    <w:rsid w:val="006B6087"/>
    <w:rsid w:val="006B624F"/>
    <w:rsid w:val="006C1579"/>
    <w:rsid w:val="006C31E3"/>
    <w:rsid w:val="006C71D6"/>
    <w:rsid w:val="006D18D3"/>
    <w:rsid w:val="006D610C"/>
    <w:rsid w:val="006E08CB"/>
    <w:rsid w:val="006E598D"/>
    <w:rsid w:val="006F7E24"/>
    <w:rsid w:val="0070437D"/>
    <w:rsid w:val="00705565"/>
    <w:rsid w:val="00705B04"/>
    <w:rsid w:val="00734820"/>
    <w:rsid w:val="007349DC"/>
    <w:rsid w:val="0074365E"/>
    <w:rsid w:val="007515FD"/>
    <w:rsid w:val="00760D80"/>
    <w:rsid w:val="0076592F"/>
    <w:rsid w:val="00780C09"/>
    <w:rsid w:val="00780DDF"/>
    <w:rsid w:val="007834E9"/>
    <w:rsid w:val="00787DBC"/>
    <w:rsid w:val="00792935"/>
    <w:rsid w:val="007A04A1"/>
    <w:rsid w:val="007A1840"/>
    <w:rsid w:val="007A7D94"/>
    <w:rsid w:val="007B11E8"/>
    <w:rsid w:val="007B37B0"/>
    <w:rsid w:val="007C0528"/>
    <w:rsid w:val="007C1658"/>
    <w:rsid w:val="007C3D38"/>
    <w:rsid w:val="007D0F35"/>
    <w:rsid w:val="007D4FEB"/>
    <w:rsid w:val="007D6146"/>
    <w:rsid w:val="007E013B"/>
    <w:rsid w:val="007E0CE7"/>
    <w:rsid w:val="007F07CB"/>
    <w:rsid w:val="007F1193"/>
    <w:rsid w:val="007F417F"/>
    <w:rsid w:val="007F4C3A"/>
    <w:rsid w:val="008042BD"/>
    <w:rsid w:val="00816624"/>
    <w:rsid w:val="00822427"/>
    <w:rsid w:val="00822562"/>
    <w:rsid w:val="00823663"/>
    <w:rsid w:val="00824421"/>
    <w:rsid w:val="00832DDC"/>
    <w:rsid w:val="00846B71"/>
    <w:rsid w:val="00850BAC"/>
    <w:rsid w:val="00854A3E"/>
    <w:rsid w:val="00855D08"/>
    <w:rsid w:val="00874344"/>
    <w:rsid w:val="00882155"/>
    <w:rsid w:val="0088233B"/>
    <w:rsid w:val="0088599E"/>
    <w:rsid w:val="00886C37"/>
    <w:rsid w:val="00887C9D"/>
    <w:rsid w:val="008915DB"/>
    <w:rsid w:val="00892D99"/>
    <w:rsid w:val="00896134"/>
    <w:rsid w:val="0089650C"/>
    <w:rsid w:val="008B2371"/>
    <w:rsid w:val="008B62AE"/>
    <w:rsid w:val="008B6473"/>
    <w:rsid w:val="008C04B5"/>
    <w:rsid w:val="008C14FA"/>
    <w:rsid w:val="008C1AFA"/>
    <w:rsid w:val="008D4057"/>
    <w:rsid w:val="008E1F19"/>
    <w:rsid w:val="008F2262"/>
    <w:rsid w:val="008F7736"/>
    <w:rsid w:val="0090019E"/>
    <w:rsid w:val="00901086"/>
    <w:rsid w:val="00901C8A"/>
    <w:rsid w:val="00905886"/>
    <w:rsid w:val="009070D6"/>
    <w:rsid w:val="009076C6"/>
    <w:rsid w:val="0091019E"/>
    <w:rsid w:val="009106F1"/>
    <w:rsid w:val="009145D6"/>
    <w:rsid w:val="00920E64"/>
    <w:rsid w:val="00922002"/>
    <w:rsid w:val="00923C5F"/>
    <w:rsid w:val="00924020"/>
    <w:rsid w:val="00925B5B"/>
    <w:rsid w:val="009271A7"/>
    <w:rsid w:val="0093470F"/>
    <w:rsid w:val="0093658B"/>
    <w:rsid w:val="009429FF"/>
    <w:rsid w:val="00945BD6"/>
    <w:rsid w:val="009479FB"/>
    <w:rsid w:val="00951C45"/>
    <w:rsid w:val="009656F2"/>
    <w:rsid w:val="00966A08"/>
    <w:rsid w:val="00971207"/>
    <w:rsid w:val="00975CB4"/>
    <w:rsid w:val="00976587"/>
    <w:rsid w:val="009863B0"/>
    <w:rsid w:val="00987DE1"/>
    <w:rsid w:val="00990571"/>
    <w:rsid w:val="009954F2"/>
    <w:rsid w:val="0099673A"/>
    <w:rsid w:val="009A3330"/>
    <w:rsid w:val="009A7C96"/>
    <w:rsid w:val="009B5F29"/>
    <w:rsid w:val="009C2569"/>
    <w:rsid w:val="009C3DB9"/>
    <w:rsid w:val="009C4C5F"/>
    <w:rsid w:val="009D46E5"/>
    <w:rsid w:val="009D568A"/>
    <w:rsid w:val="009E5722"/>
    <w:rsid w:val="009F04EC"/>
    <w:rsid w:val="009F3B36"/>
    <w:rsid w:val="00A019B9"/>
    <w:rsid w:val="00A12508"/>
    <w:rsid w:val="00A1282B"/>
    <w:rsid w:val="00A13A27"/>
    <w:rsid w:val="00A175B6"/>
    <w:rsid w:val="00A21835"/>
    <w:rsid w:val="00A26197"/>
    <w:rsid w:val="00A27D6E"/>
    <w:rsid w:val="00A328EC"/>
    <w:rsid w:val="00A33A51"/>
    <w:rsid w:val="00A41CA6"/>
    <w:rsid w:val="00A47927"/>
    <w:rsid w:val="00A47FFC"/>
    <w:rsid w:val="00A512BB"/>
    <w:rsid w:val="00A51AAA"/>
    <w:rsid w:val="00A5442F"/>
    <w:rsid w:val="00A54FF9"/>
    <w:rsid w:val="00A56765"/>
    <w:rsid w:val="00A675AC"/>
    <w:rsid w:val="00A71E5D"/>
    <w:rsid w:val="00A74DA8"/>
    <w:rsid w:val="00A7581F"/>
    <w:rsid w:val="00A76ED2"/>
    <w:rsid w:val="00A80940"/>
    <w:rsid w:val="00A92FB1"/>
    <w:rsid w:val="00A95A0C"/>
    <w:rsid w:val="00AA2765"/>
    <w:rsid w:val="00AA77B5"/>
    <w:rsid w:val="00AB6C5D"/>
    <w:rsid w:val="00AC51A7"/>
    <w:rsid w:val="00AD444B"/>
    <w:rsid w:val="00AD478A"/>
    <w:rsid w:val="00AD6C78"/>
    <w:rsid w:val="00AD7517"/>
    <w:rsid w:val="00AE2EAB"/>
    <w:rsid w:val="00AF359B"/>
    <w:rsid w:val="00AF3D13"/>
    <w:rsid w:val="00AF5F89"/>
    <w:rsid w:val="00AF73CB"/>
    <w:rsid w:val="00B002D6"/>
    <w:rsid w:val="00B05B51"/>
    <w:rsid w:val="00B14E5A"/>
    <w:rsid w:val="00B15370"/>
    <w:rsid w:val="00B17BEB"/>
    <w:rsid w:val="00B21A3C"/>
    <w:rsid w:val="00B223C0"/>
    <w:rsid w:val="00B234ED"/>
    <w:rsid w:val="00B249B2"/>
    <w:rsid w:val="00B25CA3"/>
    <w:rsid w:val="00B465E5"/>
    <w:rsid w:val="00B57A6A"/>
    <w:rsid w:val="00B760F1"/>
    <w:rsid w:val="00B7669E"/>
    <w:rsid w:val="00B77DA1"/>
    <w:rsid w:val="00B81AC5"/>
    <w:rsid w:val="00BA0D55"/>
    <w:rsid w:val="00BA37B3"/>
    <w:rsid w:val="00BA3BAB"/>
    <w:rsid w:val="00BA4CC6"/>
    <w:rsid w:val="00BB2041"/>
    <w:rsid w:val="00BB3493"/>
    <w:rsid w:val="00BB7468"/>
    <w:rsid w:val="00BC188A"/>
    <w:rsid w:val="00BD378C"/>
    <w:rsid w:val="00BF5010"/>
    <w:rsid w:val="00C13791"/>
    <w:rsid w:val="00C31BB3"/>
    <w:rsid w:val="00C36977"/>
    <w:rsid w:val="00C4765E"/>
    <w:rsid w:val="00C477D9"/>
    <w:rsid w:val="00C51545"/>
    <w:rsid w:val="00C520A7"/>
    <w:rsid w:val="00C60BA3"/>
    <w:rsid w:val="00C623F7"/>
    <w:rsid w:val="00C73413"/>
    <w:rsid w:val="00C81670"/>
    <w:rsid w:val="00C81773"/>
    <w:rsid w:val="00C82861"/>
    <w:rsid w:val="00C86896"/>
    <w:rsid w:val="00C907A8"/>
    <w:rsid w:val="00C93211"/>
    <w:rsid w:val="00C942EC"/>
    <w:rsid w:val="00C94C7B"/>
    <w:rsid w:val="00C96047"/>
    <w:rsid w:val="00C979D0"/>
    <w:rsid w:val="00CA0818"/>
    <w:rsid w:val="00CA2C8F"/>
    <w:rsid w:val="00CA30DA"/>
    <w:rsid w:val="00CA3A24"/>
    <w:rsid w:val="00CB1777"/>
    <w:rsid w:val="00CB33E9"/>
    <w:rsid w:val="00CC10A9"/>
    <w:rsid w:val="00CC199C"/>
    <w:rsid w:val="00CD1597"/>
    <w:rsid w:val="00CE2BF8"/>
    <w:rsid w:val="00CE484E"/>
    <w:rsid w:val="00CF0DA8"/>
    <w:rsid w:val="00CF2E25"/>
    <w:rsid w:val="00CF4453"/>
    <w:rsid w:val="00CF5D94"/>
    <w:rsid w:val="00D034D7"/>
    <w:rsid w:val="00D04BE4"/>
    <w:rsid w:val="00D12565"/>
    <w:rsid w:val="00D14127"/>
    <w:rsid w:val="00D15CD8"/>
    <w:rsid w:val="00D22023"/>
    <w:rsid w:val="00D60F02"/>
    <w:rsid w:val="00D635D3"/>
    <w:rsid w:val="00D66E49"/>
    <w:rsid w:val="00D72F74"/>
    <w:rsid w:val="00D80B56"/>
    <w:rsid w:val="00D81563"/>
    <w:rsid w:val="00D85346"/>
    <w:rsid w:val="00D85907"/>
    <w:rsid w:val="00D9073E"/>
    <w:rsid w:val="00D9221D"/>
    <w:rsid w:val="00D958DF"/>
    <w:rsid w:val="00D96DA1"/>
    <w:rsid w:val="00DA51E7"/>
    <w:rsid w:val="00DB1C78"/>
    <w:rsid w:val="00DB7D96"/>
    <w:rsid w:val="00DC23FE"/>
    <w:rsid w:val="00DC578E"/>
    <w:rsid w:val="00DC59E6"/>
    <w:rsid w:val="00DD150B"/>
    <w:rsid w:val="00DD3393"/>
    <w:rsid w:val="00DD5025"/>
    <w:rsid w:val="00DF1510"/>
    <w:rsid w:val="00E01864"/>
    <w:rsid w:val="00E06484"/>
    <w:rsid w:val="00E15B52"/>
    <w:rsid w:val="00E20A7D"/>
    <w:rsid w:val="00E265AD"/>
    <w:rsid w:val="00E275D8"/>
    <w:rsid w:val="00E3531B"/>
    <w:rsid w:val="00E375CA"/>
    <w:rsid w:val="00E567E8"/>
    <w:rsid w:val="00E64679"/>
    <w:rsid w:val="00E65EBC"/>
    <w:rsid w:val="00E70C5C"/>
    <w:rsid w:val="00E73432"/>
    <w:rsid w:val="00E77B0C"/>
    <w:rsid w:val="00E77FB8"/>
    <w:rsid w:val="00E838B0"/>
    <w:rsid w:val="00E86A7C"/>
    <w:rsid w:val="00E878E1"/>
    <w:rsid w:val="00E87F2C"/>
    <w:rsid w:val="00E95278"/>
    <w:rsid w:val="00EA2273"/>
    <w:rsid w:val="00EA5A95"/>
    <w:rsid w:val="00EB2DB3"/>
    <w:rsid w:val="00EB307D"/>
    <w:rsid w:val="00EC1695"/>
    <w:rsid w:val="00EC3FBB"/>
    <w:rsid w:val="00EC6B7A"/>
    <w:rsid w:val="00ED3A87"/>
    <w:rsid w:val="00ED5B67"/>
    <w:rsid w:val="00EE5C2E"/>
    <w:rsid w:val="00EF00C0"/>
    <w:rsid w:val="00EF264C"/>
    <w:rsid w:val="00EF286F"/>
    <w:rsid w:val="00EF3FEE"/>
    <w:rsid w:val="00F04B59"/>
    <w:rsid w:val="00F11741"/>
    <w:rsid w:val="00F12B1C"/>
    <w:rsid w:val="00F13CF8"/>
    <w:rsid w:val="00F15855"/>
    <w:rsid w:val="00F16C84"/>
    <w:rsid w:val="00F20B36"/>
    <w:rsid w:val="00F32978"/>
    <w:rsid w:val="00F3373F"/>
    <w:rsid w:val="00F343EE"/>
    <w:rsid w:val="00F35132"/>
    <w:rsid w:val="00F4432A"/>
    <w:rsid w:val="00F45CB2"/>
    <w:rsid w:val="00F464F2"/>
    <w:rsid w:val="00F544C0"/>
    <w:rsid w:val="00F55332"/>
    <w:rsid w:val="00F57F10"/>
    <w:rsid w:val="00F60470"/>
    <w:rsid w:val="00F65519"/>
    <w:rsid w:val="00F666CB"/>
    <w:rsid w:val="00F713C0"/>
    <w:rsid w:val="00F75DDC"/>
    <w:rsid w:val="00F77783"/>
    <w:rsid w:val="00F7792F"/>
    <w:rsid w:val="00F842AA"/>
    <w:rsid w:val="00F8476F"/>
    <w:rsid w:val="00F853E1"/>
    <w:rsid w:val="00F86855"/>
    <w:rsid w:val="00F94B7A"/>
    <w:rsid w:val="00FA17AC"/>
    <w:rsid w:val="00FA2CBE"/>
    <w:rsid w:val="00FA32DE"/>
    <w:rsid w:val="00FA3382"/>
    <w:rsid w:val="00FA59CD"/>
    <w:rsid w:val="00FB1740"/>
    <w:rsid w:val="00FB3B30"/>
    <w:rsid w:val="00FC5469"/>
    <w:rsid w:val="00FC6D7D"/>
    <w:rsid w:val="00FD16B0"/>
    <w:rsid w:val="00FD4FED"/>
    <w:rsid w:val="00FE0577"/>
    <w:rsid w:val="00FE59EC"/>
    <w:rsid w:val="00FE7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532322"/>
    <w:rPr>
      <w:vertAlign w:val="superscript"/>
    </w:rPr>
  </w:style>
  <w:style w:type="paragraph" w:customStyle="1" w:styleId="OrderBody">
    <w:name w:val="Order Body"/>
    <w:basedOn w:val="Normal"/>
    <w:link w:val="OrderBodyChar"/>
    <w:rsid w:val="006B6087"/>
    <w:pPr>
      <w:jc w:val="both"/>
    </w:pPr>
  </w:style>
  <w:style w:type="character" w:customStyle="1" w:styleId="OrderBodyChar">
    <w:name w:val="Order Body Char"/>
    <w:basedOn w:val="DefaultParagraphFont"/>
    <w:link w:val="OrderBody"/>
    <w:rsid w:val="006B6087"/>
    <w:rPr>
      <w:sz w:val="24"/>
      <w:szCs w:val="24"/>
    </w:rPr>
  </w:style>
  <w:style w:type="paragraph" w:styleId="ListParagraph">
    <w:name w:val="List Paragraph"/>
    <w:basedOn w:val="Normal"/>
    <w:uiPriority w:val="34"/>
    <w:qFormat/>
    <w:rsid w:val="00E265AD"/>
    <w:pPr>
      <w:ind w:left="720"/>
      <w:contextualSpacing/>
      <w:jc w:val="both"/>
    </w:pPr>
    <w:rPr>
      <w:szCs w:val="20"/>
    </w:rPr>
  </w:style>
  <w:style w:type="character" w:customStyle="1" w:styleId="FootnoteTextChar">
    <w:name w:val="Footnote Text Char"/>
    <w:basedOn w:val="DefaultParagraphFont"/>
    <w:link w:val="FootnoteText"/>
    <w:rsid w:val="00BB20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532322"/>
    <w:rPr>
      <w:vertAlign w:val="superscript"/>
    </w:rPr>
  </w:style>
  <w:style w:type="paragraph" w:customStyle="1" w:styleId="OrderBody">
    <w:name w:val="Order Body"/>
    <w:basedOn w:val="Normal"/>
    <w:link w:val="OrderBodyChar"/>
    <w:rsid w:val="006B6087"/>
    <w:pPr>
      <w:jc w:val="both"/>
    </w:pPr>
  </w:style>
  <w:style w:type="character" w:customStyle="1" w:styleId="OrderBodyChar">
    <w:name w:val="Order Body Char"/>
    <w:basedOn w:val="DefaultParagraphFont"/>
    <w:link w:val="OrderBody"/>
    <w:rsid w:val="006B6087"/>
    <w:rPr>
      <w:sz w:val="24"/>
      <w:szCs w:val="24"/>
    </w:rPr>
  </w:style>
  <w:style w:type="paragraph" w:styleId="ListParagraph">
    <w:name w:val="List Paragraph"/>
    <w:basedOn w:val="Normal"/>
    <w:uiPriority w:val="34"/>
    <w:qFormat/>
    <w:rsid w:val="00E265AD"/>
    <w:pPr>
      <w:ind w:left="720"/>
      <w:contextualSpacing/>
      <w:jc w:val="both"/>
    </w:pPr>
    <w:rPr>
      <w:szCs w:val="20"/>
    </w:rPr>
  </w:style>
  <w:style w:type="character" w:customStyle="1" w:styleId="FootnoteTextChar">
    <w:name w:val="Footnote Text Char"/>
    <w:basedOn w:val="DefaultParagraphFont"/>
    <w:link w:val="FootnoteText"/>
    <w:rsid w:val="00BB2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13194">
      <w:bodyDiv w:val="1"/>
      <w:marLeft w:val="0"/>
      <w:marRight w:val="0"/>
      <w:marTop w:val="0"/>
      <w:marBottom w:val="0"/>
      <w:divBdr>
        <w:top w:val="none" w:sz="0" w:space="0" w:color="auto"/>
        <w:left w:val="none" w:sz="0" w:space="0" w:color="auto"/>
        <w:bottom w:val="none" w:sz="0" w:space="0" w:color="auto"/>
        <w:right w:val="none" w:sz="0" w:space="0" w:color="auto"/>
      </w:divBdr>
    </w:div>
    <w:div w:id="1010139087">
      <w:bodyDiv w:val="1"/>
      <w:marLeft w:val="0"/>
      <w:marRight w:val="0"/>
      <w:marTop w:val="0"/>
      <w:marBottom w:val="0"/>
      <w:divBdr>
        <w:top w:val="none" w:sz="0" w:space="0" w:color="auto"/>
        <w:left w:val="none" w:sz="0" w:space="0" w:color="auto"/>
        <w:bottom w:val="none" w:sz="0" w:space="0" w:color="auto"/>
        <w:right w:val="none" w:sz="0" w:space="0" w:color="auto"/>
      </w:divBdr>
    </w:div>
    <w:div w:id="1628386534">
      <w:bodyDiv w:val="1"/>
      <w:marLeft w:val="0"/>
      <w:marRight w:val="0"/>
      <w:marTop w:val="0"/>
      <w:marBottom w:val="0"/>
      <w:divBdr>
        <w:top w:val="none" w:sz="0" w:space="0" w:color="auto"/>
        <w:left w:val="none" w:sz="0" w:space="0" w:color="auto"/>
        <w:bottom w:val="none" w:sz="0" w:space="0" w:color="auto"/>
        <w:right w:val="none" w:sz="0" w:space="0" w:color="auto"/>
      </w:divBdr>
    </w:div>
    <w:div w:id="1898975193">
      <w:bodyDiv w:val="1"/>
      <w:marLeft w:val="0"/>
      <w:marRight w:val="0"/>
      <w:marTop w:val="0"/>
      <w:marBottom w:val="0"/>
      <w:divBdr>
        <w:top w:val="none" w:sz="0" w:space="0" w:color="auto"/>
        <w:left w:val="none" w:sz="0" w:space="0" w:color="auto"/>
        <w:bottom w:val="none" w:sz="0" w:space="0" w:color="auto"/>
        <w:right w:val="none" w:sz="0" w:space="0" w:color="auto"/>
      </w:divBdr>
    </w:div>
    <w:div w:id="21364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97BCC-E06E-44D1-B100-06279E136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13</Pages>
  <Words>2875</Words>
  <Characters>17282</Characters>
  <Application>Microsoft Office Word</Application>
  <DocSecurity>0</DocSecurity>
  <Lines>144</Lines>
  <Paragraphs>40</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Recommendation</vt:lpstr>
      <vt:lpstr>Case Background</vt:lpstr>
      <vt:lpstr/>
      <vt:lpstr>Discussion of Issues</vt:lpstr>
      <vt:lpstr>Issue 1: </vt:lpstr>
      <vt:lpstr>    Recommendation: </vt:lpstr>
      <vt:lpstr>    Staff Analysis: </vt:lpstr>
      <vt:lpstr>Issue 2: </vt:lpstr>
      <vt:lpstr>    Recommendation: </vt:lpstr>
      <vt:lpstr>    Staff Analysis: </vt:lpstr>
      <vt:lpstr>Issue 3: </vt:lpstr>
      <vt:lpstr>    Recommendation: </vt:lpstr>
      <vt:lpstr>    Staff Analysis: </vt:lpstr>
      <vt:lpstr>Issue 4: </vt:lpstr>
      <vt:lpstr>    Recommendation: </vt:lpstr>
      <vt:lpstr>    Staff Analysis: </vt:lpstr>
      <vt:lpstr>    Recommendation: </vt:lpstr>
      <vt:lpstr>    Staff Analysis: </vt:lpstr>
    </vt:vector>
  </TitlesOfParts>
  <Company>FPSC</Company>
  <LinksUpToDate>false</LinksUpToDate>
  <CharactersWithSpaces>20117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Devlin Higgins</dc:creator>
  <cp:lastModifiedBy>Jackie Colson</cp:lastModifiedBy>
  <cp:revision>2</cp:revision>
  <cp:lastPrinted>2016-11-22T16:04:00Z</cp:lastPrinted>
  <dcterms:created xsi:type="dcterms:W3CDTF">2016-11-22T16:38:00Z</dcterms:created>
  <dcterms:modified xsi:type="dcterms:W3CDTF">2016-11-22T16:38:00Z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160174-GU</vt:lpwstr>
  </property>
  <property fmtid="{D5CDD505-2E9C-101B-9397-08002B2CF9AE}" pid="3" name="MasterDocument">
    <vt:bool>false</vt:bool>
  </property>
</Properties>
</file>