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1D8C" w:rsidP="00E21D8C">
      <w:pPr>
        <w:pStyle w:val="OrderHeading"/>
      </w:pPr>
      <w:bookmarkStart w:id="0" w:name="_GoBack"/>
      <w:bookmarkEnd w:id="0"/>
      <w:r>
        <w:t>BEFORE THE FLORIDA PUBLIC SERVICE COMMISSION</w:t>
      </w:r>
    </w:p>
    <w:p w:rsidR="00E21D8C" w:rsidRDefault="00E21D8C" w:rsidP="00E21D8C">
      <w:pPr>
        <w:pStyle w:val="OrderBody"/>
      </w:pPr>
    </w:p>
    <w:p w:rsidR="00E21D8C" w:rsidRDefault="00E21D8C" w:rsidP="00E21D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1D8C" w:rsidRPr="00C63FCF" w:rsidTr="00F46CBD">
        <w:trPr>
          <w:trHeight w:val="828"/>
        </w:trPr>
        <w:tc>
          <w:tcPr>
            <w:tcW w:w="4788" w:type="dxa"/>
            <w:tcBorders>
              <w:bottom w:val="single" w:sz="8" w:space="0" w:color="auto"/>
              <w:right w:val="double" w:sz="6" w:space="0" w:color="auto"/>
            </w:tcBorders>
            <w:shd w:val="clear" w:color="auto" w:fill="auto"/>
          </w:tcPr>
          <w:p w:rsidR="00E21D8C" w:rsidRDefault="00E21D8C" w:rsidP="00F46CBD">
            <w:pPr>
              <w:pStyle w:val="OrderBody"/>
              <w:tabs>
                <w:tab w:val="center" w:pos="4320"/>
                <w:tab w:val="right" w:pos="8640"/>
              </w:tabs>
              <w:jc w:val="left"/>
            </w:pPr>
            <w:r>
              <w:t xml:space="preserve">In re: </w:t>
            </w:r>
            <w:bookmarkStart w:id="1" w:name="SSInRe"/>
            <w:bookmarkEnd w:id="1"/>
            <w:r>
              <w:t>Application for certificates to provide water and wastewater service in Orange County by RSPI MHC, LLC.</w:t>
            </w:r>
          </w:p>
        </w:tc>
        <w:tc>
          <w:tcPr>
            <w:tcW w:w="4788" w:type="dxa"/>
            <w:tcBorders>
              <w:left w:val="double" w:sz="6" w:space="0" w:color="auto"/>
            </w:tcBorders>
            <w:shd w:val="clear" w:color="auto" w:fill="auto"/>
          </w:tcPr>
          <w:p w:rsidR="00E21D8C" w:rsidRDefault="00E21D8C" w:rsidP="00E21D8C">
            <w:pPr>
              <w:pStyle w:val="OrderBody"/>
            </w:pPr>
            <w:r>
              <w:t xml:space="preserve">DOCKET NO. </w:t>
            </w:r>
            <w:bookmarkStart w:id="2" w:name="SSDocketNo"/>
            <w:bookmarkEnd w:id="2"/>
            <w:r>
              <w:t>20170249-WS</w:t>
            </w:r>
          </w:p>
          <w:p w:rsidR="00E21D8C" w:rsidRDefault="00E21D8C" w:rsidP="00F46CBD">
            <w:pPr>
              <w:pStyle w:val="OrderBody"/>
              <w:tabs>
                <w:tab w:val="center" w:pos="4320"/>
                <w:tab w:val="right" w:pos="8640"/>
              </w:tabs>
              <w:jc w:val="left"/>
            </w:pPr>
            <w:r>
              <w:t xml:space="preserve">ORDER NO. </w:t>
            </w:r>
            <w:bookmarkStart w:id="3" w:name="OrderNo0047"/>
            <w:r w:rsidR="00D417E0">
              <w:t>PSC-2019-0047-PAA-WS</w:t>
            </w:r>
            <w:bookmarkEnd w:id="3"/>
          </w:p>
          <w:p w:rsidR="00E21D8C" w:rsidRDefault="00E21D8C" w:rsidP="00F46CBD">
            <w:pPr>
              <w:pStyle w:val="OrderBody"/>
              <w:tabs>
                <w:tab w:val="center" w:pos="4320"/>
                <w:tab w:val="right" w:pos="8640"/>
              </w:tabs>
              <w:jc w:val="left"/>
            </w:pPr>
            <w:r>
              <w:t xml:space="preserve">ISSUED: </w:t>
            </w:r>
            <w:r w:rsidR="00D417E0">
              <w:t>January 25, 2019</w:t>
            </w:r>
          </w:p>
        </w:tc>
      </w:tr>
    </w:tbl>
    <w:p w:rsidR="00E21D8C" w:rsidRDefault="00E21D8C" w:rsidP="00E21D8C"/>
    <w:p w:rsidR="00E21D8C" w:rsidRDefault="00E21D8C" w:rsidP="00E21D8C"/>
    <w:p w:rsidR="00E21D8C" w:rsidRDefault="00E21D8C">
      <w:pPr>
        <w:ind w:firstLine="720"/>
        <w:jc w:val="both"/>
      </w:pPr>
      <w:bookmarkStart w:id="4" w:name="Commissioners"/>
      <w:bookmarkEnd w:id="4"/>
      <w:r>
        <w:t>The following Commissioners participated in the disposition of this matter:</w:t>
      </w:r>
    </w:p>
    <w:p w:rsidR="00E21D8C" w:rsidRDefault="00E21D8C"/>
    <w:p w:rsidR="00E21D8C" w:rsidRDefault="00E21D8C">
      <w:pPr>
        <w:jc w:val="center"/>
      </w:pPr>
      <w:r>
        <w:t>ART GRAHAM, Chairman</w:t>
      </w:r>
    </w:p>
    <w:p w:rsidR="00E21D8C" w:rsidRDefault="00E21D8C">
      <w:pPr>
        <w:jc w:val="center"/>
      </w:pPr>
      <w:r>
        <w:t xml:space="preserve">JULIE I. BROWN </w:t>
      </w:r>
    </w:p>
    <w:p w:rsidR="00E21D8C" w:rsidRDefault="00E21D8C">
      <w:pPr>
        <w:jc w:val="center"/>
      </w:pPr>
      <w:r>
        <w:t>DONALD J. POLMANN</w:t>
      </w:r>
    </w:p>
    <w:p w:rsidR="00E21D8C" w:rsidRDefault="00E21D8C">
      <w:pPr>
        <w:jc w:val="center"/>
      </w:pPr>
      <w:r>
        <w:t>GARY F. CLARK</w:t>
      </w:r>
    </w:p>
    <w:p w:rsidR="00E21D8C" w:rsidRDefault="00E21D8C">
      <w:pPr>
        <w:jc w:val="center"/>
      </w:pPr>
      <w:r>
        <w:t>ANDREW GILES FAY</w:t>
      </w:r>
    </w:p>
    <w:p w:rsidR="00E21D8C" w:rsidRDefault="00E21D8C"/>
    <w:p w:rsidR="00E21D8C" w:rsidRDefault="00E21D8C"/>
    <w:bookmarkStart w:id="5" w:name="OrderText"/>
    <w:bookmarkEnd w:id="5"/>
    <w:p w:rsidR="00E21D8C" w:rsidRPr="003E4B2D" w:rsidRDefault="00E21D8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F3D04" w:rsidRDefault="00E21D8C">
      <w:pPr>
        <w:pStyle w:val="OrderBody"/>
        <w:jc w:val="center"/>
        <w:rPr>
          <w:u w:val="single"/>
        </w:rPr>
      </w:pPr>
      <w:r w:rsidRPr="003E4B2D">
        <w:rPr>
          <w:u w:val="single"/>
        </w:rPr>
        <w:t>ORDER</w:t>
      </w:r>
      <w:bookmarkStart w:id="6" w:name="OrderTitle"/>
      <w:r w:rsidR="00F46CBD">
        <w:rPr>
          <w:u w:val="single"/>
        </w:rPr>
        <w:t xml:space="preserve"> APPROVING </w:t>
      </w:r>
      <w:r w:rsidR="007D2CB5">
        <w:rPr>
          <w:u w:val="single"/>
        </w:rPr>
        <w:t xml:space="preserve">INITIAL RATES AND CHARGES </w:t>
      </w:r>
    </w:p>
    <w:p w:rsidR="007D2CB5" w:rsidRDefault="007D2CB5">
      <w:pPr>
        <w:pStyle w:val="OrderBody"/>
        <w:jc w:val="center"/>
        <w:rPr>
          <w:u w:val="single"/>
        </w:rPr>
      </w:pPr>
      <w:r>
        <w:rPr>
          <w:u w:val="single"/>
        </w:rPr>
        <w:t xml:space="preserve">AND </w:t>
      </w:r>
    </w:p>
    <w:p w:rsidR="00F46CBD" w:rsidRDefault="007D2CB5">
      <w:pPr>
        <w:pStyle w:val="OrderBody"/>
        <w:jc w:val="center"/>
        <w:rPr>
          <w:u w:val="single"/>
        </w:rPr>
      </w:pPr>
      <w:r>
        <w:rPr>
          <w:u w:val="single"/>
        </w:rPr>
        <w:t xml:space="preserve">ORDER APPROVING </w:t>
      </w:r>
      <w:r w:rsidR="00F46CBD">
        <w:rPr>
          <w:u w:val="single"/>
        </w:rPr>
        <w:t>WATER AND WASTEWATER</w:t>
      </w:r>
    </w:p>
    <w:p w:rsidR="00E21D8C" w:rsidRPr="003E4B2D" w:rsidRDefault="00F46CBD">
      <w:pPr>
        <w:pStyle w:val="OrderBody"/>
        <w:jc w:val="center"/>
        <w:rPr>
          <w:u w:val="single"/>
        </w:rPr>
      </w:pPr>
      <w:r>
        <w:rPr>
          <w:u w:val="single"/>
        </w:rPr>
        <w:t xml:space="preserve">CERTIFICATES </w:t>
      </w:r>
      <w:r w:rsidRPr="00F46CBD">
        <w:rPr>
          <w:u w:val="single"/>
        </w:rPr>
        <w:t>NOS. 673-W AND 574-S</w:t>
      </w:r>
      <w:r w:rsidR="00E21D8C">
        <w:rPr>
          <w:u w:val="single"/>
        </w:rPr>
        <w:t xml:space="preserve"> </w:t>
      </w:r>
      <w:bookmarkEnd w:id="6"/>
    </w:p>
    <w:p w:rsidR="00E21D8C" w:rsidRPr="003E4B2D" w:rsidRDefault="00E21D8C">
      <w:pPr>
        <w:pStyle w:val="OrderBody"/>
      </w:pPr>
    </w:p>
    <w:p w:rsidR="00E21D8C" w:rsidRPr="003E4B2D" w:rsidRDefault="00E21D8C">
      <w:pPr>
        <w:pStyle w:val="OrderBody"/>
      </w:pPr>
    </w:p>
    <w:p w:rsidR="00E21D8C" w:rsidRPr="003E4B2D" w:rsidRDefault="00E21D8C">
      <w:pPr>
        <w:pStyle w:val="OrderBody"/>
      </w:pPr>
      <w:r w:rsidRPr="003E4B2D">
        <w:t>BY THE COMMISSION:</w:t>
      </w:r>
    </w:p>
    <w:p w:rsidR="00E21D8C" w:rsidRPr="003E4B2D" w:rsidRDefault="00E21D8C">
      <w:pPr>
        <w:pStyle w:val="OrderBody"/>
      </w:pPr>
    </w:p>
    <w:p w:rsidR="00E21D8C" w:rsidRDefault="00E21D8C">
      <w:pPr>
        <w:pStyle w:val="OrderBody"/>
      </w:pPr>
      <w:r w:rsidRPr="003E4B2D">
        <w:tab/>
        <w:t>NOTICE is hereby given by the Florida Public Service Commission that the action discussed herein</w:t>
      </w:r>
      <w:r w:rsidR="007D2CB5">
        <w:t xml:space="preserve"> approving initial rates and charges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21D8C">
      <w:pPr>
        <w:jc w:val="both"/>
      </w:pPr>
    </w:p>
    <w:p w:rsidR="00F46CBD" w:rsidRDefault="00F46CBD" w:rsidP="00F46CBD">
      <w:pPr>
        <w:jc w:val="center"/>
        <w:rPr>
          <w:b/>
        </w:rPr>
      </w:pPr>
      <w:r>
        <w:rPr>
          <w:b/>
        </w:rPr>
        <w:t>Background</w:t>
      </w:r>
    </w:p>
    <w:p w:rsidR="00F46CBD" w:rsidRPr="00F46CBD" w:rsidRDefault="00F46CBD" w:rsidP="00F46CBD">
      <w:pPr>
        <w:jc w:val="center"/>
      </w:pPr>
    </w:p>
    <w:p w:rsidR="00E21D8C" w:rsidRPr="00E21D8C" w:rsidRDefault="00E21D8C" w:rsidP="00E21D8C">
      <w:pPr>
        <w:ind w:firstLine="720"/>
        <w:jc w:val="both"/>
      </w:pPr>
      <w:r w:rsidRPr="00E21D8C">
        <w:t xml:space="preserve">RSPI MHC, LLC (RSPI or Utility) is located in Orange County, Florida. Based on its application, the Utility provides water and wastewater service to 519 residential mobile home customers. According to Florida Department of Environmental Protection (DEP) documents, the water and wastewater systems were built in 1973 to service the mobile home park and a convenience store. RSPI acquired the mobile home park, including the provision of water and wastewater treatment service in 2005. At that time, the convenience store referenced in a 1973 DEP construction permit document was no longer a customer of the Utility. Until 2016, RSPI included the cost of providing water and wastewater service to the residents of the mobile home park (MHP) in the rent. Therefore, pursuant to Section 367.022(5), Florida Statutes (F.S.), the Utility was exempt from </w:t>
      </w:r>
      <w:r w:rsidR="00F46CBD">
        <w:t xml:space="preserve">this </w:t>
      </w:r>
      <w:r w:rsidRPr="00E21D8C">
        <w:t>Commission</w:t>
      </w:r>
      <w:r w:rsidR="00F46CBD">
        <w:t>’s</w:t>
      </w:r>
      <w:r w:rsidRPr="00E21D8C">
        <w:t xml:space="preserve"> regulation.</w:t>
      </w:r>
    </w:p>
    <w:p w:rsidR="00E21D8C" w:rsidRDefault="00E21D8C" w:rsidP="00E21D8C">
      <w:pPr>
        <w:jc w:val="both"/>
      </w:pPr>
    </w:p>
    <w:p w:rsidR="00E21D8C" w:rsidRPr="00E21D8C" w:rsidRDefault="00E21D8C" w:rsidP="00E21D8C">
      <w:pPr>
        <w:ind w:firstLine="720"/>
        <w:jc w:val="both"/>
      </w:pPr>
      <w:r w:rsidRPr="00E21D8C">
        <w:lastRenderedPageBreak/>
        <w:t>On February 29, 2016, a resident of the MHP contacted th</w:t>
      </w:r>
      <w:r w:rsidR="00F46CBD">
        <w:t>is</w:t>
      </w:r>
      <w:r w:rsidRPr="00E21D8C">
        <w:t xml:space="preserve"> Commission via email regarding the regulatory status of RSPI.</w:t>
      </w:r>
      <w:r w:rsidRPr="00E21D8C">
        <w:rPr>
          <w:vertAlign w:val="superscript"/>
        </w:rPr>
        <w:footnoteReference w:id="1"/>
      </w:r>
      <w:r w:rsidRPr="00E21D8C">
        <w:t xml:space="preserve"> The resident stated that RSPI had been installing individual meters to each residence since March 2015. She also stated that they had received a notice on January 2, 2016, informing them that new rent rates would go into effect on April 1, 2016, along with separate bills for water and wastewater service.</w:t>
      </w:r>
    </w:p>
    <w:p w:rsidR="00E21D8C" w:rsidRDefault="00E21D8C" w:rsidP="00E21D8C">
      <w:pPr>
        <w:jc w:val="both"/>
      </w:pPr>
    </w:p>
    <w:p w:rsidR="00E21D8C" w:rsidRPr="00E21D8C" w:rsidRDefault="00E21D8C" w:rsidP="00E21D8C">
      <w:pPr>
        <w:ind w:firstLine="720"/>
        <w:jc w:val="both"/>
      </w:pPr>
      <w:r w:rsidRPr="00E21D8C">
        <w:t xml:space="preserve">On May 20, 2016, </w:t>
      </w:r>
      <w:r w:rsidR="00081649">
        <w:t xml:space="preserve">Commission </w:t>
      </w:r>
      <w:r w:rsidRPr="00E21D8C">
        <w:t xml:space="preserve">staff held a teleconference with RSPI to discuss the nature of the service being provided to the MHP residents, and the conditions that would exempt it from </w:t>
      </w:r>
      <w:r w:rsidR="00F46CBD">
        <w:t xml:space="preserve">this </w:t>
      </w:r>
      <w:r w:rsidRPr="00E21D8C">
        <w:t>Commission</w:t>
      </w:r>
      <w:r w:rsidR="00F46CBD">
        <w:t>’s</w:t>
      </w:r>
      <w:r w:rsidRPr="00E21D8C">
        <w:t xml:space="preserve"> regulation. After considering </w:t>
      </w:r>
      <w:r w:rsidR="00F46CBD">
        <w:t xml:space="preserve">Commission </w:t>
      </w:r>
      <w:r w:rsidRPr="00E21D8C">
        <w:t xml:space="preserve">staff’s comments during the teleconference, together with its own business goals, RSPI concluded that it should file an application for original water and wastewater certificates. </w:t>
      </w:r>
      <w:r w:rsidR="007D2CB5">
        <w:t>Commission staff</w:t>
      </w:r>
      <w:r w:rsidR="00165EAD">
        <w:t xml:space="preserve"> </w:t>
      </w:r>
      <w:r w:rsidRPr="00E21D8C">
        <w:t>worked with an engineering firm retained by the Utility to prepare financial records, maps, and territory descriptions that met the requirements of th</w:t>
      </w:r>
      <w:r w:rsidR="00F46CBD">
        <w:t>is</w:t>
      </w:r>
      <w:r w:rsidRPr="00E21D8C">
        <w:t xml:space="preserve"> Commission’s rules. On November 20, 2017, RSPI filed its application for original water and wastewater certificates. </w:t>
      </w:r>
      <w:r w:rsidR="007D2CB5">
        <w:t>Commission staff</w:t>
      </w:r>
      <w:r w:rsidR="007D2CB5" w:rsidRPr="00E21D8C">
        <w:t xml:space="preserve"> </w:t>
      </w:r>
      <w:r w:rsidRPr="00E21D8C">
        <w:t>found its application to be deficient and issued a deficiency letter on December 20, 2017.</w:t>
      </w:r>
      <w:r w:rsidRPr="00E21D8C">
        <w:rPr>
          <w:vertAlign w:val="superscript"/>
        </w:rPr>
        <w:footnoteReference w:id="2"/>
      </w:r>
      <w:r w:rsidRPr="00E21D8C">
        <w:t xml:space="preserve"> The Utility cured the deficiencies on September 7, 2018.</w:t>
      </w:r>
    </w:p>
    <w:p w:rsidR="00E21D8C" w:rsidRDefault="00E21D8C" w:rsidP="00E21D8C">
      <w:pPr>
        <w:jc w:val="both"/>
      </w:pPr>
    </w:p>
    <w:p w:rsidR="00E21D8C" w:rsidRPr="00E21D8C" w:rsidRDefault="00E21D8C" w:rsidP="00E21D8C">
      <w:pPr>
        <w:ind w:firstLine="720"/>
        <w:jc w:val="both"/>
      </w:pPr>
      <w:r w:rsidRPr="00E21D8C">
        <w:t>Pursuant to Section 367.031, F.S., th</w:t>
      </w:r>
      <w:r w:rsidR="00F46CBD">
        <w:t>is</w:t>
      </w:r>
      <w:r w:rsidRPr="00E21D8C">
        <w:t xml:space="preserve"> Commission shall grant or deny an application for a certificate of authorization within 90 days after the official filing date of the completed application. The application was deemed complete on September 7, 2018, which is considered the official filing date. RSPI has waived the 90-day statutory deadline through February 28, 2019.</w:t>
      </w:r>
      <w:r w:rsidRPr="00E21D8C">
        <w:rPr>
          <w:vertAlign w:val="superscript"/>
        </w:rPr>
        <w:footnoteReference w:id="3"/>
      </w:r>
      <w:r w:rsidRPr="00E21D8C">
        <w:t xml:space="preserve"> Th</w:t>
      </w:r>
      <w:r w:rsidR="00F46CBD">
        <w:t>is</w:t>
      </w:r>
      <w:r w:rsidRPr="00E21D8C">
        <w:t xml:space="preserve"> Commission has jurisdiction pursuant to Sections 367.031 and 367.045, F.S.</w:t>
      </w:r>
    </w:p>
    <w:p w:rsidR="00D57E57" w:rsidRDefault="00D57E57" w:rsidP="00E21D8C">
      <w:pPr>
        <w:jc w:val="both"/>
      </w:pPr>
    </w:p>
    <w:p w:rsidR="00762192" w:rsidRDefault="00762192" w:rsidP="00762192">
      <w:pPr>
        <w:jc w:val="center"/>
        <w:rPr>
          <w:bCs/>
        </w:rPr>
      </w:pPr>
      <w:r>
        <w:rPr>
          <w:b/>
          <w:bCs/>
        </w:rPr>
        <w:t>Decision</w:t>
      </w:r>
    </w:p>
    <w:p w:rsidR="00762192" w:rsidRPr="00762192" w:rsidRDefault="00762192" w:rsidP="00762192">
      <w:pPr>
        <w:jc w:val="center"/>
        <w:rPr>
          <w:bCs/>
        </w:rPr>
      </w:pPr>
    </w:p>
    <w:p w:rsidR="007F776D" w:rsidRDefault="007F776D" w:rsidP="007F776D">
      <w:pPr>
        <w:rPr>
          <w:b/>
          <w:u w:val="single"/>
        </w:rPr>
      </w:pPr>
      <w:r>
        <w:rPr>
          <w:b/>
          <w:u w:val="single"/>
        </w:rPr>
        <w:t>Certificate Approval</w:t>
      </w:r>
    </w:p>
    <w:p w:rsidR="007F776D" w:rsidRPr="007F776D" w:rsidRDefault="007F776D" w:rsidP="007F776D"/>
    <w:p w:rsidR="00E21D8C" w:rsidRPr="00E21D8C" w:rsidRDefault="00E21D8C" w:rsidP="00762192">
      <w:pPr>
        <w:ind w:firstLine="720"/>
        <w:jc w:val="both"/>
      </w:pPr>
      <w:r w:rsidRPr="00E21D8C">
        <w:t xml:space="preserve">On November 20, 2017, RSPI filed its application for original water and wastewater certificates in Orange County, Florida. Upon review, </w:t>
      </w:r>
      <w:r w:rsidR="007F776D">
        <w:t>Commission</w:t>
      </w:r>
      <w:r w:rsidR="007D2CB5">
        <w:t xml:space="preserve"> staff</w:t>
      </w:r>
      <w:r w:rsidRPr="00E21D8C">
        <w:t xml:space="preserve"> determined the original filing was deficient and sent a deficiency letter on December 20, 2017. </w:t>
      </w:r>
      <w:r w:rsidR="007F776D">
        <w:t>Commission s</w:t>
      </w:r>
      <w:r w:rsidRPr="00E21D8C">
        <w:t>taff also sent data requests to the Utility seeking additional information. RSPI corrected the deficiencies on September 7, 2018, which is considered the official filing date for the application. The Utility’s application is in compliance with the governing statutes, Sections 367.031 and 367.045, F.S.</w:t>
      </w:r>
    </w:p>
    <w:p w:rsidR="00E21D8C" w:rsidRDefault="00E21D8C" w:rsidP="00E21D8C">
      <w:pPr>
        <w:jc w:val="both"/>
        <w:rPr>
          <w:b/>
        </w:rPr>
      </w:pPr>
    </w:p>
    <w:p w:rsidR="00E21D8C" w:rsidRDefault="00E21D8C" w:rsidP="00E21D8C">
      <w:pPr>
        <w:jc w:val="both"/>
        <w:rPr>
          <w:b/>
        </w:rPr>
      </w:pPr>
      <w:r w:rsidRPr="00E21D8C">
        <w:rPr>
          <w:b/>
        </w:rPr>
        <w:t>Notice</w:t>
      </w:r>
    </w:p>
    <w:p w:rsidR="007F776D" w:rsidRPr="00E21D8C" w:rsidRDefault="007F776D" w:rsidP="00E21D8C">
      <w:pPr>
        <w:jc w:val="both"/>
        <w:rPr>
          <w:b/>
        </w:rPr>
      </w:pPr>
    </w:p>
    <w:p w:rsidR="00E21D8C" w:rsidRPr="00E21D8C" w:rsidRDefault="00E21D8C" w:rsidP="007F776D">
      <w:pPr>
        <w:ind w:firstLine="720"/>
        <w:jc w:val="both"/>
      </w:pPr>
      <w:r w:rsidRPr="00E21D8C">
        <w:t>On September 7, 2018, RSPI filed proof of compliance with the noticing provisions set forth in Rule 25-30.030, F.A.C. No entity filed a protest during the protest period and the time for filing objections has expired.</w:t>
      </w:r>
    </w:p>
    <w:p w:rsidR="00E21D8C" w:rsidRDefault="00E21D8C" w:rsidP="00E21D8C">
      <w:pPr>
        <w:jc w:val="both"/>
        <w:rPr>
          <w:b/>
        </w:rPr>
      </w:pPr>
    </w:p>
    <w:p w:rsidR="007D2CB5" w:rsidRDefault="007D2CB5" w:rsidP="00E21D8C">
      <w:pPr>
        <w:jc w:val="both"/>
        <w:rPr>
          <w:b/>
        </w:rPr>
      </w:pPr>
    </w:p>
    <w:p w:rsidR="00E21D8C" w:rsidRPr="00E21D8C" w:rsidRDefault="00E21D8C" w:rsidP="00E21D8C">
      <w:pPr>
        <w:jc w:val="both"/>
        <w:rPr>
          <w:b/>
        </w:rPr>
      </w:pPr>
      <w:r w:rsidRPr="00E21D8C">
        <w:rPr>
          <w:b/>
        </w:rPr>
        <w:lastRenderedPageBreak/>
        <w:t>Land Ownership and Service Territory</w:t>
      </w:r>
    </w:p>
    <w:p w:rsidR="007F776D" w:rsidRDefault="007F776D" w:rsidP="007F776D">
      <w:pPr>
        <w:ind w:firstLine="720"/>
        <w:jc w:val="both"/>
      </w:pPr>
    </w:p>
    <w:p w:rsidR="00E21D8C" w:rsidRPr="00E21D8C" w:rsidRDefault="00E21D8C" w:rsidP="007F776D">
      <w:pPr>
        <w:ind w:firstLine="720"/>
        <w:jc w:val="both"/>
      </w:pPr>
      <w:r w:rsidRPr="00E21D8C">
        <w:t xml:space="preserve">RSPI provided adequate service territory and system maps and a territory description as required by Rule 25-30.034, F.A.C. The legal description of the service territory is appended to this </w:t>
      </w:r>
      <w:r w:rsidR="00081649">
        <w:t>Order</w:t>
      </w:r>
      <w:r w:rsidRPr="00E21D8C">
        <w:t xml:space="preserve"> as Attachment A. The application contains a copy of a special warranty deed that was executed on February 2, 2005, as evidence that the Utility owns the land upon which the water and wastewater treatment facilities are located pursuant to Rule 25-30.037(2)(s), F.A.C.</w:t>
      </w:r>
    </w:p>
    <w:p w:rsidR="00E21D8C" w:rsidRDefault="00E21D8C" w:rsidP="00E21D8C">
      <w:pPr>
        <w:jc w:val="both"/>
        <w:rPr>
          <w:b/>
        </w:rPr>
      </w:pPr>
    </w:p>
    <w:p w:rsidR="00E21D8C" w:rsidRPr="00E21D8C" w:rsidRDefault="00E21D8C" w:rsidP="00E21D8C">
      <w:pPr>
        <w:jc w:val="both"/>
        <w:rPr>
          <w:b/>
        </w:rPr>
      </w:pPr>
      <w:r w:rsidRPr="00E21D8C">
        <w:rPr>
          <w:b/>
        </w:rPr>
        <w:t>Financial and Technical Ability</w:t>
      </w:r>
    </w:p>
    <w:p w:rsidR="007F776D" w:rsidRDefault="007F776D" w:rsidP="00E21D8C">
      <w:pPr>
        <w:jc w:val="both"/>
      </w:pPr>
    </w:p>
    <w:p w:rsidR="00E21D8C" w:rsidRPr="00E21D8C" w:rsidRDefault="00E21D8C" w:rsidP="007F776D">
      <w:pPr>
        <w:ind w:firstLine="720"/>
        <w:jc w:val="both"/>
      </w:pPr>
      <w:r w:rsidRPr="00E21D8C">
        <w:t>Pursuant to Rule 25-30.034(1)(i), F.A.C.,</w:t>
      </w:r>
      <w:r w:rsidRPr="00E21D8C">
        <w:rPr>
          <w:i/>
        </w:rPr>
        <w:t xml:space="preserve"> </w:t>
      </w:r>
      <w:r w:rsidRPr="00E21D8C">
        <w:t xml:space="preserve">the Utility provided statements describing its financial ability to provide service. </w:t>
      </w:r>
      <w:r w:rsidR="007F776D">
        <w:t>We</w:t>
      </w:r>
      <w:r w:rsidRPr="00E21D8C">
        <w:t xml:space="preserve"> reviewed the financial statements of RSPI and </w:t>
      </w:r>
      <w:r w:rsidR="007F776D">
        <w:t>find that</w:t>
      </w:r>
      <w:r w:rsidRPr="00E21D8C">
        <w:t xml:space="preserve"> the current owner has documented adequate resources to support the Utility’s water and wastewater operations.</w:t>
      </w:r>
    </w:p>
    <w:p w:rsidR="00E21D8C" w:rsidRDefault="00E21D8C" w:rsidP="00E21D8C">
      <w:pPr>
        <w:jc w:val="both"/>
      </w:pPr>
    </w:p>
    <w:p w:rsidR="00E21D8C" w:rsidRPr="00E21D8C" w:rsidRDefault="00E21D8C" w:rsidP="007F776D">
      <w:pPr>
        <w:ind w:firstLine="720"/>
        <w:jc w:val="both"/>
      </w:pPr>
      <w:r w:rsidRPr="00E21D8C">
        <w:t>Regarding technical ability, the Utility stated in its application that it has owned and operated the subject water and wastewater system since purchasing the community in 2005. RSPI also stated that it has a full-time utility director responsible for the operation and maintenance of the RSPI water and wastewater treatment systems as well as other facilities throughout the country. RSPI has no compliance issues on file with the DEP and is current with its monitoring requirements.</w:t>
      </w:r>
    </w:p>
    <w:p w:rsidR="00E21D8C" w:rsidRDefault="00E21D8C" w:rsidP="00E21D8C">
      <w:pPr>
        <w:jc w:val="both"/>
        <w:rPr>
          <w:b/>
        </w:rPr>
      </w:pPr>
    </w:p>
    <w:p w:rsidR="00E21D8C" w:rsidRPr="00E21D8C" w:rsidRDefault="00E21D8C" w:rsidP="00E21D8C">
      <w:pPr>
        <w:jc w:val="both"/>
        <w:rPr>
          <w:b/>
        </w:rPr>
      </w:pPr>
      <w:r w:rsidRPr="00E21D8C">
        <w:rPr>
          <w:b/>
        </w:rPr>
        <w:t>Conclusion</w:t>
      </w:r>
    </w:p>
    <w:p w:rsidR="007F776D" w:rsidRDefault="007F776D" w:rsidP="00E21D8C">
      <w:pPr>
        <w:jc w:val="both"/>
      </w:pPr>
    </w:p>
    <w:p w:rsidR="00E21D8C" w:rsidRPr="00E21D8C" w:rsidRDefault="00E21D8C" w:rsidP="007F776D">
      <w:pPr>
        <w:ind w:firstLine="720"/>
        <w:jc w:val="both"/>
      </w:pPr>
      <w:r w:rsidRPr="00E21D8C">
        <w:t xml:space="preserve">RSPI </w:t>
      </w:r>
      <w:r w:rsidR="007F776D">
        <w:t>shall</w:t>
      </w:r>
      <w:r w:rsidRPr="00E21D8C">
        <w:t xml:space="preserve"> be granted Certificate Nos. 673-W and 574-S to serve the territory described in Attachment A, effective the date of </w:t>
      </w:r>
      <w:r w:rsidR="007F776D">
        <w:t>our</w:t>
      </w:r>
      <w:r w:rsidRPr="00E21D8C">
        <w:t xml:space="preserve"> vote</w:t>
      </w:r>
      <w:r w:rsidR="007F776D">
        <w:t>, January 8, 2019</w:t>
      </w:r>
      <w:r w:rsidRPr="00E21D8C">
        <w:t xml:space="preserve">. The resultant order </w:t>
      </w:r>
      <w:r w:rsidR="007F776D">
        <w:t>shall</w:t>
      </w:r>
      <w:r w:rsidRPr="00E21D8C">
        <w:t xml:space="preserve"> serve as RSPI’s water and wastewater certificates and it </w:t>
      </w:r>
      <w:r w:rsidR="007F776D">
        <w:t>shall</w:t>
      </w:r>
      <w:r w:rsidRPr="00E21D8C">
        <w:t xml:space="preserve"> be retained by the Utility.</w:t>
      </w:r>
    </w:p>
    <w:p w:rsidR="00E21D8C" w:rsidRDefault="00E21D8C" w:rsidP="00E21D8C">
      <w:pPr>
        <w:jc w:val="both"/>
      </w:pPr>
    </w:p>
    <w:p w:rsidR="00E21D8C" w:rsidRPr="007F776D" w:rsidRDefault="007F776D" w:rsidP="00E21D8C">
      <w:pPr>
        <w:jc w:val="both"/>
        <w:rPr>
          <w:b/>
          <w:u w:val="single"/>
        </w:rPr>
      </w:pPr>
      <w:r w:rsidRPr="007F776D">
        <w:rPr>
          <w:b/>
          <w:u w:val="single"/>
        </w:rPr>
        <w:t>R</w:t>
      </w:r>
      <w:r w:rsidR="00E21D8C" w:rsidRPr="007F776D">
        <w:rPr>
          <w:b/>
          <w:u w:val="single"/>
        </w:rPr>
        <w:t xml:space="preserve">ates and </w:t>
      </w:r>
      <w:r w:rsidRPr="007F776D">
        <w:rPr>
          <w:b/>
          <w:u w:val="single"/>
        </w:rPr>
        <w:t>C</w:t>
      </w:r>
      <w:r w:rsidR="00E21D8C" w:rsidRPr="007F776D">
        <w:rPr>
          <w:b/>
          <w:u w:val="single"/>
        </w:rPr>
        <w:t>harges</w:t>
      </w:r>
    </w:p>
    <w:p w:rsidR="00E21D8C" w:rsidRDefault="00E21D8C" w:rsidP="00E21D8C">
      <w:pPr>
        <w:jc w:val="both"/>
        <w:rPr>
          <w:b/>
          <w:bCs/>
          <w:i/>
          <w:iCs/>
        </w:rPr>
      </w:pPr>
    </w:p>
    <w:p w:rsidR="00E21D8C" w:rsidRPr="00E21D8C" w:rsidRDefault="00E24D79" w:rsidP="00E21D8C">
      <w:pPr>
        <w:jc w:val="both"/>
      </w:pPr>
      <w:r>
        <w:rPr>
          <w:b/>
          <w:bCs/>
          <w:i/>
          <w:iCs/>
        </w:rPr>
        <w:tab/>
      </w:r>
      <w:r w:rsidR="00E21D8C" w:rsidRPr="00E21D8C">
        <w:rPr>
          <w:b/>
          <w:bCs/>
          <w:i/>
          <w:iCs/>
        </w:rPr>
        <w:t> </w:t>
      </w:r>
      <w:r w:rsidR="00E21D8C" w:rsidRPr="00E21D8C">
        <w:t>The Utility provides water and wastewater service to approximately 519 customers within the Palm Isles and Rock Springs Mobile Home Communities. All of the Utility’s customers are residential with the exception of a community club house. Additionally, the Utility indicated that all customers, including the club house have 3/4” meters. Currently the Utility bills its customers a combined rate for water and wastewater service which consists of a monthly base facility charge (BFC) of $14.00 and inclining block rates of $1.50 per 1,000 for 0-4,000 gallons, $3.50 per 1,000 for 4,001-8,000, and $6.50 per 1,000 for all gallons in excess of 8,000. Due to the combined nature of the utility’s current rates, there is no residential wastewater cap.</w:t>
      </w:r>
    </w:p>
    <w:p w:rsidR="00E21D8C" w:rsidRPr="00E21D8C" w:rsidRDefault="00E21D8C" w:rsidP="00E21D8C">
      <w:pPr>
        <w:jc w:val="both"/>
      </w:pPr>
    </w:p>
    <w:p w:rsidR="00E21D8C" w:rsidRDefault="00E21D8C" w:rsidP="007D2CB5">
      <w:pPr>
        <w:ind w:firstLine="720"/>
        <w:jc w:val="both"/>
      </w:pPr>
      <w:r w:rsidRPr="00E21D8C">
        <w:t xml:space="preserve">It is </w:t>
      </w:r>
      <w:r w:rsidR="00E24D79">
        <w:t xml:space="preserve">this </w:t>
      </w:r>
      <w:r w:rsidRPr="00E21D8C">
        <w:t>Commission</w:t>
      </w:r>
      <w:r w:rsidR="00E24D79">
        <w:t>’s</w:t>
      </w:r>
      <w:r w:rsidRPr="00E21D8C">
        <w:t xml:space="preserve"> practice to establish separate rates for water and wastewater systems.</w:t>
      </w:r>
      <w:r w:rsidRPr="00E21D8C">
        <w:rPr>
          <w:vertAlign w:val="superscript"/>
        </w:rPr>
        <w:footnoteReference w:id="4"/>
      </w:r>
      <w:r w:rsidRPr="00E21D8C">
        <w:t xml:space="preserve"> The Utility allocated its existing rates between its water and wastewater systems to reflect the approximate costs to serve each system. This resulted in approximately 35 percent </w:t>
      </w:r>
      <w:r w:rsidRPr="00E21D8C">
        <w:lastRenderedPageBreak/>
        <w:t xml:space="preserve">allocated to the Utility’s water system and 65 percent allocated to the Utility’s wastewater system. </w:t>
      </w:r>
      <w:r w:rsidR="00081649">
        <w:t>We</w:t>
      </w:r>
      <w:r w:rsidRPr="00E21D8C">
        <w:t xml:space="preserve"> </w:t>
      </w:r>
      <w:r w:rsidR="00081649">
        <w:t>find</w:t>
      </w:r>
      <w:r w:rsidRPr="00E21D8C">
        <w:t xml:space="preserve"> this is reasonable because, typically, it is more costly to provide wastewater than water service. The Utility’s cu</w:t>
      </w:r>
      <w:r w:rsidR="004C35D1">
        <w:t xml:space="preserve">rrent rates are shown in Table </w:t>
      </w:r>
      <w:r w:rsidRPr="00E21D8C">
        <w:t>1, as well as the Utility’s proposed allocation between its water and wastewater systems.</w:t>
      </w:r>
    </w:p>
    <w:p w:rsidR="0008768A" w:rsidRPr="00E21D8C" w:rsidRDefault="0008768A" w:rsidP="007D2CB5">
      <w:pPr>
        <w:ind w:firstLine="720"/>
        <w:jc w:val="both"/>
      </w:pPr>
    </w:p>
    <w:p w:rsidR="00E21D8C" w:rsidRPr="009C3070" w:rsidRDefault="00E21D8C" w:rsidP="00E21D8C">
      <w:pPr>
        <w:jc w:val="center"/>
        <w:rPr>
          <w:rFonts w:eastAsiaTheme="minorHAnsi"/>
          <w:b/>
        </w:rPr>
      </w:pPr>
      <w:r w:rsidRPr="009C3070">
        <w:rPr>
          <w:rFonts w:eastAsiaTheme="minorHAnsi"/>
          <w:b/>
        </w:rPr>
        <w:t>Table 1</w:t>
      </w:r>
    </w:p>
    <w:p w:rsidR="00E21D8C" w:rsidRPr="009C3070" w:rsidRDefault="00E21D8C" w:rsidP="00E21D8C">
      <w:pPr>
        <w:jc w:val="center"/>
        <w:rPr>
          <w:rFonts w:eastAsiaTheme="minorHAnsi"/>
          <w:b/>
        </w:rPr>
      </w:pPr>
      <w:r w:rsidRPr="009C3070">
        <w:rPr>
          <w:rFonts w:eastAsiaTheme="minorHAnsi"/>
          <w:b/>
        </w:rPr>
        <w:t>RSPI’s Water and Wastewater Rates</w:t>
      </w:r>
    </w:p>
    <w:tbl>
      <w:tblPr>
        <w:tblStyle w:val="TableGrid1"/>
        <w:tblW w:w="0" w:type="auto"/>
        <w:tblLook w:val="04A0" w:firstRow="1" w:lastRow="0" w:firstColumn="1" w:lastColumn="0" w:noHBand="0" w:noVBand="1"/>
      </w:tblPr>
      <w:tblGrid>
        <w:gridCol w:w="2268"/>
        <w:gridCol w:w="3184"/>
        <w:gridCol w:w="2042"/>
        <w:gridCol w:w="2082"/>
      </w:tblGrid>
      <w:tr w:rsidR="00E21D8C" w:rsidRPr="009C3070" w:rsidTr="00F46CBD">
        <w:tc>
          <w:tcPr>
            <w:tcW w:w="2268" w:type="dxa"/>
          </w:tcPr>
          <w:p w:rsidR="00E21D8C" w:rsidRPr="009C3070" w:rsidRDefault="00E21D8C" w:rsidP="00E21D8C">
            <w:pPr>
              <w:jc w:val="both"/>
              <w:rPr>
                <w:rFonts w:ascii="Times New Roman" w:hAnsi="Times New Roman" w:cs="Times New Roman"/>
              </w:rPr>
            </w:pPr>
          </w:p>
        </w:tc>
        <w:tc>
          <w:tcPr>
            <w:tcW w:w="3184" w:type="dxa"/>
          </w:tcPr>
          <w:p w:rsidR="00E21D8C" w:rsidRPr="009C3070" w:rsidRDefault="00E21D8C" w:rsidP="00E21D8C">
            <w:pPr>
              <w:jc w:val="center"/>
              <w:rPr>
                <w:rFonts w:ascii="Times New Roman" w:hAnsi="Times New Roman" w:cs="Times New Roman"/>
              </w:rPr>
            </w:pPr>
            <w:r w:rsidRPr="009C3070">
              <w:rPr>
                <w:rFonts w:ascii="Times New Roman" w:hAnsi="Times New Roman" w:cs="Times New Roman"/>
              </w:rPr>
              <w:t>Current Rates</w:t>
            </w:r>
          </w:p>
        </w:tc>
        <w:tc>
          <w:tcPr>
            <w:tcW w:w="4124" w:type="dxa"/>
            <w:gridSpan w:val="2"/>
          </w:tcPr>
          <w:p w:rsidR="00E21D8C" w:rsidRPr="009C3070" w:rsidRDefault="00E21D8C" w:rsidP="00E21D8C">
            <w:pPr>
              <w:jc w:val="center"/>
              <w:rPr>
                <w:rFonts w:ascii="Times New Roman" w:hAnsi="Times New Roman" w:cs="Times New Roman"/>
              </w:rPr>
            </w:pPr>
            <w:r w:rsidRPr="009C3070">
              <w:rPr>
                <w:rFonts w:ascii="Times New Roman" w:hAnsi="Times New Roman" w:cs="Times New Roman"/>
              </w:rPr>
              <w:t>Proposed Rates</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p>
        </w:tc>
        <w:tc>
          <w:tcPr>
            <w:tcW w:w="3184" w:type="dxa"/>
          </w:tcPr>
          <w:p w:rsidR="00E21D8C" w:rsidRPr="009C3070" w:rsidRDefault="00E21D8C" w:rsidP="00E21D8C">
            <w:pPr>
              <w:jc w:val="center"/>
              <w:rPr>
                <w:rFonts w:ascii="Times New Roman" w:hAnsi="Times New Roman" w:cs="Times New Roman"/>
              </w:rPr>
            </w:pPr>
            <w:r w:rsidRPr="009C3070">
              <w:rPr>
                <w:rFonts w:ascii="Times New Roman" w:hAnsi="Times New Roman" w:cs="Times New Roman"/>
              </w:rPr>
              <w:t>Water and Wastewater</w:t>
            </w:r>
          </w:p>
        </w:tc>
        <w:tc>
          <w:tcPr>
            <w:tcW w:w="2042" w:type="dxa"/>
          </w:tcPr>
          <w:p w:rsidR="00E21D8C" w:rsidRPr="009C3070" w:rsidRDefault="00E21D8C" w:rsidP="00E21D8C">
            <w:pPr>
              <w:jc w:val="center"/>
              <w:rPr>
                <w:rFonts w:ascii="Times New Roman" w:hAnsi="Times New Roman" w:cs="Times New Roman"/>
              </w:rPr>
            </w:pPr>
            <w:r w:rsidRPr="009C3070">
              <w:rPr>
                <w:rFonts w:ascii="Times New Roman" w:hAnsi="Times New Roman" w:cs="Times New Roman"/>
              </w:rPr>
              <w:t>Water</w:t>
            </w:r>
          </w:p>
        </w:tc>
        <w:tc>
          <w:tcPr>
            <w:tcW w:w="2082" w:type="dxa"/>
          </w:tcPr>
          <w:p w:rsidR="00E21D8C" w:rsidRPr="009C3070" w:rsidRDefault="00E21D8C" w:rsidP="00E21D8C">
            <w:pPr>
              <w:jc w:val="center"/>
              <w:rPr>
                <w:rFonts w:ascii="Times New Roman" w:hAnsi="Times New Roman" w:cs="Times New Roman"/>
              </w:rPr>
            </w:pPr>
            <w:r w:rsidRPr="009C3070">
              <w:rPr>
                <w:rFonts w:ascii="Times New Roman" w:hAnsi="Times New Roman" w:cs="Times New Roman"/>
              </w:rPr>
              <w:t>Wastewater</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Base Facility Charge</w:t>
            </w:r>
          </w:p>
        </w:tc>
        <w:tc>
          <w:tcPr>
            <w:tcW w:w="3184"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$14.00</w:t>
            </w:r>
          </w:p>
        </w:tc>
        <w:tc>
          <w:tcPr>
            <w:tcW w:w="204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$5.00</w:t>
            </w:r>
          </w:p>
        </w:tc>
        <w:tc>
          <w:tcPr>
            <w:tcW w:w="208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$9.00</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p>
        </w:tc>
        <w:tc>
          <w:tcPr>
            <w:tcW w:w="3184" w:type="dxa"/>
          </w:tcPr>
          <w:p w:rsidR="00E21D8C" w:rsidRPr="009C3070" w:rsidRDefault="00E21D8C" w:rsidP="00E21D8C">
            <w:pPr>
              <w:jc w:val="right"/>
              <w:rPr>
                <w:rFonts w:ascii="Times New Roman" w:hAnsi="Times New Roman" w:cs="Times New Roman"/>
              </w:rPr>
            </w:pPr>
          </w:p>
        </w:tc>
        <w:tc>
          <w:tcPr>
            <w:tcW w:w="2042" w:type="dxa"/>
          </w:tcPr>
          <w:p w:rsidR="00E21D8C" w:rsidRPr="009C3070" w:rsidRDefault="00E21D8C" w:rsidP="00E21D8C">
            <w:pPr>
              <w:jc w:val="right"/>
              <w:rPr>
                <w:rFonts w:ascii="Times New Roman" w:hAnsi="Times New Roman" w:cs="Times New Roman"/>
              </w:rPr>
            </w:pPr>
          </w:p>
        </w:tc>
        <w:tc>
          <w:tcPr>
            <w:tcW w:w="2082" w:type="dxa"/>
          </w:tcPr>
          <w:p w:rsidR="00E21D8C" w:rsidRPr="009C3070" w:rsidRDefault="00E21D8C" w:rsidP="00E21D8C">
            <w:pPr>
              <w:jc w:val="right"/>
              <w:rPr>
                <w:rFonts w:ascii="Times New Roman" w:hAnsi="Times New Roman" w:cs="Times New Roman"/>
              </w:rPr>
            </w:pP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Gallonage Charge</w:t>
            </w:r>
          </w:p>
        </w:tc>
        <w:tc>
          <w:tcPr>
            <w:tcW w:w="3184" w:type="dxa"/>
          </w:tcPr>
          <w:p w:rsidR="00E21D8C" w:rsidRPr="009C3070" w:rsidRDefault="00E21D8C" w:rsidP="00E21D8C">
            <w:pPr>
              <w:jc w:val="right"/>
              <w:rPr>
                <w:rFonts w:ascii="Times New Roman" w:hAnsi="Times New Roman" w:cs="Times New Roman"/>
              </w:rPr>
            </w:pPr>
          </w:p>
        </w:tc>
        <w:tc>
          <w:tcPr>
            <w:tcW w:w="2042" w:type="dxa"/>
          </w:tcPr>
          <w:p w:rsidR="00E21D8C" w:rsidRPr="009C3070" w:rsidRDefault="00E21D8C" w:rsidP="00E21D8C">
            <w:pPr>
              <w:jc w:val="right"/>
              <w:rPr>
                <w:rFonts w:ascii="Times New Roman" w:hAnsi="Times New Roman" w:cs="Times New Roman"/>
              </w:rPr>
            </w:pPr>
          </w:p>
        </w:tc>
        <w:tc>
          <w:tcPr>
            <w:tcW w:w="2082" w:type="dxa"/>
          </w:tcPr>
          <w:p w:rsidR="00E21D8C" w:rsidRPr="009C3070" w:rsidRDefault="00E21D8C" w:rsidP="00E21D8C">
            <w:pPr>
              <w:jc w:val="right"/>
              <w:rPr>
                <w:rFonts w:ascii="Times New Roman" w:hAnsi="Times New Roman" w:cs="Times New Roman"/>
              </w:rPr>
            </w:pP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0-4,000</w:t>
            </w:r>
          </w:p>
        </w:tc>
        <w:tc>
          <w:tcPr>
            <w:tcW w:w="3184"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$1.50</w:t>
            </w:r>
          </w:p>
        </w:tc>
        <w:tc>
          <w:tcPr>
            <w:tcW w:w="204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$0.50</w:t>
            </w:r>
          </w:p>
        </w:tc>
        <w:tc>
          <w:tcPr>
            <w:tcW w:w="208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$1.00</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4,001-8,000</w:t>
            </w:r>
          </w:p>
        </w:tc>
        <w:tc>
          <w:tcPr>
            <w:tcW w:w="3184"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$3.50</w:t>
            </w:r>
          </w:p>
        </w:tc>
        <w:tc>
          <w:tcPr>
            <w:tcW w:w="204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$2.50</w:t>
            </w:r>
          </w:p>
        </w:tc>
        <w:tc>
          <w:tcPr>
            <w:tcW w:w="208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$1.00</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All Over 8,000</w:t>
            </w:r>
          </w:p>
        </w:tc>
        <w:tc>
          <w:tcPr>
            <w:tcW w:w="3184"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$6.50</w:t>
            </w:r>
          </w:p>
        </w:tc>
        <w:tc>
          <w:tcPr>
            <w:tcW w:w="204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$5.50</w:t>
            </w:r>
          </w:p>
        </w:tc>
        <w:tc>
          <w:tcPr>
            <w:tcW w:w="208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$1.00</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p>
        </w:tc>
        <w:tc>
          <w:tcPr>
            <w:tcW w:w="3184" w:type="dxa"/>
          </w:tcPr>
          <w:p w:rsidR="00E21D8C" w:rsidRPr="009C3070" w:rsidRDefault="00E21D8C" w:rsidP="00E21D8C">
            <w:pPr>
              <w:jc w:val="right"/>
              <w:rPr>
                <w:rFonts w:ascii="Times New Roman" w:hAnsi="Times New Roman" w:cs="Times New Roman"/>
              </w:rPr>
            </w:pPr>
          </w:p>
        </w:tc>
        <w:tc>
          <w:tcPr>
            <w:tcW w:w="2042" w:type="dxa"/>
          </w:tcPr>
          <w:p w:rsidR="00E21D8C" w:rsidRPr="009C3070" w:rsidRDefault="00E21D8C" w:rsidP="00E21D8C">
            <w:pPr>
              <w:jc w:val="right"/>
              <w:rPr>
                <w:rFonts w:ascii="Times New Roman" w:hAnsi="Times New Roman" w:cs="Times New Roman"/>
              </w:rPr>
            </w:pPr>
          </w:p>
        </w:tc>
        <w:tc>
          <w:tcPr>
            <w:tcW w:w="2082" w:type="dxa"/>
          </w:tcPr>
          <w:p w:rsidR="00E21D8C" w:rsidRPr="009C3070" w:rsidRDefault="00E21D8C" w:rsidP="00E21D8C">
            <w:pPr>
              <w:jc w:val="right"/>
              <w:rPr>
                <w:rFonts w:ascii="Times New Roman" w:hAnsi="Times New Roman" w:cs="Times New Roman"/>
              </w:rPr>
            </w:pPr>
          </w:p>
        </w:tc>
      </w:tr>
      <w:tr w:rsidR="00E21D8C" w:rsidRPr="009C3070" w:rsidTr="00F46CBD">
        <w:tc>
          <w:tcPr>
            <w:tcW w:w="9576" w:type="dxa"/>
            <w:gridSpan w:val="4"/>
          </w:tcPr>
          <w:p w:rsidR="00E21D8C" w:rsidRPr="009C3070" w:rsidRDefault="00E21D8C" w:rsidP="00E21D8C">
            <w:pPr>
              <w:rPr>
                <w:rFonts w:ascii="Times New Roman" w:hAnsi="Times New Roman" w:cs="Times New Roman"/>
              </w:rPr>
            </w:pPr>
            <w:r w:rsidRPr="009C3070">
              <w:rPr>
                <w:rFonts w:ascii="Times New Roman" w:hAnsi="Times New Roman" w:cs="Times New Roman"/>
              </w:rPr>
              <w:t>Typical Residential 3/4” Meter Bill Comparison</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3,000 Gallons</w:t>
            </w:r>
          </w:p>
        </w:tc>
        <w:tc>
          <w:tcPr>
            <w:tcW w:w="3184"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$18.50</w:t>
            </w:r>
          </w:p>
        </w:tc>
        <w:tc>
          <w:tcPr>
            <w:tcW w:w="204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$6.50</w:t>
            </w:r>
          </w:p>
        </w:tc>
        <w:tc>
          <w:tcPr>
            <w:tcW w:w="208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$12.00</w:t>
            </w:r>
          </w:p>
        </w:tc>
      </w:tr>
      <w:tr w:rsidR="00E21D8C" w:rsidRPr="009C3070" w:rsidTr="00F46CBD">
        <w:tc>
          <w:tcPr>
            <w:tcW w:w="2268" w:type="dxa"/>
          </w:tcPr>
          <w:p w:rsidR="00E21D8C" w:rsidRPr="009C3070" w:rsidRDefault="00E21D8C" w:rsidP="00E21D8C">
            <w:pPr>
              <w:jc w:val="both"/>
              <w:rPr>
                <w:rFonts w:ascii="Times New Roman" w:hAnsi="Times New Roman" w:cs="Times New Roman"/>
              </w:rPr>
            </w:pPr>
            <w:r w:rsidRPr="009C3070">
              <w:rPr>
                <w:rFonts w:ascii="Times New Roman" w:hAnsi="Times New Roman" w:cs="Times New Roman"/>
              </w:rPr>
              <w:t>5,000 Gallons</w:t>
            </w:r>
          </w:p>
        </w:tc>
        <w:tc>
          <w:tcPr>
            <w:tcW w:w="3184"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$23.50</w:t>
            </w:r>
          </w:p>
        </w:tc>
        <w:tc>
          <w:tcPr>
            <w:tcW w:w="204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$9.50</w:t>
            </w:r>
          </w:p>
        </w:tc>
        <w:tc>
          <w:tcPr>
            <w:tcW w:w="2082" w:type="dxa"/>
          </w:tcPr>
          <w:p w:rsidR="00E21D8C" w:rsidRPr="009C3070" w:rsidRDefault="00E21D8C" w:rsidP="00E21D8C">
            <w:pPr>
              <w:jc w:val="right"/>
              <w:rPr>
                <w:rFonts w:ascii="Times New Roman" w:hAnsi="Times New Roman" w:cs="Times New Roman"/>
              </w:rPr>
            </w:pPr>
            <w:r w:rsidRPr="009C3070">
              <w:rPr>
                <w:rFonts w:ascii="Times New Roman" w:hAnsi="Times New Roman" w:cs="Times New Roman"/>
              </w:rPr>
              <w:t>$14.00</w:t>
            </w:r>
          </w:p>
        </w:tc>
      </w:tr>
    </w:tbl>
    <w:p w:rsidR="00E21D8C" w:rsidRDefault="00E21D8C" w:rsidP="00E21D8C">
      <w:pPr>
        <w:jc w:val="both"/>
        <w:rPr>
          <w:rFonts w:eastAsiaTheme="minorHAnsi"/>
        </w:rPr>
      </w:pPr>
    </w:p>
    <w:p w:rsidR="00E21D8C" w:rsidRPr="00E21D8C" w:rsidRDefault="00E21D8C" w:rsidP="007D2CB5">
      <w:pPr>
        <w:ind w:firstLine="720"/>
        <w:jc w:val="both"/>
        <w:rPr>
          <w:rFonts w:eastAsiaTheme="minorHAnsi"/>
        </w:rPr>
      </w:pPr>
      <w:r w:rsidRPr="00E21D8C">
        <w:rPr>
          <w:rFonts w:eastAsiaTheme="minorHAnsi"/>
        </w:rPr>
        <w:t xml:space="preserve">Based on the above, the monthly water and wastewater rates, on Schedule No. 1, are reasonable and </w:t>
      </w:r>
      <w:r w:rsidR="004C35D1">
        <w:rPr>
          <w:rFonts w:eastAsiaTheme="minorHAnsi"/>
        </w:rPr>
        <w:t>shall</w:t>
      </w:r>
      <w:r w:rsidRPr="00E21D8C">
        <w:rPr>
          <w:rFonts w:eastAsiaTheme="minorHAnsi"/>
        </w:rPr>
        <w:t xml:space="preserve"> be approved. The Utility sh</w:t>
      </w:r>
      <w:r w:rsidR="004C35D1">
        <w:rPr>
          <w:rFonts w:eastAsiaTheme="minorHAnsi"/>
        </w:rPr>
        <w:t>all</w:t>
      </w:r>
      <w:r w:rsidRPr="00E21D8C">
        <w:rPr>
          <w:rFonts w:eastAsiaTheme="minorHAnsi"/>
        </w:rPr>
        <w:t xml:space="preserve"> file revised tariff sheets and a proposed customer notice to reflect th</w:t>
      </w:r>
      <w:r w:rsidR="004C35D1">
        <w:rPr>
          <w:rFonts w:eastAsiaTheme="minorHAnsi"/>
        </w:rPr>
        <w:t>is</w:t>
      </w:r>
      <w:r w:rsidRPr="00E21D8C">
        <w:rPr>
          <w:rFonts w:eastAsiaTheme="minorHAnsi"/>
        </w:rPr>
        <w:t xml:space="preserve"> Commission</w:t>
      </w:r>
      <w:r w:rsidR="00627442">
        <w:rPr>
          <w:rFonts w:eastAsiaTheme="minorHAnsi"/>
        </w:rPr>
        <w:t>-</w:t>
      </w:r>
      <w:r w:rsidRPr="00E21D8C">
        <w:rPr>
          <w:rFonts w:eastAsiaTheme="minorHAnsi"/>
        </w:rPr>
        <w:t xml:space="preserve">approved rates. The approved rates </w:t>
      </w:r>
      <w:r w:rsidR="00081649">
        <w:t>shall</w:t>
      </w:r>
      <w:r w:rsidR="00081649" w:rsidRPr="00E21D8C">
        <w:rPr>
          <w:rFonts w:eastAsiaTheme="minorHAnsi"/>
        </w:rPr>
        <w:t xml:space="preserve"> </w:t>
      </w:r>
      <w:r w:rsidRPr="00E21D8C">
        <w:rPr>
          <w:rFonts w:eastAsiaTheme="minorHAnsi"/>
        </w:rPr>
        <w:t>be effective for service rendered on or after the stamped approval date on the tariff sheets pursuant to Rule 25-30.475(1), F.A.C. The approved rates sh</w:t>
      </w:r>
      <w:r w:rsidR="004C35D1">
        <w:rPr>
          <w:rFonts w:eastAsiaTheme="minorHAnsi"/>
        </w:rPr>
        <w:t>all</w:t>
      </w:r>
      <w:r w:rsidRPr="00E21D8C">
        <w:rPr>
          <w:rFonts w:eastAsiaTheme="minorHAnsi"/>
        </w:rPr>
        <w:t xml:space="preserve"> not be implemented until </w:t>
      </w:r>
      <w:r w:rsidR="007D2CB5">
        <w:t>Commission staff</w:t>
      </w:r>
      <w:r w:rsidR="007D2CB5" w:rsidRPr="00E21D8C">
        <w:rPr>
          <w:rFonts w:eastAsiaTheme="minorHAnsi"/>
        </w:rPr>
        <w:t xml:space="preserve"> </w:t>
      </w:r>
      <w:r w:rsidRPr="00E21D8C">
        <w:rPr>
          <w:rFonts w:eastAsiaTheme="minorHAnsi"/>
        </w:rPr>
        <w:t>ha</w:t>
      </w:r>
      <w:r w:rsidR="007D2CB5">
        <w:rPr>
          <w:rFonts w:eastAsiaTheme="minorHAnsi"/>
        </w:rPr>
        <w:t>s</w:t>
      </w:r>
      <w:r w:rsidRPr="00E21D8C">
        <w:rPr>
          <w:rFonts w:eastAsiaTheme="minorHAnsi"/>
        </w:rPr>
        <w:t xml:space="preserve"> approved the proposed customer notice and the notice has been received by customers. The Utility sh</w:t>
      </w:r>
      <w:r w:rsidR="004C35D1">
        <w:rPr>
          <w:rFonts w:eastAsiaTheme="minorHAnsi"/>
        </w:rPr>
        <w:t>al</w:t>
      </w:r>
      <w:r w:rsidRPr="00E21D8C">
        <w:rPr>
          <w:rFonts w:eastAsiaTheme="minorHAnsi"/>
        </w:rPr>
        <w:t>l provide proof of the date notice was given within 10 days of the date of the notice.</w:t>
      </w:r>
    </w:p>
    <w:p w:rsidR="00E21D8C" w:rsidRDefault="00E21D8C" w:rsidP="00E21D8C">
      <w:pPr>
        <w:jc w:val="both"/>
        <w:rPr>
          <w:rFonts w:eastAsiaTheme="minorHAnsi"/>
        </w:rPr>
      </w:pPr>
    </w:p>
    <w:p w:rsidR="004C35D1" w:rsidRPr="004C35D1" w:rsidRDefault="004C35D1" w:rsidP="00E21D8C">
      <w:pPr>
        <w:jc w:val="both"/>
        <w:rPr>
          <w:rFonts w:eastAsiaTheme="minorHAnsi"/>
          <w:b/>
          <w:bCs/>
          <w:i/>
          <w:u w:val="single"/>
        </w:rPr>
      </w:pPr>
      <w:r w:rsidRPr="004C35D1">
        <w:rPr>
          <w:rFonts w:eastAsiaTheme="minorHAnsi"/>
          <w:b/>
          <w:u w:val="single"/>
        </w:rPr>
        <w:t>Miscellaneous Service Charges</w:t>
      </w:r>
    </w:p>
    <w:p w:rsidR="004C35D1" w:rsidRDefault="004C35D1" w:rsidP="00E21D8C">
      <w:pPr>
        <w:jc w:val="both"/>
        <w:rPr>
          <w:rFonts w:eastAsiaTheme="minorHAnsi"/>
          <w:b/>
          <w:bCs/>
          <w:i/>
          <w:iCs/>
        </w:rPr>
      </w:pPr>
    </w:p>
    <w:p w:rsidR="00E21D8C" w:rsidRPr="00E21D8C" w:rsidRDefault="00E21D8C" w:rsidP="004C35D1">
      <w:pPr>
        <w:ind w:firstLine="720"/>
        <w:jc w:val="both"/>
        <w:rPr>
          <w:rFonts w:eastAsiaTheme="minorHAnsi"/>
        </w:rPr>
      </w:pPr>
      <w:r w:rsidRPr="00E21D8C">
        <w:rPr>
          <w:rFonts w:eastAsiaTheme="minorHAnsi"/>
        </w:rPr>
        <w:t>RSPI does not currently have miscellaneous service charges in place. Secti</w:t>
      </w:r>
      <w:r w:rsidR="004C35D1">
        <w:rPr>
          <w:rFonts w:eastAsiaTheme="minorHAnsi"/>
        </w:rPr>
        <w:t>on 367.091, F.S., authorizes this</w:t>
      </w:r>
      <w:r w:rsidRPr="00E21D8C">
        <w:rPr>
          <w:rFonts w:eastAsiaTheme="minorHAnsi"/>
        </w:rPr>
        <w:t xml:space="preserve"> Commission to establish miscellaneous service charges. The Utility requested establishment of miscellaneous charges and </w:t>
      </w:r>
      <w:r w:rsidR="007D2CB5">
        <w:t>Commission staff</w:t>
      </w:r>
      <w:r w:rsidR="007D2CB5" w:rsidRPr="00E21D8C">
        <w:rPr>
          <w:rFonts w:eastAsiaTheme="minorHAnsi"/>
        </w:rPr>
        <w:t xml:space="preserve"> </w:t>
      </w:r>
      <w:r w:rsidRPr="00E21D8C">
        <w:rPr>
          <w:rFonts w:eastAsiaTheme="minorHAnsi"/>
        </w:rPr>
        <w:t xml:space="preserve">compiled the Utility’s cost justification, as required by Section 367.091(6), F.S., through a series of data requests in order to calculate </w:t>
      </w:r>
      <w:r w:rsidR="004C35D1">
        <w:rPr>
          <w:rFonts w:eastAsiaTheme="minorHAnsi"/>
        </w:rPr>
        <w:t>our</w:t>
      </w:r>
      <w:r w:rsidRPr="00E21D8C">
        <w:rPr>
          <w:rFonts w:eastAsiaTheme="minorHAnsi"/>
        </w:rPr>
        <w:t xml:space="preserve"> </w:t>
      </w:r>
      <w:r w:rsidR="00081649">
        <w:rPr>
          <w:rFonts w:eastAsiaTheme="minorHAnsi"/>
        </w:rPr>
        <w:t>approved</w:t>
      </w:r>
      <w:r w:rsidRPr="00E21D8C">
        <w:rPr>
          <w:rFonts w:eastAsiaTheme="minorHAnsi"/>
        </w:rPr>
        <w:t xml:space="preserve"> miscellaneous service charges. </w:t>
      </w:r>
    </w:p>
    <w:p w:rsidR="00E21D8C" w:rsidRPr="00E21D8C" w:rsidRDefault="00E21D8C" w:rsidP="00E21D8C">
      <w:pPr>
        <w:jc w:val="both"/>
        <w:rPr>
          <w:rFonts w:eastAsiaTheme="minorHAnsi"/>
        </w:rPr>
      </w:pPr>
    </w:p>
    <w:p w:rsidR="00E21D8C" w:rsidRPr="00E21D8C" w:rsidRDefault="00E21D8C" w:rsidP="004C35D1">
      <w:pPr>
        <w:ind w:firstLine="720"/>
        <w:jc w:val="both"/>
        <w:rPr>
          <w:rFonts w:eastAsiaTheme="minorHAnsi"/>
        </w:rPr>
      </w:pPr>
      <w:r w:rsidRPr="00E21D8C">
        <w:rPr>
          <w:rFonts w:eastAsiaTheme="minorHAnsi"/>
        </w:rPr>
        <w:t xml:space="preserve">The calculations for </w:t>
      </w:r>
      <w:r w:rsidR="004C35D1">
        <w:rPr>
          <w:rFonts w:eastAsiaTheme="minorHAnsi"/>
        </w:rPr>
        <w:t xml:space="preserve">our </w:t>
      </w:r>
      <w:r w:rsidR="00081649">
        <w:rPr>
          <w:rFonts w:eastAsiaTheme="minorHAnsi"/>
        </w:rPr>
        <w:t>approved</w:t>
      </w:r>
      <w:r w:rsidRPr="00E21D8C">
        <w:rPr>
          <w:rFonts w:eastAsiaTheme="minorHAnsi"/>
        </w:rPr>
        <w:t xml:space="preserve"> miscellaneous service charges are shown in Tables </w:t>
      </w:r>
      <w:r w:rsidR="004C35D1">
        <w:rPr>
          <w:rFonts w:eastAsiaTheme="minorHAnsi"/>
        </w:rPr>
        <w:t>2</w:t>
      </w:r>
      <w:r w:rsidRPr="00E21D8C">
        <w:rPr>
          <w:rFonts w:eastAsiaTheme="minorHAnsi"/>
        </w:rPr>
        <w:t xml:space="preserve"> through </w:t>
      </w:r>
      <w:r w:rsidR="004C35D1">
        <w:rPr>
          <w:rFonts w:eastAsiaTheme="minorHAnsi"/>
        </w:rPr>
        <w:t>5</w:t>
      </w:r>
      <w:r w:rsidRPr="00E21D8C">
        <w:rPr>
          <w:rFonts w:eastAsiaTheme="minorHAnsi"/>
        </w:rPr>
        <w:t xml:space="preserve"> and are rounded up to the nearest tenth. </w:t>
      </w:r>
      <w:r w:rsidR="004C35D1">
        <w:rPr>
          <w:rFonts w:eastAsiaTheme="minorHAnsi"/>
        </w:rPr>
        <w:t>Our</w:t>
      </w:r>
      <w:r w:rsidRPr="00E21D8C">
        <w:rPr>
          <w:rFonts w:eastAsiaTheme="minorHAnsi"/>
        </w:rPr>
        <w:t xml:space="preserve"> </w:t>
      </w:r>
      <w:r w:rsidR="00081649">
        <w:rPr>
          <w:rFonts w:eastAsiaTheme="minorHAnsi"/>
        </w:rPr>
        <w:t>approved</w:t>
      </w:r>
      <w:r w:rsidRPr="00E21D8C">
        <w:rPr>
          <w:rFonts w:eastAsiaTheme="minorHAnsi"/>
        </w:rPr>
        <w:t xml:space="preserve"> miscellaneous service charges are shown in Table </w:t>
      </w:r>
      <w:r w:rsidR="004C35D1">
        <w:rPr>
          <w:rFonts w:eastAsiaTheme="minorHAnsi"/>
        </w:rPr>
        <w:t>6</w:t>
      </w:r>
      <w:r w:rsidRPr="00E21D8C">
        <w:rPr>
          <w:rFonts w:eastAsiaTheme="minorHAnsi"/>
        </w:rPr>
        <w:t xml:space="preserve">. Furthermore, </w:t>
      </w:r>
      <w:r w:rsidR="004C35D1">
        <w:rPr>
          <w:rFonts w:eastAsiaTheme="minorHAnsi"/>
        </w:rPr>
        <w:t>our</w:t>
      </w:r>
      <w:r w:rsidRPr="00E21D8C">
        <w:rPr>
          <w:rFonts w:eastAsiaTheme="minorHAnsi"/>
        </w:rPr>
        <w:t xml:space="preserve"> </w:t>
      </w:r>
      <w:r w:rsidR="00081649">
        <w:rPr>
          <w:rFonts w:eastAsiaTheme="minorHAnsi"/>
        </w:rPr>
        <w:t>approved</w:t>
      </w:r>
      <w:r w:rsidRPr="00E21D8C">
        <w:rPr>
          <w:rFonts w:eastAsiaTheme="minorHAnsi"/>
        </w:rPr>
        <w:t xml:space="preserve"> miscellaneous service charges are applicable for the Utility’s water and wastewater systems. If both water and wastewater services are provided, only a single charge is appropriate unless circumstances beyond the control of the Utility require multiple actions.</w:t>
      </w:r>
    </w:p>
    <w:p w:rsidR="00E21D8C" w:rsidRPr="00E21D8C" w:rsidRDefault="00E21D8C" w:rsidP="00E21D8C">
      <w:pPr>
        <w:jc w:val="both"/>
        <w:rPr>
          <w:rFonts w:eastAsiaTheme="minorHAnsi"/>
        </w:rPr>
      </w:pPr>
    </w:p>
    <w:p w:rsidR="007D2CB5" w:rsidRDefault="007D2CB5" w:rsidP="00E21D8C">
      <w:pPr>
        <w:jc w:val="both"/>
        <w:rPr>
          <w:rFonts w:eastAsiaTheme="minorHAnsi"/>
          <w:b/>
        </w:rPr>
      </w:pPr>
    </w:p>
    <w:p w:rsidR="007D2CB5" w:rsidRDefault="007D2CB5" w:rsidP="00E21D8C">
      <w:pPr>
        <w:jc w:val="both"/>
        <w:rPr>
          <w:rFonts w:eastAsiaTheme="minorHAnsi"/>
          <w:b/>
        </w:rPr>
      </w:pPr>
    </w:p>
    <w:p w:rsidR="00E21D8C" w:rsidRDefault="00E21D8C" w:rsidP="00E21D8C">
      <w:pPr>
        <w:jc w:val="both"/>
        <w:rPr>
          <w:rFonts w:eastAsiaTheme="minorHAnsi"/>
          <w:b/>
        </w:rPr>
      </w:pPr>
      <w:r w:rsidRPr="00E21D8C">
        <w:rPr>
          <w:rFonts w:eastAsiaTheme="minorHAnsi"/>
          <w:b/>
        </w:rPr>
        <w:lastRenderedPageBreak/>
        <w:t>Initial Connection Charge</w:t>
      </w:r>
    </w:p>
    <w:p w:rsidR="004C35D1" w:rsidRPr="00E21D8C" w:rsidRDefault="004C35D1" w:rsidP="00E21D8C">
      <w:pPr>
        <w:jc w:val="both"/>
        <w:rPr>
          <w:rFonts w:eastAsiaTheme="minorHAnsi"/>
          <w:b/>
        </w:rPr>
      </w:pPr>
    </w:p>
    <w:p w:rsidR="00E21D8C" w:rsidRPr="00E21D8C" w:rsidRDefault="00E21D8C" w:rsidP="004C35D1">
      <w:pPr>
        <w:ind w:firstLine="720"/>
        <w:jc w:val="both"/>
        <w:rPr>
          <w:rFonts w:eastAsiaTheme="minorHAnsi"/>
          <w:bCs/>
          <w:iCs/>
        </w:rPr>
      </w:pPr>
      <w:r w:rsidRPr="00E21D8C">
        <w:rPr>
          <w:rFonts w:eastAsiaTheme="minorHAnsi"/>
          <w:bCs/>
          <w:iCs/>
        </w:rPr>
        <w:t xml:space="preserve">The initial connection charge is levied for service initiation for new customers. An RSPI representative makes one trip when performing the service for an initial connection. Based on labor and transportation to and from the service territory, </w:t>
      </w:r>
      <w:r w:rsidR="004C35D1">
        <w:rPr>
          <w:rFonts w:eastAsiaTheme="minorHAnsi"/>
          <w:bCs/>
          <w:iCs/>
        </w:rPr>
        <w:t>we</w:t>
      </w:r>
      <w:r w:rsidRPr="00E21D8C">
        <w:rPr>
          <w:rFonts w:eastAsiaTheme="minorHAnsi"/>
          <w:bCs/>
          <w:iCs/>
        </w:rPr>
        <w:t xml:space="preserve"> </w:t>
      </w:r>
      <w:r w:rsidR="004C35D1">
        <w:rPr>
          <w:rFonts w:eastAsiaTheme="minorHAnsi"/>
          <w:bCs/>
          <w:iCs/>
        </w:rPr>
        <w:t>determine</w:t>
      </w:r>
      <w:r w:rsidRPr="00E21D8C">
        <w:rPr>
          <w:rFonts w:eastAsiaTheme="minorHAnsi"/>
          <w:bCs/>
          <w:iCs/>
        </w:rPr>
        <w:t xml:space="preserve"> initial connection charges for RSPI’s water and wastewater systems of $11.50 for normal hours and $14.00 for after hours. </w:t>
      </w:r>
      <w:r w:rsidR="004C35D1">
        <w:rPr>
          <w:rFonts w:eastAsiaTheme="minorHAnsi"/>
          <w:bCs/>
          <w:iCs/>
        </w:rPr>
        <w:t>Our</w:t>
      </w:r>
      <w:r w:rsidRPr="00E21D8C">
        <w:rPr>
          <w:rFonts w:eastAsiaTheme="minorHAnsi"/>
          <w:bCs/>
          <w:iCs/>
        </w:rPr>
        <w:t xml:space="preserve"> calculations are shown below in Table </w:t>
      </w:r>
      <w:r w:rsidR="004C35D1">
        <w:rPr>
          <w:rFonts w:eastAsiaTheme="minorHAnsi"/>
          <w:bCs/>
          <w:iCs/>
        </w:rPr>
        <w:t>2</w:t>
      </w:r>
      <w:r w:rsidRPr="00E21D8C">
        <w:rPr>
          <w:rFonts w:eastAsiaTheme="minorHAnsi"/>
          <w:bCs/>
          <w:iCs/>
        </w:rPr>
        <w:t>.</w:t>
      </w:r>
    </w:p>
    <w:p w:rsidR="00E21D8C" w:rsidRPr="00E21D8C" w:rsidRDefault="00E21D8C" w:rsidP="00E21D8C">
      <w:pPr>
        <w:jc w:val="both"/>
        <w:rPr>
          <w:rFonts w:eastAsiaTheme="minorHAnsi"/>
          <w:u w:val="single"/>
        </w:rPr>
      </w:pPr>
    </w:p>
    <w:p w:rsidR="00E21D8C" w:rsidRPr="004C35D1" w:rsidRDefault="00E21D8C" w:rsidP="00E21D8C">
      <w:pPr>
        <w:jc w:val="center"/>
        <w:rPr>
          <w:b/>
          <w:bCs/>
          <w:iCs/>
        </w:rPr>
      </w:pPr>
      <w:r w:rsidRPr="004C35D1">
        <w:rPr>
          <w:b/>
          <w:bCs/>
          <w:iCs/>
        </w:rPr>
        <w:t xml:space="preserve">Table </w:t>
      </w:r>
      <w:r w:rsidR="004C35D1" w:rsidRPr="004C35D1">
        <w:rPr>
          <w:b/>
          <w:bCs/>
          <w:iCs/>
        </w:rPr>
        <w:t>2</w:t>
      </w:r>
    </w:p>
    <w:p w:rsidR="00E21D8C" w:rsidRPr="004C35D1" w:rsidRDefault="00E21D8C" w:rsidP="00E21D8C">
      <w:pPr>
        <w:jc w:val="center"/>
        <w:rPr>
          <w:b/>
          <w:bCs/>
          <w:iCs/>
        </w:rPr>
      </w:pPr>
      <w:r w:rsidRPr="004C35D1">
        <w:rPr>
          <w:b/>
          <w:bCs/>
          <w:iCs/>
        </w:rPr>
        <w:t>Initial Connection Charge Calculation</w:t>
      </w:r>
    </w:p>
    <w:tbl>
      <w:tblPr>
        <w:tblW w:w="10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E21D8C" w:rsidRPr="004C35D1" w:rsidTr="00F46CBD">
        <w:trPr>
          <w:trHeight w:val="304"/>
          <w:jc w:val="center"/>
        </w:trPr>
        <w:tc>
          <w:tcPr>
            <w:tcW w:w="3694" w:type="dxa"/>
            <w:shd w:val="clear" w:color="auto" w:fill="auto"/>
            <w:vAlign w:val="bottom"/>
          </w:tcPr>
          <w:p w:rsidR="00E21D8C" w:rsidRPr="004C35D1" w:rsidRDefault="00E21D8C" w:rsidP="00F46CBD">
            <w:pPr>
              <w:jc w:val="center"/>
            </w:pPr>
            <w:r w:rsidRPr="004C35D1">
              <w:t>Activity</w:t>
            </w:r>
          </w:p>
        </w:tc>
        <w:tc>
          <w:tcPr>
            <w:tcW w:w="1469" w:type="dxa"/>
            <w:shd w:val="clear" w:color="auto" w:fill="auto"/>
            <w:vAlign w:val="bottom"/>
          </w:tcPr>
          <w:p w:rsidR="00E21D8C" w:rsidRPr="004C35D1" w:rsidRDefault="00E21D8C" w:rsidP="00F46CBD">
            <w:pPr>
              <w:jc w:val="center"/>
            </w:pPr>
            <w:r w:rsidRPr="004C35D1">
              <w:t>Normal Hours Cost</w:t>
            </w:r>
          </w:p>
        </w:tc>
        <w:tc>
          <w:tcPr>
            <w:tcW w:w="3570" w:type="dxa"/>
            <w:vAlign w:val="bottom"/>
          </w:tcPr>
          <w:p w:rsidR="00E21D8C" w:rsidRPr="004C35D1" w:rsidRDefault="00E21D8C" w:rsidP="00F46CBD">
            <w:pPr>
              <w:jc w:val="center"/>
            </w:pPr>
            <w:r w:rsidRPr="004C35D1">
              <w:t>Activity</w:t>
            </w:r>
          </w:p>
        </w:tc>
        <w:tc>
          <w:tcPr>
            <w:tcW w:w="1402" w:type="dxa"/>
            <w:vAlign w:val="bottom"/>
          </w:tcPr>
          <w:p w:rsidR="00E21D8C" w:rsidRPr="004C35D1" w:rsidRDefault="00E21D8C" w:rsidP="00F46CBD">
            <w:pPr>
              <w:jc w:val="center"/>
            </w:pPr>
            <w:r w:rsidRPr="004C35D1">
              <w:t xml:space="preserve">After </w:t>
            </w:r>
          </w:p>
          <w:p w:rsidR="00E21D8C" w:rsidRPr="004C35D1" w:rsidRDefault="00E21D8C" w:rsidP="00F46CBD">
            <w:pPr>
              <w:jc w:val="center"/>
            </w:pPr>
            <w:r w:rsidRPr="004C35D1">
              <w:t>Hours Cost</w:t>
            </w:r>
          </w:p>
        </w:tc>
      </w:tr>
      <w:tr w:rsidR="00E21D8C" w:rsidRPr="004C35D1" w:rsidTr="00F46CBD">
        <w:trPr>
          <w:trHeight w:val="520"/>
          <w:jc w:val="center"/>
        </w:trPr>
        <w:tc>
          <w:tcPr>
            <w:tcW w:w="3694" w:type="dxa"/>
            <w:shd w:val="clear" w:color="auto" w:fill="auto"/>
          </w:tcPr>
          <w:p w:rsidR="00E21D8C" w:rsidRPr="004C35D1" w:rsidRDefault="00E21D8C" w:rsidP="00F46CBD">
            <w:pPr>
              <w:jc w:val="both"/>
            </w:pPr>
            <w:r w:rsidRPr="004C35D1">
              <w:t>Administrative Labor</w:t>
            </w:r>
          </w:p>
          <w:p w:rsidR="00E21D8C" w:rsidRPr="004C35D1" w:rsidRDefault="00E21D8C" w:rsidP="00F46CBD">
            <w:pPr>
              <w:jc w:val="both"/>
            </w:pPr>
            <w:r w:rsidRPr="004C35D1">
              <w:t>($15/hr x1/4hr)</w:t>
            </w:r>
          </w:p>
        </w:tc>
        <w:tc>
          <w:tcPr>
            <w:tcW w:w="1469" w:type="dxa"/>
            <w:shd w:val="clear" w:color="auto" w:fill="auto"/>
          </w:tcPr>
          <w:p w:rsidR="00E21D8C" w:rsidRPr="004C35D1" w:rsidRDefault="00E21D8C" w:rsidP="00F46CBD">
            <w:pPr>
              <w:jc w:val="right"/>
            </w:pPr>
          </w:p>
          <w:p w:rsidR="00E21D8C" w:rsidRPr="004C35D1" w:rsidRDefault="00E21D8C" w:rsidP="00F46CBD">
            <w:pPr>
              <w:jc w:val="right"/>
            </w:pPr>
            <w:r w:rsidRPr="004C35D1">
              <w:t>$3.75</w:t>
            </w:r>
          </w:p>
        </w:tc>
        <w:tc>
          <w:tcPr>
            <w:tcW w:w="3570" w:type="dxa"/>
          </w:tcPr>
          <w:p w:rsidR="00E21D8C" w:rsidRPr="004C35D1" w:rsidRDefault="00E21D8C" w:rsidP="00F46CBD">
            <w:pPr>
              <w:jc w:val="both"/>
            </w:pPr>
            <w:r w:rsidRPr="004C35D1">
              <w:t>Administrative Labor</w:t>
            </w:r>
          </w:p>
          <w:p w:rsidR="00E21D8C" w:rsidRPr="004C35D1" w:rsidRDefault="00E21D8C" w:rsidP="00F46CBD">
            <w:pPr>
              <w:jc w:val="both"/>
            </w:pPr>
            <w:r w:rsidRPr="004C35D1">
              <w:t>($15/hr x1/4hr)</w:t>
            </w:r>
          </w:p>
        </w:tc>
        <w:tc>
          <w:tcPr>
            <w:tcW w:w="1402" w:type="dxa"/>
          </w:tcPr>
          <w:p w:rsidR="00E21D8C" w:rsidRPr="004C35D1" w:rsidRDefault="00E21D8C" w:rsidP="00F46CBD">
            <w:pPr>
              <w:jc w:val="right"/>
            </w:pPr>
          </w:p>
          <w:p w:rsidR="00E21D8C" w:rsidRPr="004C35D1" w:rsidRDefault="00E21D8C" w:rsidP="00F46CBD">
            <w:pPr>
              <w:jc w:val="right"/>
            </w:pPr>
            <w:r w:rsidRPr="004C35D1">
              <w:t>$3.75</w:t>
            </w:r>
          </w:p>
        </w:tc>
      </w:tr>
      <w:tr w:rsidR="00E21D8C" w:rsidRPr="004C35D1" w:rsidTr="00F46CBD">
        <w:trPr>
          <w:trHeight w:val="520"/>
          <w:jc w:val="center"/>
        </w:trPr>
        <w:tc>
          <w:tcPr>
            <w:tcW w:w="3694" w:type="dxa"/>
            <w:shd w:val="clear" w:color="auto" w:fill="auto"/>
          </w:tcPr>
          <w:p w:rsidR="00E21D8C" w:rsidRPr="004C35D1" w:rsidRDefault="00E21D8C" w:rsidP="00F46CBD">
            <w:pPr>
              <w:jc w:val="both"/>
            </w:pPr>
            <w:r w:rsidRPr="004C35D1">
              <w:t>Field Labor</w:t>
            </w:r>
          </w:p>
          <w:p w:rsidR="00E21D8C" w:rsidRPr="004C35D1" w:rsidRDefault="00E21D8C" w:rsidP="00F46CBD">
            <w:pPr>
              <w:jc w:val="both"/>
            </w:pPr>
            <w:r w:rsidRPr="004C35D1">
              <w:t>($15/hr x 1/3 hr)</w:t>
            </w:r>
          </w:p>
        </w:tc>
        <w:tc>
          <w:tcPr>
            <w:tcW w:w="1469" w:type="dxa"/>
            <w:shd w:val="clear" w:color="auto" w:fill="auto"/>
          </w:tcPr>
          <w:p w:rsidR="00E21D8C" w:rsidRPr="004C35D1" w:rsidRDefault="00E21D8C" w:rsidP="00F46CBD">
            <w:pPr>
              <w:jc w:val="right"/>
            </w:pPr>
          </w:p>
          <w:p w:rsidR="00E21D8C" w:rsidRPr="004C35D1" w:rsidRDefault="00E21D8C" w:rsidP="00F46CBD">
            <w:pPr>
              <w:jc w:val="right"/>
            </w:pPr>
            <w:r w:rsidRPr="004C35D1">
              <w:t>$5.00</w:t>
            </w:r>
          </w:p>
        </w:tc>
        <w:tc>
          <w:tcPr>
            <w:tcW w:w="3570" w:type="dxa"/>
          </w:tcPr>
          <w:p w:rsidR="00E21D8C" w:rsidRPr="004C35D1" w:rsidRDefault="00E21D8C" w:rsidP="00F46CBD">
            <w:pPr>
              <w:jc w:val="both"/>
            </w:pPr>
            <w:r w:rsidRPr="004C35D1">
              <w:t>Field Labor</w:t>
            </w:r>
          </w:p>
          <w:p w:rsidR="00E21D8C" w:rsidRPr="004C35D1" w:rsidRDefault="00E21D8C" w:rsidP="00F46CBD">
            <w:pPr>
              <w:jc w:val="both"/>
            </w:pPr>
            <w:r w:rsidRPr="004C35D1">
              <w:t>($22.50/hr x 1/3 hr)</w:t>
            </w:r>
          </w:p>
        </w:tc>
        <w:tc>
          <w:tcPr>
            <w:tcW w:w="1402" w:type="dxa"/>
          </w:tcPr>
          <w:p w:rsidR="00E21D8C" w:rsidRPr="004C35D1" w:rsidRDefault="00E21D8C" w:rsidP="00F46CBD">
            <w:pPr>
              <w:jc w:val="right"/>
            </w:pPr>
          </w:p>
          <w:p w:rsidR="00E21D8C" w:rsidRPr="004C35D1" w:rsidRDefault="00E21D8C" w:rsidP="00F46CBD">
            <w:pPr>
              <w:jc w:val="right"/>
            </w:pPr>
            <w:r w:rsidRPr="004C35D1">
              <w:t>$7.50</w:t>
            </w:r>
          </w:p>
        </w:tc>
      </w:tr>
      <w:tr w:rsidR="00E21D8C" w:rsidRPr="004C35D1" w:rsidTr="00F46CBD">
        <w:trPr>
          <w:trHeight w:val="520"/>
          <w:jc w:val="center"/>
        </w:trPr>
        <w:tc>
          <w:tcPr>
            <w:tcW w:w="3694" w:type="dxa"/>
            <w:shd w:val="clear" w:color="auto" w:fill="auto"/>
          </w:tcPr>
          <w:p w:rsidR="00E21D8C" w:rsidRPr="004C35D1" w:rsidRDefault="00E21D8C" w:rsidP="00F46CBD">
            <w:pPr>
              <w:jc w:val="both"/>
            </w:pPr>
            <w:r w:rsidRPr="004C35D1">
              <w:t xml:space="preserve">Transportation </w:t>
            </w:r>
          </w:p>
          <w:p w:rsidR="00E21D8C" w:rsidRPr="004C35D1" w:rsidRDefault="00E21D8C" w:rsidP="00F46CBD">
            <w:r w:rsidRPr="004C35D1">
              <w:t>($0.535/mile x 5 miles-to/from)</w:t>
            </w:r>
          </w:p>
        </w:tc>
        <w:tc>
          <w:tcPr>
            <w:tcW w:w="1469" w:type="dxa"/>
            <w:shd w:val="clear" w:color="auto" w:fill="auto"/>
          </w:tcPr>
          <w:p w:rsidR="00E21D8C" w:rsidRPr="004C35D1" w:rsidRDefault="00E21D8C" w:rsidP="00F46CBD">
            <w:pPr>
              <w:jc w:val="right"/>
            </w:pPr>
          </w:p>
          <w:p w:rsidR="00E21D8C" w:rsidRPr="004C35D1" w:rsidRDefault="00E21D8C" w:rsidP="00F46CBD">
            <w:pPr>
              <w:jc w:val="right"/>
            </w:pPr>
            <w:r w:rsidRPr="004C35D1">
              <w:t>$2.68</w:t>
            </w:r>
          </w:p>
        </w:tc>
        <w:tc>
          <w:tcPr>
            <w:tcW w:w="3570" w:type="dxa"/>
          </w:tcPr>
          <w:p w:rsidR="00E21D8C" w:rsidRPr="004C35D1" w:rsidRDefault="00E21D8C" w:rsidP="00F46CBD">
            <w:pPr>
              <w:jc w:val="both"/>
            </w:pPr>
            <w:r w:rsidRPr="004C35D1">
              <w:t xml:space="preserve">Transportation </w:t>
            </w:r>
          </w:p>
          <w:p w:rsidR="00E21D8C" w:rsidRPr="004C35D1" w:rsidRDefault="00E21D8C" w:rsidP="00F46CBD">
            <w:r w:rsidRPr="004C35D1">
              <w:t>($0.535/mile x 5 miles-to/from)</w:t>
            </w:r>
          </w:p>
        </w:tc>
        <w:tc>
          <w:tcPr>
            <w:tcW w:w="1402" w:type="dxa"/>
          </w:tcPr>
          <w:p w:rsidR="00E21D8C" w:rsidRPr="004C35D1" w:rsidRDefault="00E21D8C" w:rsidP="00F46CBD">
            <w:pPr>
              <w:jc w:val="right"/>
            </w:pPr>
          </w:p>
          <w:p w:rsidR="00E21D8C" w:rsidRPr="004C35D1" w:rsidRDefault="00E21D8C" w:rsidP="00F46CBD">
            <w:pPr>
              <w:jc w:val="right"/>
            </w:pPr>
            <w:r w:rsidRPr="004C35D1">
              <w:t>$2.68</w:t>
            </w:r>
          </w:p>
        </w:tc>
      </w:tr>
      <w:tr w:rsidR="00E21D8C" w:rsidRPr="004C35D1" w:rsidTr="00F46CBD">
        <w:trPr>
          <w:trHeight w:val="329"/>
          <w:jc w:val="center"/>
        </w:trPr>
        <w:tc>
          <w:tcPr>
            <w:tcW w:w="3694" w:type="dxa"/>
            <w:shd w:val="clear" w:color="auto" w:fill="auto"/>
          </w:tcPr>
          <w:p w:rsidR="00E21D8C" w:rsidRPr="004C35D1" w:rsidRDefault="00E21D8C" w:rsidP="00F46CBD">
            <w:pPr>
              <w:jc w:val="both"/>
            </w:pPr>
            <w:r w:rsidRPr="004C35D1">
              <w:t>Total</w:t>
            </w:r>
          </w:p>
        </w:tc>
        <w:tc>
          <w:tcPr>
            <w:tcW w:w="1469" w:type="dxa"/>
            <w:shd w:val="clear" w:color="auto" w:fill="auto"/>
          </w:tcPr>
          <w:p w:rsidR="00E21D8C" w:rsidRPr="004C35D1" w:rsidRDefault="00E21D8C" w:rsidP="00F46CBD">
            <w:pPr>
              <w:jc w:val="right"/>
            </w:pPr>
            <w:r w:rsidRPr="004C35D1">
              <w:t>$11.43</w:t>
            </w:r>
          </w:p>
        </w:tc>
        <w:tc>
          <w:tcPr>
            <w:tcW w:w="3570" w:type="dxa"/>
          </w:tcPr>
          <w:p w:rsidR="00E21D8C" w:rsidRPr="004C35D1" w:rsidRDefault="00E21D8C" w:rsidP="00F46CBD">
            <w:pPr>
              <w:jc w:val="both"/>
            </w:pPr>
            <w:r w:rsidRPr="004C35D1">
              <w:t>Total</w:t>
            </w:r>
          </w:p>
        </w:tc>
        <w:tc>
          <w:tcPr>
            <w:tcW w:w="1402" w:type="dxa"/>
          </w:tcPr>
          <w:p w:rsidR="00E21D8C" w:rsidRPr="004C35D1" w:rsidRDefault="00E21D8C" w:rsidP="00F46CBD">
            <w:pPr>
              <w:jc w:val="right"/>
            </w:pPr>
            <w:r w:rsidRPr="004C35D1">
              <w:t>$13.93</w:t>
            </w:r>
          </w:p>
        </w:tc>
      </w:tr>
    </w:tbl>
    <w:p w:rsidR="00E21D8C" w:rsidRPr="004C35D1" w:rsidRDefault="00E21D8C" w:rsidP="00E21D8C">
      <w:pPr>
        <w:jc w:val="both"/>
        <w:rPr>
          <w:rFonts w:eastAsiaTheme="minorHAnsi"/>
        </w:rPr>
      </w:pPr>
    </w:p>
    <w:p w:rsidR="00E21D8C" w:rsidRDefault="00E21D8C" w:rsidP="00E21D8C">
      <w:pPr>
        <w:jc w:val="both"/>
        <w:rPr>
          <w:rFonts w:eastAsiaTheme="minorHAnsi"/>
          <w:b/>
          <w:bCs/>
          <w:iCs/>
        </w:rPr>
      </w:pPr>
      <w:r w:rsidRPr="00E21D8C">
        <w:rPr>
          <w:rFonts w:eastAsiaTheme="minorHAnsi"/>
          <w:b/>
          <w:bCs/>
          <w:iCs/>
        </w:rPr>
        <w:t>Normal Reconnection Charge</w:t>
      </w:r>
    </w:p>
    <w:p w:rsidR="004C35D1" w:rsidRPr="00E21D8C" w:rsidRDefault="004C35D1" w:rsidP="00E21D8C">
      <w:pPr>
        <w:jc w:val="both"/>
        <w:rPr>
          <w:rFonts w:eastAsiaTheme="minorHAnsi"/>
          <w:b/>
          <w:bCs/>
          <w:iCs/>
        </w:rPr>
      </w:pPr>
    </w:p>
    <w:p w:rsidR="00E21D8C" w:rsidRPr="00E21D8C" w:rsidRDefault="00E21D8C" w:rsidP="004C35D1">
      <w:pPr>
        <w:ind w:firstLine="720"/>
        <w:jc w:val="both"/>
        <w:rPr>
          <w:rFonts w:eastAsiaTheme="minorHAnsi"/>
          <w:bCs/>
          <w:iCs/>
        </w:rPr>
      </w:pPr>
      <w:r w:rsidRPr="00E21D8C">
        <w:rPr>
          <w:rFonts w:eastAsiaTheme="minorHAnsi"/>
          <w:bCs/>
          <w:iCs/>
        </w:rPr>
        <w:t xml:space="preserve">A normal reconnection charge is levied for the reconnection of service subsequent to a customer requested disconnection. A normal reconnection requires two trips, which includes one to turn service off and the other to turn service on. Based on labor and transportation to and from the service territory, </w:t>
      </w:r>
      <w:r w:rsidR="004C35D1">
        <w:rPr>
          <w:rFonts w:eastAsiaTheme="minorHAnsi"/>
          <w:bCs/>
          <w:iCs/>
        </w:rPr>
        <w:t xml:space="preserve">we determine </w:t>
      </w:r>
      <w:r w:rsidRPr="00E21D8C">
        <w:rPr>
          <w:rFonts w:eastAsiaTheme="minorHAnsi"/>
          <w:bCs/>
          <w:iCs/>
        </w:rPr>
        <w:t xml:space="preserve">normal reconnection charges of $20.40 for normal hours and $24.20 for after hours. </w:t>
      </w:r>
      <w:r w:rsidR="004C35D1">
        <w:rPr>
          <w:rFonts w:eastAsiaTheme="minorHAnsi"/>
          <w:bCs/>
          <w:iCs/>
        </w:rPr>
        <w:t xml:space="preserve">Our </w:t>
      </w:r>
      <w:r w:rsidRPr="00E21D8C">
        <w:rPr>
          <w:rFonts w:eastAsiaTheme="minorHAnsi"/>
          <w:bCs/>
          <w:iCs/>
        </w:rPr>
        <w:t>calculations are shown in Table 3.</w:t>
      </w:r>
    </w:p>
    <w:p w:rsidR="00E21D8C" w:rsidRPr="00E21D8C" w:rsidRDefault="00E21D8C" w:rsidP="00E21D8C">
      <w:pPr>
        <w:jc w:val="both"/>
        <w:rPr>
          <w:rFonts w:eastAsiaTheme="minorHAnsi"/>
          <w:bCs/>
          <w:iCs/>
        </w:rPr>
      </w:pPr>
    </w:p>
    <w:p w:rsidR="00E21D8C" w:rsidRPr="004C35D1" w:rsidRDefault="00E21D8C" w:rsidP="00E21D8C">
      <w:pPr>
        <w:jc w:val="center"/>
        <w:rPr>
          <w:bCs/>
          <w:iCs/>
          <w:szCs w:val="28"/>
        </w:rPr>
      </w:pPr>
      <w:r w:rsidRPr="004C35D1">
        <w:rPr>
          <w:b/>
          <w:bCs/>
          <w:iCs/>
        </w:rPr>
        <w:t>Table 3</w:t>
      </w:r>
    </w:p>
    <w:p w:rsidR="00E21D8C" w:rsidRPr="004C35D1" w:rsidRDefault="00E21D8C" w:rsidP="00E21D8C">
      <w:pPr>
        <w:jc w:val="center"/>
        <w:rPr>
          <w:b/>
          <w:bCs/>
          <w:iCs/>
        </w:rPr>
      </w:pPr>
      <w:r w:rsidRPr="004C35D1">
        <w:rPr>
          <w:b/>
          <w:bCs/>
          <w:iCs/>
        </w:rPr>
        <w:t>Normal Reconnection Charge Calculation</w:t>
      </w:r>
    </w:p>
    <w:tbl>
      <w:tblPr>
        <w:tblW w:w="1053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E21D8C" w:rsidRPr="00F1676F" w:rsidTr="00F46CBD">
        <w:trPr>
          <w:trHeight w:val="370"/>
          <w:jc w:val="center"/>
        </w:trPr>
        <w:tc>
          <w:tcPr>
            <w:tcW w:w="3889" w:type="dxa"/>
            <w:shd w:val="clear" w:color="auto" w:fill="auto"/>
            <w:vAlign w:val="bottom"/>
          </w:tcPr>
          <w:p w:rsidR="00E21D8C" w:rsidRPr="00F1676F" w:rsidRDefault="00E21D8C" w:rsidP="00F46CBD">
            <w:pPr>
              <w:jc w:val="center"/>
            </w:pPr>
            <w:r w:rsidRPr="00F1676F">
              <w:t>Activity</w:t>
            </w:r>
          </w:p>
        </w:tc>
        <w:tc>
          <w:tcPr>
            <w:tcW w:w="1352" w:type="dxa"/>
            <w:shd w:val="clear" w:color="auto" w:fill="auto"/>
            <w:vAlign w:val="bottom"/>
          </w:tcPr>
          <w:p w:rsidR="00E21D8C" w:rsidRPr="00F1676F" w:rsidRDefault="00E21D8C" w:rsidP="00F46CBD">
            <w:pPr>
              <w:jc w:val="center"/>
            </w:pPr>
            <w:r w:rsidRPr="00F1676F">
              <w:t>Normal Hours Cost</w:t>
            </w:r>
          </w:p>
        </w:tc>
        <w:tc>
          <w:tcPr>
            <w:tcW w:w="3818" w:type="dxa"/>
            <w:vAlign w:val="bottom"/>
          </w:tcPr>
          <w:p w:rsidR="00E21D8C" w:rsidRPr="00F1676F" w:rsidRDefault="00E21D8C" w:rsidP="00F46CBD">
            <w:pPr>
              <w:jc w:val="center"/>
            </w:pPr>
            <w:r w:rsidRPr="00F1676F">
              <w:t>Activity</w:t>
            </w:r>
          </w:p>
        </w:tc>
        <w:tc>
          <w:tcPr>
            <w:tcW w:w="1480" w:type="dxa"/>
            <w:vAlign w:val="bottom"/>
          </w:tcPr>
          <w:p w:rsidR="00E21D8C" w:rsidRPr="00F1676F" w:rsidRDefault="00E21D8C" w:rsidP="00F46CBD">
            <w:pPr>
              <w:jc w:val="center"/>
            </w:pPr>
            <w:r w:rsidRPr="00F1676F">
              <w:t>After</w:t>
            </w:r>
          </w:p>
          <w:p w:rsidR="00E21D8C" w:rsidRPr="00F1676F" w:rsidRDefault="00E21D8C" w:rsidP="00F46CBD">
            <w:pPr>
              <w:jc w:val="center"/>
            </w:pPr>
            <w:r w:rsidRPr="00F1676F">
              <w:t xml:space="preserve"> Hours Cost</w:t>
            </w:r>
          </w:p>
        </w:tc>
      </w:tr>
      <w:tr w:rsidR="00E21D8C" w:rsidRPr="00F1676F" w:rsidTr="00F46CBD">
        <w:trPr>
          <w:trHeight w:val="630"/>
          <w:jc w:val="center"/>
        </w:trPr>
        <w:tc>
          <w:tcPr>
            <w:tcW w:w="3889" w:type="dxa"/>
            <w:shd w:val="clear" w:color="auto" w:fill="auto"/>
          </w:tcPr>
          <w:p w:rsidR="00E21D8C" w:rsidRPr="00F1676F" w:rsidRDefault="00E21D8C" w:rsidP="00F46CBD">
            <w:pPr>
              <w:jc w:val="both"/>
            </w:pPr>
            <w:r w:rsidRPr="00F1676F">
              <w:t>Administrative Labor</w:t>
            </w:r>
          </w:p>
          <w:p w:rsidR="00E21D8C" w:rsidRPr="00F1676F" w:rsidRDefault="00E21D8C" w:rsidP="00F46CBD">
            <w:pPr>
              <w:jc w:val="both"/>
            </w:pPr>
            <w:r w:rsidRPr="00F1676F">
              <w:t>($15/hr x1/4hr x 2)</w:t>
            </w:r>
          </w:p>
        </w:tc>
        <w:tc>
          <w:tcPr>
            <w:tcW w:w="1352" w:type="dxa"/>
            <w:shd w:val="clear" w:color="auto" w:fill="auto"/>
          </w:tcPr>
          <w:p w:rsidR="00E21D8C" w:rsidRPr="00F1676F" w:rsidRDefault="00E21D8C" w:rsidP="00F46CBD">
            <w:pPr>
              <w:jc w:val="right"/>
            </w:pPr>
          </w:p>
          <w:p w:rsidR="00E21D8C" w:rsidRPr="00F1676F" w:rsidRDefault="00E21D8C" w:rsidP="00F46CBD">
            <w:pPr>
              <w:jc w:val="right"/>
            </w:pPr>
            <w:r w:rsidRPr="00F1676F">
              <w:t>$7.50</w:t>
            </w:r>
          </w:p>
        </w:tc>
        <w:tc>
          <w:tcPr>
            <w:tcW w:w="3818" w:type="dxa"/>
          </w:tcPr>
          <w:p w:rsidR="00E21D8C" w:rsidRPr="00F1676F" w:rsidRDefault="00E21D8C" w:rsidP="00F46CBD">
            <w:pPr>
              <w:jc w:val="both"/>
            </w:pPr>
            <w:r w:rsidRPr="00F1676F">
              <w:t>Administrative Labor</w:t>
            </w:r>
          </w:p>
          <w:p w:rsidR="00E21D8C" w:rsidRPr="00F1676F" w:rsidRDefault="00E21D8C" w:rsidP="00F46CBD">
            <w:pPr>
              <w:jc w:val="both"/>
            </w:pPr>
            <w:r w:rsidRPr="00F1676F">
              <w:t>($15/hr x1/4hr)</w:t>
            </w:r>
          </w:p>
        </w:tc>
        <w:tc>
          <w:tcPr>
            <w:tcW w:w="1480" w:type="dxa"/>
          </w:tcPr>
          <w:p w:rsidR="00E21D8C" w:rsidRPr="00F1676F" w:rsidRDefault="00E21D8C" w:rsidP="00F46CBD">
            <w:pPr>
              <w:jc w:val="right"/>
            </w:pPr>
          </w:p>
          <w:p w:rsidR="00E21D8C" w:rsidRPr="00F1676F" w:rsidRDefault="00E21D8C" w:rsidP="00F46CBD">
            <w:pPr>
              <w:jc w:val="right"/>
            </w:pPr>
            <w:r w:rsidRPr="00F1676F">
              <w:t>$7.50</w:t>
            </w:r>
          </w:p>
        </w:tc>
      </w:tr>
      <w:tr w:rsidR="00E21D8C" w:rsidRPr="00F1676F" w:rsidTr="00F46CBD">
        <w:trPr>
          <w:trHeight w:val="630"/>
          <w:jc w:val="center"/>
        </w:trPr>
        <w:tc>
          <w:tcPr>
            <w:tcW w:w="3889" w:type="dxa"/>
            <w:shd w:val="clear" w:color="auto" w:fill="auto"/>
          </w:tcPr>
          <w:p w:rsidR="00E21D8C" w:rsidRPr="00F1676F" w:rsidRDefault="00E21D8C" w:rsidP="00F46CBD">
            <w:pPr>
              <w:jc w:val="both"/>
            </w:pPr>
            <w:r w:rsidRPr="00F1676F">
              <w:t>Field Labor</w:t>
            </w:r>
          </w:p>
          <w:p w:rsidR="00E21D8C" w:rsidRPr="00F1676F" w:rsidRDefault="00E21D8C" w:rsidP="00F46CBD">
            <w:pPr>
              <w:jc w:val="both"/>
            </w:pPr>
            <w:r w:rsidRPr="00F1676F">
              <w:t>($15/hr x 1/4 hr x 2)</w:t>
            </w:r>
          </w:p>
        </w:tc>
        <w:tc>
          <w:tcPr>
            <w:tcW w:w="1352" w:type="dxa"/>
            <w:shd w:val="clear" w:color="auto" w:fill="auto"/>
          </w:tcPr>
          <w:p w:rsidR="00E21D8C" w:rsidRPr="00F1676F" w:rsidRDefault="00E21D8C" w:rsidP="00F46CBD">
            <w:pPr>
              <w:jc w:val="right"/>
            </w:pPr>
          </w:p>
          <w:p w:rsidR="00E21D8C" w:rsidRPr="00F1676F" w:rsidRDefault="00E21D8C" w:rsidP="00F46CBD">
            <w:pPr>
              <w:jc w:val="right"/>
            </w:pPr>
            <w:r w:rsidRPr="00F1676F">
              <w:t>$7.50</w:t>
            </w:r>
          </w:p>
        </w:tc>
        <w:tc>
          <w:tcPr>
            <w:tcW w:w="3818" w:type="dxa"/>
          </w:tcPr>
          <w:p w:rsidR="00E21D8C" w:rsidRPr="00F1676F" w:rsidRDefault="00E21D8C" w:rsidP="00F46CBD">
            <w:pPr>
              <w:jc w:val="both"/>
            </w:pPr>
            <w:r w:rsidRPr="00F1676F">
              <w:t>Field Labor</w:t>
            </w:r>
          </w:p>
          <w:p w:rsidR="00E21D8C" w:rsidRPr="00F1676F" w:rsidRDefault="00E21D8C" w:rsidP="00F46CBD">
            <w:pPr>
              <w:jc w:val="both"/>
            </w:pPr>
            <w:r w:rsidRPr="00F1676F">
              <w:t xml:space="preserve"> ($22.50/hr x 1/4hr x 2)</w:t>
            </w:r>
          </w:p>
        </w:tc>
        <w:tc>
          <w:tcPr>
            <w:tcW w:w="1480" w:type="dxa"/>
          </w:tcPr>
          <w:p w:rsidR="00E21D8C" w:rsidRPr="00F1676F" w:rsidRDefault="00E21D8C" w:rsidP="00F46CBD">
            <w:pPr>
              <w:jc w:val="right"/>
            </w:pPr>
          </w:p>
          <w:p w:rsidR="00E21D8C" w:rsidRPr="00F1676F" w:rsidRDefault="00E21D8C" w:rsidP="00F46CBD">
            <w:pPr>
              <w:jc w:val="right"/>
            </w:pPr>
            <w:r w:rsidRPr="00F1676F">
              <w:t>$11.25</w:t>
            </w:r>
          </w:p>
        </w:tc>
      </w:tr>
      <w:tr w:rsidR="00E21D8C" w:rsidRPr="00F1676F" w:rsidTr="00F46CBD">
        <w:trPr>
          <w:trHeight w:val="638"/>
          <w:jc w:val="center"/>
        </w:trPr>
        <w:tc>
          <w:tcPr>
            <w:tcW w:w="3889" w:type="dxa"/>
            <w:shd w:val="clear" w:color="auto" w:fill="auto"/>
          </w:tcPr>
          <w:p w:rsidR="00E21D8C" w:rsidRPr="00F1676F" w:rsidRDefault="00E21D8C" w:rsidP="00F46CBD">
            <w:pPr>
              <w:jc w:val="both"/>
            </w:pPr>
            <w:r w:rsidRPr="00F1676F">
              <w:t xml:space="preserve">Transportation </w:t>
            </w:r>
          </w:p>
          <w:p w:rsidR="00E21D8C" w:rsidRPr="00F1676F" w:rsidRDefault="00E21D8C" w:rsidP="00F46CBD">
            <w:r w:rsidRPr="00F1676F">
              <w:t>($0.535/mile x 5 miles-to/from x 2)</w:t>
            </w:r>
          </w:p>
        </w:tc>
        <w:tc>
          <w:tcPr>
            <w:tcW w:w="1352" w:type="dxa"/>
            <w:shd w:val="clear" w:color="auto" w:fill="auto"/>
          </w:tcPr>
          <w:p w:rsidR="00E21D8C" w:rsidRPr="00F1676F" w:rsidRDefault="00E21D8C" w:rsidP="00F46CBD">
            <w:pPr>
              <w:jc w:val="right"/>
            </w:pPr>
          </w:p>
          <w:p w:rsidR="00E21D8C" w:rsidRPr="00F1676F" w:rsidRDefault="00E21D8C" w:rsidP="00F46CBD">
            <w:pPr>
              <w:jc w:val="right"/>
            </w:pPr>
            <w:r w:rsidRPr="00F1676F">
              <w:t>$5.36</w:t>
            </w:r>
          </w:p>
        </w:tc>
        <w:tc>
          <w:tcPr>
            <w:tcW w:w="3818" w:type="dxa"/>
          </w:tcPr>
          <w:p w:rsidR="00E21D8C" w:rsidRPr="00F1676F" w:rsidRDefault="00E21D8C" w:rsidP="00F46CBD">
            <w:pPr>
              <w:jc w:val="both"/>
            </w:pPr>
            <w:r w:rsidRPr="00F1676F">
              <w:t xml:space="preserve">Transportation </w:t>
            </w:r>
          </w:p>
          <w:p w:rsidR="00E21D8C" w:rsidRPr="00F1676F" w:rsidRDefault="00E21D8C" w:rsidP="00F46CBD">
            <w:r w:rsidRPr="00F1676F">
              <w:t>($0.535/mile x 5 miles-to/from x 2)</w:t>
            </w:r>
          </w:p>
        </w:tc>
        <w:tc>
          <w:tcPr>
            <w:tcW w:w="1480" w:type="dxa"/>
          </w:tcPr>
          <w:p w:rsidR="00E21D8C" w:rsidRPr="00F1676F" w:rsidRDefault="00E21D8C" w:rsidP="00F46CBD">
            <w:pPr>
              <w:jc w:val="right"/>
            </w:pPr>
          </w:p>
          <w:p w:rsidR="00E21D8C" w:rsidRPr="00F1676F" w:rsidRDefault="00E21D8C" w:rsidP="00F46CBD">
            <w:pPr>
              <w:jc w:val="right"/>
            </w:pPr>
            <w:r w:rsidRPr="00F1676F">
              <w:t>$5.36</w:t>
            </w:r>
          </w:p>
        </w:tc>
      </w:tr>
      <w:tr w:rsidR="00E21D8C" w:rsidRPr="00F1676F" w:rsidTr="00F46CBD">
        <w:trPr>
          <w:trHeight w:val="398"/>
          <w:jc w:val="center"/>
        </w:trPr>
        <w:tc>
          <w:tcPr>
            <w:tcW w:w="3889" w:type="dxa"/>
            <w:shd w:val="clear" w:color="auto" w:fill="auto"/>
          </w:tcPr>
          <w:p w:rsidR="00E21D8C" w:rsidRPr="00F1676F" w:rsidRDefault="00E21D8C" w:rsidP="00F46CBD">
            <w:pPr>
              <w:jc w:val="both"/>
            </w:pPr>
            <w:r w:rsidRPr="00F1676F">
              <w:t>Total</w:t>
            </w:r>
          </w:p>
        </w:tc>
        <w:tc>
          <w:tcPr>
            <w:tcW w:w="1352" w:type="dxa"/>
            <w:shd w:val="clear" w:color="auto" w:fill="auto"/>
          </w:tcPr>
          <w:p w:rsidR="00E21D8C" w:rsidRPr="00F1676F" w:rsidRDefault="00E21D8C" w:rsidP="00F46CBD">
            <w:pPr>
              <w:jc w:val="right"/>
            </w:pPr>
            <w:r w:rsidRPr="00F1676F">
              <w:t>$20.36</w:t>
            </w:r>
          </w:p>
        </w:tc>
        <w:tc>
          <w:tcPr>
            <w:tcW w:w="3818" w:type="dxa"/>
          </w:tcPr>
          <w:p w:rsidR="00E21D8C" w:rsidRPr="00F1676F" w:rsidRDefault="00E21D8C" w:rsidP="00F46CBD">
            <w:pPr>
              <w:jc w:val="both"/>
            </w:pPr>
            <w:r w:rsidRPr="00F1676F">
              <w:t>Total</w:t>
            </w:r>
          </w:p>
        </w:tc>
        <w:tc>
          <w:tcPr>
            <w:tcW w:w="1480" w:type="dxa"/>
          </w:tcPr>
          <w:p w:rsidR="00E21D8C" w:rsidRPr="00F1676F" w:rsidRDefault="00E21D8C" w:rsidP="00F46CBD">
            <w:pPr>
              <w:jc w:val="right"/>
            </w:pPr>
            <w:r w:rsidRPr="00F1676F">
              <w:t>$24.11</w:t>
            </w:r>
          </w:p>
        </w:tc>
      </w:tr>
    </w:tbl>
    <w:p w:rsidR="004C35D1" w:rsidRDefault="004C35D1" w:rsidP="00E21D8C">
      <w:pPr>
        <w:jc w:val="both"/>
        <w:rPr>
          <w:rFonts w:eastAsiaTheme="minorHAnsi"/>
          <w:b/>
          <w:bCs/>
          <w:iCs/>
        </w:rPr>
      </w:pPr>
    </w:p>
    <w:p w:rsidR="00862B36" w:rsidRDefault="00862B36" w:rsidP="00E21D8C">
      <w:pPr>
        <w:jc w:val="both"/>
        <w:rPr>
          <w:rFonts w:eastAsiaTheme="minorHAnsi"/>
          <w:b/>
          <w:bCs/>
          <w:iCs/>
        </w:rPr>
      </w:pPr>
    </w:p>
    <w:p w:rsidR="00ED4269" w:rsidRDefault="00ED4269" w:rsidP="00E21D8C">
      <w:pPr>
        <w:jc w:val="both"/>
        <w:rPr>
          <w:rFonts w:eastAsiaTheme="minorHAnsi"/>
          <w:b/>
          <w:bCs/>
          <w:iCs/>
        </w:rPr>
      </w:pPr>
    </w:p>
    <w:p w:rsidR="00862B36" w:rsidRDefault="00862B36" w:rsidP="00E21D8C">
      <w:pPr>
        <w:jc w:val="both"/>
        <w:rPr>
          <w:rFonts w:eastAsiaTheme="minorHAnsi"/>
          <w:b/>
          <w:bCs/>
          <w:iCs/>
        </w:rPr>
      </w:pPr>
    </w:p>
    <w:p w:rsidR="00E21D8C" w:rsidRDefault="00E21D8C" w:rsidP="00E21D8C">
      <w:pPr>
        <w:jc w:val="both"/>
        <w:rPr>
          <w:rFonts w:eastAsiaTheme="minorHAnsi"/>
          <w:b/>
          <w:bCs/>
          <w:iCs/>
        </w:rPr>
      </w:pPr>
      <w:r w:rsidRPr="00E21D8C">
        <w:rPr>
          <w:rFonts w:eastAsiaTheme="minorHAnsi"/>
          <w:b/>
          <w:bCs/>
          <w:iCs/>
        </w:rPr>
        <w:lastRenderedPageBreak/>
        <w:t>Violation Reconnection Charge</w:t>
      </w:r>
    </w:p>
    <w:p w:rsidR="004C35D1" w:rsidRPr="00E21D8C" w:rsidRDefault="004C35D1" w:rsidP="00E21D8C">
      <w:pPr>
        <w:jc w:val="both"/>
        <w:rPr>
          <w:rFonts w:eastAsiaTheme="minorHAnsi"/>
          <w:bCs/>
          <w:iCs/>
        </w:rPr>
      </w:pPr>
    </w:p>
    <w:p w:rsidR="00E21D8C" w:rsidRPr="00E21D8C" w:rsidRDefault="00E21D8C" w:rsidP="004C35D1">
      <w:pPr>
        <w:ind w:firstLine="720"/>
        <w:jc w:val="both"/>
        <w:rPr>
          <w:rFonts w:eastAsiaTheme="minorHAnsi"/>
          <w:bCs/>
          <w:iCs/>
        </w:rPr>
      </w:pPr>
      <w:r w:rsidRPr="00E21D8C">
        <w:rPr>
          <w:rFonts w:eastAsiaTheme="minorHAnsi"/>
          <w:bCs/>
          <w:iCs/>
        </w:rPr>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w:t>
      </w:r>
      <w:r w:rsidR="004C35D1">
        <w:rPr>
          <w:rFonts w:eastAsiaTheme="minorHAnsi"/>
          <w:bCs/>
          <w:iCs/>
        </w:rPr>
        <w:t>nd from the service territory, we determine</w:t>
      </w:r>
      <w:r w:rsidRPr="00E21D8C">
        <w:rPr>
          <w:rFonts w:eastAsiaTheme="minorHAnsi"/>
          <w:bCs/>
          <w:iCs/>
        </w:rPr>
        <w:t xml:space="preserve"> violation reconnection charges for RSPI’s water system of $20.40 for normal hours and $24.20 for after hours. However, for RSPI’s wastewater system, this charge </w:t>
      </w:r>
      <w:r w:rsidR="004C35D1">
        <w:rPr>
          <w:rFonts w:eastAsiaTheme="minorHAnsi"/>
          <w:bCs/>
          <w:iCs/>
        </w:rPr>
        <w:t>will</w:t>
      </w:r>
      <w:r w:rsidRPr="00E21D8C">
        <w:rPr>
          <w:rFonts w:eastAsiaTheme="minorHAnsi"/>
          <w:bCs/>
          <w:iCs/>
        </w:rPr>
        <w:t xml:space="preserve"> be set at actual cost pursuant to Rule 25-30.460(1)(c), F.A.C., and </w:t>
      </w:r>
      <w:r w:rsidR="004C35D1">
        <w:rPr>
          <w:rFonts w:eastAsiaTheme="minorHAnsi"/>
          <w:bCs/>
          <w:iCs/>
        </w:rPr>
        <w:t>will</w:t>
      </w:r>
      <w:r w:rsidRPr="00E21D8C">
        <w:rPr>
          <w:rFonts w:eastAsiaTheme="minorHAnsi"/>
          <w:bCs/>
          <w:iCs/>
        </w:rPr>
        <w:t xml:space="preserve"> only be levied if service is discontinued for a wastewater only customer. </w:t>
      </w:r>
      <w:r w:rsidR="004C35D1">
        <w:rPr>
          <w:rFonts w:eastAsiaTheme="minorHAnsi"/>
          <w:bCs/>
          <w:iCs/>
        </w:rPr>
        <w:t>Our</w:t>
      </w:r>
      <w:r w:rsidRPr="00E21D8C">
        <w:rPr>
          <w:rFonts w:eastAsiaTheme="minorHAnsi"/>
          <w:bCs/>
          <w:iCs/>
        </w:rPr>
        <w:t xml:space="preserve"> calculations are shown in Table </w:t>
      </w:r>
      <w:r w:rsidR="004C35D1">
        <w:rPr>
          <w:rFonts w:eastAsiaTheme="minorHAnsi"/>
          <w:bCs/>
          <w:iCs/>
        </w:rPr>
        <w:t>4</w:t>
      </w:r>
      <w:r w:rsidRPr="00E21D8C">
        <w:rPr>
          <w:rFonts w:eastAsiaTheme="minorHAnsi"/>
          <w:bCs/>
          <w:iCs/>
        </w:rPr>
        <w:t>.</w:t>
      </w:r>
    </w:p>
    <w:p w:rsidR="00E21D8C" w:rsidRPr="00E21D8C" w:rsidRDefault="00E21D8C" w:rsidP="00E21D8C">
      <w:pPr>
        <w:jc w:val="both"/>
        <w:rPr>
          <w:rFonts w:eastAsiaTheme="minorHAnsi"/>
          <w:bCs/>
          <w:iCs/>
        </w:rPr>
      </w:pPr>
    </w:p>
    <w:p w:rsidR="00E21D8C" w:rsidRPr="004C35D1" w:rsidRDefault="00E21D8C" w:rsidP="00E21D8C">
      <w:pPr>
        <w:jc w:val="center"/>
      </w:pPr>
      <w:r w:rsidRPr="004C35D1">
        <w:rPr>
          <w:b/>
          <w:bCs/>
          <w:iCs/>
        </w:rPr>
        <w:t xml:space="preserve">Table </w:t>
      </w:r>
      <w:r w:rsidR="004C35D1">
        <w:rPr>
          <w:b/>
          <w:bCs/>
          <w:iCs/>
        </w:rPr>
        <w:t>4</w:t>
      </w:r>
    </w:p>
    <w:p w:rsidR="00E21D8C" w:rsidRPr="004C35D1" w:rsidRDefault="00E21D8C" w:rsidP="00E21D8C">
      <w:pPr>
        <w:jc w:val="center"/>
        <w:rPr>
          <w:b/>
          <w:bCs/>
          <w:iCs/>
        </w:rPr>
      </w:pPr>
      <w:r w:rsidRPr="004C35D1">
        <w:rPr>
          <w:b/>
          <w:bCs/>
          <w:iCs/>
        </w:rPr>
        <w:t>Violation Reconnection Charge Calculation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E21D8C" w:rsidRPr="00F1676F" w:rsidTr="00F46CBD">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E21D8C" w:rsidRPr="00F1676F" w:rsidRDefault="00E21D8C" w:rsidP="00F46CBD">
            <w:pPr>
              <w:jc w:val="center"/>
            </w:pPr>
            <w:r w:rsidRPr="00F1676F">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E21D8C" w:rsidRPr="00F1676F" w:rsidRDefault="00E21D8C" w:rsidP="00F46CBD">
            <w:pPr>
              <w:jc w:val="center"/>
            </w:pPr>
            <w:r w:rsidRPr="00F1676F">
              <w:t xml:space="preserve">Normal </w:t>
            </w:r>
          </w:p>
          <w:p w:rsidR="00E21D8C" w:rsidRPr="00F1676F" w:rsidRDefault="00E21D8C" w:rsidP="00F46CBD">
            <w:pPr>
              <w:jc w:val="center"/>
            </w:pPr>
            <w:r w:rsidRPr="00F1676F">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E21D8C" w:rsidRPr="00F1676F" w:rsidRDefault="00E21D8C" w:rsidP="00F46CBD">
            <w:pPr>
              <w:jc w:val="center"/>
            </w:pPr>
            <w:r w:rsidRPr="00F1676F">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E21D8C" w:rsidRPr="00F1676F" w:rsidRDefault="00E21D8C" w:rsidP="00F46CBD">
            <w:pPr>
              <w:jc w:val="center"/>
            </w:pPr>
            <w:r w:rsidRPr="00F1676F">
              <w:t xml:space="preserve">After </w:t>
            </w:r>
          </w:p>
          <w:p w:rsidR="00E21D8C" w:rsidRPr="00F1676F" w:rsidRDefault="00E21D8C" w:rsidP="00F46CBD">
            <w:pPr>
              <w:jc w:val="center"/>
            </w:pPr>
            <w:r w:rsidRPr="00F1676F">
              <w:t>Hours Cost</w:t>
            </w:r>
          </w:p>
        </w:tc>
      </w:tr>
      <w:tr w:rsidR="00E21D8C" w:rsidRPr="00F1676F" w:rsidTr="00F46CBD">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Administrative Labor</w:t>
            </w:r>
          </w:p>
          <w:p w:rsidR="00E21D8C" w:rsidRPr="00F1676F" w:rsidRDefault="00E21D8C" w:rsidP="00F46CBD">
            <w:pPr>
              <w:jc w:val="both"/>
            </w:pPr>
            <w:r w:rsidRPr="00F1676F">
              <w:t>($15/hr x1/4hr x 2)</w:t>
            </w:r>
          </w:p>
        </w:tc>
        <w:tc>
          <w:tcPr>
            <w:tcW w:w="1538" w:type="dxa"/>
            <w:tcBorders>
              <w:top w:val="single" w:sz="4" w:space="0" w:color="auto"/>
              <w:left w:val="single" w:sz="4" w:space="0" w:color="auto"/>
              <w:bottom w:val="single" w:sz="4" w:space="0" w:color="auto"/>
              <w:right w:val="single" w:sz="4" w:space="0" w:color="auto"/>
            </w:tcBorders>
          </w:tcPr>
          <w:p w:rsidR="00E21D8C" w:rsidRPr="00F1676F" w:rsidRDefault="00E21D8C" w:rsidP="00F46CBD">
            <w:pPr>
              <w:jc w:val="right"/>
            </w:pPr>
          </w:p>
          <w:p w:rsidR="00E21D8C" w:rsidRPr="00F1676F" w:rsidRDefault="00E21D8C" w:rsidP="00F46CBD">
            <w:pPr>
              <w:jc w:val="right"/>
            </w:pPr>
            <w:r w:rsidRPr="00F1676F">
              <w:t>$7.50</w:t>
            </w:r>
          </w:p>
        </w:tc>
        <w:tc>
          <w:tcPr>
            <w:tcW w:w="3772"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Administrative Labor</w:t>
            </w:r>
          </w:p>
          <w:p w:rsidR="00E21D8C" w:rsidRPr="00F1676F" w:rsidRDefault="00E21D8C" w:rsidP="00F46CBD">
            <w:pPr>
              <w:jc w:val="both"/>
            </w:pPr>
            <w:r w:rsidRPr="00F1676F">
              <w:t>($15/hr x1/4hr x 2)</w:t>
            </w:r>
          </w:p>
        </w:tc>
        <w:tc>
          <w:tcPr>
            <w:tcW w:w="1324" w:type="dxa"/>
            <w:tcBorders>
              <w:top w:val="single" w:sz="4" w:space="0" w:color="auto"/>
              <w:left w:val="single" w:sz="4" w:space="0" w:color="auto"/>
              <w:bottom w:val="single" w:sz="4" w:space="0" w:color="auto"/>
              <w:right w:val="single" w:sz="4" w:space="0" w:color="auto"/>
            </w:tcBorders>
          </w:tcPr>
          <w:p w:rsidR="00E21D8C" w:rsidRPr="00F1676F" w:rsidRDefault="00E21D8C" w:rsidP="00F46CBD">
            <w:pPr>
              <w:jc w:val="right"/>
            </w:pPr>
          </w:p>
          <w:p w:rsidR="00E21D8C" w:rsidRPr="00F1676F" w:rsidRDefault="00E21D8C" w:rsidP="00F46CBD">
            <w:pPr>
              <w:jc w:val="right"/>
            </w:pPr>
            <w:r w:rsidRPr="00F1676F">
              <w:t>$7.50</w:t>
            </w:r>
          </w:p>
        </w:tc>
      </w:tr>
      <w:tr w:rsidR="00E21D8C" w:rsidRPr="00F1676F" w:rsidTr="00F46CBD">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Field Labor</w:t>
            </w:r>
          </w:p>
          <w:p w:rsidR="00E21D8C" w:rsidRPr="00F1676F" w:rsidRDefault="00E21D8C" w:rsidP="00F46CBD">
            <w:pPr>
              <w:jc w:val="both"/>
            </w:pPr>
            <w:r w:rsidRPr="00F1676F">
              <w:t>($15/hr x 1/4 hr x 2)</w:t>
            </w:r>
          </w:p>
        </w:tc>
        <w:tc>
          <w:tcPr>
            <w:tcW w:w="1538" w:type="dxa"/>
            <w:tcBorders>
              <w:top w:val="single" w:sz="4" w:space="0" w:color="auto"/>
              <w:left w:val="single" w:sz="4" w:space="0" w:color="auto"/>
              <w:bottom w:val="single" w:sz="4" w:space="0" w:color="auto"/>
              <w:right w:val="single" w:sz="4" w:space="0" w:color="auto"/>
            </w:tcBorders>
          </w:tcPr>
          <w:p w:rsidR="00E21D8C" w:rsidRPr="00F1676F" w:rsidRDefault="00E21D8C" w:rsidP="00F46CBD">
            <w:pPr>
              <w:jc w:val="right"/>
            </w:pPr>
          </w:p>
          <w:p w:rsidR="00E21D8C" w:rsidRPr="00F1676F" w:rsidRDefault="00E21D8C" w:rsidP="00F46CBD">
            <w:pPr>
              <w:jc w:val="right"/>
            </w:pPr>
            <w:r w:rsidRPr="00F1676F">
              <w:t>$7.50</w:t>
            </w:r>
          </w:p>
        </w:tc>
        <w:tc>
          <w:tcPr>
            <w:tcW w:w="3772"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Field Labor</w:t>
            </w:r>
          </w:p>
          <w:p w:rsidR="00E21D8C" w:rsidRPr="00F1676F" w:rsidRDefault="00E21D8C" w:rsidP="00F46CBD">
            <w:pPr>
              <w:jc w:val="both"/>
            </w:pPr>
            <w:r w:rsidRPr="00F1676F">
              <w:t>($22.50/hr x 1/4 hr x 2)</w:t>
            </w:r>
          </w:p>
        </w:tc>
        <w:tc>
          <w:tcPr>
            <w:tcW w:w="1324" w:type="dxa"/>
            <w:tcBorders>
              <w:top w:val="single" w:sz="4" w:space="0" w:color="auto"/>
              <w:left w:val="single" w:sz="4" w:space="0" w:color="auto"/>
              <w:bottom w:val="single" w:sz="4" w:space="0" w:color="auto"/>
              <w:right w:val="single" w:sz="4" w:space="0" w:color="auto"/>
            </w:tcBorders>
          </w:tcPr>
          <w:p w:rsidR="00E21D8C" w:rsidRPr="00F1676F" w:rsidRDefault="00E21D8C" w:rsidP="00F46CBD">
            <w:pPr>
              <w:jc w:val="right"/>
            </w:pPr>
          </w:p>
          <w:p w:rsidR="00E21D8C" w:rsidRPr="00F1676F" w:rsidRDefault="00E21D8C" w:rsidP="00F46CBD">
            <w:pPr>
              <w:jc w:val="right"/>
            </w:pPr>
            <w:r w:rsidRPr="00F1676F">
              <w:t>$11.25</w:t>
            </w:r>
          </w:p>
        </w:tc>
      </w:tr>
      <w:tr w:rsidR="00E21D8C" w:rsidRPr="00F1676F" w:rsidTr="00F46CBD">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 xml:space="preserve">Transportation </w:t>
            </w:r>
          </w:p>
          <w:p w:rsidR="00E21D8C" w:rsidRPr="00F1676F" w:rsidRDefault="00E21D8C" w:rsidP="00F46CBD">
            <w:r w:rsidRPr="00F1676F">
              <w:t>($0.535/mile x 5 miles-to/from x 2)</w:t>
            </w:r>
          </w:p>
        </w:tc>
        <w:tc>
          <w:tcPr>
            <w:tcW w:w="1538" w:type="dxa"/>
            <w:tcBorders>
              <w:top w:val="single" w:sz="4" w:space="0" w:color="auto"/>
              <w:left w:val="single" w:sz="4" w:space="0" w:color="auto"/>
              <w:bottom w:val="single" w:sz="4" w:space="0" w:color="auto"/>
              <w:right w:val="single" w:sz="4" w:space="0" w:color="auto"/>
            </w:tcBorders>
          </w:tcPr>
          <w:p w:rsidR="00E21D8C" w:rsidRPr="00F1676F" w:rsidRDefault="00E21D8C" w:rsidP="00F46CBD">
            <w:pPr>
              <w:jc w:val="right"/>
            </w:pPr>
          </w:p>
          <w:p w:rsidR="00E21D8C" w:rsidRPr="00F1676F" w:rsidRDefault="00E21D8C" w:rsidP="00F46CBD">
            <w:pPr>
              <w:jc w:val="right"/>
            </w:pPr>
            <w:r w:rsidRPr="00F1676F">
              <w:t>$5.36</w:t>
            </w:r>
          </w:p>
        </w:tc>
        <w:tc>
          <w:tcPr>
            <w:tcW w:w="3772"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 xml:space="preserve">Transportation </w:t>
            </w:r>
          </w:p>
          <w:p w:rsidR="00E21D8C" w:rsidRPr="00F1676F" w:rsidRDefault="00E21D8C" w:rsidP="00F46CBD">
            <w:r w:rsidRPr="00F1676F">
              <w:t>($0.535/mile x 5 miles-to/from x 2)</w:t>
            </w:r>
          </w:p>
        </w:tc>
        <w:tc>
          <w:tcPr>
            <w:tcW w:w="1324" w:type="dxa"/>
            <w:tcBorders>
              <w:top w:val="single" w:sz="4" w:space="0" w:color="auto"/>
              <w:left w:val="single" w:sz="4" w:space="0" w:color="auto"/>
              <w:bottom w:val="single" w:sz="4" w:space="0" w:color="auto"/>
              <w:right w:val="single" w:sz="4" w:space="0" w:color="auto"/>
            </w:tcBorders>
          </w:tcPr>
          <w:p w:rsidR="00E21D8C" w:rsidRPr="00F1676F" w:rsidRDefault="00E21D8C" w:rsidP="00F46CBD">
            <w:pPr>
              <w:jc w:val="right"/>
            </w:pPr>
          </w:p>
          <w:p w:rsidR="00E21D8C" w:rsidRPr="00F1676F" w:rsidRDefault="00E21D8C" w:rsidP="00F46CBD">
            <w:pPr>
              <w:jc w:val="right"/>
            </w:pPr>
            <w:r w:rsidRPr="00F1676F">
              <w:t>$5.36</w:t>
            </w:r>
          </w:p>
        </w:tc>
      </w:tr>
      <w:tr w:rsidR="00E21D8C" w:rsidRPr="00F1676F" w:rsidTr="00F46CBD">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Total</w:t>
            </w:r>
          </w:p>
        </w:tc>
        <w:tc>
          <w:tcPr>
            <w:tcW w:w="1538"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right"/>
            </w:pPr>
            <w:r w:rsidRPr="00F1676F">
              <w:t>$20.36</w:t>
            </w:r>
          </w:p>
        </w:tc>
        <w:tc>
          <w:tcPr>
            <w:tcW w:w="3772"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both"/>
            </w:pPr>
            <w:r w:rsidRPr="00F1676F">
              <w:t>Total</w:t>
            </w:r>
          </w:p>
        </w:tc>
        <w:tc>
          <w:tcPr>
            <w:tcW w:w="1324" w:type="dxa"/>
            <w:tcBorders>
              <w:top w:val="single" w:sz="4" w:space="0" w:color="auto"/>
              <w:left w:val="single" w:sz="4" w:space="0" w:color="auto"/>
              <w:bottom w:val="single" w:sz="4" w:space="0" w:color="auto"/>
              <w:right w:val="single" w:sz="4" w:space="0" w:color="auto"/>
            </w:tcBorders>
            <w:hideMark/>
          </w:tcPr>
          <w:p w:rsidR="00E21D8C" w:rsidRPr="00F1676F" w:rsidRDefault="00E21D8C" w:rsidP="00F46CBD">
            <w:pPr>
              <w:jc w:val="right"/>
            </w:pPr>
            <w:r w:rsidRPr="00F1676F">
              <w:t>$24.11</w:t>
            </w:r>
          </w:p>
        </w:tc>
      </w:tr>
    </w:tbl>
    <w:p w:rsidR="00E21D8C" w:rsidRDefault="00E21D8C" w:rsidP="00E21D8C">
      <w:pPr>
        <w:jc w:val="both"/>
        <w:rPr>
          <w:bCs/>
          <w:iCs/>
          <w:szCs w:val="28"/>
        </w:rPr>
      </w:pPr>
    </w:p>
    <w:p w:rsidR="00E21D8C" w:rsidRPr="00E21D8C" w:rsidRDefault="00E21D8C" w:rsidP="00E21D8C">
      <w:pPr>
        <w:jc w:val="both"/>
        <w:rPr>
          <w:rFonts w:eastAsiaTheme="minorHAnsi"/>
          <w:b/>
        </w:rPr>
      </w:pPr>
      <w:r w:rsidRPr="00E21D8C">
        <w:rPr>
          <w:rFonts w:eastAsiaTheme="minorHAnsi"/>
          <w:b/>
          <w:bCs/>
          <w:iCs/>
        </w:rPr>
        <w:t>Premises Visit Charge</w:t>
      </w:r>
    </w:p>
    <w:p w:rsidR="004C35D1" w:rsidRDefault="004C35D1" w:rsidP="00E21D8C">
      <w:pPr>
        <w:jc w:val="both"/>
        <w:rPr>
          <w:rFonts w:eastAsiaTheme="minorHAnsi"/>
          <w:bCs/>
          <w:iCs/>
        </w:rPr>
      </w:pPr>
    </w:p>
    <w:p w:rsidR="00E21D8C" w:rsidRPr="00E21D8C" w:rsidRDefault="00E21D8C" w:rsidP="004C35D1">
      <w:pPr>
        <w:ind w:firstLine="720"/>
        <w:jc w:val="both"/>
        <w:rPr>
          <w:rFonts w:eastAsiaTheme="minorHAnsi"/>
          <w:b/>
        </w:rPr>
      </w:pPr>
      <w:r w:rsidRPr="00E21D8C">
        <w:rPr>
          <w:rFonts w:eastAsiaTheme="minorHAnsi"/>
          <w:bCs/>
          <w:iCs/>
        </w:rPr>
        <w:t>The premises visit charge is levied when a service representative visits a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E21D8C" w:rsidRPr="00E21D8C" w:rsidRDefault="00E21D8C" w:rsidP="00E21D8C">
      <w:pPr>
        <w:jc w:val="both"/>
        <w:rPr>
          <w:rFonts w:eastAsiaTheme="minorHAnsi"/>
          <w:b/>
        </w:rPr>
      </w:pPr>
    </w:p>
    <w:p w:rsidR="00E21D8C" w:rsidRPr="00E21D8C" w:rsidRDefault="00E21D8C" w:rsidP="004C35D1">
      <w:pPr>
        <w:ind w:firstLine="720"/>
        <w:jc w:val="both"/>
        <w:rPr>
          <w:rFonts w:eastAsiaTheme="minorHAnsi"/>
          <w:bCs/>
          <w:iCs/>
        </w:rPr>
      </w:pPr>
      <w:r w:rsidRPr="00E21D8C">
        <w:rPr>
          <w:rFonts w:eastAsiaTheme="minorHAnsi"/>
          <w:bCs/>
          <w:iCs/>
        </w:rPr>
        <w:t xml:space="preserve">Based on labor and transportation to and from the service territory, </w:t>
      </w:r>
      <w:r w:rsidR="004C35D1">
        <w:rPr>
          <w:rFonts w:eastAsiaTheme="minorHAnsi"/>
          <w:bCs/>
          <w:iCs/>
        </w:rPr>
        <w:t>we determine</w:t>
      </w:r>
      <w:r w:rsidRPr="00E21D8C">
        <w:rPr>
          <w:rFonts w:eastAsiaTheme="minorHAnsi"/>
          <w:bCs/>
          <w:iCs/>
        </w:rPr>
        <w:t xml:space="preserve"> a premises visit charge of $11.50 for normal hou</w:t>
      </w:r>
      <w:r w:rsidR="004C35D1">
        <w:rPr>
          <w:rFonts w:eastAsiaTheme="minorHAnsi"/>
          <w:bCs/>
          <w:iCs/>
        </w:rPr>
        <w:t>rs and $14.00 for after hours. Our</w:t>
      </w:r>
      <w:r w:rsidRPr="00E21D8C">
        <w:rPr>
          <w:rFonts w:eastAsiaTheme="minorHAnsi"/>
          <w:bCs/>
          <w:iCs/>
        </w:rPr>
        <w:t xml:space="preserve"> calculations are shown in Table </w:t>
      </w:r>
      <w:r w:rsidR="00777C73">
        <w:rPr>
          <w:rFonts w:eastAsiaTheme="minorHAnsi"/>
          <w:bCs/>
          <w:iCs/>
        </w:rPr>
        <w:t>5</w:t>
      </w:r>
      <w:r w:rsidRPr="00E21D8C">
        <w:rPr>
          <w:rFonts w:eastAsiaTheme="minorHAnsi"/>
          <w:bCs/>
          <w:iCs/>
        </w:rPr>
        <w:t>.</w:t>
      </w: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AF3D04" w:rsidRDefault="00AF3D04" w:rsidP="00E21D8C">
      <w:pPr>
        <w:jc w:val="center"/>
        <w:rPr>
          <w:b/>
          <w:bCs/>
          <w:iCs/>
        </w:rPr>
      </w:pPr>
    </w:p>
    <w:p w:rsidR="00E21D8C" w:rsidRPr="004C35D1" w:rsidRDefault="00E21D8C" w:rsidP="00E21D8C">
      <w:pPr>
        <w:jc w:val="center"/>
      </w:pPr>
      <w:r w:rsidRPr="004C35D1">
        <w:rPr>
          <w:b/>
          <w:bCs/>
          <w:iCs/>
        </w:rPr>
        <w:lastRenderedPageBreak/>
        <w:t xml:space="preserve">Table </w:t>
      </w:r>
      <w:r w:rsidR="00081649">
        <w:rPr>
          <w:b/>
          <w:bCs/>
          <w:iCs/>
        </w:rPr>
        <w:t>5</w:t>
      </w:r>
    </w:p>
    <w:p w:rsidR="00E21D8C" w:rsidRPr="00F1676F" w:rsidRDefault="00E21D8C" w:rsidP="00E21D8C">
      <w:pPr>
        <w:jc w:val="center"/>
        <w:rPr>
          <w:rFonts w:ascii="Arial" w:hAnsi="Arial" w:cs="Arial"/>
          <w:b/>
          <w:bCs/>
          <w:iCs/>
        </w:rPr>
      </w:pPr>
      <w:r w:rsidRPr="004C35D1">
        <w:rPr>
          <w:b/>
          <w:bCs/>
          <w:iCs/>
        </w:rPr>
        <w:t>Premises Visit Charge Calculation</w:t>
      </w:r>
    </w:p>
    <w:tbl>
      <w:tblPr>
        <w:tblW w:w="998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E21D8C" w:rsidRPr="00F1676F" w:rsidTr="00F46CBD">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E21D8C" w:rsidRPr="004C35D1" w:rsidRDefault="00E21D8C" w:rsidP="00F46CBD">
            <w:pPr>
              <w:jc w:val="center"/>
            </w:pPr>
            <w:r w:rsidRPr="004C35D1">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E21D8C" w:rsidRPr="004C35D1" w:rsidRDefault="00E21D8C" w:rsidP="00F46CBD">
            <w:pPr>
              <w:jc w:val="center"/>
            </w:pPr>
            <w:r w:rsidRPr="004C35D1">
              <w:t xml:space="preserve">Normal </w:t>
            </w:r>
          </w:p>
          <w:p w:rsidR="00E21D8C" w:rsidRPr="004C35D1" w:rsidRDefault="00E21D8C" w:rsidP="00F46CBD">
            <w:pPr>
              <w:jc w:val="center"/>
            </w:pPr>
            <w:r w:rsidRPr="004C35D1">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E21D8C" w:rsidRPr="004C35D1" w:rsidRDefault="00E21D8C" w:rsidP="00F46CBD">
            <w:pPr>
              <w:jc w:val="center"/>
            </w:pPr>
            <w:r w:rsidRPr="004C35D1">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E21D8C" w:rsidRPr="004C35D1" w:rsidRDefault="00E21D8C" w:rsidP="00F46CBD">
            <w:pPr>
              <w:jc w:val="center"/>
            </w:pPr>
            <w:r w:rsidRPr="004C35D1">
              <w:t xml:space="preserve">After </w:t>
            </w:r>
          </w:p>
          <w:p w:rsidR="00E21D8C" w:rsidRPr="004C35D1" w:rsidRDefault="00E21D8C" w:rsidP="00F46CBD">
            <w:pPr>
              <w:jc w:val="center"/>
            </w:pPr>
            <w:r w:rsidRPr="004C35D1">
              <w:t>Hours Cost</w:t>
            </w:r>
          </w:p>
        </w:tc>
      </w:tr>
      <w:tr w:rsidR="00E21D8C" w:rsidRPr="00F1676F" w:rsidTr="00F46CBD">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Administrative Labor</w:t>
            </w:r>
          </w:p>
          <w:p w:rsidR="00E21D8C" w:rsidRPr="004C35D1" w:rsidRDefault="00E21D8C" w:rsidP="00F46CBD">
            <w:pPr>
              <w:jc w:val="both"/>
            </w:pPr>
            <w:r w:rsidRPr="004C35D1">
              <w:t>($15/hr x1/4hr)</w:t>
            </w:r>
          </w:p>
        </w:tc>
        <w:tc>
          <w:tcPr>
            <w:tcW w:w="1354" w:type="dxa"/>
            <w:tcBorders>
              <w:top w:val="single" w:sz="4" w:space="0" w:color="auto"/>
              <w:left w:val="single" w:sz="4" w:space="0" w:color="auto"/>
              <w:bottom w:val="single" w:sz="4" w:space="0" w:color="auto"/>
              <w:right w:val="single" w:sz="4" w:space="0" w:color="auto"/>
            </w:tcBorders>
          </w:tcPr>
          <w:p w:rsidR="00E21D8C" w:rsidRPr="004C35D1" w:rsidRDefault="00E21D8C" w:rsidP="00F46CBD">
            <w:pPr>
              <w:jc w:val="right"/>
            </w:pPr>
          </w:p>
          <w:p w:rsidR="00E21D8C" w:rsidRPr="004C35D1" w:rsidRDefault="00E21D8C" w:rsidP="00F46CBD">
            <w:pPr>
              <w:jc w:val="right"/>
            </w:pPr>
            <w:r w:rsidRPr="004C35D1">
              <w:t>$3.75</w:t>
            </w:r>
          </w:p>
        </w:tc>
        <w:tc>
          <w:tcPr>
            <w:tcW w:w="3596"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Administrative Labor</w:t>
            </w:r>
          </w:p>
          <w:p w:rsidR="00E21D8C" w:rsidRPr="004C35D1" w:rsidRDefault="00E21D8C" w:rsidP="00F46CBD">
            <w:pPr>
              <w:jc w:val="both"/>
            </w:pPr>
            <w:r w:rsidRPr="004C35D1">
              <w:t>($15/hr x1/4hr)</w:t>
            </w:r>
          </w:p>
        </w:tc>
        <w:tc>
          <w:tcPr>
            <w:tcW w:w="1303" w:type="dxa"/>
            <w:tcBorders>
              <w:top w:val="single" w:sz="4" w:space="0" w:color="auto"/>
              <w:left w:val="single" w:sz="4" w:space="0" w:color="auto"/>
              <w:bottom w:val="single" w:sz="4" w:space="0" w:color="auto"/>
              <w:right w:val="single" w:sz="4" w:space="0" w:color="auto"/>
            </w:tcBorders>
          </w:tcPr>
          <w:p w:rsidR="00E21D8C" w:rsidRPr="004C35D1" w:rsidRDefault="00E21D8C" w:rsidP="00F46CBD">
            <w:pPr>
              <w:jc w:val="right"/>
            </w:pPr>
          </w:p>
          <w:p w:rsidR="00E21D8C" w:rsidRPr="004C35D1" w:rsidRDefault="00E21D8C" w:rsidP="00F46CBD">
            <w:pPr>
              <w:jc w:val="right"/>
            </w:pPr>
            <w:r w:rsidRPr="004C35D1">
              <w:t>$3.75</w:t>
            </w:r>
          </w:p>
        </w:tc>
      </w:tr>
      <w:tr w:rsidR="00E21D8C" w:rsidRPr="00F1676F" w:rsidTr="00F46CBD">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 xml:space="preserve">Field Labor </w:t>
            </w:r>
          </w:p>
          <w:p w:rsidR="00E21D8C" w:rsidRPr="004C35D1" w:rsidRDefault="00E21D8C" w:rsidP="00F46CBD">
            <w:pPr>
              <w:jc w:val="both"/>
            </w:pPr>
            <w:r w:rsidRPr="004C35D1">
              <w:t>($15/hr x 1/3 hr)</w:t>
            </w:r>
          </w:p>
        </w:tc>
        <w:tc>
          <w:tcPr>
            <w:tcW w:w="1354" w:type="dxa"/>
            <w:tcBorders>
              <w:top w:val="single" w:sz="4" w:space="0" w:color="auto"/>
              <w:left w:val="single" w:sz="4" w:space="0" w:color="auto"/>
              <w:bottom w:val="single" w:sz="4" w:space="0" w:color="auto"/>
              <w:right w:val="single" w:sz="4" w:space="0" w:color="auto"/>
            </w:tcBorders>
          </w:tcPr>
          <w:p w:rsidR="00E21D8C" w:rsidRPr="004C35D1" w:rsidRDefault="00E21D8C" w:rsidP="00F46CBD">
            <w:pPr>
              <w:jc w:val="right"/>
            </w:pPr>
          </w:p>
          <w:p w:rsidR="00E21D8C" w:rsidRPr="004C35D1" w:rsidRDefault="00E21D8C" w:rsidP="00F46CBD">
            <w:pPr>
              <w:jc w:val="right"/>
            </w:pPr>
            <w:r w:rsidRPr="004C35D1">
              <w:t>$5.00</w:t>
            </w:r>
          </w:p>
        </w:tc>
        <w:tc>
          <w:tcPr>
            <w:tcW w:w="3596"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r w:rsidRPr="004C35D1">
              <w:t xml:space="preserve">Field Labor </w:t>
            </w:r>
          </w:p>
          <w:p w:rsidR="00E21D8C" w:rsidRPr="004C35D1" w:rsidRDefault="00E21D8C" w:rsidP="00F46CBD">
            <w:r w:rsidRPr="004C35D1">
              <w:t>($22.50/hr x 1/3 hr)</w:t>
            </w:r>
          </w:p>
        </w:tc>
        <w:tc>
          <w:tcPr>
            <w:tcW w:w="1303" w:type="dxa"/>
            <w:tcBorders>
              <w:top w:val="single" w:sz="4" w:space="0" w:color="auto"/>
              <w:left w:val="single" w:sz="4" w:space="0" w:color="auto"/>
              <w:bottom w:val="single" w:sz="4" w:space="0" w:color="auto"/>
              <w:right w:val="single" w:sz="4" w:space="0" w:color="auto"/>
            </w:tcBorders>
          </w:tcPr>
          <w:p w:rsidR="00E21D8C" w:rsidRPr="004C35D1" w:rsidRDefault="00E21D8C" w:rsidP="00F46CBD">
            <w:pPr>
              <w:jc w:val="right"/>
            </w:pPr>
          </w:p>
          <w:p w:rsidR="00E21D8C" w:rsidRPr="004C35D1" w:rsidRDefault="00E21D8C" w:rsidP="00F46CBD">
            <w:pPr>
              <w:jc w:val="right"/>
            </w:pPr>
            <w:r w:rsidRPr="004C35D1">
              <w:t>$7.50</w:t>
            </w:r>
          </w:p>
        </w:tc>
      </w:tr>
      <w:tr w:rsidR="00E21D8C" w:rsidRPr="00F1676F" w:rsidTr="00F46CBD">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 xml:space="preserve">Transportation </w:t>
            </w:r>
          </w:p>
          <w:p w:rsidR="00E21D8C" w:rsidRPr="004C35D1" w:rsidRDefault="00E21D8C" w:rsidP="00F46CBD">
            <w:r w:rsidRPr="004C35D1">
              <w:t>($0.535/mile x 5 miles-to/from)</w:t>
            </w:r>
          </w:p>
        </w:tc>
        <w:tc>
          <w:tcPr>
            <w:tcW w:w="1354" w:type="dxa"/>
            <w:tcBorders>
              <w:top w:val="single" w:sz="4" w:space="0" w:color="auto"/>
              <w:left w:val="single" w:sz="4" w:space="0" w:color="auto"/>
              <w:bottom w:val="single" w:sz="4" w:space="0" w:color="auto"/>
              <w:right w:val="single" w:sz="4" w:space="0" w:color="auto"/>
            </w:tcBorders>
          </w:tcPr>
          <w:p w:rsidR="00E21D8C" w:rsidRPr="004C35D1" w:rsidRDefault="00E21D8C" w:rsidP="00F46CBD">
            <w:pPr>
              <w:jc w:val="right"/>
            </w:pPr>
          </w:p>
          <w:p w:rsidR="00E21D8C" w:rsidRPr="004C35D1" w:rsidRDefault="00E21D8C" w:rsidP="00F46CBD">
            <w:pPr>
              <w:jc w:val="right"/>
            </w:pPr>
            <w:r w:rsidRPr="004C35D1">
              <w:t>$2.68</w:t>
            </w:r>
          </w:p>
        </w:tc>
        <w:tc>
          <w:tcPr>
            <w:tcW w:w="3596"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 xml:space="preserve">Transportation </w:t>
            </w:r>
          </w:p>
          <w:p w:rsidR="00E21D8C" w:rsidRPr="004C35D1" w:rsidRDefault="00E21D8C" w:rsidP="00F46CBD">
            <w:r w:rsidRPr="004C35D1">
              <w:t>($0.535/mile x 5 miles-to/from)</w:t>
            </w:r>
          </w:p>
        </w:tc>
        <w:tc>
          <w:tcPr>
            <w:tcW w:w="1303" w:type="dxa"/>
            <w:tcBorders>
              <w:top w:val="single" w:sz="4" w:space="0" w:color="auto"/>
              <w:left w:val="single" w:sz="4" w:space="0" w:color="auto"/>
              <w:bottom w:val="single" w:sz="4" w:space="0" w:color="auto"/>
              <w:right w:val="single" w:sz="4" w:space="0" w:color="auto"/>
            </w:tcBorders>
          </w:tcPr>
          <w:p w:rsidR="00E21D8C" w:rsidRPr="004C35D1" w:rsidRDefault="00E21D8C" w:rsidP="00F46CBD">
            <w:pPr>
              <w:jc w:val="right"/>
            </w:pPr>
          </w:p>
          <w:p w:rsidR="00E21D8C" w:rsidRPr="004C35D1" w:rsidRDefault="00E21D8C" w:rsidP="00F46CBD">
            <w:pPr>
              <w:jc w:val="right"/>
            </w:pPr>
            <w:r w:rsidRPr="004C35D1">
              <w:t>$2.68</w:t>
            </w:r>
          </w:p>
        </w:tc>
      </w:tr>
      <w:tr w:rsidR="00E21D8C" w:rsidRPr="00F1676F" w:rsidTr="00F46CBD">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Total</w:t>
            </w:r>
          </w:p>
        </w:tc>
        <w:tc>
          <w:tcPr>
            <w:tcW w:w="1354"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right"/>
            </w:pPr>
            <w:r w:rsidRPr="004C35D1">
              <w:t>$11.43</w:t>
            </w:r>
          </w:p>
        </w:tc>
        <w:tc>
          <w:tcPr>
            <w:tcW w:w="3596"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both"/>
            </w:pPr>
            <w:r w:rsidRPr="004C35D1">
              <w:t>Total</w:t>
            </w:r>
          </w:p>
        </w:tc>
        <w:tc>
          <w:tcPr>
            <w:tcW w:w="1303" w:type="dxa"/>
            <w:tcBorders>
              <w:top w:val="single" w:sz="4" w:space="0" w:color="auto"/>
              <w:left w:val="single" w:sz="4" w:space="0" w:color="auto"/>
              <w:bottom w:val="single" w:sz="4" w:space="0" w:color="auto"/>
              <w:right w:val="single" w:sz="4" w:space="0" w:color="auto"/>
            </w:tcBorders>
            <w:hideMark/>
          </w:tcPr>
          <w:p w:rsidR="00E21D8C" w:rsidRPr="004C35D1" w:rsidRDefault="00E21D8C" w:rsidP="00F46CBD">
            <w:pPr>
              <w:jc w:val="right"/>
            </w:pPr>
            <w:r w:rsidRPr="004C35D1">
              <w:t>$13.93</w:t>
            </w:r>
          </w:p>
        </w:tc>
      </w:tr>
    </w:tbl>
    <w:p w:rsidR="00E21D8C" w:rsidRDefault="00E21D8C" w:rsidP="00E21D8C">
      <w:pPr>
        <w:jc w:val="both"/>
        <w:rPr>
          <w:rFonts w:eastAsiaTheme="minorHAnsi"/>
        </w:rPr>
      </w:pPr>
    </w:p>
    <w:p w:rsidR="00E21D8C" w:rsidRPr="004C35D1" w:rsidRDefault="00E21D8C" w:rsidP="00E21D8C">
      <w:pPr>
        <w:jc w:val="center"/>
        <w:rPr>
          <w:b/>
        </w:rPr>
      </w:pPr>
      <w:r w:rsidRPr="004C35D1">
        <w:rPr>
          <w:b/>
        </w:rPr>
        <w:t xml:space="preserve">Table </w:t>
      </w:r>
      <w:r w:rsidR="00081649">
        <w:rPr>
          <w:b/>
        </w:rPr>
        <w:t>6</w:t>
      </w:r>
    </w:p>
    <w:tbl>
      <w:tblPr>
        <w:tblpPr w:leftFromText="180" w:rightFromText="180" w:vertAnchor="text" w:horzAnchor="margin" w:tblpY="297"/>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2320"/>
        <w:gridCol w:w="1857"/>
      </w:tblGrid>
      <w:tr w:rsidR="00E21D8C" w:rsidRPr="004C35D1" w:rsidTr="00F46CBD">
        <w:trPr>
          <w:trHeight w:val="263"/>
        </w:trPr>
        <w:tc>
          <w:tcPr>
            <w:tcW w:w="5436" w:type="dxa"/>
            <w:shd w:val="clear" w:color="auto" w:fill="auto"/>
            <w:noWrap/>
            <w:vAlign w:val="bottom"/>
          </w:tcPr>
          <w:p w:rsidR="00E21D8C" w:rsidRPr="004C35D1" w:rsidRDefault="00E21D8C" w:rsidP="00F46CBD">
            <w:pPr>
              <w:keepNext/>
              <w:ind w:firstLine="435"/>
              <w:jc w:val="center"/>
              <w:rPr>
                <w:color w:val="000000"/>
              </w:rPr>
            </w:pPr>
          </w:p>
        </w:tc>
        <w:tc>
          <w:tcPr>
            <w:tcW w:w="4177" w:type="dxa"/>
            <w:gridSpan w:val="2"/>
          </w:tcPr>
          <w:p w:rsidR="00E21D8C" w:rsidRPr="004C35D1" w:rsidRDefault="00081649" w:rsidP="00F46CBD">
            <w:pPr>
              <w:keepNext/>
              <w:jc w:val="center"/>
              <w:rPr>
                <w:color w:val="000000"/>
              </w:rPr>
            </w:pPr>
            <w:r>
              <w:rPr>
                <w:color w:val="000000"/>
              </w:rPr>
              <w:t>Commission Approved</w:t>
            </w:r>
          </w:p>
        </w:tc>
      </w:tr>
      <w:tr w:rsidR="00E21D8C" w:rsidRPr="004C35D1" w:rsidTr="00F46CBD">
        <w:trPr>
          <w:trHeight w:val="259"/>
        </w:trPr>
        <w:tc>
          <w:tcPr>
            <w:tcW w:w="5436" w:type="dxa"/>
            <w:shd w:val="clear" w:color="auto" w:fill="auto"/>
            <w:noWrap/>
            <w:vAlign w:val="bottom"/>
            <w:hideMark/>
          </w:tcPr>
          <w:p w:rsidR="00E21D8C" w:rsidRPr="004C35D1" w:rsidRDefault="00E21D8C" w:rsidP="00F46CBD">
            <w:pPr>
              <w:jc w:val="center"/>
              <w:rPr>
                <w:color w:val="000000"/>
              </w:rPr>
            </w:pPr>
          </w:p>
        </w:tc>
        <w:tc>
          <w:tcPr>
            <w:tcW w:w="2320" w:type="dxa"/>
          </w:tcPr>
          <w:p w:rsidR="00E21D8C" w:rsidRPr="004C35D1" w:rsidRDefault="00E21D8C" w:rsidP="00F46CBD">
            <w:pPr>
              <w:jc w:val="center"/>
              <w:rPr>
                <w:color w:val="000000"/>
              </w:rPr>
            </w:pPr>
            <w:r w:rsidRPr="004C35D1">
              <w:rPr>
                <w:color w:val="000000"/>
              </w:rPr>
              <w:t>Normal Hours</w:t>
            </w:r>
          </w:p>
        </w:tc>
        <w:tc>
          <w:tcPr>
            <w:tcW w:w="1857" w:type="dxa"/>
          </w:tcPr>
          <w:p w:rsidR="00E21D8C" w:rsidRPr="004C35D1" w:rsidRDefault="00E21D8C" w:rsidP="00F46CBD">
            <w:pPr>
              <w:jc w:val="center"/>
              <w:rPr>
                <w:color w:val="000000"/>
              </w:rPr>
            </w:pPr>
            <w:r w:rsidRPr="004C35D1">
              <w:rPr>
                <w:color w:val="000000"/>
              </w:rPr>
              <w:t>After Hours</w:t>
            </w:r>
          </w:p>
        </w:tc>
      </w:tr>
      <w:tr w:rsidR="00E21D8C" w:rsidRPr="004C35D1" w:rsidTr="00F46CBD">
        <w:trPr>
          <w:trHeight w:val="304"/>
        </w:trPr>
        <w:tc>
          <w:tcPr>
            <w:tcW w:w="5436" w:type="dxa"/>
            <w:shd w:val="clear" w:color="auto" w:fill="auto"/>
            <w:noWrap/>
            <w:vAlign w:val="bottom"/>
            <w:hideMark/>
          </w:tcPr>
          <w:p w:rsidR="00E21D8C" w:rsidRPr="004C35D1" w:rsidRDefault="00E21D8C" w:rsidP="00F46CBD">
            <w:pPr>
              <w:rPr>
                <w:color w:val="000000"/>
              </w:rPr>
            </w:pPr>
            <w:r w:rsidRPr="004C35D1">
              <w:rPr>
                <w:color w:val="000000"/>
              </w:rPr>
              <w:t>Initial Connection Charge</w:t>
            </w:r>
          </w:p>
        </w:tc>
        <w:tc>
          <w:tcPr>
            <w:tcW w:w="2320" w:type="dxa"/>
          </w:tcPr>
          <w:p w:rsidR="00E21D8C" w:rsidRPr="004C35D1" w:rsidRDefault="00E21D8C" w:rsidP="00F46CBD">
            <w:pPr>
              <w:jc w:val="center"/>
              <w:rPr>
                <w:color w:val="000000"/>
              </w:rPr>
            </w:pPr>
            <w:r w:rsidRPr="004C35D1">
              <w:rPr>
                <w:color w:val="000000"/>
              </w:rPr>
              <w:t>$11.50</w:t>
            </w:r>
          </w:p>
        </w:tc>
        <w:tc>
          <w:tcPr>
            <w:tcW w:w="1857" w:type="dxa"/>
          </w:tcPr>
          <w:p w:rsidR="00E21D8C" w:rsidRPr="004C35D1" w:rsidRDefault="00E21D8C" w:rsidP="00F46CBD">
            <w:pPr>
              <w:jc w:val="center"/>
              <w:rPr>
                <w:color w:val="000000"/>
              </w:rPr>
            </w:pPr>
            <w:r w:rsidRPr="004C35D1">
              <w:rPr>
                <w:color w:val="000000"/>
              </w:rPr>
              <w:t>$14.00</w:t>
            </w:r>
          </w:p>
        </w:tc>
      </w:tr>
      <w:tr w:rsidR="00E21D8C" w:rsidRPr="004C35D1" w:rsidTr="00F46CBD">
        <w:trPr>
          <w:trHeight w:val="260"/>
        </w:trPr>
        <w:tc>
          <w:tcPr>
            <w:tcW w:w="5436" w:type="dxa"/>
            <w:shd w:val="clear" w:color="auto" w:fill="auto"/>
            <w:noWrap/>
            <w:vAlign w:val="bottom"/>
            <w:hideMark/>
          </w:tcPr>
          <w:p w:rsidR="00E21D8C" w:rsidRPr="004C35D1" w:rsidRDefault="00E21D8C" w:rsidP="00F46CBD">
            <w:pPr>
              <w:rPr>
                <w:color w:val="000000"/>
              </w:rPr>
            </w:pPr>
            <w:r w:rsidRPr="004C35D1">
              <w:rPr>
                <w:color w:val="000000"/>
              </w:rPr>
              <w:t>Normal Reconnection Charge</w:t>
            </w:r>
          </w:p>
        </w:tc>
        <w:tc>
          <w:tcPr>
            <w:tcW w:w="2320" w:type="dxa"/>
          </w:tcPr>
          <w:p w:rsidR="00E21D8C" w:rsidRPr="004C35D1" w:rsidRDefault="00E21D8C" w:rsidP="00F46CBD">
            <w:pPr>
              <w:jc w:val="center"/>
              <w:rPr>
                <w:color w:val="000000"/>
              </w:rPr>
            </w:pPr>
            <w:r w:rsidRPr="004C35D1">
              <w:rPr>
                <w:color w:val="000000"/>
              </w:rPr>
              <w:t>$20.40</w:t>
            </w:r>
          </w:p>
        </w:tc>
        <w:tc>
          <w:tcPr>
            <w:tcW w:w="1857" w:type="dxa"/>
          </w:tcPr>
          <w:p w:rsidR="00E21D8C" w:rsidRPr="004C35D1" w:rsidRDefault="00E21D8C" w:rsidP="00F46CBD">
            <w:pPr>
              <w:jc w:val="center"/>
              <w:rPr>
                <w:color w:val="000000"/>
              </w:rPr>
            </w:pPr>
            <w:r w:rsidRPr="004C35D1">
              <w:rPr>
                <w:color w:val="000000"/>
              </w:rPr>
              <w:t>$24.20</w:t>
            </w:r>
          </w:p>
        </w:tc>
      </w:tr>
      <w:tr w:rsidR="00E21D8C" w:rsidRPr="004C35D1" w:rsidTr="00F46CBD">
        <w:trPr>
          <w:trHeight w:val="257"/>
        </w:trPr>
        <w:tc>
          <w:tcPr>
            <w:tcW w:w="5436" w:type="dxa"/>
            <w:shd w:val="clear" w:color="auto" w:fill="auto"/>
            <w:noWrap/>
            <w:vAlign w:val="bottom"/>
          </w:tcPr>
          <w:p w:rsidR="00E21D8C" w:rsidRPr="004C35D1" w:rsidRDefault="00E21D8C" w:rsidP="00F46CBD">
            <w:pPr>
              <w:rPr>
                <w:color w:val="000000"/>
              </w:rPr>
            </w:pPr>
            <w:r w:rsidRPr="004C35D1">
              <w:rPr>
                <w:color w:val="000000"/>
              </w:rPr>
              <w:t>Violation Reconnection Charge (Water Only)</w:t>
            </w:r>
          </w:p>
        </w:tc>
        <w:tc>
          <w:tcPr>
            <w:tcW w:w="2320" w:type="dxa"/>
          </w:tcPr>
          <w:p w:rsidR="00E21D8C" w:rsidRPr="004C35D1" w:rsidRDefault="00E21D8C" w:rsidP="00F46CBD">
            <w:pPr>
              <w:jc w:val="center"/>
              <w:rPr>
                <w:color w:val="000000"/>
              </w:rPr>
            </w:pPr>
            <w:r w:rsidRPr="004C35D1">
              <w:rPr>
                <w:color w:val="000000"/>
              </w:rPr>
              <w:t>$20.40</w:t>
            </w:r>
          </w:p>
        </w:tc>
        <w:tc>
          <w:tcPr>
            <w:tcW w:w="1857" w:type="dxa"/>
          </w:tcPr>
          <w:p w:rsidR="00E21D8C" w:rsidRPr="004C35D1" w:rsidRDefault="00E21D8C" w:rsidP="00F46CBD">
            <w:pPr>
              <w:jc w:val="center"/>
              <w:rPr>
                <w:color w:val="000000"/>
              </w:rPr>
            </w:pPr>
            <w:r w:rsidRPr="004C35D1">
              <w:rPr>
                <w:color w:val="000000"/>
              </w:rPr>
              <w:t>$24.20</w:t>
            </w:r>
          </w:p>
        </w:tc>
      </w:tr>
      <w:tr w:rsidR="00E21D8C" w:rsidRPr="004C35D1" w:rsidTr="00F46CBD">
        <w:trPr>
          <w:trHeight w:val="248"/>
        </w:trPr>
        <w:tc>
          <w:tcPr>
            <w:tcW w:w="5436" w:type="dxa"/>
            <w:shd w:val="clear" w:color="auto" w:fill="auto"/>
            <w:noWrap/>
            <w:vAlign w:val="bottom"/>
            <w:hideMark/>
          </w:tcPr>
          <w:p w:rsidR="00E21D8C" w:rsidRPr="004C35D1" w:rsidRDefault="00E21D8C" w:rsidP="00F46CBD">
            <w:pPr>
              <w:rPr>
                <w:color w:val="000000"/>
              </w:rPr>
            </w:pPr>
            <w:r w:rsidRPr="004C35D1">
              <w:rPr>
                <w:color w:val="000000"/>
              </w:rPr>
              <w:t>Violation Reconnection Charge (Wastewater Only)</w:t>
            </w:r>
          </w:p>
        </w:tc>
        <w:tc>
          <w:tcPr>
            <w:tcW w:w="4177" w:type="dxa"/>
            <w:gridSpan w:val="2"/>
          </w:tcPr>
          <w:p w:rsidR="00E21D8C" w:rsidRPr="004C35D1" w:rsidRDefault="00E21D8C" w:rsidP="00F46CBD">
            <w:pPr>
              <w:jc w:val="center"/>
              <w:rPr>
                <w:color w:val="000000"/>
              </w:rPr>
            </w:pPr>
            <w:r w:rsidRPr="004C35D1">
              <w:rPr>
                <w:color w:val="000000"/>
              </w:rPr>
              <w:t>Actual Cost</w:t>
            </w:r>
          </w:p>
        </w:tc>
      </w:tr>
      <w:tr w:rsidR="00E21D8C" w:rsidRPr="004C35D1" w:rsidTr="00F46CBD">
        <w:trPr>
          <w:trHeight w:val="276"/>
        </w:trPr>
        <w:tc>
          <w:tcPr>
            <w:tcW w:w="5436" w:type="dxa"/>
            <w:shd w:val="clear" w:color="auto" w:fill="auto"/>
            <w:noWrap/>
            <w:vAlign w:val="bottom"/>
          </w:tcPr>
          <w:p w:rsidR="00E21D8C" w:rsidRPr="004C35D1" w:rsidRDefault="00E21D8C" w:rsidP="00F46CBD">
            <w:pPr>
              <w:rPr>
                <w:color w:val="000000"/>
              </w:rPr>
            </w:pPr>
            <w:r w:rsidRPr="004C35D1">
              <w:rPr>
                <w:color w:val="000000"/>
              </w:rPr>
              <w:t xml:space="preserve">Premises Visit  Charge </w:t>
            </w:r>
          </w:p>
        </w:tc>
        <w:tc>
          <w:tcPr>
            <w:tcW w:w="2320" w:type="dxa"/>
          </w:tcPr>
          <w:p w:rsidR="00E21D8C" w:rsidRPr="004C35D1" w:rsidRDefault="00E21D8C" w:rsidP="00F46CBD">
            <w:pPr>
              <w:jc w:val="center"/>
              <w:rPr>
                <w:color w:val="000000"/>
              </w:rPr>
            </w:pPr>
            <w:r w:rsidRPr="004C35D1">
              <w:rPr>
                <w:color w:val="000000"/>
              </w:rPr>
              <w:t>$11.50</w:t>
            </w:r>
          </w:p>
        </w:tc>
        <w:tc>
          <w:tcPr>
            <w:tcW w:w="1857" w:type="dxa"/>
          </w:tcPr>
          <w:p w:rsidR="00E21D8C" w:rsidRPr="004C35D1" w:rsidRDefault="00E21D8C" w:rsidP="00F46CBD">
            <w:pPr>
              <w:jc w:val="center"/>
              <w:rPr>
                <w:color w:val="000000"/>
              </w:rPr>
            </w:pPr>
            <w:r w:rsidRPr="004C35D1">
              <w:rPr>
                <w:color w:val="000000"/>
              </w:rPr>
              <w:t>$14.00</w:t>
            </w:r>
          </w:p>
        </w:tc>
      </w:tr>
    </w:tbl>
    <w:p w:rsidR="00E21D8C" w:rsidRPr="00451694" w:rsidRDefault="00081649" w:rsidP="00E21D8C">
      <w:pPr>
        <w:keepNext/>
        <w:jc w:val="center"/>
        <w:rPr>
          <w:rFonts w:ascii="Arial" w:hAnsi="Arial" w:cs="Arial"/>
          <w:b/>
          <w:sz w:val="16"/>
          <w:szCs w:val="16"/>
        </w:rPr>
      </w:pPr>
      <w:r>
        <w:rPr>
          <w:b/>
        </w:rPr>
        <w:t>Approved</w:t>
      </w:r>
      <w:r w:rsidR="00E21D8C" w:rsidRPr="004C35D1">
        <w:rPr>
          <w:b/>
        </w:rPr>
        <w:t xml:space="preserve"> Miscellaneous Service Charges</w:t>
      </w:r>
    </w:p>
    <w:p w:rsidR="00E21D8C" w:rsidRDefault="00E21D8C" w:rsidP="00E21D8C">
      <w:pPr>
        <w:jc w:val="both"/>
        <w:rPr>
          <w:rFonts w:eastAsiaTheme="minorHAnsi"/>
        </w:rPr>
      </w:pPr>
    </w:p>
    <w:p w:rsidR="00E21D8C" w:rsidRPr="00E21D8C" w:rsidRDefault="00E21D8C" w:rsidP="00E21D8C">
      <w:pPr>
        <w:jc w:val="both"/>
        <w:rPr>
          <w:rFonts w:eastAsiaTheme="minorHAnsi"/>
          <w:b/>
        </w:rPr>
      </w:pPr>
      <w:r w:rsidRPr="00E21D8C">
        <w:rPr>
          <w:rFonts w:eastAsiaTheme="minorHAnsi"/>
          <w:b/>
        </w:rPr>
        <w:t>Conclusion</w:t>
      </w:r>
    </w:p>
    <w:p w:rsidR="004C35D1" w:rsidRDefault="004C35D1" w:rsidP="00E21D8C">
      <w:pPr>
        <w:jc w:val="both"/>
        <w:rPr>
          <w:rFonts w:eastAsiaTheme="minorHAnsi"/>
        </w:rPr>
      </w:pPr>
    </w:p>
    <w:p w:rsidR="00E21D8C" w:rsidRPr="00E21D8C" w:rsidRDefault="00E21D8C" w:rsidP="004C35D1">
      <w:pPr>
        <w:ind w:firstLine="720"/>
        <w:jc w:val="both"/>
        <w:rPr>
          <w:rFonts w:eastAsiaTheme="minorHAnsi"/>
        </w:rPr>
      </w:pPr>
      <w:r w:rsidRPr="00E21D8C">
        <w:rPr>
          <w:rFonts w:eastAsiaTheme="minorHAnsi"/>
        </w:rPr>
        <w:t xml:space="preserve">Based on the above, the miscellaneous service charges identified in Table </w:t>
      </w:r>
      <w:r w:rsidR="00287E52">
        <w:rPr>
          <w:rFonts w:eastAsiaTheme="minorHAnsi"/>
        </w:rPr>
        <w:t>6</w:t>
      </w:r>
      <w:r w:rsidRPr="00E21D8C">
        <w:rPr>
          <w:rFonts w:eastAsiaTheme="minorHAnsi"/>
        </w:rPr>
        <w:t xml:space="preserve"> are reasonable and sh</w:t>
      </w:r>
      <w:r w:rsidR="004C35D1">
        <w:rPr>
          <w:rFonts w:eastAsiaTheme="minorHAnsi"/>
        </w:rPr>
        <w:t>all</w:t>
      </w:r>
      <w:r w:rsidRPr="00E21D8C">
        <w:rPr>
          <w:rFonts w:eastAsiaTheme="minorHAnsi"/>
        </w:rPr>
        <w:t xml:space="preserve"> be approved. The Utility sh</w:t>
      </w:r>
      <w:r w:rsidR="004C35D1">
        <w:rPr>
          <w:rFonts w:eastAsiaTheme="minorHAnsi"/>
        </w:rPr>
        <w:t>all</w:t>
      </w:r>
      <w:r w:rsidRPr="00E21D8C">
        <w:rPr>
          <w:rFonts w:eastAsiaTheme="minorHAnsi"/>
        </w:rPr>
        <w:t xml:space="preserve"> file revised tariff sheets and a propose</w:t>
      </w:r>
      <w:r w:rsidR="004C35D1">
        <w:rPr>
          <w:rFonts w:eastAsiaTheme="minorHAnsi"/>
        </w:rPr>
        <w:t>d customer notice to reflect this</w:t>
      </w:r>
      <w:r w:rsidRPr="00E21D8C">
        <w:rPr>
          <w:rFonts w:eastAsiaTheme="minorHAnsi"/>
        </w:rPr>
        <w:t xml:space="preserve"> Commission</w:t>
      </w:r>
      <w:r w:rsidR="00627442">
        <w:rPr>
          <w:rFonts w:eastAsiaTheme="minorHAnsi"/>
        </w:rPr>
        <w:t>-</w:t>
      </w:r>
      <w:r w:rsidRPr="00E21D8C">
        <w:rPr>
          <w:rFonts w:eastAsiaTheme="minorHAnsi"/>
        </w:rPr>
        <w:t>approved miscellaneous service charges. The approved charges sh</w:t>
      </w:r>
      <w:r w:rsidR="004C35D1">
        <w:rPr>
          <w:rFonts w:eastAsiaTheme="minorHAnsi"/>
        </w:rPr>
        <w:t>all</w:t>
      </w:r>
      <w:r w:rsidRPr="00E21D8C">
        <w:rPr>
          <w:rFonts w:eastAsiaTheme="minorHAnsi"/>
        </w:rPr>
        <w:t xml:space="preserve"> be effective for service rendered or connections made on or after the stamped approval date on the tariff sheets provided customers have received notice pursuant to Rule 25-30.475, F.A.C. The Utility sh</w:t>
      </w:r>
      <w:r w:rsidR="004C35D1">
        <w:rPr>
          <w:rFonts w:eastAsiaTheme="minorHAnsi"/>
        </w:rPr>
        <w:t>all</w:t>
      </w:r>
      <w:r w:rsidRPr="00E21D8C">
        <w:rPr>
          <w:rFonts w:eastAsiaTheme="minorHAnsi"/>
        </w:rPr>
        <w:t xml:space="preserve"> provide proof of noticing within 10 days of rendering its approved notice.</w:t>
      </w:r>
    </w:p>
    <w:p w:rsidR="00E21D8C" w:rsidRDefault="00E21D8C" w:rsidP="00E21D8C">
      <w:pPr>
        <w:jc w:val="both"/>
        <w:rPr>
          <w:rFonts w:eastAsiaTheme="minorHAnsi"/>
        </w:rPr>
      </w:pPr>
    </w:p>
    <w:p w:rsidR="004C35D1" w:rsidRPr="004C35D1" w:rsidRDefault="004C35D1" w:rsidP="00E21D8C">
      <w:pPr>
        <w:jc w:val="both"/>
        <w:rPr>
          <w:rFonts w:eastAsiaTheme="minorHAnsi"/>
          <w:b/>
          <w:bCs/>
          <w:u w:val="single"/>
        </w:rPr>
      </w:pPr>
      <w:r w:rsidRPr="004C35D1">
        <w:rPr>
          <w:rFonts w:eastAsiaTheme="minorHAnsi"/>
          <w:b/>
          <w:u w:val="single"/>
        </w:rPr>
        <w:t>Late Payment Charge</w:t>
      </w:r>
    </w:p>
    <w:p w:rsidR="004C35D1" w:rsidRDefault="004C35D1" w:rsidP="00E21D8C">
      <w:pPr>
        <w:jc w:val="both"/>
        <w:rPr>
          <w:rFonts w:eastAsiaTheme="minorHAnsi"/>
        </w:rPr>
      </w:pPr>
    </w:p>
    <w:p w:rsidR="00E21D8C" w:rsidRPr="00E21D8C" w:rsidRDefault="00E21D8C" w:rsidP="004C35D1">
      <w:pPr>
        <w:ind w:firstLine="720"/>
        <w:jc w:val="both"/>
        <w:rPr>
          <w:rFonts w:eastAsiaTheme="minorHAnsi"/>
        </w:rPr>
      </w:pPr>
      <w:r w:rsidRPr="00E21D8C">
        <w:rPr>
          <w:rFonts w:eastAsiaTheme="minorHAnsi"/>
        </w:rPr>
        <w:t xml:space="preserve">RSPI does not currently have a late payment charge in place. The Utility requested a late payment charge and </w:t>
      </w:r>
      <w:r w:rsidR="00E93293">
        <w:rPr>
          <w:rFonts w:eastAsiaTheme="minorHAnsi"/>
        </w:rPr>
        <w:t>this Commission</w:t>
      </w:r>
      <w:r w:rsidRPr="00E21D8C">
        <w:rPr>
          <w:rFonts w:eastAsiaTheme="minorHAnsi"/>
        </w:rPr>
        <w:t xml:space="preserve"> compiled the Utility’s cost justification, as required by Section 367.091(6), F.S., through a series of </w:t>
      </w:r>
      <w:r w:rsidR="00AF3D04">
        <w:rPr>
          <w:rFonts w:eastAsiaTheme="minorHAnsi"/>
        </w:rPr>
        <w:t xml:space="preserve">Commission staff </w:t>
      </w:r>
      <w:r w:rsidRPr="00E21D8C">
        <w:rPr>
          <w:rFonts w:eastAsiaTheme="minorHAnsi"/>
        </w:rPr>
        <w:t xml:space="preserve">data requests in order to calculate </w:t>
      </w:r>
      <w:r w:rsidR="005D0687">
        <w:rPr>
          <w:rFonts w:eastAsiaTheme="minorHAnsi"/>
        </w:rPr>
        <w:t>RSPI’s l</w:t>
      </w:r>
      <w:r w:rsidRPr="00E21D8C">
        <w:rPr>
          <w:rFonts w:eastAsiaTheme="minorHAnsi"/>
        </w:rPr>
        <w:t xml:space="preserve">ate payment charge. </w:t>
      </w:r>
    </w:p>
    <w:p w:rsidR="00E21D8C" w:rsidRPr="00E21D8C" w:rsidRDefault="00E21D8C" w:rsidP="00E21D8C">
      <w:pPr>
        <w:jc w:val="both"/>
        <w:rPr>
          <w:rFonts w:eastAsiaTheme="minorHAnsi"/>
        </w:rPr>
      </w:pPr>
    </w:p>
    <w:p w:rsidR="00E21D8C" w:rsidRPr="00E21D8C" w:rsidRDefault="00E21D8C" w:rsidP="005D0687">
      <w:pPr>
        <w:ind w:firstLine="720"/>
        <w:jc w:val="both"/>
        <w:rPr>
          <w:rFonts w:eastAsiaTheme="minorHAnsi"/>
        </w:rPr>
      </w:pPr>
      <w:r w:rsidRPr="00E21D8C">
        <w:rPr>
          <w:rFonts w:eastAsiaTheme="minorHAnsi"/>
        </w:rPr>
        <w:t xml:space="preserve">The goal of allowing late payment charges is two fold: first, it encourages customers to pay their bills on time, and second, if payments are not made on time, it ensures that the cost </w:t>
      </w:r>
      <w:r w:rsidRPr="00E21D8C">
        <w:rPr>
          <w:rFonts w:eastAsiaTheme="minorHAnsi"/>
        </w:rPr>
        <w:lastRenderedPageBreak/>
        <w:t>associated with collecting late payments are not passed on to the customers who do pay on time.</w:t>
      </w:r>
      <w:r w:rsidRPr="00E21D8C">
        <w:rPr>
          <w:rFonts w:eastAsiaTheme="minorHAnsi"/>
          <w:vertAlign w:val="superscript"/>
        </w:rPr>
        <w:footnoteReference w:id="5"/>
      </w:r>
      <w:r w:rsidRPr="00E21D8C">
        <w:rPr>
          <w:rFonts w:eastAsiaTheme="minorHAnsi"/>
        </w:rPr>
        <w:t xml:space="preserve"> The Utility has a total of 519 customer accounts and approximately 4 percent of the customers do not pay by the due date each month. Because the Utility does not currently have an approved late payment charge, the Utility’s only recourse is to discontinue service. </w:t>
      </w:r>
    </w:p>
    <w:p w:rsidR="00E21D8C" w:rsidRPr="00E21D8C" w:rsidRDefault="00E21D8C" w:rsidP="00E21D8C">
      <w:pPr>
        <w:jc w:val="both"/>
        <w:rPr>
          <w:rFonts w:eastAsiaTheme="minorHAnsi"/>
        </w:rPr>
      </w:pPr>
    </w:p>
    <w:p w:rsidR="00E21D8C" w:rsidRPr="00E21D8C" w:rsidRDefault="00E21D8C" w:rsidP="005D0687">
      <w:pPr>
        <w:ind w:firstLine="720"/>
        <w:jc w:val="both"/>
        <w:rPr>
          <w:rFonts w:eastAsiaTheme="minorHAnsi"/>
        </w:rPr>
      </w:pPr>
      <w:r w:rsidRPr="00E21D8C">
        <w:rPr>
          <w:rFonts w:eastAsiaTheme="minorHAnsi"/>
        </w:rPr>
        <w:t>The Utility included $3.75 for labor associated with processing late payments. The late payment notices are processed by an RSPI employee who is paid $15 per hour. The billing employee spends approximately 5 hours per month processing an average of 20 delinquent accounts. This equates to approximately 15 minutes to process a</w:t>
      </w:r>
      <w:r w:rsidR="005D0687">
        <w:rPr>
          <w:rFonts w:eastAsiaTheme="minorHAnsi"/>
        </w:rPr>
        <w:t xml:space="preserve"> single late payment notice. This</w:t>
      </w:r>
      <w:r w:rsidRPr="00E21D8C">
        <w:rPr>
          <w:rFonts w:eastAsiaTheme="minorHAnsi"/>
        </w:rPr>
        <w:t xml:space="preserve"> Commission has found that 10 to 15 minutes is an appropriate amount of time for a billing employee to process a single late payment.</w:t>
      </w:r>
      <w:r w:rsidRPr="00E21D8C">
        <w:rPr>
          <w:rFonts w:eastAsiaTheme="minorHAnsi"/>
          <w:vertAlign w:val="superscript"/>
        </w:rPr>
        <w:footnoteReference w:id="6"/>
      </w:r>
      <w:r w:rsidRPr="00E21D8C">
        <w:rPr>
          <w:rFonts w:eastAsiaTheme="minorHAnsi"/>
        </w:rPr>
        <w:t xml:space="preserve"> </w:t>
      </w:r>
    </w:p>
    <w:p w:rsidR="00E21D8C" w:rsidRDefault="00E21D8C" w:rsidP="00E21D8C">
      <w:pPr>
        <w:jc w:val="both"/>
        <w:rPr>
          <w:rFonts w:eastAsiaTheme="minorHAnsi"/>
        </w:rPr>
      </w:pPr>
    </w:p>
    <w:p w:rsidR="00E21D8C" w:rsidRDefault="00E21D8C" w:rsidP="005D0687">
      <w:pPr>
        <w:ind w:firstLine="720"/>
        <w:jc w:val="both"/>
        <w:rPr>
          <w:rFonts w:eastAsiaTheme="minorHAnsi"/>
        </w:rPr>
      </w:pPr>
      <w:r w:rsidRPr="00E21D8C">
        <w:rPr>
          <w:rFonts w:eastAsiaTheme="minorHAnsi"/>
        </w:rPr>
        <w:t>Th</w:t>
      </w:r>
      <w:r w:rsidR="005D0687">
        <w:rPr>
          <w:rFonts w:eastAsiaTheme="minorHAnsi"/>
        </w:rPr>
        <w:t>is</w:t>
      </w:r>
      <w:r w:rsidRPr="00E21D8C">
        <w:rPr>
          <w:rFonts w:eastAsiaTheme="minorHAnsi"/>
        </w:rPr>
        <w:t xml:space="preserve"> Commission has previously approved late payment charges ranging from $4.90 to $7.15.</w:t>
      </w:r>
      <w:r w:rsidRPr="00E21D8C">
        <w:rPr>
          <w:rFonts w:eastAsiaTheme="minorHAnsi"/>
          <w:vertAlign w:val="superscript"/>
        </w:rPr>
        <w:footnoteReference w:id="7"/>
      </w:r>
      <w:r w:rsidRPr="00E21D8C">
        <w:rPr>
          <w:rFonts w:eastAsiaTheme="minorHAnsi"/>
        </w:rPr>
        <w:t xml:space="preserve"> Based on the salary and time spent per notice, the labor cost of $3.75 is reasonable. The Utility is also requesting recovery of $0.20 for supplies and $0.49 for postage. The Utility’s cost justification for its requested late payment charge is shown on Table </w:t>
      </w:r>
      <w:r w:rsidR="00D15527">
        <w:rPr>
          <w:rFonts w:eastAsiaTheme="minorHAnsi"/>
        </w:rPr>
        <w:t>7</w:t>
      </w:r>
      <w:r w:rsidRPr="00E21D8C">
        <w:rPr>
          <w:rFonts w:eastAsiaTheme="minorHAnsi"/>
        </w:rPr>
        <w:t xml:space="preserve">. </w:t>
      </w:r>
      <w:r w:rsidR="00627442">
        <w:rPr>
          <w:rFonts w:eastAsiaTheme="minorHAnsi"/>
        </w:rPr>
        <w:t>We</w:t>
      </w:r>
      <w:r w:rsidRPr="00E21D8C">
        <w:rPr>
          <w:rFonts w:eastAsiaTheme="minorHAnsi"/>
        </w:rPr>
        <w:t xml:space="preserve"> </w:t>
      </w:r>
      <w:r w:rsidR="00627442">
        <w:rPr>
          <w:rFonts w:eastAsiaTheme="minorHAnsi"/>
        </w:rPr>
        <w:t>ro</w:t>
      </w:r>
      <w:r w:rsidRPr="00E21D8C">
        <w:rPr>
          <w:rFonts w:eastAsiaTheme="minorHAnsi"/>
        </w:rPr>
        <w:t>und</w:t>
      </w:r>
      <w:r w:rsidR="00627442">
        <w:rPr>
          <w:rFonts w:eastAsiaTheme="minorHAnsi"/>
        </w:rPr>
        <w:t>ed</w:t>
      </w:r>
      <w:r w:rsidRPr="00E21D8C">
        <w:rPr>
          <w:rFonts w:eastAsiaTheme="minorHAnsi"/>
        </w:rPr>
        <w:t xml:space="preserve"> the calculated late payment charge up to the nearest tenth. Therefore, the appropriate late payment charge for RSPI is $4.50.</w:t>
      </w:r>
    </w:p>
    <w:p w:rsidR="005D0687" w:rsidRPr="00E21D8C" w:rsidRDefault="005D0687" w:rsidP="005D0687">
      <w:pPr>
        <w:ind w:firstLine="720"/>
        <w:jc w:val="both"/>
        <w:rPr>
          <w:rFonts w:eastAsiaTheme="minorHAnsi"/>
        </w:rPr>
      </w:pPr>
    </w:p>
    <w:p w:rsidR="00E21D8C" w:rsidRPr="005D0687" w:rsidRDefault="00E21D8C" w:rsidP="00E21D8C">
      <w:pPr>
        <w:jc w:val="center"/>
      </w:pPr>
      <w:r w:rsidRPr="005D0687">
        <w:rPr>
          <w:b/>
          <w:bCs/>
          <w:kern w:val="32"/>
          <w:szCs w:val="32"/>
        </w:rPr>
        <w:t xml:space="preserve">Table </w:t>
      </w:r>
      <w:r w:rsidR="00ED4269">
        <w:rPr>
          <w:b/>
          <w:bCs/>
          <w:kern w:val="32"/>
          <w:szCs w:val="32"/>
        </w:rPr>
        <w:t>7</w:t>
      </w:r>
    </w:p>
    <w:p w:rsidR="00E21D8C" w:rsidRPr="005D0687" w:rsidRDefault="00E21D8C" w:rsidP="00E21D8C">
      <w:pPr>
        <w:jc w:val="center"/>
        <w:outlineLvl w:val="0"/>
        <w:rPr>
          <w:b/>
          <w:bCs/>
          <w:kern w:val="32"/>
          <w:szCs w:val="32"/>
        </w:rPr>
      </w:pPr>
      <w:r w:rsidRPr="005D0687">
        <w:rPr>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E21D8C" w:rsidRPr="007E0558" w:rsidTr="00F46CBD">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E21D8C" w:rsidRPr="007E0558" w:rsidRDefault="00E21D8C" w:rsidP="00F46CBD">
            <w:pPr>
              <w:jc w:val="center"/>
              <w:rPr>
                <w:color w:val="000000"/>
              </w:rPr>
            </w:pPr>
            <w:r w:rsidRPr="007E0558">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E21D8C" w:rsidRPr="007E0558" w:rsidRDefault="00E21D8C" w:rsidP="00F46CBD">
            <w:pPr>
              <w:jc w:val="center"/>
              <w:rPr>
                <w:color w:val="000000"/>
              </w:rPr>
            </w:pPr>
            <w:r w:rsidRPr="007E0558">
              <w:rPr>
                <w:color w:val="000000"/>
              </w:rPr>
              <w:t>Cost</w:t>
            </w:r>
          </w:p>
        </w:tc>
      </w:tr>
      <w:tr w:rsidR="00E21D8C" w:rsidRPr="007E0558" w:rsidTr="00F46CBD">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rPr>
                <w:color w:val="000000"/>
              </w:rPr>
            </w:pPr>
            <w:r w:rsidRPr="007E0558">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jc w:val="right"/>
              <w:rPr>
                <w:color w:val="000000"/>
              </w:rPr>
            </w:pPr>
            <w:r w:rsidRPr="007E0558">
              <w:rPr>
                <w:color w:val="000000"/>
              </w:rPr>
              <w:t>$3.75</w:t>
            </w:r>
          </w:p>
        </w:tc>
      </w:tr>
      <w:tr w:rsidR="00E21D8C" w:rsidRPr="007E0558" w:rsidTr="00F46CBD">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rPr>
                <w:color w:val="000000"/>
              </w:rPr>
            </w:pPr>
            <w:r w:rsidRPr="007E0558">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jc w:val="right"/>
              <w:rPr>
                <w:color w:val="000000"/>
              </w:rPr>
            </w:pPr>
            <w:r w:rsidRPr="007E0558">
              <w:rPr>
                <w:color w:val="000000"/>
              </w:rPr>
              <w:t xml:space="preserve">0.20 </w:t>
            </w:r>
          </w:p>
        </w:tc>
      </w:tr>
      <w:tr w:rsidR="00E21D8C" w:rsidRPr="007E0558" w:rsidTr="00F46CBD">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rPr>
                <w:color w:val="000000"/>
              </w:rPr>
            </w:pPr>
            <w:r w:rsidRPr="007E0558">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jc w:val="right"/>
              <w:rPr>
                <w:color w:val="000000"/>
                <w:u w:val="single"/>
              </w:rPr>
            </w:pPr>
            <w:r w:rsidRPr="007E0558">
              <w:rPr>
                <w:color w:val="000000"/>
                <w:u w:val="single"/>
              </w:rPr>
              <w:t xml:space="preserve">0.49 </w:t>
            </w:r>
          </w:p>
        </w:tc>
      </w:tr>
      <w:tr w:rsidR="00E21D8C" w:rsidRPr="007E0558" w:rsidTr="00F46CBD">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rPr>
                <w:color w:val="000000"/>
              </w:rPr>
            </w:pPr>
            <w:r w:rsidRPr="007E0558">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E21D8C" w:rsidRPr="007E0558" w:rsidRDefault="00E21D8C" w:rsidP="00F46CBD">
            <w:pPr>
              <w:jc w:val="right"/>
              <w:rPr>
                <w:color w:val="000000"/>
                <w:u w:val="double"/>
              </w:rPr>
            </w:pPr>
            <w:r w:rsidRPr="007E0558">
              <w:rPr>
                <w:color w:val="000000"/>
                <w:u w:val="double"/>
              </w:rPr>
              <w:t>$4.44</w:t>
            </w:r>
          </w:p>
        </w:tc>
      </w:tr>
    </w:tbl>
    <w:p w:rsidR="00E21D8C" w:rsidRPr="007E0558" w:rsidRDefault="00E21D8C" w:rsidP="00E21D8C">
      <w:pPr>
        <w:spacing w:after="240"/>
        <w:ind w:left="1440"/>
        <w:jc w:val="both"/>
        <w:rPr>
          <w:sz w:val="20"/>
          <w:szCs w:val="20"/>
        </w:rPr>
      </w:pPr>
      <w:r w:rsidRPr="007E0558">
        <w:rPr>
          <w:sz w:val="20"/>
          <w:szCs w:val="20"/>
        </w:rPr>
        <w:t>Source: Utility’s cost justification documentation</w:t>
      </w:r>
    </w:p>
    <w:p w:rsidR="00E21D8C" w:rsidRDefault="00E21D8C" w:rsidP="00E21D8C">
      <w:pPr>
        <w:jc w:val="both"/>
        <w:rPr>
          <w:rFonts w:eastAsiaTheme="minorHAnsi"/>
        </w:rPr>
      </w:pPr>
    </w:p>
    <w:p w:rsidR="00E21D8C" w:rsidRPr="00E21D8C" w:rsidRDefault="00E21D8C" w:rsidP="00627442">
      <w:pPr>
        <w:ind w:firstLine="720"/>
        <w:jc w:val="both"/>
        <w:rPr>
          <w:rFonts w:eastAsiaTheme="minorHAnsi"/>
        </w:rPr>
      </w:pPr>
      <w:r w:rsidRPr="00E21D8C">
        <w:rPr>
          <w:rFonts w:eastAsiaTheme="minorHAnsi"/>
        </w:rPr>
        <w:lastRenderedPageBreak/>
        <w:t>Based on the above, the appropriate late payment charge for RSPI is $4.50. The Utility sh</w:t>
      </w:r>
      <w:r w:rsidR="00627442">
        <w:rPr>
          <w:rFonts w:eastAsiaTheme="minorHAnsi"/>
        </w:rPr>
        <w:t>all</w:t>
      </w:r>
      <w:r w:rsidRPr="00E21D8C">
        <w:rPr>
          <w:rFonts w:eastAsiaTheme="minorHAnsi"/>
        </w:rPr>
        <w:t xml:space="preserve"> file the revised tariff sheet and a proposed customer notice to reflect th</w:t>
      </w:r>
      <w:r w:rsidR="00627442">
        <w:rPr>
          <w:rFonts w:eastAsiaTheme="minorHAnsi"/>
        </w:rPr>
        <w:t>is</w:t>
      </w:r>
      <w:r w:rsidRPr="00E21D8C">
        <w:rPr>
          <w:rFonts w:eastAsiaTheme="minorHAnsi"/>
        </w:rPr>
        <w:t xml:space="preserve"> Commission-approved charge. The approved charge sh</w:t>
      </w:r>
      <w:r w:rsidR="00D5719A">
        <w:rPr>
          <w:rFonts w:eastAsiaTheme="minorHAnsi"/>
        </w:rPr>
        <w:t>all</w:t>
      </w:r>
      <w:r w:rsidRPr="00E21D8C">
        <w:rPr>
          <w:rFonts w:eastAsiaTheme="minorHAnsi"/>
        </w:rPr>
        <w:t xml:space="preserve"> be effective for services rendered on or after the stamped approval date on the tariff sheet provided customers have received notice pursuant to Rule 25-30.475(1), F.A.C. The Utility sh</w:t>
      </w:r>
      <w:r w:rsidR="00D5719A">
        <w:rPr>
          <w:rFonts w:eastAsiaTheme="minorHAnsi"/>
        </w:rPr>
        <w:t>all</w:t>
      </w:r>
      <w:r w:rsidRPr="00E21D8C">
        <w:rPr>
          <w:rFonts w:eastAsiaTheme="minorHAnsi"/>
        </w:rPr>
        <w:t xml:space="preserve"> provide proof of noticing within 10 days of rendering the approved notice.</w:t>
      </w:r>
    </w:p>
    <w:p w:rsidR="00D5719A" w:rsidRDefault="00D5719A" w:rsidP="00E21D8C">
      <w:pPr>
        <w:jc w:val="both"/>
        <w:rPr>
          <w:rFonts w:eastAsiaTheme="minorHAnsi"/>
        </w:rPr>
      </w:pPr>
    </w:p>
    <w:p w:rsidR="00E21D8C" w:rsidRPr="00D5719A" w:rsidRDefault="00D5719A" w:rsidP="00E21D8C">
      <w:pPr>
        <w:jc w:val="both"/>
        <w:rPr>
          <w:rFonts w:eastAsiaTheme="minorHAnsi"/>
          <w:b/>
          <w:u w:val="single"/>
        </w:rPr>
      </w:pPr>
      <w:r w:rsidRPr="00D5719A">
        <w:rPr>
          <w:rFonts w:eastAsiaTheme="minorHAnsi"/>
          <w:b/>
          <w:u w:val="single"/>
        </w:rPr>
        <w:t>Non-Sufficient Funds Charges (NSF)</w:t>
      </w:r>
    </w:p>
    <w:p w:rsidR="00D5719A" w:rsidRDefault="00D5719A" w:rsidP="00E21D8C">
      <w:pPr>
        <w:jc w:val="both"/>
        <w:rPr>
          <w:rFonts w:eastAsiaTheme="minorHAnsi"/>
        </w:rPr>
      </w:pPr>
    </w:p>
    <w:p w:rsidR="00E21D8C" w:rsidRPr="00E21D8C" w:rsidRDefault="00E21D8C" w:rsidP="00D5719A">
      <w:pPr>
        <w:ind w:firstLine="720"/>
        <w:jc w:val="both"/>
        <w:rPr>
          <w:rFonts w:eastAsiaTheme="minorHAnsi"/>
        </w:rPr>
      </w:pPr>
      <w:r w:rsidRPr="00E21D8C">
        <w:rPr>
          <w:rFonts w:eastAsiaTheme="minorHAnsi"/>
        </w:rPr>
        <w:t>Section 367.091, F.S., authorizes th</w:t>
      </w:r>
      <w:r w:rsidR="00D5719A">
        <w:rPr>
          <w:rFonts w:eastAsiaTheme="minorHAnsi"/>
        </w:rPr>
        <w:t>is</w:t>
      </w:r>
      <w:r w:rsidRPr="00E21D8C">
        <w:rPr>
          <w:rFonts w:eastAsiaTheme="minorHAnsi"/>
        </w:rPr>
        <w:t xml:space="preserve"> Commission to establish miscellaneous service charges. </w:t>
      </w:r>
      <w:r w:rsidR="00081649">
        <w:rPr>
          <w:rFonts w:eastAsiaTheme="minorHAnsi"/>
        </w:rPr>
        <w:t>We</w:t>
      </w:r>
      <w:r w:rsidRPr="00E21D8C">
        <w:rPr>
          <w:rFonts w:eastAsiaTheme="minorHAnsi"/>
        </w:rPr>
        <w:t xml:space="preserve"> </w:t>
      </w:r>
      <w:r w:rsidR="00081649">
        <w:rPr>
          <w:rFonts w:eastAsiaTheme="minorHAnsi"/>
        </w:rPr>
        <w:t>find</w:t>
      </w:r>
      <w:r w:rsidRPr="00E21D8C">
        <w:rPr>
          <w:rFonts w:eastAsiaTheme="minorHAnsi"/>
        </w:rPr>
        <w:t xml:space="preserve"> that RSPI sh</w:t>
      </w:r>
      <w:r w:rsidR="00081649">
        <w:rPr>
          <w:rFonts w:eastAsiaTheme="minorHAnsi"/>
        </w:rPr>
        <w:t>all</w:t>
      </w:r>
      <w:r w:rsidRPr="00E21D8C">
        <w:rPr>
          <w:rFonts w:eastAsiaTheme="minorHAnsi"/>
        </w:rPr>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E21D8C" w:rsidRDefault="00E21D8C" w:rsidP="00E21D8C">
      <w:pPr>
        <w:jc w:val="both"/>
        <w:rPr>
          <w:rFonts w:eastAsiaTheme="minorHAnsi"/>
        </w:rPr>
      </w:pPr>
    </w:p>
    <w:p w:rsidR="00E21D8C" w:rsidRPr="00E21D8C" w:rsidRDefault="00E21D8C" w:rsidP="00E21D8C">
      <w:pPr>
        <w:jc w:val="both"/>
        <w:rPr>
          <w:rFonts w:eastAsiaTheme="minorHAnsi"/>
        </w:rPr>
      </w:pPr>
      <w:r w:rsidRPr="00E21D8C">
        <w:rPr>
          <w:rFonts w:eastAsiaTheme="minorHAnsi"/>
        </w:rPr>
        <w:t>(1)</w:t>
      </w:r>
      <w:r w:rsidRPr="00E21D8C">
        <w:rPr>
          <w:rFonts w:eastAsiaTheme="minorHAnsi"/>
        </w:rPr>
        <w:tab/>
        <w:t xml:space="preserve">$25, if the face value does not exceed $50,  </w:t>
      </w:r>
    </w:p>
    <w:p w:rsidR="00E21D8C" w:rsidRPr="00E21D8C" w:rsidRDefault="00E21D8C" w:rsidP="00E21D8C">
      <w:pPr>
        <w:jc w:val="both"/>
        <w:rPr>
          <w:rFonts w:eastAsiaTheme="minorHAnsi"/>
        </w:rPr>
      </w:pPr>
      <w:r w:rsidRPr="00E21D8C">
        <w:rPr>
          <w:rFonts w:eastAsiaTheme="minorHAnsi"/>
        </w:rPr>
        <w:t>(2)</w:t>
      </w:r>
      <w:r w:rsidRPr="00E21D8C">
        <w:rPr>
          <w:rFonts w:eastAsiaTheme="minorHAnsi"/>
        </w:rPr>
        <w:tab/>
        <w:t>$30, if the face value exceeds $50 but does not exceed $300,</w:t>
      </w:r>
    </w:p>
    <w:p w:rsidR="00E21D8C" w:rsidRPr="00E21D8C" w:rsidRDefault="00E21D8C" w:rsidP="00E21D8C">
      <w:pPr>
        <w:jc w:val="both"/>
        <w:rPr>
          <w:rFonts w:eastAsiaTheme="minorHAnsi"/>
        </w:rPr>
      </w:pPr>
      <w:r w:rsidRPr="00E21D8C">
        <w:rPr>
          <w:rFonts w:eastAsiaTheme="minorHAnsi"/>
        </w:rPr>
        <w:t>(3)</w:t>
      </w:r>
      <w:r w:rsidRPr="00E21D8C">
        <w:rPr>
          <w:rFonts w:eastAsiaTheme="minorHAnsi"/>
        </w:rPr>
        <w:tab/>
        <w:t>$40, if the face value exceeds $300,</w:t>
      </w:r>
    </w:p>
    <w:p w:rsidR="00E21D8C" w:rsidRPr="00E21D8C" w:rsidRDefault="00E21D8C" w:rsidP="00E21D8C">
      <w:pPr>
        <w:jc w:val="both"/>
        <w:rPr>
          <w:rFonts w:eastAsiaTheme="minorHAnsi"/>
        </w:rPr>
      </w:pPr>
      <w:r w:rsidRPr="00E21D8C">
        <w:rPr>
          <w:rFonts w:eastAsiaTheme="minorHAnsi"/>
        </w:rPr>
        <w:t>(4)</w:t>
      </w:r>
      <w:r w:rsidRPr="00E21D8C">
        <w:rPr>
          <w:rFonts w:eastAsiaTheme="minorHAnsi"/>
        </w:rPr>
        <w:tab/>
        <w:t xml:space="preserve">or 5 percent of the face amount of the payment instrument, whichever is greater. </w:t>
      </w:r>
    </w:p>
    <w:p w:rsidR="00E21D8C" w:rsidRDefault="00E21D8C" w:rsidP="00E21D8C">
      <w:pPr>
        <w:jc w:val="both"/>
        <w:rPr>
          <w:rFonts w:eastAsiaTheme="minorHAnsi"/>
        </w:rPr>
      </w:pPr>
    </w:p>
    <w:p w:rsidR="00E21D8C" w:rsidRPr="00E21D8C" w:rsidRDefault="00E21D8C" w:rsidP="00D5719A">
      <w:pPr>
        <w:ind w:firstLine="720"/>
        <w:jc w:val="both"/>
        <w:rPr>
          <w:rFonts w:eastAsiaTheme="minorHAnsi"/>
        </w:rPr>
      </w:pPr>
      <w:r w:rsidRPr="00E21D8C">
        <w:rPr>
          <w:rFonts w:eastAsiaTheme="minorHAnsi"/>
        </w:rPr>
        <w:t xml:space="preserve">Approval of NSF charges is consistent with </w:t>
      </w:r>
      <w:r w:rsidR="00D5719A">
        <w:rPr>
          <w:rFonts w:eastAsiaTheme="minorHAnsi"/>
        </w:rPr>
        <w:t>this</w:t>
      </w:r>
      <w:r w:rsidRPr="00E21D8C">
        <w:rPr>
          <w:rFonts w:eastAsiaTheme="minorHAnsi"/>
        </w:rPr>
        <w:t xml:space="preserve"> Commission</w:t>
      </w:r>
      <w:r w:rsidR="00D5719A">
        <w:rPr>
          <w:rFonts w:eastAsiaTheme="minorHAnsi"/>
        </w:rPr>
        <w:t>’s prior</w:t>
      </w:r>
      <w:r w:rsidRPr="00E21D8C">
        <w:rPr>
          <w:rFonts w:eastAsiaTheme="minorHAnsi"/>
        </w:rPr>
        <w:t xml:space="preserve"> decisions.</w:t>
      </w:r>
      <w:r w:rsidRPr="00E21D8C">
        <w:rPr>
          <w:rFonts w:eastAsiaTheme="minorHAnsi"/>
          <w:vertAlign w:val="superscript"/>
        </w:rPr>
        <w:footnoteReference w:id="8"/>
      </w:r>
      <w:r w:rsidRPr="00E21D8C">
        <w:rPr>
          <w:rFonts w:eastAsiaTheme="minorHAnsi"/>
        </w:rPr>
        <w:t xml:space="preserve"> Furthermore, NSF charges place the cost on the cost-causer, rather than requiring that the costs associated with the return of the NSF checks be spread across the general body of ratepayers. As such, RSPI sh</w:t>
      </w:r>
      <w:r w:rsidR="00D5719A">
        <w:rPr>
          <w:rFonts w:eastAsiaTheme="minorHAnsi"/>
        </w:rPr>
        <w:t>all</w:t>
      </w:r>
      <w:r w:rsidRPr="00E21D8C">
        <w:rPr>
          <w:rFonts w:eastAsiaTheme="minorHAnsi"/>
        </w:rPr>
        <w:t xml:space="preserve"> be authorized to collect NSF charges. The Utility </w:t>
      </w:r>
      <w:r w:rsidR="00D5719A">
        <w:rPr>
          <w:rFonts w:eastAsiaTheme="minorHAnsi"/>
        </w:rPr>
        <w:t>shall</w:t>
      </w:r>
      <w:r w:rsidRPr="00E21D8C">
        <w:rPr>
          <w:rFonts w:eastAsiaTheme="minorHAnsi"/>
        </w:rPr>
        <w:t xml:space="preserve"> file revised tariff sheets and a proposed customer notice to reflect th</w:t>
      </w:r>
      <w:r w:rsidR="00AF3D04">
        <w:rPr>
          <w:rFonts w:eastAsiaTheme="minorHAnsi"/>
        </w:rPr>
        <w:t>e</w:t>
      </w:r>
      <w:r w:rsidRPr="00E21D8C">
        <w:rPr>
          <w:rFonts w:eastAsiaTheme="minorHAnsi"/>
        </w:rPr>
        <w:t xml:space="preserve"> Commission-approved NSF charges. The approved charges </w:t>
      </w:r>
      <w:r w:rsidR="00D5719A">
        <w:rPr>
          <w:rFonts w:eastAsiaTheme="minorHAnsi"/>
        </w:rPr>
        <w:t>shall</w:t>
      </w:r>
      <w:r w:rsidR="00D5719A" w:rsidRPr="00E21D8C">
        <w:rPr>
          <w:rFonts w:eastAsiaTheme="minorHAnsi"/>
        </w:rPr>
        <w:t xml:space="preserve"> </w:t>
      </w:r>
      <w:r w:rsidRPr="00E21D8C">
        <w:rPr>
          <w:rFonts w:eastAsiaTheme="minorHAnsi"/>
        </w:rPr>
        <w:t xml:space="preserve">be effective for service rendered on or after the stamped approval date on the tariff sheets provided customers have received notice pursuant to Rule 25-30.475, F.A.C. The Utility </w:t>
      </w:r>
      <w:r w:rsidR="00D5719A">
        <w:rPr>
          <w:rFonts w:eastAsiaTheme="minorHAnsi"/>
        </w:rPr>
        <w:t>shall</w:t>
      </w:r>
      <w:r w:rsidR="00D5719A" w:rsidRPr="00E21D8C">
        <w:rPr>
          <w:rFonts w:eastAsiaTheme="minorHAnsi"/>
        </w:rPr>
        <w:t xml:space="preserve"> </w:t>
      </w:r>
      <w:r w:rsidRPr="00E21D8C">
        <w:rPr>
          <w:rFonts w:eastAsiaTheme="minorHAnsi"/>
        </w:rPr>
        <w:t>provide proof of noticing within 10 days of rendering its approved notice.</w:t>
      </w:r>
    </w:p>
    <w:p w:rsidR="00E21D8C" w:rsidRDefault="00E21D8C" w:rsidP="00E21D8C">
      <w:pPr>
        <w:jc w:val="both"/>
        <w:rPr>
          <w:rFonts w:eastAsiaTheme="minorHAnsi"/>
        </w:rPr>
      </w:pPr>
    </w:p>
    <w:p w:rsidR="00E21D8C" w:rsidRPr="00E21D8C" w:rsidRDefault="00D5719A" w:rsidP="00E21D8C">
      <w:pPr>
        <w:jc w:val="both"/>
        <w:rPr>
          <w:rFonts w:eastAsiaTheme="minorHAnsi"/>
        </w:rPr>
      </w:pPr>
      <w:r w:rsidRPr="00D5719A">
        <w:rPr>
          <w:rFonts w:eastAsiaTheme="minorHAnsi"/>
          <w:b/>
          <w:u w:val="single"/>
        </w:rPr>
        <w:t>Initial Customer Deposits</w:t>
      </w:r>
    </w:p>
    <w:p w:rsidR="00E21D8C" w:rsidRDefault="00E21D8C" w:rsidP="00E21D8C">
      <w:pPr>
        <w:jc w:val="both"/>
        <w:rPr>
          <w:rFonts w:eastAsiaTheme="minorHAnsi"/>
          <w:b/>
          <w:bCs/>
          <w:i/>
          <w:iCs/>
        </w:rPr>
      </w:pPr>
    </w:p>
    <w:p w:rsidR="00E21D8C" w:rsidRPr="00E21D8C" w:rsidRDefault="00D5719A" w:rsidP="00E21D8C">
      <w:pPr>
        <w:jc w:val="both"/>
        <w:rPr>
          <w:rFonts w:eastAsiaTheme="minorHAnsi"/>
        </w:rPr>
      </w:pPr>
      <w:r>
        <w:rPr>
          <w:rFonts w:eastAsiaTheme="minorHAnsi"/>
          <w:b/>
          <w:bCs/>
          <w:i/>
          <w:iCs/>
        </w:rPr>
        <w:tab/>
      </w:r>
      <w:r w:rsidR="00E21D8C" w:rsidRPr="00E21D8C">
        <w:rPr>
          <w:rFonts w:eastAsiaTheme="minorHAnsi"/>
        </w:rPr>
        <w:t>Rule 25-30.311, F.A.C., contains criteria for collecting, administering, and refunding customer deposits. Rule 25-30.311(1), F.A.C., requires that each company’s tariff contain its specific criteria for determining the amount of initial deposits. RSPI currently does not have approved initial customer deposits for its water and wastewater systems. Customer deposits are designed to minimize the exposure of bad debt expense for the utility and, ultimately, the general body of ratepayers. In addition, collection of customer deposits is consistent with one of the fundamental principles of ratemaking—ensuring that the cost of providing service is recovered from the cost causer.</w:t>
      </w:r>
    </w:p>
    <w:p w:rsidR="00E21D8C" w:rsidRPr="00E21D8C" w:rsidRDefault="00E21D8C" w:rsidP="00E21D8C">
      <w:pPr>
        <w:jc w:val="both"/>
        <w:rPr>
          <w:rFonts w:eastAsiaTheme="minorHAnsi"/>
        </w:rPr>
      </w:pPr>
    </w:p>
    <w:p w:rsidR="00E21D8C" w:rsidRPr="00E21D8C" w:rsidRDefault="00E21D8C" w:rsidP="00D5719A">
      <w:pPr>
        <w:ind w:firstLine="720"/>
        <w:jc w:val="both"/>
        <w:rPr>
          <w:rFonts w:eastAsiaTheme="minorHAnsi"/>
        </w:rPr>
      </w:pPr>
      <w:r w:rsidRPr="00E21D8C">
        <w:rPr>
          <w:rFonts w:eastAsiaTheme="minorHAnsi"/>
        </w:rPr>
        <w:lastRenderedPageBreak/>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rsidR="00D5719A">
        <w:rPr>
          <w:rFonts w:eastAsiaTheme="minorHAnsi"/>
        </w:rPr>
        <w:t xml:space="preserve">This </w:t>
      </w:r>
      <w:r w:rsidRPr="00E21D8C">
        <w:rPr>
          <w:rFonts w:eastAsiaTheme="minorHAnsi"/>
        </w:rPr>
        <w:t>Commission</w:t>
      </w:r>
      <w:r w:rsidR="00D5719A">
        <w:rPr>
          <w:rFonts w:eastAsiaTheme="minorHAnsi"/>
        </w:rPr>
        <w:t>’s</w:t>
      </w:r>
      <w:r w:rsidRPr="00E21D8C">
        <w:rPr>
          <w:rFonts w:eastAsiaTheme="minorHAnsi"/>
        </w:rPr>
        <w:t xml:space="preserve"> practice has been to set initial customer deposits equal to two months bills based on the average consumption for a 12-month period for each class of customers.</w:t>
      </w:r>
      <w:r w:rsidRPr="00E21D8C">
        <w:rPr>
          <w:rFonts w:eastAsiaTheme="minorHAnsi"/>
          <w:vertAlign w:val="superscript"/>
        </w:rPr>
        <w:footnoteReference w:id="9"/>
      </w:r>
      <w:r w:rsidRPr="00E21D8C">
        <w:rPr>
          <w:rFonts w:eastAsiaTheme="minorHAnsi"/>
        </w:rPr>
        <w:t xml:space="preserve"> The Utility indicated that the average monthly residential usage is 5,000 gallons per customer. Therefore, the average residential monthly bill is approximately $9.50 for water and $14.00 wastewater service. </w:t>
      </w:r>
    </w:p>
    <w:p w:rsidR="00E21D8C" w:rsidRPr="00E21D8C" w:rsidRDefault="00E21D8C" w:rsidP="00E21D8C">
      <w:pPr>
        <w:jc w:val="both"/>
        <w:rPr>
          <w:rFonts w:eastAsiaTheme="minorHAnsi"/>
        </w:rPr>
      </w:pPr>
    </w:p>
    <w:p w:rsidR="00E21D8C" w:rsidRPr="00E21D8C" w:rsidRDefault="00E21D8C" w:rsidP="00D5719A">
      <w:pPr>
        <w:ind w:firstLine="720"/>
        <w:jc w:val="both"/>
        <w:rPr>
          <w:rFonts w:eastAsiaTheme="minorHAnsi"/>
        </w:rPr>
      </w:pPr>
      <w:r w:rsidRPr="00E21D8C">
        <w:rPr>
          <w:rFonts w:eastAsiaTheme="minorHAnsi"/>
        </w:rPr>
        <w:t xml:space="preserve">Based on the above, the appropriate initial customer deposits are $19.00 for water and $28.00 wastewater for the residential 3/4" meter size. The initial customer deposit for all other residential meter sizes and all general service meter sizes </w:t>
      </w:r>
      <w:r w:rsidR="00D5719A">
        <w:rPr>
          <w:rFonts w:eastAsiaTheme="minorHAnsi"/>
        </w:rPr>
        <w:t>shall</w:t>
      </w:r>
      <w:r w:rsidRPr="00E21D8C">
        <w:rPr>
          <w:rFonts w:eastAsiaTheme="minorHAnsi"/>
        </w:rPr>
        <w:t xml:space="preserve"> be two times the average estimated bill. The approved customer deposits </w:t>
      </w:r>
      <w:r w:rsidR="00D5719A">
        <w:rPr>
          <w:rFonts w:eastAsiaTheme="minorHAnsi"/>
        </w:rPr>
        <w:t>shall</w:t>
      </w:r>
      <w:r w:rsidR="00D5719A" w:rsidRPr="00E21D8C">
        <w:rPr>
          <w:rFonts w:eastAsiaTheme="minorHAnsi"/>
        </w:rPr>
        <w:t xml:space="preserve"> </w:t>
      </w:r>
      <w:r w:rsidRPr="00E21D8C">
        <w:rPr>
          <w:rFonts w:eastAsiaTheme="minorHAnsi"/>
        </w:rPr>
        <w:t xml:space="preserve">be effective for connections made on or after the stamped approval date on the tariff sheets pursuant to Rule 25-30.475, F.A.C. The Utility </w:t>
      </w:r>
      <w:r w:rsidR="00D5719A">
        <w:rPr>
          <w:rFonts w:eastAsiaTheme="minorHAnsi"/>
        </w:rPr>
        <w:t>shall</w:t>
      </w:r>
      <w:r w:rsidR="00D5719A" w:rsidRPr="00E21D8C">
        <w:rPr>
          <w:rFonts w:eastAsiaTheme="minorHAnsi"/>
        </w:rPr>
        <w:t xml:space="preserve"> </w:t>
      </w:r>
      <w:r w:rsidRPr="00E21D8C">
        <w:rPr>
          <w:rFonts w:eastAsiaTheme="minorHAnsi"/>
        </w:rPr>
        <w:t>be required to collect the approved initial customer deposits until authorized to change them by th</w:t>
      </w:r>
      <w:r w:rsidR="00F570E7">
        <w:rPr>
          <w:rFonts w:eastAsiaTheme="minorHAnsi"/>
        </w:rPr>
        <w:t>is</w:t>
      </w:r>
      <w:r w:rsidRPr="00E21D8C">
        <w:rPr>
          <w:rFonts w:eastAsiaTheme="minorHAnsi"/>
        </w:rPr>
        <w:t xml:space="preserve"> Commission in a subsequent proceeding.</w:t>
      </w:r>
    </w:p>
    <w:p w:rsidR="00E21D8C" w:rsidRDefault="00E21D8C" w:rsidP="00E21D8C">
      <w:pPr>
        <w:jc w:val="both"/>
        <w:rPr>
          <w:rFonts w:eastAsiaTheme="minorHAnsi"/>
        </w:rPr>
      </w:pPr>
    </w:p>
    <w:p w:rsidR="00E21D8C" w:rsidRDefault="00E21D8C" w:rsidP="00E21D8C">
      <w:pPr>
        <w:pStyle w:val="OrderBody"/>
        <w:rPr>
          <w:rFonts w:eastAsiaTheme="minorHAnsi"/>
        </w:rPr>
      </w:pPr>
      <w:r>
        <w:rPr>
          <w:rFonts w:eastAsiaTheme="minorHAnsi"/>
        </w:rPr>
        <w:tab/>
        <w:t>Based on the foregoing, it is</w:t>
      </w:r>
    </w:p>
    <w:p w:rsidR="00E21D8C" w:rsidRDefault="00E21D8C" w:rsidP="00E21D8C">
      <w:pPr>
        <w:pStyle w:val="OrderBody"/>
        <w:rPr>
          <w:rFonts w:eastAsiaTheme="minorHAnsi"/>
        </w:rPr>
      </w:pPr>
    </w:p>
    <w:p w:rsidR="00762192" w:rsidRDefault="00E21D8C" w:rsidP="00E21D8C">
      <w:pPr>
        <w:pStyle w:val="OrderBody"/>
      </w:pPr>
      <w:r>
        <w:rPr>
          <w:rFonts w:eastAsiaTheme="minorHAnsi"/>
        </w:rPr>
        <w:tab/>
        <w:t>ORDERED by the Florida Public Service Commission that</w:t>
      </w:r>
      <w:r w:rsidR="00762192">
        <w:rPr>
          <w:rFonts w:eastAsiaTheme="minorHAnsi"/>
        </w:rPr>
        <w:t xml:space="preserve"> </w:t>
      </w:r>
      <w:r w:rsidR="005B1EDC" w:rsidRPr="00E21D8C">
        <w:t>RSPI MHC, LLC</w:t>
      </w:r>
      <w:r w:rsidR="00AA4FE7">
        <w:t xml:space="preserve"> shall</w:t>
      </w:r>
      <w:r w:rsidR="00762192" w:rsidRPr="00E21D8C">
        <w:t xml:space="preserve"> be granted Certificate Nos. 673-W and 574-S to serve the territory described in Attachment A, effective the date of th</w:t>
      </w:r>
      <w:r w:rsidR="00AA4FE7">
        <w:t>is</w:t>
      </w:r>
      <w:r w:rsidR="00762192" w:rsidRPr="00E21D8C">
        <w:t xml:space="preserve"> Commission’s vote</w:t>
      </w:r>
      <w:r w:rsidR="00AA4FE7">
        <w:t>, January 8, 2019</w:t>
      </w:r>
      <w:r w:rsidR="00762192" w:rsidRPr="00E21D8C">
        <w:t xml:space="preserve">. The resultant order </w:t>
      </w:r>
      <w:r w:rsidR="00AA4FE7">
        <w:t>shall</w:t>
      </w:r>
      <w:r w:rsidR="00762192" w:rsidRPr="00E21D8C">
        <w:t xml:space="preserve"> serve as RSPI’s water and wastewater certificates and it </w:t>
      </w:r>
      <w:r w:rsidR="00AA4FE7">
        <w:t>shall</w:t>
      </w:r>
      <w:r w:rsidR="00AA4FE7" w:rsidRPr="00E21D8C">
        <w:t xml:space="preserve"> </w:t>
      </w:r>
      <w:r w:rsidR="00762192" w:rsidRPr="00E21D8C">
        <w:t>be retained by the Utility.</w:t>
      </w:r>
      <w:r w:rsidR="00E24D79">
        <w:t xml:space="preserve"> It is further</w:t>
      </w:r>
    </w:p>
    <w:p w:rsidR="00E24D79" w:rsidRDefault="00E24D79" w:rsidP="00E21D8C">
      <w:pPr>
        <w:pStyle w:val="OrderBody"/>
      </w:pPr>
    </w:p>
    <w:p w:rsidR="00E24D79" w:rsidRDefault="00E24D79" w:rsidP="00E24D79">
      <w:pPr>
        <w:pStyle w:val="OrderBody"/>
        <w:ind w:firstLine="720"/>
      </w:pPr>
      <w:r>
        <w:t>ORDERED that the</w:t>
      </w:r>
      <w:r w:rsidRPr="00E21D8C">
        <w:t xml:space="preserve"> monthly water and wastewater rates, on Schedule No. 1, are reasonable and </w:t>
      </w:r>
      <w:r w:rsidR="00AA4FE7">
        <w:t>shall</w:t>
      </w:r>
      <w:r w:rsidR="00AA4FE7" w:rsidRPr="00E21D8C">
        <w:t xml:space="preserve"> </w:t>
      </w:r>
      <w:r w:rsidRPr="00E21D8C">
        <w:t xml:space="preserve">be approved. The Utility </w:t>
      </w:r>
      <w:r w:rsidR="00AA4FE7">
        <w:t>shall</w:t>
      </w:r>
      <w:r w:rsidR="00AA4FE7" w:rsidRPr="00E21D8C">
        <w:t xml:space="preserve"> </w:t>
      </w:r>
      <w:r w:rsidRPr="00E21D8C">
        <w:t>file revised tariff sheets and a proposed customer notice to reflect th</w:t>
      </w:r>
      <w:r w:rsidR="00AA4FE7">
        <w:t>is</w:t>
      </w:r>
      <w:r w:rsidRPr="00E21D8C">
        <w:t xml:space="preserve"> Commission-approved rates. The approved rates </w:t>
      </w:r>
      <w:r w:rsidR="00AA4FE7">
        <w:t>shall</w:t>
      </w:r>
      <w:r w:rsidR="00AA4FE7" w:rsidRPr="00E21D8C">
        <w:t xml:space="preserve"> </w:t>
      </w:r>
      <w:r w:rsidRPr="00E21D8C">
        <w:t xml:space="preserve">be effective for service rendered on or after the stamped approval date on the tariff sheets pursuant to Rule 25-30.475(1), F.A.C. The approved rates </w:t>
      </w:r>
      <w:r w:rsidR="00AA4FE7">
        <w:t>shall</w:t>
      </w:r>
      <w:r w:rsidR="00AA4FE7" w:rsidRPr="00E21D8C">
        <w:t xml:space="preserve"> </w:t>
      </w:r>
      <w:r w:rsidRPr="00E21D8C">
        <w:t xml:space="preserve">not be implemented until </w:t>
      </w:r>
      <w:r w:rsidR="00AA4FE7">
        <w:t>Commission</w:t>
      </w:r>
      <w:r w:rsidR="00862B36">
        <w:t xml:space="preserve"> staff</w:t>
      </w:r>
      <w:r w:rsidR="00AA4FE7">
        <w:t xml:space="preserve"> </w:t>
      </w:r>
      <w:r w:rsidRPr="00E21D8C">
        <w:t xml:space="preserve">has approved the proposed customer notice and the notice has been received by customers. The Utility </w:t>
      </w:r>
      <w:r w:rsidR="00AA4FE7">
        <w:t>shall</w:t>
      </w:r>
      <w:r w:rsidR="00AA4FE7" w:rsidRPr="00E21D8C">
        <w:t xml:space="preserve"> </w:t>
      </w:r>
      <w:r w:rsidRPr="00E21D8C">
        <w:t>provide proof of the date notice was given within 10 days of the date of the notice.</w:t>
      </w:r>
      <w:r w:rsidR="004C35D1">
        <w:t xml:space="preserve"> It is further</w:t>
      </w:r>
    </w:p>
    <w:p w:rsidR="004C35D1" w:rsidRDefault="004C35D1" w:rsidP="00E24D79">
      <w:pPr>
        <w:pStyle w:val="OrderBody"/>
        <w:ind w:firstLine="720"/>
      </w:pPr>
    </w:p>
    <w:p w:rsidR="004C35D1" w:rsidRDefault="004C35D1" w:rsidP="004C35D1">
      <w:pPr>
        <w:pStyle w:val="OrderBody"/>
        <w:ind w:firstLine="720"/>
        <w:rPr>
          <w:rFonts w:eastAsiaTheme="minorHAnsi"/>
        </w:rPr>
      </w:pPr>
      <w:r>
        <w:t>ORDERED that</w:t>
      </w:r>
      <w:r w:rsidRPr="00E21D8C">
        <w:rPr>
          <w:rFonts w:eastAsiaTheme="minorHAnsi"/>
          <w:b/>
          <w:bCs/>
          <w:i/>
          <w:iCs/>
        </w:rPr>
        <w:t> </w:t>
      </w:r>
      <w:r>
        <w:rPr>
          <w:rFonts w:eastAsiaTheme="minorHAnsi"/>
        </w:rPr>
        <w:t>t</w:t>
      </w:r>
      <w:r w:rsidRPr="00E21D8C">
        <w:rPr>
          <w:rFonts w:eastAsiaTheme="minorHAnsi"/>
        </w:rPr>
        <w:t xml:space="preserve">he miscellaneous service charges identified in Table </w:t>
      </w:r>
      <w:r w:rsidR="001234A5">
        <w:rPr>
          <w:rFonts w:eastAsiaTheme="minorHAnsi"/>
        </w:rPr>
        <w:t>6</w:t>
      </w:r>
      <w:r w:rsidRPr="00E21D8C">
        <w:rPr>
          <w:rFonts w:eastAsiaTheme="minorHAnsi"/>
        </w:rPr>
        <w:t xml:space="preserve"> are reasonable and </w:t>
      </w:r>
      <w:r w:rsidR="00AA4FE7">
        <w:t>shall</w:t>
      </w:r>
      <w:r w:rsidR="00AA4FE7" w:rsidRPr="00E21D8C">
        <w:rPr>
          <w:rFonts w:eastAsiaTheme="minorHAnsi"/>
        </w:rPr>
        <w:t xml:space="preserve"> </w:t>
      </w:r>
      <w:r w:rsidRPr="00E21D8C">
        <w:rPr>
          <w:rFonts w:eastAsiaTheme="minorHAnsi"/>
        </w:rPr>
        <w:t xml:space="preserve">be approved. The Utility </w:t>
      </w:r>
      <w:r w:rsidR="00AA4FE7">
        <w:t>shall</w:t>
      </w:r>
      <w:r w:rsidR="00AA4FE7" w:rsidRPr="00E21D8C">
        <w:rPr>
          <w:rFonts w:eastAsiaTheme="minorHAnsi"/>
        </w:rPr>
        <w:t xml:space="preserve"> </w:t>
      </w:r>
      <w:r w:rsidRPr="00E21D8C">
        <w:rPr>
          <w:rFonts w:eastAsiaTheme="minorHAnsi"/>
        </w:rPr>
        <w:t>file revised tariff sheets and a proposed customer notice to reflect th</w:t>
      </w:r>
      <w:r w:rsidR="00AA4FE7">
        <w:rPr>
          <w:rFonts w:eastAsiaTheme="minorHAnsi"/>
        </w:rPr>
        <w:t>is</w:t>
      </w:r>
      <w:r w:rsidRPr="00E21D8C">
        <w:rPr>
          <w:rFonts w:eastAsiaTheme="minorHAnsi"/>
        </w:rPr>
        <w:t xml:space="preserve"> Commission-approved miscellaneous service charges. The approved charges </w:t>
      </w:r>
      <w:r w:rsidR="00AA4FE7">
        <w:t>shall</w:t>
      </w:r>
      <w:r w:rsidR="00AA4FE7" w:rsidRPr="00E21D8C">
        <w:rPr>
          <w:rFonts w:eastAsiaTheme="minorHAnsi"/>
        </w:rPr>
        <w:t xml:space="preserve"> </w:t>
      </w:r>
      <w:r w:rsidRPr="00E21D8C">
        <w:rPr>
          <w:rFonts w:eastAsiaTheme="minorHAnsi"/>
        </w:rPr>
        <w:t xml:space="preserve">be effective for service rendered or connections made on or after the stamped approval date on the tariff sheets provided customers have received notice pursuant to Rule 25-30.475, F.A.C. The Utility </w:t>
      </w:r>
      <w:r w:rsidR="00AA4FE7">
        <w:t>shall</w:t>
      </w:r>
      <w:r w:rsidR="00AA4FE7" w:rsidRPr="00E21D8C">
        <w:rPr>
          <w:rFonts w:eastAsiaTheme="minorHAnsi"/>
        </w:rPr>
        <w:t xml:space="preserve"> </w:t>
      </w:r>
      <w:r w:rsidRPr="00E21D8C">
        <w:rPr>
          <w:rFonts w:eastAsiaTheme="minorHAnsi"/>
        </w:rPr>
        <w:t>provide proof of noticing within 10 days of rendering its approved notice.</w:t>
      </w:r>
      <w:r>
        <w:rPr>
          <w:rFonts w:eastAsiaTheme="minorHAnsi"/>
        </w:rPr>
        <w:t xml:space="preserve"> It is further</w:t>
      </w:r>
    </w:p>
    <w:p w:rsidR="004C35D1" w:rsidRDefault="004C35D1" w:rsidP="004C35D1">
      <w:pPr>
        <w:pStyle w:val="OrderBody"/>
        <w:ind w:firstLine="720"/>
        <w:rPr>
          <w:rFonts w:eastAsiaTheme="minorHAnsi"/>
        </w:rPr>
      </w:pPr>
      <w:r>
        <w:rPr>
          <w:rFonts w:eastAsiaTheme="minorHAnsi"/>
        </w:rPr>
        <w:lastRenderedPageBreak/>
        <w:t>ORDERED that the</w:t>
      </w:r>
      <w:r w:rsidRPr="00E21D8C">
        <w:rPr>
          <w:rFonts w:eastAsiaTheme="minorHAnsi"/>
        </w:rPr>
        <w:t xml:space="preserve"> appropriate late payment charge for RSPI is $4.50. The Utility </w:t>
      </w:r>
      <w:r w:rsidR="00AA4FE7">
        <w:t>shall</w:t>
      </w:r>
      <w:r w:rsidR="00AA4FE7" w:rsidRPr="00E21D8C">
        <w:rPr>
          <w:rFonts w:eastAsiaTheme="minorHAnsi"/>
        </w:rPr>
        <w:t xml:space="preserve"> </w:t>
      </w:r>
      <w:r w:rsidRPr="00E21D8C">
        <w:rPr>
          <w:rFonts w:eastAsiaTheme="minorHAnsi"/>
        </w:rPr>
        <w:t>file revised tariff sheets and a proposed customer notice to reflect th</w:t>
      </w:r>
      <w:r w:rsidR="00AA4FE7">
        <w:rPr>
          <w:rFonts w:eastAsiaTheme="minorHAnsi"/>
        </w:rPr>
        <w:t>is</w:t>
      </w:r>
      <w:r w:rsidRPr="00E21D8C">
        <w:rPr>
          <w:rFonts w:eastAsiaTheme="minorHAnsi"/>
        </w:rPr>
        <w:t xml:space="preserve"> Commission-approved charge. The approved charge </w:t>
      </w:r>
      <w:r w:rsidR="00AA4FE7">
        <w:t>shall</w:t>
      </w:r>
      <w:r w:rsidR="00AA4FE7" w:rsidRPr="00E21D8C">
        <w:rPr>
          <w:rFonts w:eastAsiaTheme="minorHAnsi"/>
        </w:rPr>
        <w:t xml:space="preserve"> </w:t>
      </w:r>
      <w:r w:rsidRPr="00E21D8C">
        <w:rPr>
          <w:rFonts w:eastAsiaTheme="minorHAnsi"/>
        </w:rPr>
        <w:t xml:space="preserve">be effective for services rendered on or after the stamped approval date on the tariff sheet provided customers have received notice pursuant to Rule 25-30.475(1), F.A.C. The Utility </w:t>
      </w:r>
      <w:r w:rsidR="00AA4FE7">
        <w:t>shall</w:t>
      </w:r>
      <w:r w:rsidR="00AA4FE7" w:rsidRPr="00E21D8C">
        <w:rPr>
          <w:rFonts w:eastAsiaTheme="minorHAnsi"/>
        </w:rPr>
        <w:t xml:space="preserve"> </w:t>
      </w:r>
      <w:r w:rsidRPr="00E21D8C">
        <w:rPr>
          <w:rFonts w:eastAsiaTheme="minorHAnsi"/>
        </w:rPr>
        <w:t>provide proof of noticing within 10 days of rendering the approved notice.</w:t>
      </w:r>
      <w:r w:rsidR="00D5719A">
        <w:rPr>
          <w:rFonts w:eastAsiaTheme="minorHAnsi"/>
        </w:rPr>
        <w:t xml:space="preserve"> It is further</w:t>
      </w:r>
    </w:p>
    <w:p w:rsidR="00D5719A" w:rsidRDefault="00D5719A" w:rsidP="004C35D1">
      <w:pPr>
        <w:pStyle w:val="OrderBody"/>
        <w:ind w:firstLine="720"/>
        <w:rPr>
          <w:rFonts w:eastAsiaTheme="minorHAnsi"/>
        </w:rPr>
      </w:pPr>
    </w:p>
    <w:p w:rsidR="00D5719A" w:rsidRDefault="00D5719A" w:rsidP="004C35D1">
      <w:pPr>
        <w:pStyle w:val="OrderBody"/>
        <w:ind w:firstLine="720"/>
        <w:rPr>
          <w:rFonts w:eastAsiaTheme="minorHAnsi"/>
        </w:rPr>
      </w:pPr>
      <w:r>
        <w:rPr>
          <w:rFonts w:eastAsiaTheme="minorHAnsi"/>
        </w:rPr>
        <w:t xml:space="preserve">ORDERED that </w:t>
      </w:r>
      <w:r w:rsidRPr="00E21D8C">
        <w:rPr>
          <w:rFonts w:eastAsiaTheme="minorHAnsi"/>
        </w:rPr>
        <w:t xml:space="preserve">RSPI </w:t>
      </w:r>
      <w:r w:rsidR="00AA4FE7">
        <w:t>shall</w:t>
      </w:r>
      <w:r w:rsidR="00AA4FE7" w:rsidRPr="00E21D8C">
        <w:rPr>
          <w:rFonts w:eastAsiaTheme="minorHAnsi"/>
        </w:rPr>
        <w:t xml:space="preserve"> </w:t>
      </w:r>
      <w:r w:rsidRPr="00E21D8C">
        <w:rPr>
          <w:rFonts w:eastAsiaTheme="minorHAnsi"/>
        </w:rPr>
        <w:t xml:space="preserve">be authorized to collect NSF charges. The Utility </w:t>
      </w:r>
      <w:r>
        <w:rPr>
          <w:rFonts w:eastAsiaTheme="minorHAnsi"/>
        </w:rPr>
        <w:t>shall</w:t>
      </w:r>
      <w:r w:rsidRPr="00E21D8C">
        <w:rPr>
          <w:rFonts w:eastAsiaTheme="minorHAnsi"/>
        </w:rPr>
        <w:t xml:space="preserve"> file revised tariff sheets and a proposed customer notice to reflect th</w:t>
      </w:r>
      <w:r w:rsidR="00AF3D04">
        <w:rPr>
          <w:rFonts w:eastAsiaTheme="minorHAnsi"/>
        </w:rPr>
        <w:t>e</w:t>
      </w:r>
      <w:r w:rsidRPr="00E21D8C">
        <w:rPr>
          <w:rFonts w:eastAsiaTheme="minorHAnsi"/>
        </w:rPr>
        <w:t xml:space="preserve"> Commission-approved NSF charges. The approved charges </w:t>
      </w:r>
      <w:r w:rsidR="00AA4FE7">
        <w:t>shall</w:t>
      </w:r>
      <w:r w:rsidR="00AA4FE7" w:rsidRPr="00E21D8C">
        <w:rPr>
          <w:rFonts w:eastAsiaTheme="minorHAnsi"/>
        </w:rPr>
        <w:t xml:space="preserve"> </w:t>
      </w:r>
      <w:r w:rsidRPr="00E21D8C">
        <w:rPr>
          <w:rFonts w:eastAsiaTheme="minorHAnsi"/>
        </w:rPr>
        <w:t xml:space="preserve">be effective for service rendered on or after the stamped approval date on the tariff sheets provided customers have received notice pursuant to Rule 25-30.475, F.A.C. The Utility </w:t>
      </w:r>
      <w:r w:rsidR="00AA4FE7">
        <w:t>shall</w:t>
      </w:r>
      <w:r w:rsidR="00AA4FE7" w:rsidRPr="00E21D8C">
        <w:rPr>
          <w:rFonts w:eastAsiaTheme="minorHAnsi"/>
        </w:rPr>
        <w:t xml:space="preserve"> </w:t>
      </w:r>
      <w:r w:rsidRPr="00E21D8C">
        <w:rPr>
          <w:rFonts w:eastAsiaTheme="minorHAnsi"/>
        </w:rPr>
        <w:t>provide proof of noticing within 10 days of rendering its approved notice.</w:t>
      </w:r>
      <w:r>
        <w:rPr>
          <w:rFonts w:eastAsiaTheme="minorHAnsi"/>
        </w:rPr>
        <w:t xml:space="preserve"> It is further</w:t>
      </w:r>
    </w:p>
    <w:p w:rsidR="00D5719A" w:rsidRDefault="00D5719A" w:rsidP="004C35D1">
      <w:pPr>
        <w:pStyle w:val="OrderBody"/>
        <w:ind w:firstLine="720"/>
        <w:rPr>
          <w:rFonts w:eastAsiaTheme="minorHAnsi"/>
        </w:rPr>
      </w:pPr>
    </w:p>
    <w:p w:rsidR="00D5719A" w:rsidRDefault="00D5719A" w:rsidP="004C35D1">
      <w:pPr>
        <w:pStyle w:val="OrderBody"/>
        <w:ind w:firstLine="720"/>
        <w:rPr>
          <w:rFonts w:eastAsiaTheme="minorHAnsi"/>
        </w:rPr>
      </w:pPr>
      <w:r>
        <w:rPr>
          <w:rFonts w:eastAsiaTheme="minorHAnsi"/>
        </w:rPr>
        <w:t>ORDERED that the</w:t>
      </w:r>
      <w:r w:rsidRPr="00E21D8C">
        <w:rPr>
          <w:rFonts w:eastAsiaTheme="minorHAnsi"/>
        </w:rPr>
        <w:t xml:space="preserve"> appropriate initial customer deposits are $19.00 for water and $28.00 for wastewater for the residential 3/4" meter size. The initial customer deposit for all other residential meter sizes and all general service meter sizes </w:t>
      </w:r>
      <w:r w:rsidR="00AA4FE7">
        <w:t>shall</w:t>
      </w:r>
      <w:r w:rsidR="00AA4FE7" w:rsidRPr="00E21D8C">
        <w:rPr>
          <w:rFonts w:eastAsiaTheme="minorHAnsi"/>
        </w:rPr>
        <w:t xml:space="preserve"> </w:t>
      </w:r>
      <w:r w:rsidRPr="00E21D8C">
        <w:rPr>
          <w:rFonts w:eastAsiaTheme="minorHAnsi"/>
        </w:rPr>
        <w:t xml:space="preserve">be two times the average estimated bill. The approved customer deposits </w:t>
      </w:r>
      <w:r w:rsidR="00AA4FE7">
        <w:t>shall</w:t>
      </w:r>
      <w:r w:rsidR="00AA4FE7" w:rsidRPr="00E21D8C">
        <w:rPr>
          <w:rFonts w:eastAsiaTheme="minorHAnsi"/>
        </w:rPr>
        <w:t xml:space="preserve"> </w:t>
      </w:r>
      <w:r w:rsidRPr="00E21D8C">
        <w:rPr>
          <w:rFonts w:eastAsiaTheme="minorHAnsi"/>
        </w:rPr>
        <w:t xml:space="preserve">be effective for connections made on or after the stamped approval date on the tariff sheets pursuant to Rule 25-30.475, F.A.C. The Utility </w:t>
      </w:r>
      <w:r w:rsidR="00AA4FE7">
        <w:t>shall</w:t>
      </w:r>
      <w:r w:rsidR="00AA4FE7" w:rsidRPr="00E21D8C">
        <w:rPr>
          <w:rFonts w:eastAsiaTheme="minorHAnsi"/>
        </w:rPr>
        <w:t xml:space="preserve"> </w:t>
      </w:r>
      <w:r w:rsidRPr="00E21D8C">
        <w:rPr>
          <w:rFonts w:eastAsiaTheme="minorHAnsi"/>
        </w:rPr>
        <w:t>be required to collect the approved initial customer deposits until authorized to change them by th</w:t>
      </w:r>
      <w:r w:rsidR="00081649">
        <w:rPr>
          <w:rFonts w:eastAsiaTheme="minorHAnsi"/>
        </w:rPr>
        <w:t>is</w:t>
      </w:r>
      <w:r w:rsidRPr="00E21D8C">
        <w:rPr>
          <w:rFonts w:eastAsiaTheme="minorHAnsi"/>
        </w:rPr>
        <w:t xml:space="preserve"> Commission in a subsequent proceeding.</w:t>
      </w:r>
    </w:p>
    <w:p w:rsidR="00E21D8C" w:rsidRDefault="00E21D8C" w:rsidP="00E21D8C">
      <w:pPr>
        <w:pStyle w:val="OrderBody"/>
        <w:rPr>
          <w:rFonts w:eastAsiaTheme="minorHAnsi"/>
        </w:rPr>
      </w:pPr>
    </w:p>
    <w:p w:rsidR="00E21D8C" w:rsidRDefault="00E21D8C" w:rsidP="00E21D8C">
      <w:pPr>
        <w:pStyle w:val="OrderBody"/>
        <w:rPr>
          <w:rFonts w:eastAsiaTheme="minorHAnsi"/>
        </w:rPr>
      </w:pPr>
      <w:r>
        <w:rPr>
          <w:rFonts w:eastAsiaTheme="minorHAnsi"/>
        </w:rP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570E7" w:rsidRDefault="00F570E7" w:rsidP="00E21D8C">
      <w:pPr>
        <w:pStyle w:val="OrderBody"/>
        <w:rPr>
          <w:rFonts w:eastAsiaTheme="minorHAnsi"/>
        </w:rPr>
      </w:pPr>
    </w:p>
    <w:p w:rsidR="00E21D8C" w:rsidRDefault="00F570E7" w:rsidP="00EE4C4E">
      <w:pPr>
        <w:pStyle w:val="OrderBody"/>
        <w:ind w:firstLine="720"/>
        <w:rPr>
          <w:rFonts w:eastAsiaTheme="minorHAnsi"/>
        </w:rPr>
      </w:pPr>
      <w:r>
        <w:rPr>
          <w:rFonts w:eastAsiaTheme="minorHAnsi"/>
        </w:rPr>
        <w:t>ORDERED that i</w:t>
      </w:r>
      <w:r w:rsidRPr="00E21D8C">
        <w:rPr>
          <w:rFonts w:eastAsiaTheme="minorHAnsi"/>
        </w:rPr>
        <w:t xml:space="preserve">f no person whose substantial interests are affected by the proposed agency action files a protest within 21 days of the issuance of the order, a consummating order </w:t>
      </w:r>
      <w:r w:rsidR="00AA4FE7">
        <w:t>shall</w:t>
      </w:r>
      <w:r w:rsidR="00AA4FE7" w:rsidRPr="00E21D8C">
        <w:rPr>
          <w:rFonts w:eastAsiaTheme="minorHAnsi"/>
        </w:rPr>
        <w:t xml:space="preserve"> </w:t>
      </w:r>
      <w:r w:rsidRPr="00E21D8C">
        <w:rPr>
          <w:rFonts w:eastAsiaTheme="minorHAnsi"/>
        </w:rPr>
        <w:t xml:space="preserve">be issued. The docket </w:t>
      </w:r>
      <w:r w:rsidR="00AA4FE7">
        <w:t>shall</w:t>
      </w:r>
      <w:r w:rsidR="00AA4FE7" w:rsidRPr="00E21D8C">
        <w:rPr>
          <w:rFonts w:eastAsiaTheme="minorHAnsi"/>
        </w:rPr>
        <w:t xml:space="preserve"> </w:t>
      </w:r>
      <w:r w:rsidRPr="00E21D8C">
        <w:rPr>
          <w:rFonts w:eastAsiaTheme="minorHAnsi"/>
        </w:rPr>
        <w:t xml:space="preserve">remain open for </w:t>
      </w:r>
      <w:r w:rsidR="00AA4FE7">
        <w:rPr>
          <w:rFonts w:eastAsiaTheme="minorHAnsi"/>
        </w:rPr>
        <w:t>this Commission</w:t>
      </w:r>
      <w:r w:rsidRPr="00E21D8C">
        <w:rPr>
          <w:rFonts w:eastAsiaTheme="minorHAnsi"/>
        </w:rPr>
        <w:t xml:space="preserve">’s verification that the revised tariff sheets and customer notice have been filed by the Utility and approved by </w:t>
      </w:r>
      <w:r w:rsidR="00AA4FE7">
        <w:rPr>
          <w:rFonts w:eastAsiaTheme="minorHAnsi"/>
        </w:rPr>
        <w:t>this Commission</w:t>
      </w:r>
      <w:r w:rsidRPr="00E21D8C">
        <w:rPr>
          <w:rFonts w:eastAsiaTheme="minorHAnsi"/>
        </w:rPr>
        <w:t xml:space="preserve">. Once these actions are complete, this docket </w:t>
      </w:r>
      <w:r w:rsidR="00AA4FE7">
        <w:t>shall</w:t>
      </w:r>
      <w:r w:rsidR="00AA4FE7" w:rsidRPr="00E21D8C">
        <w:rPr>
          <w:rFonts w:eastAsiaTheme="minorHAnsi"/>
        </w:rPr>
        <w:t xml:space="preserve"> </w:t>
      </w:r>
      <w:r w:rsidRPr="00E21D8C">
        <w:rPr>
          <w:rFonts w:eastAsiaTheme="minorHAnsi"/>
        </w:rPr>
        <w:t>be closed administratively.</w:t>
      </w:r>
      <w:r w:rsidR="00EE4C4E">
        <w:rPr>
          <w:rFonts w:eastAsiaTheme="minorHAnsi"/>
        </w:rPr>
        <w:t xml:space="preserve"> </w:t>
      </w:r>
    </w:p>
    <w:p w:rsidR="00E21D8C" w:rsidRDefault="00E21D8C" w:rsidP="00E21D8C">
      <w:pPr>
        <w:pStyle w:val="OrderBody"/>
        <w:keepNext/>
        <w:keepLines/>
        <w:rPr>
          <w:rFonts w:eastAsiaTheme="minorHAnsi"/>
        </w:rPr>
      </w:pPr>
      <w:r>
        <w:rPr>
          <w:rFonts w:eastAsiaTheme="minorHAnsi"/>
        </w:rPr>
        <w:lastRenderedPageBreak/>
        <w:tab/>
        <w:t xml:space="preserve">By ORDER of the Florida Public Service Commission this </w:t>
      </w:r>
      <w:bookmarkStart w:id="7" w:name="replaceDate"/>
      <w:bookmarkEnd w:id="7"/>
      <w:r w:rsidR="00D417E0">
        <w:rPr>
          <w:rFonts w:eastAsiaTheme="minorHAnsi"/>
          <w:u w:val="single"/>
        </w:rPr>
        <w:t>25th</w:t>
      </w:r>
      <w:r w:rsidR="00D417E0">
        <w:rPr>
          <w:rFonts w:eastAsiaTheme="minorHAnsi"/>
        </w:rPr>
        <w:t xml:space="preserve"> day of </w:t>
      </w:r>
      <w:r w:rsidR="00D417E0">
        <w:rPr>
          <w:rFonts w:eastAsiaTheme="minorHAnsi"/>
          <w:u w:val="single"/>
        </w:rPr>
        <w:t>January</w:t>
      </w:r>
      <w:r w:rsidR="00D417E0">
        <w:rPr>
          <w:rFonts w:eastAsiaTheme="minorHAnsi"/>
        </w:rPr>
        <w:t xml:space="preserve">, </w:t>
      </w:r>
      <w:r w:rsidR="00D417E0">
        <w:rPr>
          <w:rFonts w:eastAsiaTheme="minorHAnsi"/>
          <w:u w:val="single"/>
        </w:rPr>
        <w:t>2019</w:t>
      </w:r>
      <w:r w:rsidR="00D417E0">
        <w:rPr>
          <w:rFonts w:eastAsiaTheme="minorHAnsi"/>
        </w:rPr>
        <w:t>.</w:t>
      </w:r>
    </w:p>
    <w:p w:rsidR="00D417E0" w:rsidRPr="00D417E0" w:rsidRDefault="00D417E0" w:rsidP="00E21D8C">
      <w:pPr>
        <w:pStyle w:val="OrderBody"/>
        <w:keepNext/>
        <w:keepLines/>
        <w:rPr>
          <w:rFonts w:eastAsiaTheme="minorHAnsi"/>
        </w:rPr>
      </w:pPr>
    </w:p>
    <w:p w:rsidR="00E21D8C" w:rsidRDefault="00E21D8C" w:rsidP="00E21D8C">
      <w:pPr>
        <w:pStyle w:val="OrderBody"/>
        <w:keepNext/>
        <w:keepLines/>
        <w:rPr>
          <w:rFonts w:eastAsiaTheme="minorHAnsi"/>
        </w:rPr>
      </w:pPr>
    </w:p>
    <w:p w:rsidR="00E21D8C" w:rsidRDefault="00E21D8C" w:rsidP="00E21D8C">
      <w:pPr>
        <w:pStyle w:val="OrderBody"/>
        <w:keepNext/>
        <w:keepLines/>
        <w:rPr>
          <w:rFonts w:eastAsiaTheme="minorHAnsi"/>
        </w:rPr>
      </w:pPr>
    </w:p>
    <w:tbl>
      <w:tblPr>
        <w:tblW w:w="4720" w:type="dxa"/>
        <w:tblInd w:w="3800" w:type="dxa"/>
        <w:tblLayout w:type="fixed"/>
        <w:tblLook w:val="0000" w:firstRow="0" w:lastRow="0" w:firstColumn="0" w:lastColumn="0" w:noHBand="0" w:noVBand="0"/>
      </w:tblPr>
      <w:tblGrid>
        <w:gridCol w:w="686"/>
        <w:gridCol w:w="4034"/>
      </w:tblGrid>
      <w:tr w:rsidR="00E21D8C" w:rsidTr="00E21D8C">
        <w:tc>
          <w:tcPr>
            <w:tcW w:w="720" w:type="dxa"/>
            <w:shd w:val="clear" w:color="auto" w:fill="auto"/>
          </w:tcPr>
          <w:p w:rsidR="00E21D8C" w:rsidRDefault="00E21D8C" w:rsidP="00E21D8C">
            <w:pPr>
              <w:pStyle w:val="OrderBody"/>
              <w:keepNext/>
              <w:keepLines/>
              <w:rPr>
                <w:rFonts w:eastAsiaTheme="minorHAnsi"/>
              </w:rPr>
            </w:pPr>
            <w:bookmarkStart w:id="8" w:name="bkmrkSignature" w:colFirst="0" w:colLast="0"/>
          </w:p>
        </w:tc>
        <w:tc>
          <w:tcPr>
            <w:tcW w:w="4320" w:type="dxa"/>
            <w:tcBorders>
              <w:bottom w:val="single" w:sz="4" w:space="0" w:color="auto"/>
            </w:tcBorders>
            <w:shd w:val="clear" w:color="auto" w:fill="auto"/>
          </w:tcPr>
          <w:p w:rsidR="00E21D8C" w:rsidRDefault="00D417E0" w:rsidP="00E21D8C">
            <w:pPr>
              <w:pStyle w:val="OrderBody"/>
              <w:keepNext/>
              <w:keepLines/>
              <w:rPr>
                <w:rFonts w:eastAsiaTheme="minorHAnsi"/>
              </w:rPr>
            </w:pPr>
            <w:r>
              <w:rPr>
                <w:rFonts w:eastAsiaTheme="minorHAnsi"/>
              </w:rPr>
              <w:t>/s/ Adam J. Teitzman</w:t>
            </w:r>
          </w:p>
        </w:tc>
      </w:tr>
      <w:bookmarkEnd w:id="8"/>
      <w:tr w:rsidR="00E21D8C" w:rsidTr="00E21D8C">
        <w:tc>
          <w:tcPr>
            <w:tcW w:w="720" w:type="dxa"/>
            <w:shd w:val="clear" w:color="auto" w:fill="auto"/>
          </w:tcPr>
          <w:p w:rsidR="00E21D8C" w:rsidRDefault="00E21D8C" w:rsidP="00E21D8C">
            <w:pPr>
              <w:pStyle w:val="OrderBody"/>
              <w:keepNext/>
              <w:keepLines/>
              <w:rPr>
                <w:rFonts w:eastAsiaTheme="minorHAnsi"/>
              </w:rPr>
            </w:pPr>
          </w:p>
        </w:tc>
        <w:tc>
          <w:tcPr>
            <w:tcW w:w="4320" w:type="dxa"/>
            <w:tcBorders>
              <w:top w:val="single" w:sz="4" w:space="0" w:color="auto"/>
            </w:tcBorders>
            <w:shd w:val="clear" w:color="auto" w:fill="auto"/>
          </w:tcPr>
          <w:p w:rsidR="00E21D8C" w:rsidRDefault="00E21D8C" w:rsidP="00E21D8C">
            <w:pPr>
              <w:pStyle w:val="OrderBody"/>
              <w:keepNext/>
              <w:keepLines/>
              <w:rPr>
                <w:rFonts w:eastAsiaTheme="minorHAnsi"/>
              </w:rPr>
            </w:pPr>
            <w:r>
              <w:rPr>
                <w:rFonts w:eastAsiaTheme="minorHAnsi"/>
              </w:rPr>
              <w:t>ADAM J. TEITZMAN</w:t>
            </w:r>
          </w:p>
          <w:p w:rsidR="00E21D8C" w:rsidRDefault="00E21D8C" w:rsidP="00E21D8C">
            <w:pPr>
              <w:pStyle w:val="OrderBody"/>
              <w:keepNext/>
              <w:keepLines/>
              <w:rPr>
                <w:rFonts w:eastAsiaTheme="minorHAnsi"/>
              </w:rPr>
            </w:pPr>
            <w:r>
              <w:rPr>
                <w:rFonts w:eastAsiaTheme="minorHAnsi"/>
              </w:rPr>
              <w:t>Commission Clerk</w:t>
            </w:r>
          </w:p>
        </w:tc>
      </w:tr>
    </w:tbl>
    <w:p w:rsidR="00E21D8C" w:rsidRDefault="00E21D8C" w:rsidP="00E21D8C">
      <w:pPr>
        <w:pStyle w:val="OrderSigInfo"/>
        <w:keepNext/>
        <w:keepLines/>
        <w:rPr>
          <w:rFonts w:eastAsiaTheme="minorHAnsi"/>
        </w:rPr>
      </w:pPr>
      <w:r>
        <w:rPr>
          <w:rFonts w:eastAsiaTheme="minorHAnsi"/>
        </w:rPr>
        <w:t>Florida Public Service Commission</w:t>
      </w:r>
    </w:p>
    <w:p w:rsidR="00E21D8C" w:rsidRDefault="00E21D8C" w:rsidP="00E21D8C">
      <w:pPr>
        <w:pStyle w:val="OrderSigInfo"/>
        <w:keepNext/>
        <w:keepLines/>
        <w:rPr>
          <w:rFonts w:eastAsiaTheme="minorHAnsi"/>
        </w:rPr>
      </w:pPr>
      <w:r>
        <w:rPr>
          <w:rFonts w:eastAsiaTheme="minorHAnsi"/>
        </w:rPr>
        <w:t>2540 Shumard Oak Boulevard</w:t>
      </w:r>
    </w:p>
    <w:p w:rsidR="00E21D8C" w:rsidRDefault="00E21D8C" w:rsidP="00E21D8C">
      <w:pPr>
        <w:pStyle w:val="OrderSigInfo"/>
        <w:keepNext/>
        <w:keepLines/>
        <w:rPr>
          <w:rFonts w:eastAsiaTheme="minorHAnsi"/>
        </w:rPr>
      </w:pPr>
      <w:r>
        <w:rPr>
          <w:rFonts w:eastAsiaTheme="minorHAnsi"/>
        </w:rPr>
        <w:t>Tallahassee, Florida 32399</w:t>
      </w:r>
    </w:p>
    <w:p w:rsidR="00E21D8C" w:rsidRDefault="00E21D8C" w:rsidP="00E21D8C">
      <w:pPr>
        <w:pStyle w:val="OrderSigInfo"/>
        <w:keepNext/>
        <w:keepLines/>
        <w:rPr>
          <w:rFonts w:eastAsiaTheme="minorHAnsi"/>
        </w:rPr>
      </w:pPr>
      <w:r>
        <w:rPr>
          <w:rFonts w:eastAsiaTheme="minorHAnsi"/>
        </w:rPr>
        <w:t>(850) 413</w:t>
      </w:r>
      <w:r>
        <w:rPr>
          <w:rFonts w:eastAsiaTheme="minorHAnsi"/>
        </w:rPr>
        <w:noBreakHyphen/>
        <w:t>6770</w:t>
      </w:r>
    </w:p>
    <w:p w:rsidR="00E21D8C" w:rsidRDefault="00E21D8C" w:rsidP="00E21D8C">
      <w:pPr>
        <w:pStyle w:val="OrderSigInfo"/>
        <w:keepNext/>
        <w:keepLines/>
        <w:rPr>
          <w:rFonts w:eastAsiaTheme="minorHAnsi"/>
        </w:rPr>
      </w:pPr>
      <w:r>
        <w:rPr>
          <w:rFonts w:eastAsiaTheme="minorHAnsi"/>
        </w:rPr>
        <w:t>www.floridapsc.com</w:t>
      </w:r>
    </w:p>
    <w:p w:rsidR="00E21D8C" w:rsidRDefault="00E21D8C" w:rsidP="00E21D8C">
      <w:pPr>
        <w:pStyle w:val="OrderSigInfo"/>
        <w:keepNext/>
        <w:keepLines/>
        <w:rPr>
          <w:rFonts w:eastAsiaTheme="minorHAnsi"/>
        </w:rPr>
      </w:pPr>
    </w:p>
    <w:p w:rsidR="00E21D8C" w:rsidRDefault="00E21D8C" w:rsidP="00E21D8C">
      <w:pPr>
        <w:pStyle w:val="OrderSigInfo"/>
        <w:keepNext/>
        <w:keepLines/>
        <w:rPr>
          <w:rFonts w:eastAsiaTheme="minorHAnsi"/>
        </w:rPr>
      </w:pPr>
      <w:r>
        <w:rPr>
          <w:rFonts w:eastAsiaTheme="minorHAnsi"/>
        </w:rPr>
        <w:t>Copies furnished:  A copy of this document is provided to the parties of record at the time of issuance and, if applicable, interested persons.</w:t>
      </w:r>
    </w:p>
    <w:p w:rsidR="00E21D8C" w:rsidRDefault="00E21D8C" w:rsidP="00E21D8C">
      <w:pPr>
        <w:pStyle w:val="OrderBody"/>
        <w:keepNext/>
        <w:keepLines/>
        <w:rPr>
          <w:rFonts w:eastAsiaTheme="minorHAnsi"/>
        </w:rPr>
      </w:pPr>
    </w:p>
    <w:p w:rsidR="00E21D8C" w:rsidRDefault="00E21D8C" w:rsidP="00E21D8C">
      <w:pPr>
        <w:pStyle w:val="OrderBody"/>
        <w:keepNext/>
        <w:keepLines/>
        <w:rPr>
          <w:rFonts w:eastAsiaTheme="minorHAnsi"/>
        </w:rPr>
      </w:pPr>
    </w:p>
    <w:p w:rsidR="00E21D8C" w:rsidRDefault="00452C66" w:rsidP="00E21D8C">
      <w:pPr>
        <w:pStyle w:val="OrderBody"/>
        <w:keepNext/>
        <w:keepLines/>
        <w:rPr>
          <w:rFonts w:eastAsiaTheme="minorHAnsi"/>
        </w:rPr>
      </w:pPr>
      <w:r>
        <w:rPr>
          <w:rFonts w:eastAsiaTheme="minorHAnsi"/>
        </w:rPr>
        <w:t>JEN</w:t>
      </w:r>
    </w:p>
    <w:p w:rsidR="00E21D8C" w:rsidRDefault="00E21D8C" w:rsidP="00E21D8C">
      <w:pPr>
        <w:pStyle w:val="OrderBody"/>
        <w:rPr>
          <w:rFonts w:eastAsiaTheme="minorHAnsi"/>
        </w:rPr>
      </w:pPr>
    </w:p>
    <w:p w:rsidR="00452C66" w:rsidRDefault="00452C66" w:rsidP="00452C66">
      <w:pPr>
        <w:pStyle w:val="CenterUnderline"/>
        <w:rPr>
          <w:rFonts w:eastAsiaTheme="minorHAnsi"/>
        </w:rPr>
      </w:pPr>
      <w:r>
        <w:rPr>
          <w:rFonts w:eastAsiaTheme="minorHAnsi"/>
        </w:rPr>
        <w:t>NOTICE OF FURTHER PROCEEDINGS OR JUDICIAL REVIEW</w:t>
      </w:r>
    </w:p>
    <w:p w:rsidR="00452C66" w:rsidRDefault="00452C66" w:rsidP="00452C66">
      <w:pPr>
        <w:pStyle w:val="CenterUnderline"/>
        <w:rPr>
          <w:rFonts w:eastAsiaTheme="minorHAnsi"/>
        </w:rPr>
      </w:pPr>
    </w:p>
    <w:p w:rsidR="00452C66" w:rsidRDefault="00452C66" w:rsidP="00452C66">
      <w:pPr>
        <w:pStyle w:val="OrderBody"/>
        <w:rPr>
          <w:rFonts w:eastAsiaTheme="minorHAnsi"/>
        </w:rPr>
      </w:pPr>
      <w:r>
        <w:rPr>
          <w:rFonts w:eastAsiaTheme="minorHAnsi"/>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2C66" w:rsidRDefault="00452C66" w:rsidP="00452C66">
      <w:pPr>
        <w:pStyle w:val="OrderBody"/>
        <w:rPr>
          <w:rFonts w:eastAsiaTheme="minorHAnsi"/>
        </w:rPr>
      </w:pPr>
    </w:p>
    <w:p w:rsidR="00452C66" w:rsidRDefault="00452C66" w:rsidP="00452C66">
      <w:pPr>
        <w:pStyle w:val="OrderBody"/>
        <w:rPr>
          <w:rFonts w:eastAsiaTheme="minorHAnsi"/>
        </w:rPr>
      </w:pPr>
      <w:r>
        <w:rPr>
          <w:rFonts w:eastAsiaTheme="minorHAnsi"/>
        </w:rPr>
        <w:tab/>
        <w:t xml:space="preserve">As identified in the body of this order, our action </w:t>
      </w:r>
      <w:r w:rsidR="00EE4C4E" w:rsidRPr="00EE4C4E">
        <w:rPr>
          <w:rFonts w:eastAsiaTheme="minorHAnsi"/>
        </w:rPr>
        <w:t>approving initial rates and charges</w:t>
      </w:r>
      <w:r>
        <w:rPr>
          <w:rFonts w:eastAsiaTheme="minorHAnsi"/>
        </w:rP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417E0">
        <w:rPr>
          <w:rFonts w:eastAsiaTheme="minorHAnsi"/>
          <w:u w:val="single"/>
        </w:rPr>
        <w:t>February 15, 2019</w:t>
      </w:r>
      <w:r>
        <w:rPr>
          <w:rFonts w:eastAsiaTheme="minorHAnsi"/>
        </w:rP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52C66" w:rsidRDefault="00452C66" w:rsidP="00452C66">
      <w:pPr>
        <w:pStyle w:val="OrderBody"/>
        <w:rPr>
          <w:rFonts w:eastAsiaTheme="minorHAnsi"/>
        </w:rPr>
      </w:pPr>
    </w:p>
    <w:p w:rsidR="00452C66" w:rsidRDefault="00452C66" w:rsidP="00452C66">
      <w:pPr>
        <w:pStyle w:val="OrderBody"/>
        <w:rPr>
          <w:rFonts w:eastAsiaTheme="minorHAnsi"/>
        </w:rPr>
      </w:pPr>
      <w:r>
        <w:rPr>
          <w:rFonts w:eastAsiaTheme="minorHAnsi"/>
        </w:rPr>
        <w:tab/>
        <w:t>Any objection or protest filed in this docket before the issuance date of this order is considered abandoned unless it satisfies the foregoing conditions and is renewed within the specified protest period.</w:t>
      </w:r>
    </w:p>
    <w:p w:rsidR="00452C66" w:rsidRDefault="00452C66" w:rsidP="00452C66">
      <w:pPr>
        <w:pStyle w:val="OrderBody"/>
        <w:rPr>
          <w:rFonts w:eastAsiaTheme="minorHAnsi"/>
        </w:rPr>
      </w:pPr>
    </w:p>
    <w:p w:rsidR="00452C66" w:rsidRDefault="00452C66" w:rsidP="00452C66">
      <w:pPr>
        <w:pStyle w:val="OrderBody"/>
        <w:rPr>
          <w:rFonts w:eastAsiaTheme="minorHAnsi"/>
        </w:rPr>
      </w:pPr>
      <w:r>
        <w:rPr>
          <w:rFonts w:eastAsiaTheme="minorHAnsi"/>
        </w:rP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w:t>
      </w:r>
      <w:r>
        <w:rPr>
          <w:rFonts w:eastAsiaTheme="minorHAnsi"/>
        </w:rPr>
        <w:lastRenderedPageBreak/>
        <w:t>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52C66" w:rsidRDefault="00452C66" w:rsidP="00452C66">
      <w:pPr>
        <w:pStyle w:val="OrderBody"/>
        <w:rPr>
          <w:rFonts w:eastAsiaTheme="minorHAnsi"/>
        </w:rPr>
      </w:pPr>
    </w:p>
    <w:p w:rsidR="00452C66" w:rsidRDefault="00452C66" w:rsidP="00452C66">
      <w:pPr>
        <w:pStyle w:val="OrderBody"/>
        <w:rPr>
          <w:rFonts w:eastAsiaTheme="minorHAnsi"/>
        </w:rPr>
      </w:pPr>
    </w:p>
    <w:p w:rsidR="00452C66" w:rsidRDefault="00452C66" w:rsidP="00452C66">
      <w:pPr>
        <w:pStyle w:val="OrderBody"/>
        <w:rPr>
          <w:rFonts w:eastAsiaTheme="minorHAnsi"/>
        </w:rPr>
        <w:sectPr w:rsidR="00452C66">
          <w:headerReference w:type="default" r:id="rId7"/>
          <w:footerReference w:type="first" r:id="rId8"/>
          <w:pgSz w:w="12240" w:h="15840" w:code="1"/>
          <w:pgMar w:top="1440" w:right="1440" w:bottom="1440" w:left="1440" w:header="720" w:footer="720" w:gutter="0"/>
          <w:cols w:space="720"/>
          <w:titlePg/>
          <w:docGrid w:linePitch="360"/>
        </w:sectPr>
      </w:pPr>
    </w:p>
    <w:p w:rsidR="00452C66" w:rsidRPr="00452C66" w:rsidRDefault="00452C66" w:rsidP="00452C66">
      <w:pPr>
        <w:jc w:val="center"/>
        <w:rPr>
          <w:b/>
          <w:strike/>
        </w:rPr>
      </w:pPr>
      <w:r w:rsidRPr="00452C66">
        <w:rPr>
          <w:b/>
        </w:rPr>
        <w:lastRenderedPageBreak/>
        <w:t>RSPI MHC, LLC</w:t>
      </w:r>
    </w:p>
    <w:p w:rsidR="00452C66" w:rsidRPr="00452C66" w:rsidRDefault="00452C66" w:rsidP="00452C66">
      <w:pPr>
        <w:spacing w:after="240"/>
        <w:jc w:val="center"/>
        <w:rPr>
          <w:b/>
        </w:rPr>
      </w:pPr>
      <w:r w:rsidRPr="00452C66">
        <w:rPr>
          <w:b/>
        </w:rPr>
        <w:t>Description of Water and Wastewater Service Territory</w:t>
      </w:r>
    </w:p>
    <w:p w:rsidR="00452C66" w:rsidRPr="00452C66" w:rsidRDefault="00452C66" w:rsidP="00452C66">
      <w:pPr>
        <w:spacing w:after="240"/>
        <w:jc w:val="center"/>
      </w:pPr>
      <w:r w:rsidRPr="00452C66">
        <w:rPr>
          <w:b/>
        </w:rPr>
        <w:t>Orange County</w:t>
      </w:r>
    </w:p>
    <w:p w:rsidR="00452C66" w:rsidRPr="00452C66" w:rsidRDefault="00452C66" w:rsidP="00452C66">
      <w:pPr>
        <w:autoSpaceDE w:val="0"/>
        <w:autoSpaceDN w:val="0"/>
        <w:adjustRightInd w:val="0"/>
        <w:jc w:val="both"/>
        <w:rPr>
          <w:color w:val="000000"/>
          <w:szCs w:val="20"/>
        </w:rPr>
      </w:pPr>
      <w:r w:rsidRPr="00452C66">
        <w:rPr>
          <w:color w:val="000000"/>
          <w:szCs w:val="20"/>
        </w:rPr>
        <w:t xml:space="preserve">A PORTION OF W. LESTER ROAD, A 60 FOOT PUBLIC RIGHT-OF-WAY, AND A PORTION OF SECTIONS 28 &amp; 33, ALL IN TOWNSHIP 20 SOUTH, RANGE 28 EAST, ORANGE COUNTY, FLORIDA BEING MORE PARTICULARLY DESCRIBED AS FOLLOWS: </w:t>
      </w:r>
    </w:p>
    <w:p w:rsidR="00452C66" w:rsidRPr="00452C66" w:rsidRDefault="00452C66" w:rsidP="00452C66">
      <w:pPr>
        <w:autoSpaceDE w:val="0"/>
        <w:autoSpaceDN w:val="0"/>
        <w:adjustRightInd w:val="0"/>
        <w:rPr>
          <w:color w:val="000000"/>
          <w:szCs w:val="20"/>
        </w:rPr>
      </w:pPr>
    </w:p>
    <w:p w:rsidR="00452C66" w:rsidRDefault="00452C66" w:rsidP="00452C66">
      <w:pPr>
        <w:pStyle w:val="OrderBody"/>
        <w:rPr>
          <w:szCs w:val="20"/>
        </w:rPr>
        <w:sectPr w:rsidR="00452C66">
          <w:headerReference w:type="first" r:id="rId9"/>
          <w:pgSz w:w="12240" w:h="15840" w:code="1"/>
          <w:pgMar w:top="1440" w:right="1440" w:bottom="1440" w:left="1440" w:header="720" w:footer="720" w:gutter="0"/>
          <w:cols w:space="720"/>
          <w:titlePg/>
          <w:docGrid w:linePitch="360"/>
        </w:sectPr>
      </w:pPr>
      <w:r w:rsidRPr="00452C66">
        <w:rPr>
          <w:szCs w:val="20"/>
        </w:rPr>
        <w:t xml:space="preserve">COMMENCE AT THE NORTHEAST CORNER OF SECTION 33, TOWNSHIP 20 SOUTH, RANGE 28 EAST, ORANGE COUNTY, FLORIDA; THENCE RUN SOUTH 87°56'33" WEST, ALONG THE NORTH LINE OF THE NORTHEAST QUARTER OF SAID SECTION 33, A DISTANCE OF 71.00 FEET; THENCE SOUTH 02°03'27" EAST A DISTANCE OF 30.00 FEET TO THE INTERSECTION OF THE WEST RIGHT-OF-WAY LINE OF STATE ROAD 435 AND THE SOUTH RIGHT-OF-WAY LINE OF W. LESTER ROAD FOR A POINT OF BEGINNING; THENCE SOUTH 87°56'33" WEST, ALONG SAID SOUTH RIGHT-OF-WAY LINE A DISTANCE OF 1,159.63 FEET; THENCE NORTH 01°41'41" WEST, A DISTANCE OF 632.79 FEET; THENCE NORTH 87°59'49" EAST, A DISTANCE OF 38.50 FEET; THENCE NORTH 01°41'41" WEST, A DISTANCE OF 208.00 FEET; THENCE SOUTH 87°59'49" WEST, A DISTANCE OF 208.00 FEET; THENCE SOUTH 01°41'41" EAST, DISTANCE OF 208.00 FEET; THENCE NORTH 87°59'49" EAST, A DISTANCE OF 93.61 FEET; THENCE SOUTH 01°53'16" EAST, A DISTANCE OF 632.85 FEET TO THE SOUTH RIGHT-OF-WAY LINE OF W. LESTER ROAD; THENCE SOUTH 87°56'33" WEST, ALONG SAID SOUTH RIGHT-OF-WAY LINE, A DISTANCE OF 646.50 FEET; THENCE NORTH 02°02'14" WEST, A DISTANCE OF 1,360.66 FEET; THENCE SOUTH 88°01'08" WEST, A DISTANCE OF 651.82 FEET; THENCE SOUTH 02°07'29" EAST, A DISTANCE OF 1,361.53 FEET TO A POINT LYING ON THE SOUTH RIGHT-OF-WAY LINE OF W. LESTER ROAD; THENCE SOUTH 87°56'33" WEST, ALONG SAID RIGHT-OF-WAY LINE, A DISTANCE OF 368.03 FEET; THENCE SOUTH 01°44'49" EAST A DISTANCE OF 1,327.67 FEET; THENCE NORTH 88°59'06" EAST, A DISTANCE OF 344.65 FEET; THENCE SOUTH 01°00'09" EAST A DISTANCE AT 1,336.00 FEET TO A POINT ON THE NORTH RIGHT-OF-WAY LINE OF WELCH ROAD; THENCE NORTH 90°00'00" EAST, ALONG SAID NORTH RIGHT-OF-WAY LINE A DISTANCE OF 30.00 FEET; THENCE NORTH 01°00'09" WEST A DISTANCE OF 630.00 FEET; THENCE NORTH 90°00'00" EAST A DISTANCE OF 793.62 FEET; THENCE SOUTH 01°00'09" EAST, A DISTANCE OF 460.00 FEET; THENCE NORTH 90°00'00" EAST A DISTANCE OF 594.00 FEET; THENCE SOUTH 01°00'09" EAST A DISTANCE OF 170.00 FEET TO SAID NORTH RIGHT-OF-WAY LINE OF WELCH ROAD; THENCE NORTH 90°00'00" EAST, ALONG SAID RIGHT-OF-WAY LINE, A DISTANCE OF 863.93 FEET; THENCE NORTH 01°01'47" WEST A DISTANCE OF 630.00 FEET; THENCE SOUTH 90°00'00" WEST A DISTANCE OF 664.21 FEET; THENCE NORTH 01°01'39" WEST A DISTANCE OF 660.00 FEET; THENCE NORTH 90°00'00" EAST A DISTANCE OF 330.00 FEET; THENCE NORTH 01°01'39" WEST A DISTANCE OF 330.00 FEET; THENCE NORTH 90°00'00" </w:t>
      </w:r>
    </w:p>
    <w:p w:rsidR="00452C66" w:rsidRDefault="00452C66" w:rsidP="00452C66">
      <w:pPr>
        <w:pStyle w:val="OrderBody"/>
        <w:rPr>
          <w:szCs w:val="20"/>
        </w:rPr>
      </w:pPr>
      <w:r w:rsidRPr="00452C66">
        <w:rPr>
          <w:szCs w:val="20"/>
        </w:rPr>
        <w:lastRenderedPageBreak/>
        <w:t>EAST A DISTANCE OF 610.00 FEET TO SAID WEST RIGHT-OF-WAY LINE OF STATE ROAD 435; THENCE NORTH 01°01'39" WEST, ALONG SAID WEST RIGHT-OF-WAY</w:t>
      </w:r>
      <w:r>
        <w:rPr>
          <w:szCs w:val="20"/>
        </w:rPr>
        <w:t xml:space="preserve"> </w:t>
      </w:r>
      <w:r w:rsidRPr="00452C66">
        <w:rPr>
          <w:szCs w:val="20"/>
        </w:rPr>
        <w:t>LINE, A DISTANCE OF 70.56 FEET; THENCE SOUTH 90°00'00" WEST A DISTANCE OF 150.00 FEET; THENCE NORTH 01°01'39" WEST A DISTANCE OF 150.00 FEET; THENCE NORTH 90°00'00" EAST A DISTANCE OF 150.00 FEET TO SAID WEST RIGHT-OF-WAY LINE OF STATE ROAD 435; THENCE NORTH 01°01'39" WEST, ALONG SAID WEST RIGHT-OF-WAY LINE A DISTANCE OF 752.30 FEET TO A POINT OF CURVATURE ON A CURVE CONCAVE SOUTHWESTERLY, HAVING A RADIUS OF 31,202.24 FEET, A CHORD BEARING OF NORTH 01°09'38" WEST, A CHORD DISTANCE OF 144.92 FEET. RUN THENCE NORTHWESTERLY ALONG THE ARC OF SAID CURVE, THROUGH A CENTRAL ANGLE OF 00°15'58", A DISTANCE OF 144.92 FEET; THENCE SOUTH 88°42'23" WEST A DISTANCE OF 20.00 FEET TO A NON-TANGENT POINT ON A CURVE CONCAVE SOUTHWESTERLY, HAVING A RADIUS OF 31,182.24 FEET, A CHORD BEARING OF NORTH 01°18'56" WEST, A CHORD DISTANCE OF 23.90 FEET, RUN THENCE NORTHWESTERLY ALONG THE ARC OF SAID CURVE, THROUGH A CENTRAL ANGLE OF 00°02'38", A DISTANCE OF 23.90 FEET TO THE POINT OF BEGINNING.</w:t>
      </w:r>
    </w:p>
    <w:p w:rsidR="00452C66" w:rsidRDefault="00452C66" w:rsidP="00452C66">
      <w:pPr>
        <w:pStyle w:val="OrderBody"/>
        <w:rPr>
          <w:szCs w:val="20"/>
        </w:rPr>
      </w:pPr>
    </w:p>
    <w:p w:rsidR="00452C66" w:rsidRDefault="00452C66" w:rsidP="00452C66">
      <w:pPr>
        <w:pStyle w:val="OrderBody"/>
        <w:rPr>
          <w:rFonts w:eastAsiaTheme="minorHAnsi"/>
        </w:rPr>
        <w:sectPr w:rsidR="00452C66">
          <w:headerReference w:type="first" r:id="rId10"/>
          <w:pgSz w:w="12240" w:h="15840" w:code="1"/>
          <w:pgMar w:top="1440" w:right="1440" w:bottom="1440" w:left="1440" w:header="720" w:footer="720" w:gutter="0"/>
          <w:cols w:space="720"/>
          <w:titlePg/>
          <w:docGrid w:linePitch="360"/>
        </w:sectPr>
      </w:pPr>
    </w:p>
    <w:p w:rsidR="00452C66" w:rsidRPr="00452C66" w:rsidRDefault="00452C66" w:rsidP="00452C66">
      <w:pPr>
        <w:spacing w:after="240"/>
        <w:jc w:val="center"/>
        <w:rPr>
          <w:b/>
        </w:rPr>
      </w:pPr>
      <w:r w:rsidRPr="00452C66">
        <w:rPr>
          <w:b/>
        </w:rPr>
        <w:lastRenderedPageBreak/>
        <w:t>FLORIDA PUBLIC SERVICE COMMISSION</w:t>
      </w:r>
    </w:p>
    <w:p w:rsidR="00452C66" w:rsidRPr="00452C66" w:rsidRDefault="00452C66" w:rsidP="00452C66">
      <w:pPr>
        <w:spacing w:after="240"/>
        <w:jc w:val="center"/>
        <w:rPr>
          <w:b/>
        </w:rPr>
      </w:pPr>
      <w:r w:rsidRPr="00452C66">
        <w:rPr>
          <w:b/>
        </w:rPr>
        <w:t>authorizes</w:t>
      </w:r>
    </w:p>
    <w:p w:rsidR="00452C66" w:rsidRPr="00452C66" w:rsidRDefault="00452C66" w:rsidP="00452C66">
      <w:pPr>
        <w:jc w:val="center"/>
        <w:rPr>
          <w:b/>
        </w:rPr>
      </w:pPr>
      <w:r w:rsidRPr="00452C66">
        <w:rPr>
          <w:b/>
        </w:rPr>
        <w:t>RSPI MHC, LLC</w:t>
      </w:r>
    </w:p>
    <w:p w:rsidR="00452C66" w:rsidRPr="00452C66" w:rsidRDefault="00452C66" w:rsidP="00452C66">
      <w:pPr>
        <w:jc w:val="center"/>
        <w:rPr>
          <w:b/>
        </w:rPr>
      </w:pPr>
      <w:r w:rsidRPr="00452C66">
        <w:rPr>
          <w:b/>
        </w:rPr>
        <w:t>pursuant to</w:t>
      </w:r>
    </w:p>
    <w:p w:rsidR="00452C66" w:rsidRPr="00452C66" w:rsidRDefault="00452C66" w:rsidP="00452C66">
      <w:pPr>
        <w:spacing w:after="240"/>
        <w:jc w:val="center"/>
        <w:rPr>
          <w:b/>
        </w:rPr>
      </w:pPr>
      <w:r w:rsidRPr="00452C66">
        <w:rPr>
          <w:b/>
        </w:rPr>
        <w:t>Certificate Number 673 -W</w:t>
      </w:r>
    </w:p>
    <w:p w:rsidR="00452C66" w:rsidRPr="00452C66" w:rsidRDefault="00452C66" w:rsidP="00452C66">
      <w:pPr>
        <w:spacing w:after="240"/>
        <w:jc w:val="both"/>
      </w:pPr>
      <w:r w:rsidRPr="00452C66">
        <w:t xml:space="preserve">to provide water service in </w:t>
      </w:r>
      <w:r w:rsidRPr="00452C66">
        <w:rPr>
          <w:u w:val="single"/>
        </w:rPr>
        <w:t>Orange County</w:t>
      </w:r>
      <w:r w:rsidRPr="00452C6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452C66" w:rsidRPr="00452C66" w:rsidRDefault="00452C66" w:rsidP="00452C66">
      <w:pPr>
        <w:spacing w:after="240"/>
        <w:jc w:val="both"/>
      </w:pPr>
      <w:r w:rsidRPr="00452C66">
        <w:rPr>
          <w:u w:val="single"/>
        </w:rPr>
        <w:t>Order Number</w:t>
      </w:r>
      <w:r w:rsidRPr="00452C66">
        <w:tab/>
      </w:r>
      <w:r w:rsidRPr="00452C66">
        <w:tab/>
      </w:r>
      <w:r w:rsidRPr="00452C66">
        <w:tab/>
      </w:r>
      <w:r w:rsidRPr="00452C66">
        <w:rPr>
          <w:u w:val="single"/>
        </w:rPr>
        <w:t>Date Issued</w:t>
      </w:r>
      <w:r w:rsidRPr="00452C66">
        <w:tab/>
      </w:r>
      <w:r w:rsidRPr="00452C66">
        <w:rPr>
          <w:u w:val="single"/>
        </w:rPr>
        <w:t>Docket Number</w:t>
      </w:r>
      <w:r w:rsidRPr="00452C66">
        <w:tab/>
      </w:r>
      <w:r w:rsidRPr="00452C66">
        <w:rPr>
          <w:u w:val="single"/>
        </w:rPr>
        <w:t>Filing Type</w:t>
      </w:r>
    </w:p>
    <w:p w:rsidR="00452C66" w:rsidRPr="00452C66" w:rsidRDefault="00452C66" w:rsidP="00452C66">
      <w:pPr>
        <w:spacing w:after="240"/>
        <w:jc w:val="both"/>
      </w:pPr>
      <w:r w:rsidRPr="00452C66">
        <w:t>*</w:t>
      </w:r>
      <w:r w:rsidRPr="00452C66">
        <w:tab/>
      </w:r>
      <w:r w:rsidRPr="00452C66">
        <w:tab/>
      </w:r>
      <w:r w:rsidRPr="00452C66">
        <w:tab/>
      </w:r>
      <w:r w:rsidRPr="00452C66">
        <w:tab/>
        <w:t>*</w:t>
      </w:r>
      <w:r w:rsidRPr="00452C66">
        <w:tab/>
      </w:r>
      <w:r w:rsidRPr="00452C66">
        <w:tab/>
        <w:t>20170249-WS</w:t>
      </w:r>
      <w:r w:rsidRPr="00452C66">
        <w:tab/>
      </w:r>
      <w:r w:rsidRPr="00452C66">
        <w:tab/>
        <w:t>Original Certificate</w:t>
      </w:r>
    </w:p>
    <w:p w:rsidR="00452C66" w:rsidRPr="00452C66" w:rsidRDefault="00452C66" w:rsidP="00452C66">
      <w:pPr>
        <w:spacing w:after="240"/>
        <w:jc w:val="both"/>
      </w:pPr>
    </w:p>
    <w:p w:rsidR="00452C66" w:rsidRDefault="00452C66" w:rsidP="00452C66">
      <w:pPr>
        <w:pStyle w:val="OrderBody"/>
      </w:pPr>
      <w:r w:rsidRPr="00452C66">
        <w:t>* Order Number and date to be provided at time of issuance.</w:t>
      </w:r>
    </w:p>
    <w:p w:rsidR="00452C66" w:rsidRDefault="00452C66" w:rsidP="00452C66">
      <w:pPr>
        <w:pStyle w:val="OrderBody"/>
      </w:pPr>
    </w:p>
    <w:p w:rsidR="00452C66" w:rsidRDefault="00452C66" w:rsidP="00452C66">
      <w:pPr>
        <w:pStyle w:val="OrderBody"/>
        <w:rPr>
          <w:rFonts w:eastAsiaTheme="minorHAnsi"/>
        </w:rPr>
        <w:sectPr w:rsidR="00452C66">
          <w:headerReference w:type="first" r:id="rId11"/>
          <w:pgSz w:w="12240" w:h="15840" w:code="1"/>
          <w:pgMar w:top="1440" w:right="1440" w:bottom="1440" w:left="1440" w:header="720" w:footer="720" w:gutter="0"/>
          <w:cols w:space="720"/>
          <w:titlePg/>
          <w:docGrid w:linePitch="360"/>
        </w:sectPr>
      </w:pPr>
    </w:p>
    <w:p w:rsidR="00452C66" w:rsidRPr="00452C66" w:rsidRDefault="00452C66" w:rsidP="00452C66">
      <w:pPr>
        <w:spacing w:after="240"/>
        <w:jc w:val="center"/>
        <w:rPr>
          <w:b/>
        </w:rPr>
      </w:pPr>
      <w:r w:rsidRPr="00452C66">
        <w:rPr>
          <w:b/>
        </w:rPr>
        <w:lastRenderedPageBreak/>
        <w:t>FLORIDA PUBLIC SERVICE COMMISSION</w:t>
      </w:r>
    </w:p>
    <w:p w:rsidR="00452C66" w:rsidRPr="00452C66" w:rsidRDefault="00452C66" w:rsidP="00452C66">
      <w:pPr>
        <w:spacing w:after="240"/>
        <w:jc w:val="center"/>
        <w:rPr>
          <w:b/>
        </w:rPr>
      </w:pPr>
      <w:r w:rsidRPr="00452C66">
        <w:rPr>
          <w:b/>
        </w:rPr>
        <w:t>authorizes</w:t>
      </w:r>
    </w:p>
    <w:p w:rsidR="00452C66" w:rsidRPr="00452C66" w:rsidRDefault="00452C66" w:rsidP="00452C66">
      <w:pPr>
        <w:jc w:val="center"/>
        <w:rPr>
          <w:b/>
          <w:strike/>
        </w:rPr>
      </w:pPr>
      <w:r w:rsidRPr="00452C66">
        <w:rPr>
          <w:b/>
        </w:rPr>
        <w:t>RSPI MHC, LLC</w:t>
      </w:r>
    </w:p>
    <w:p w:rsidR="00452C66" w:rsidRPr="00452C66" w:rsidRDefault="00452C66" w:rsidP="00452C66">
      <w:pPr>
        <w:jc w:val="center"/>
        <w:rPr>
          <w:b/>
        </w:rPr>
      </w:pPr>
      <w:r w:rsidRPr="00452C66">
        <w:rPr>
          <w:b/>
        </w:rPr>
        <w:t>pursuant to</w:t>
      </w:r>
    </w:p>
    <w:p w:rsidR="00452C66" w:rsidRPr="00452C66" w:rsidRDefault="00452C66" w:rsidP="00452C66">
      <w:pPr>
        <w:spacing w:after="240"/>
        <w:jc w:val="center"/>
        <w:rPr>
          <w:b/>
        </w:rPr>
      </w:pPr>
      <w:r w:rsidRPr="00452C66">
        <w:rPr>
          <w:b/>
        </w:rPr>
        <w:t>Certificate Number 574 -S</w:t>
      </w:r>
    </w:p>
    <w:p w:rsidR="00452C66" w:rsidRPr="00452C66" w:rsidRDefault="00452C66" w:rsidP="00452C66">
      <w:pPr>
        <w:spacing w:after="240"/>
        <w:jc w:val="both"/>
      </w:pPr>
      <w:r w:rsidRPr="00452C66">
        <w:t xml:space="preserve">to provide wastewater service in </w:t>
      </w:r>
      <w:r w:rsidRPr="00452C66">
        <w:rPr>
          <w:u w:val="single"/>
        </w:rPr>
        <w:t>Orange County</w:t>
      </w:r>
      <w:r w:rsidRPr="00452C6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452C66" w:rsidRPr="00452C66" w:rsidRDefault="00452C66" w:rsidP="00452C66">
      <w:pPr>
        <w:spacing w:after="240"/>
        <w:jc w:val="both"/>
      </w:pPr>
      <w:r w:rsidRPr="00452C66">
        <w:rPr>
          <w:u w:val="single"/>
        </w:rPr>
        <w:t>Order Number</w:t>
      </w:r>
      <w:r w:rsidRPr="00452C66">
        <w:tab/>
      </w:r>
      <w:r w:rsidRPr="00452C66">
        <w:tab/>
      </w:r>
      <w:r w:rsidRPr="00452C66">
        <w:tab/>
      </w:r>
      <w:r w:rsidRPr="00452C66">
        <w:rPr>
          <w:u w:val="single"/>
        </w:rPr>
        <w:t>Date Issued</w:t>
      </w:r>
      <w:r w:rsidRPr="00452C66">
        <w:tab/>
      </w:r>
      <w:r w:rsidRPr="00452C66">
        <w:rPr>
          <w:u w:val="single"/>
        </w:rPr>
        <w:t>Docket Number</w:t>
      </w:r>
      <w:r w:rsidRPr="00452C66">
        <w:tab/>
      </w:r>
      <w:r w:rsidRPr="00452C66">
        <w:rPr>
          <w:u w:val="single"/>
        </w:rPr>
        <w:t>Filing Type</w:t>
      </w:r>
    </w:p>
    <w:p w:rsidR="00452C66" w:rsidRPr="00452C66" w:rsidRDefault="00452C66" w:rsidP="00452C66">
      <w:pPr>
        <w:spacing w:after="240"/>
        <w:jc w:val="both"/>
      </w:pPr>
      <w:r w:rsidRPr="00452C66">
        <w:t>*</w:t>
      </w:r>
      <w:r w:rsidRPr="00452C66">
        <w:tab/>
      </w:r>
      <w:r w:rsidRPr="00452C66">
        <w:tab/>
      </w:r>
      <w:r w:rsidRPr="00452C66">
        <w:tab/>
      </w:r>
      <w:r w:rsidRPr="00452C66">
        <w:tab/>
        <w:t>*</w:t>
      </w:r>
      <w:r w:rsidRPr="00452C66">
        <w:tab/>
      </w:r>
      <w:r w:rsidRPr="00452C66">
        <w:tab/>
        <w:t>20170249-WS</w:t>
      </w:r>
      <w:r w:rsidRPr="00452C66">
        <w:tab/>
      </w:r>
      <w:r w:rsidRPr="00452C66">
        <w:tab/>
        <w:t>Original Certificate</w:t>
      </w:r>
    </w:p>
    <w:p w:rsidR="00452C66" w:rsidRPr="00452C66" w:rsidRDefault="00452C66" w:rsidP="00452C66">
      <w:pPr>
        <w:spacing w:after="240"/>
        <w:jc w:val="both"/>
      </w:pPr>
    </w:p>
    <w:p w:rsidR="00452C66" w:rsidRDefault="00452C66" w:rsidP="00452C66">
      <w:pPr>
        <w:pStyle w:val="OrderBody"/>
      </w:pPr>
      <w:r w:rsidRPr="00452C66">
        <w:t>* Order Number and date to be provided at time of issuance.</w:t>
      </w:r>
    </w:p>
    <w:p w:rsidR="00452C66" w:rsidRDefault="00452C66" w:rsidP="00452C66">
      <w:pPr>
        <w:pStyle w:val="OrderBody"/>
      </w:pPr>
    </w:p>
    <w:p w:rsidR="00452C66" w:rsidRDefault="00452C66" w:rsidP="00452C66">
      <w:pPr>
        <w:pStyle w:val="OrderBody"/>
        <w:rPr>
          <w:rFonts w:eastAsiaTheme="minorHAnsi"/>
        </w:rPr>
        <w:sectPr w:rsidR="00452C66">
          <w:headerReference w:type="first" r:id="rId12"/>
          <w:pgSz w:w="12240" w:h="15840" w:code="1"/>
          <w:pgMar w:top="1440" w:right="1440" w:bottom="1440" w:left="1440" w:header="720" w:footer="720" w:gutter="0"/>
          <w:cols w:space="720"/>
          <w:titlePg/>
          <w:docGrid w:linePitch="360"/>
        </w:sectPr>
      </w:pPr>
    </w:p>
    <w:p w:rsidR="00452C66" w:rsidRPr="007E0558" w:rsidRDefault="00452C66" w:rsidP="00452C66">
      <w:pPr>
        <w:jc w:val="center"/>
        <w:rPr>
          <w:rFonts w:ascii="Arial" w:hAnsi="Arial" w:cs="Arial"/>
          <w:b/>
        </w:rPr>
      </w:pPr>
      <w:r w:rsidRPr="007E0558">
        <w:rPr>
          <w:rFonts w:ascii="Arial" w:hAnsi="Arial" w:cs="Arial"/>
          <w:b/>
        </w:rPr>
        <w:lastRenderedPageBreak/>
        <w:t>RSPI MHC, LLC</w:t>
      </w:r>
    </w:p>
    <w:p w:rsidR="00452C66" w:rsidRPr="007E0558" w:rsidRDefault="00452C66" w:rsidP="00452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7E0558">
        <w:rPr>
          <w:rFonts w:ascii="Arial" w:hAnsi="Arial" w:cs="Arial"/>
          <w:b/>
        </w:rPr>
        <w:t xml:space="preserve">Monthly Water and Wastewater </w:t>
      </w:r>
      <w:r>
        <w:rPr>
          <w:rFonts w:ascii="Arial" w:hAnsi="Arial" w:cs="Arial"/>
          <w:b/>
        </w:rPr>
        <w:t>R</w:t>
      </w:r>
      <w:r w:rsidRPr="007E0558">
        <w:rPr>
          <w:rFonts w:ascii="Arial" w:hAnsi="Arial" w:cs="Arial"/>
          <w:b/>
        </w:rPr>
        <w:t>ates</w:t>
      </w:r>
    </w:p>
    <w:p w:rsidR="00452C66" w:rsidRPr="007E0558" w:rsidRDefault="00452C66" w:rsidP="00452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7E0558">
        <w:rPr>
          <w:rFonts w:ascii="Arial" w:hAnsi="Arial" w:cs="Arial"/>
          <w:b/>
        </w:rPr>
        <w:t>Water Service</w:t>
      </w:r>
    </w:p>
    <w:tbl>
      <w:tblPr>
        <w:tblW w:w="9720" w:type="dxa"/>
        <w:tblInd w:w="-72" w:type="dxa"/>
        <w:tblLook w:val="01E0" w:firstRow="1" w:lastRow="1" w:firstColumn="1" w:lastColumn="1" w:noHBand="0" w:noVBand="0"/>
      </w:tblPr>
      <w:tblGrid>
        <w:gridCol w:w="4500"/>
        <w:gridCol w:w="810"/>
        <w:gridCol w:w="4410"/>
      </w:tblGrid>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E0558">
              <w:rPr>
                <w:rFonts w:ascii="Arial" w:hAnsi="Arial" w:cs="Arial"/>
                <w:b/>
              </w:rPr>
              <w:t>Residential and General Service</w:t>
            </w: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E0558">
              <w:t>Base Facility Charge – All Meter Sizes</w:t>
            </w: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$5.00</w:t>
            </w: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Charge Per 1,000 gallons</w:t>
            </w: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0-4,000 gallons</w:t>
            </w: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$0.50</w:t>
            </w: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4,001-8,000 gallons</w:t>
            </w: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$2.50</w:t>
            </w: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Over 8,000 gallons</w:t>
            </w: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$5.50</w:t>
            </w:r>
          </w:p>
        </w:tc>
      </w:tr>
      <w:tr w:rsidR="00452C66" w:rsidRPr="007E0558" w:rsidTr="00F46CBD">
        <w:tc>
          <w:tcPr>
            <w:tcW w:w="450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452C66" w:rsidRPr="007E0558" w:rsidRDefault="00452C66" w:rsidP="00452C6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720" w:type="dxa"/>
        <w:tblInd w:w="-72" w:type="dxa"/>
        <w:tblLook w:val="01E0" w:firstRow="1" w:lastRow="1" w:firstColumn="1" w:lastColumn="1" w:noHBand="0" w:noVBand="0"/>
      </w:tblPr>
      <w:tblGrid>
        <w:gridCol w:w="4860"/>
        <w:gridCol w:w="450"/>
        <w:gridCol w:w="4410"/>
      </w:tblGrid>
      <w:tr w:rsidR="00452C66" w:rsidRPr="007E0558" w:rsidTr="00F46CBD">
        <w:tc>
          <w:tcPr>
            <w:tcW w:w="9720" w:type="dxa"/>
            <w:gridSpan w:val="3"/>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7E0558">
              <w:rPr>
                <w:rFonts w:ascii="Arial" w:hAnsi="Arial" w:cs="Arial"/>
                <w:b/>
              </w:rPr>
              <w:t>Wastewater Service</w:t>
            </w:r>
          </w:p>
        </w:tc>
      </w:tr>
      <w:tr w:rsidR="00452C66" w:rsidRPr="007E0558" w:rsidTr="00F46CBD">
        <w:tc>
          <w:tcPr>
            <w:tcW w:w="486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2C66" w:rsidRPr="007E0558" w:rsidTr="00F46CBD">
        <w:tc>
          <w:tcPr>
            <w:tcW w:w="486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E0558">
              <w:rPr>
                <w:rFonts w:ascii="Arial" w:hAnsi="Arial" w:cs="Arial"/>
                <w:b/>
              </w:rPr>
              <w:t>Residential and General Service</w:t>
            </w:r>
          </w:p>
        </w:tc>
        <w:tc>
          <w:tcPr>
            <w:tcW w:w="45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52C66" w:rsidRPr="007E0558" w:rsidTr="00F46CBD">
        <w:tc>
          <w:tcPr>
            <w:tcW w:w="486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E0558">
              <w:t>Base Facility Charge -  All Meter Sizes</w:t>
            </w:r>
          </w:p>
        </w:tc>
        <w:tc>
          <w:tcPr>
            <w:tcW w:w="45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$9.00</w:t>
            </w:r>
          </w:p>
        </w:tc>
      </w:tr>
      <w:tr w:rsidR="00452C66" w:rsidRPr="007E0558" w:rsidTr="00F46CBD">
        <w:tc>
          <w:tcPr>
            <w:tcW w:w="486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52C66" w:rsidRPr="007E0558" w:rsidTr="00F46CBD">
        <w:tc>
          <w:tcPr>
            <w:tcW w:w="486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E0558">
              <w:t>Charge Per 1,000 gallons</w:t>
            </w:r>
          </w:p>
        </w:tc>
        <w:tc>
          <w:tcPr>
            <w:tcW w:w="45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$1.00</w:t>
            </w:r>
          </w:p>
        </w:tc>
      </w:tr>
      <w:tr w:rsidR="00452C66" w:rsidRPr="007E0558" w:rsidTr="00F46CBD">
        <w:tc>
          <w:tcPr>
            <w:tcW w:w="486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 Cap</w:t>
            </w:r>
          </w:p>
        </w:tc>
        <w:tc>
          <w:tcPr>
            <w:tcW w:w="450" w:type="dxa"/>
            <w:shd w:val="clear" w:color="auto" w:fill="auto"/>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452C66" w:rsidRPr="007E0558" w:rsidRDefault="00452C66" w:rsidP="00F46C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452C66" w:rsidRPr="00452C66" w:rsidRDefault="00452C66" w:rsidP="00452C66">
      <w:pPr>
        <w:pStyle w:val="OrderBody"/>
        <w:rPr>
          <w:rFonts w:eastAsiaTheme="minorHAnsi"/>
        </w:rPr>
      </w:pPr>
    </w:p>
    <w:sectPr w:rsidR="00452C66" w:rsidRPr="00452C66">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BD" w:rsidRDefault="00F46CBD">
      <w:r>
        <w:separator/>
      </w:r>
    </w:p>
  </w:endnote>
  <w:endnote w:type="continuationSeparator" w:id="0">
    <w:p w:rsidR="00F46CBD" w:rsidRDefault="00F4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pPr>
      <w:pStyle w:val="Footer"/>
    </w:pPr>
  </w:p>
  <w:p w:rsidR="00F46CBD" w:rsidRDefault="00F46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BD" w:rsidRDefault="00F46CBD">
      <w:r>
        <w:separator/>
      </w:r>
    </w:p>
  </w:footnote>
  <w:footnote w:type="continuationSeparator" w:id="0">
    <w:p w:rsidR="00F46CBD" w:rsidRDefault="00F46CBD">
      <w:r>
        <w:continuationSeparator/>
      </w:r>
    </w:p>
  </w:footnote>
  <w:footnote w:id="1">
    <w:p w:rsidR="00F46CBD" w:rsidRDefault="00F46CBD" w:rsidP="00E21D8C">
      <w:pPr>
        <w:pStyle w:val="FootnoteText"/>
      </w:pPr>
      <w:r>
        <w:rPr>
          <w:rStyle w:val="FootnoteReference"/>
        </w:rPr>
        <w:footnoteRef/>
      </w:r>
      <w:r>
        <w:t>Document No. 07364-2018, filed on December 3, 2018, in Docket No. 20170249-WS.</w:t>
      </w:r>
    </w:p>
  </w:footnote>
  <w:footnote w:id="2">
    <w:p w:rsidR="00F46CBD" w:rsidRDefault="00F46CBD" w:rsidP="00E21D8C">
      <w:pPr>
        <w:pStyle w:val="FootnoteText"/>
      </w:pPr>
      <w:r>
        <w:rPr>
          <w:rStyle w:val="FootnoteReference"/>
        </w:rPr>
        <w:footnoteRef/>
      </w:r>
      <w:r>
        <w:t xml:space="preserve">Document No. </w:t>
      </w:r>
      <w:r w:rsidRPr="00BE43F3">
        <w:t>10776-2017, filed on December 20, 2017, in Docket No. 20170249-WS.</w:t>
      </w:r>
    </w:p>
  </w:footnote>
  <w:footnote w:id="3">
    <w:p w:rsidR="00F46CBD" w:rsidRDefault="00F46CBD" w:rsidP="00E21D8C">
      <w:pPr>
        <w:pStyle w:val="FootnoteText"/>
      </w:pPr>
      <w:r>
        <w:rPr>
          <w:rStyle w:val="FootnoteReference"/>
        </w:rPr>
        <w:footnoteRef/>
      </w:r>
      <w:r>
        <w:t xml:space="preserve">Document No. </w:t>
      </w:r>
      <w:r w:rsidRPr="00BE43F3">
        <w:t xml:space="preserve">06689-2018, filed on </w:t>
      </w:r>
      <w:r>
        <w:t>October</w:t>
      </w:r>
      <w:r w:rsidRPr="00BE43F3">
        <w:t xml:space="preserve"> 2</w:t>
      </w:r>
      <w:r>
        <w:t>2</w:t>
      </w:r>
      <w:r w:rsidRPr="00BE43F3">
        <w:t>, 201</w:t>
      </w:r>
      <w:r>
        <w:t>8</w:t>
      </w:r>
      <w:r w:rsidRPr="00BE43F3">
        <w:t>, in Docket No. 20170249-WS</w:t>
      </w:r>
      <w:r>
        <w:t>.</w:t>
      </w:r>
    </w:p>
  </w:footnote>
  <w:footnote w:id="4">
    <w:p w:rsidR="00F46CBD" w:rsidRPr="00842CCE" w:rsidRDefault="00F46CBD" w:rsidP="00E21D8C">
      <w:pPr>
        <w:pStyle w:val="FootnoteText"/>
        <w:rPr>
          <w:i/>
        </w:rPr>
      </w:pPr>
      <w:r w:rsidRPr="00842CCE">
        <w:rPr>
          <w:rStyle w:val="FootnoteReference"/>
        </w:rPr>
        <w:footnoteRef/>
      </w:r>
      <w:r w:rsidRPr="00842CCE">
        <w:t>Order No. PSC-05-1116-PAA-WS, issued November 7, 2018, in Docket No. 050061-WS,</w:t>
      </w:r>
      <w:r w:rsidRPr="00842CCE">
        <w:rPr>
          <w:i/>
        </w:rPr>
        <w:t xml:space="preserve"> In re: Application for grandfather certificates to operate water and wastewater facility in Okeechobee County by Pine Ridge Management Corporation.</w:t>
      </w:r>
    </w:p>
  </w:footnote>
  <w:footnote w:id="5">
    <w:p w:rsidR="00F46CBD" w:rsidRPr="007A2CEE" w:rsidRDefault="00F46CBD" w:rsidP="00E21D8C">
      <w:pPr>
        <w:pStyle w:val="FootnoteText"/>
        <w:rPr>
          <w:i/>
        </w:rPr>
      </w:pPr>
      <w:r w:rsidRPr="007A2CEE">
        <w:rPr>
          <w:rStyle w:val="FootnoteReference"/>
        </w:rPr>
        <w:footnoteRef/>
      </w:r>
      <w:r w:rsidRPr="007A2CEE">
        <w:t xml:space="preserve">Order No. PSC-01-0998-TRF-WU, issued April 23, 2001, in Docket No. </w:t>
      </w:r>
      <w:r>
        <w:t>200</w:t>
      </w:r>
      <w:r w:rsidRPr="007A2CEE">
        <w:t xml:space="preserve">10232-WU, </w:t>
      </w:r>
      <w:r w:rsidRPr="007A2CEE">
        <w:rPr>
          <w:i/>
        </w:rPr>
        <w:t>In re: Request for approval of tariff filing to add "set rate" late fee to water tariff, by Lake Yale Treatment Associates, Inc. in Lake County.</w:t>
      </w:r>
    </w:p>
  </w:footnote>
  <w:footnote w:id="6">
    <w:p w:rsidR="00F46CBD" w:rsidRPr="007A2CEE" w:rsidRDefault="00F46CBD" w:rsidP="00E21D8C">
      <w:pPr>
        <w:pStyle w:val="FootnoteText"/>
      </w:pPr>
      <w:r w:rsidRPr="007A2CEE">
        <w:rPr>
          <w:rStyle w:val="FootnoteReference"/>
        </w:rPr>
        <w:footnoteRef/>
      </w:r>
      <w:r w:rsidRPr="007A2CEE">
        <w:t xml:space="preserve">Order Nos. PSC-16-0041-TRF-WU, in Docket No. </w:t>
      </w:r>
      <w:r>
        <w:t>20</w:t>
      </w:r>
      <w:r w:rsidRPr="007A2CEE">
        <w:t xml:space="preserve">150215-WU, issued January 25, 2016, </w:t>
      </w:r>
      <w:r w:rsidRPr="007A2CEE">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7A2CEE">
        <w:t xml:space="preserve">; PSC-15-0569-PAA-WS in Docket No. </w:t>
      </w:r>
      <w:r>
        <w:t>20</w:t>
      </w:r>
      <w:r w:rsidRPr="007A2CEE">
        <w:t xml:space="preserve">140239-WS, issued December 16, 2015, </w:t>
      </w:r>
      <w:r w:rsidRPr="007A2CEE">
        <w:rPr>
          <w:i/>
        </w:rPr>
        <w:t>In re: Application for staff-assisted rate case in Polk County by Orchid Springs Development Corporation.;</w:t>
      </w:r>
      <w:r w:rsidRPr="007A2CEE">
        <w:t xml:space="preserve"> PSC-16-0523-TRF-WU, in Docket No. </w:t>
      </w:r>
      <w:r>
        <w:t>20</w:t>
      </w:r>
      <w:r w:rsidRPr="007A2CEE">
        <w:t xml:space="preserve">160023-WU, issued November 21, 2016, </w:t>
      </w:r>
      <w:r w:rsidRPr="007A2CEE">
        <w:rPr>
          <w:i/>
        </w:rPr>
        <w:t>In re: Application for transfer of majority organizational control of Sunny Shores Water Company, Inc., holder of Certificate No. 578- W in Manatee County, from Jack E. Mason to Jack E. Mason, II and Debbie A. Mason.</w:t>
      </w:r>
    </w:p>
  </w:footnote>
  <w:footnote w:id="7">
    <w:p w:rsidR="00F46CBD" w:rsidRPr="007A2CEE" w:rsidRDefault="00F46CBD" w:rsidP="00E21D8C">
      <w:pPr>
        <w:tabs>
          <w:tab w:val="left" w:pos="7605"/>
        </w:tabs>
        <w:jc w:val="both"/>
        <w:rPr>
          <w:sz w:val="20"/>
          <w:szCs w:val="20"/>
        </w:rPr>
      </w:pPr>
      <w:r w:rsidRPr="007A2CEE">
        <w:rPr>
          <w:rStyle w:val="FootnoteReference"/>
        </w:rPr>
        <w:footnoteRef/>
      </w:r>
      <w:r w:rsidRPr="007A2CEE">
        <w:rPr>
          <w:sz w:val="20"/>
          <w:szCs w:val="20"/>
        </w:rPr>
        <w:t xml:space="preserve">Order Nos. PSC-14-0105-TRF-WS, in Docket No. </w:t>
      </w:r>
      <w:r>
        <w:rPr>
          <w:sz w:val="20"/>
          <w:szCs w:val="20"/>
        </w:rPr>
        <w:t>20</w:t>
      </w:r>
      <w:r w:rsidRPr="007A2CEE">
        <w:rPr>
          <w:sz w:val="20"/>
          <w:szCs w:val="20"/>
        </w:rPr>
        <w:t xml:space="preserve">130288-WS, issued February 20, 2014, </w:t>
      </w:r>
      <w:r w:rsidRPr="007A2CEE">
        <w:rPr>
          <w:i/>
          <w:sz w:val="20"/>
          <w:szCs w:val="20"/>
        </w:rPr>
        <w:t xml:space="preserve">In re: Request for approval of late payment charge in Brevard County by Aquarina Utilities, Inc.; </w:t>
      </w:r>
      <w:r w:rsidRPr="007A2CEE">
        <w:rPr>
          <w:sz w:val="20"/>
          <w:szCs w:val="20"/>
        </w:rPr>
        <w:t>PSC-15-0535-PAA-WU</w:t>
      </w:r>
      <w:r>
        <w:rPr>
          <w:sz w:val="20"/>
          <w:szCs w:val="20"/>
        </w:rPr>
        <w:t>,</w:t>
      </w:r>
      <w:r w:rsidRPr="007A2CEE">
        <w:rPr>
          <w:sz w:val="20"/>
          <w:szCs w:val="20"/>
        </w:rPr>
        <w:t xml:space="preserve"> in Docket No. 20140217-WU, issued November 19, 2015, </w:t>
      </w:r>
      <w:r w:rsidRPr="007A2CEE">
        <w:rPr>
          <w:i/>
          <w:sz w:val="20"/>
          <w:szCs w:val="20"/>
        </w:rPr>
        <w:t>In re: Application for staff-assisted rate case in Sumter County by Cedar Acres, Inc.;</w:t>
      </w:r>
      <w:r w:rsidRPr="009C5B1A">
        <w:rPr>
          <w:sz w:val="20"/>
          <w:szCs w:val="20"/>
        </w:rPr>
        <w:t xml:space="preserve"> PSC-15-0569-PAA-WS</w:t>
      </w:r>
      <w:r>
        <w:rPr>
          <w:sz w:val="20"/>
          <w:szCs w:val="20"/>
        </w:rPr>
        <w:t>,</w:t>
      </w:r>
      <w:r w:rsidRPr="009C5B1A">
        <w:rPr>
          <w:sz w:val="20"/>
          <w:szCs w:val="20"/>
        </w:rPr>
        <w:t xml:space="preserve"> in Docket No. 20140239-WS</w:t>
      </w:r>
      <w:r w:rsidRPr="007A2CEE">
        <w:rPr>
          <w:i/>
          <w:sz w:val="20"/>
          <w:szCs w:val="20"/>
        </w:rPr>
        <w:t xml:space="preserve">, </w:t>
      </w:r>
      <w:r w:rsidRPr="009B2450">
        <w:rPr>
          <w:sz w:val="20"/>
          <w:szCs w:val="20"/>
        </w:rPr>
        <w:t>issued December 16, 2015</w:t>
      </w:r>
      <w:r>
        <w:rPr>
          <w:i/>
          <w:sz w:val="20"/>
          <w:szCs w:val="20"/>
        </w:rPr>
        <w:t xml:space="preserve">, In re: </w:t>
      </w:r>
      <w:r w:rsidRPr="003276D6">
        <w:rPr>
          <w:i/>
          <w:sz w:val="20"/>
          <w:szCs w:val="20"/>
        </w:rPr>
        <w:t>Application for staff-assisted rate case in Polk County by Orchid Springs Development Corporation.</w:t>
      </w:r>
    </w:p>
    <w:p w:rsidR="00F46CBD" w:rsidRDefault="00F46CBD" w:rsidP="00E21D8C">
      <w:pPr>
        <w:pStyle w:val="FootnoteText"/>
      </w:pPr>
    </w:p>
  </w:footnote>
  <w:footnote w:id="8">
    <w:p w:rsidR="00F46CBD" w:rsidRPr="000905D7" w:rsidRDefault="00F46CBD" w:rsidP="00E21D8C">
      <w:pPr>
        <w:pStyle w:val="FootnoteText"/>
      </w:pPr>
      <w:r w:rsidRPr="000905D7">
        <w:rPr>
          <w:rStyle w:val="FootnoteReference"/>
        </w:rPr>
        <w:footnoteRef/>
      </w:r>
      <w:r w:rsidRPr="000905D7">
        <w:t xml:space="preserve">Order Nos. PSC-14-0198-TRF-SU, issued May 2, 2014, in Docket No. </w:t>
      </w:r>
      <w:r>
        <w:t>20</w:t>
      </w:r>
      <w:r w:rsidRPr="000905D7">
        <w:t xml:space="preserve">140030-SU, </w:t>
      </w:r>
      <w:r w:rsidRPr="000905D7">
        <w:rPr>
          <w:i/>
        </w:rPr>
        <w:t>In re: Request for approval to amend Miscellaneous Service charges to include all NSF charges by Environmental Protection Systems of Pine Island, Inc.;</w:t>
      </w:r>
      <w:r w:rsidRPr="000905D7">
        <w:t xml:space="preserve"> and PSC-13-0646-PAA-WU, issued December 5, 2013, in Docket No. </w:t>
      </w:r>
      <w:r>
        <w:t>20</w:t>
      </w:r>
      <w:r w:rsidRPr="000905D7">
        <w:t xml:space="preserve">130025-WU, </w:t>
      </w:r>
      <w:r w:rsidRPr="000905D7">
        <w:rPr>
          <w:i/>
        </w:rPr>
        <w:t>In re: Application for increase in water rates in Highlands County by Placid Lakes Utilities, Inc.</w:t>
      </w:r>
    </w:p>
  </w:footnote>
  <w:footnote w:id="9">
    <w:p w:rsidR="00F46CBD" w:rsidRPr="009238AF" w:rsidRDefault="00F46CBD" w:rsidP="00E21D8C">
      <w:pPr>
        <w:pStyle w:val="FootnoteText"/>
      </w:pPr>
      <w:r w:rsidRPr="009238AF">
        <w:rPr>
          <w:rStyle w:val="FootnoteReference"/>
        </w:rPr>
        <w:footnoteRef/>
      </w:r>
      <w:r w:rsidRPr="009238AF">
        <w:t xml:space="preserve">Order Nos. PSC-2017-0428-PAA-WS, issued November 7, 2017, in Docket No. 20160195-WS, </w:t>
      </w:r>
      <w:r w:rsidRPr="009238AF">
        <w:rPr>
          <w:i/>
        </w:rPr>
        <w:t>In re: Application for staff-assisted rate case in Lake County by Lakeside Waterworks, Inc.</w:t>
      </w:r>
      <w:r>
        <w:t xml:space="preserve">; </w:t>
      </w:r>
      <w:r w:rsidRPr="009238AF">
        <w:t xml:space="preserve">and PSC-17-0113-PAA-WS, issued March 28, 2017, in Docket No. 20130105-WS, </w:t>
      </w:r>
      <w:r w:rsidRPr="009238AF">
        <w:rPr>
          <w:i/>
        </w:rPr>
        <w:t>In re: Application for certificates to provide water and wastewater service in Hendry and Collier Counties, by Consolidated Services of Hendry &amp; Collier, LLC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pPr>
      <w:pStyle w:val="OrderHeader"/>
    </w:pPr>
    <w:r>
      <w:t xml:space="preserve">ORDER NO. </w:t>
    </w:r>
    <w:r w:rsidR="009D2E97">
      <w:fldChar w:fldCharType="begin"/>
    </w:r>
    <w:r w:rsidR="009D2E97">
      <w:instrText xml:space="preserve"> REF OrderNo0047 </w:instrText>
    </w:r>
    <w:r w:rsidR="009D2E97">
      <w:fldChar w:fldCharType="separate"/>
    </w:r>
    <w:r w:rsidR="009D2E97">
      <w:t>PSC-2019-0047-PAA-WS</w:t>
    </w:r>
    <w:r w:rsidR="009D2E97">
      <w:fldChar w:fldCharType="end"/>
    </w:r>
  </w:p>
  <w:p w:rsidR="00F46CBD" w:rsidRDefault="00F46CBD">
    <w:pPr>
      <w:pStyle w:val="OrderHeader"/>
    </w:pPr>
    <w:bookmarkStart w:id="9" w:name="HeaderDocketNo"/>
    <w:bookmarkEnd w:id="9"/>
    <w:r>
      <w:t>DOCKET NO. 20170249-WS</w:t>
    </w:r>
  </w:p>
  <w:p w:rsidR="00F46CBD" w:rsidRDefault="00F46CB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E97">
      <w:rPr>
        <w:rStyle w:val="PageNumber"/>
        <w:noProof/>
      </w:rPr>
      <w:t>13</w:t>
    </w:r>
    <w:r>
      <w:rPr>
        <w:rStyle w:val="PageNumber"/>
      </w:rPr>
      <w:fldChar w:fldCharType="end"/>
    </w:r>
  </w:p>
  <w:p w:rsidR="00F46CBD" w:rsidRDefault="00F46CB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rsidP="00452C66">
    <w:pPr>
      <w:pStyle w:val="OrderHeader"/>
    </w:pPr>
    <w:r>
      <w:t xml:space="preserve">ORDER NO. </w:t>
    </w:r>
    <w:r w:rsidR="009D2E97">
      <w:fldChar w:fldCharType="begin"/>
    </w:r>
    <w:r w:rsidR="009D2E97">
      <w:instrText xml:space="preserve"> REF OrderNo0047 </w:instrText>
    </w:r>
    <w:r w:rsidR="009D2E97">
      <w:fldChar w:fldCharType="separate"/>
    </w:r>
    <w:r w:rsidR="009D2E97">
      <w:t>PSC-2019-0047-PAA-WS</w:t>
    </w:r>
    <w:r w:rsidR="009D2E97">
      <w:fldChar w:fldCharType="end"/>
    </w:r>
    <w:r>
      <w:tab/>
    </w:r>
    <w:r>
      <w:tab/>
      <w:t>Attachment A</w:t>
    </w:r>
  </w:p>
  <w:p w:rsidR="00F46CBD" w:rsidRDefault="00F46CBD" w:rsidP="00452C66">
    <w:pPr>
      <w:pStyle w:val="OrderHeader"/>
    </w:pPr>
    <w:r>
      <w:t>DOCKET NO. 20170249-WS</w:t>
    </w:r>
    <w:r>
      <w:tab/>
    </w:r>
    <w:r>
      <w:tab/>
      <w:t>Page 1 of 4</w:t>
    </w:r>
  </w:p>
  <w:p w:rsidR="00F46CBD" w:rsidRDefault="00F46CBD" w:rsidP="00452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E97">
      <w:rPr>
        <w:rStyle w:val="PageNumber"/>
        <w:noProof/>
      </w:rPr>
      <w:t>14</w:t>
    </w:r>
    <w:r>
      <w:rPr>
        <w:rStyle w:val="PageNumber"/>
      </w:rPr>
      <w:fldChar w:fldCharType="end"/>
    </w:r>
  </w:p>
  <w:p w:rsidR="00F46CBD" w:rsidRDefault="00F46CBD" w:rsidP="00452C66">
    <w:pPr>
      <w:pStyle w:val="OrderHeader"/>
    </w:pPr>
  </w:p>
  <w:p w:rsidR="00F46CBD" w:rsidRDefault="00F46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rsidP="00452C66">
    <w:pPr>
      <w:pStyle w:val="OrderHeader"/>
    </w:pPr>
    <w:r>
      <w:t xml:space="preserve">ORDER NO. </w:t>
    </w:r>
    <w:r w:rsidR="009D2E97">
      <w:fldChar w:fldCharType="begin"/>
    </w:r>
    <w:r w:rsidR="009D2E97">
      <w:instrText xml:space="preserve"> REF OrderNo0047 </w:instrText>
    </w:r>
    <w:r w:rsidR="009D2E97">
      <w:fldChar w:fldCharType="separate"/>
    </w:r>
    <w:r w:rsidR="009D2E97">
      <w:t>PSC-2019-0047-PAA-WS</w:t>
    </w:r>
    <w:r w:rsidR="009D2E97">
      <w:fldChar w:fldCharType="end"/>
    </w:r>
    <w:r>
      <w:tab/>
    </w:r>
    <w:r>
      <w:tab/>
      <w:t>Attachment A</w:t>
    </w:r>
  </w:p>
  <w:p w:rsidR="00F46CBD" w:rsidRDefault="00F46CBD" w:rsidP="00452C66">
    <w:pPr>
      <w:pStyle w:val="OrderHeader"/>
    </w:pPr>
    <w:r>
      <w:t>DOCKET NO. 20170249-WS</w:t>
    </w:r>
    <w:r>
      <w:tab/>
    </w:r>
    <w:r>
      <w:tab/>
      <w:t>Page 2 of 4</w:t>
    </w:r>
  </w:p>
  <w:p w:rsidR="00F46CBD" w:rsidRDefault="00F46CBD" w:rsidP="00452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E97">
      <w:rPr>
        <w:rStyle w:val="PageNumber"/>
        <w:noProof/>
      </w:rPr>
      <w:t>15</w:t>
    </w:r>
    <w:r>
      <w:rPr>
        <w:rStyle w:val="PageNumber"/>
      </w:rPr>
      <w:fldChar w:fldCharType="end"/>
    </w:r>
  </w:p>
  <w:p w:rsidR="00F46CBD" w:rsidRDefault="00F46CBD" w:rsidP="00452C66">
    <w:pPr>
      <w:pStyle w:val="OrderHeader"/>
    </w:pPr>
  </w:p>
  <w:p w:rsidR="00F46CBD" w:rsidRDefault="00F46C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rsidP="00452C66">
    <w:pPr>
      <w:pStyle w:val="OrderHeader"/>
    </w:pPr>
    <w:r>
      <w:t xml:space="preserve">ORDER NO. </w:t>
    </w:r>
    <w:r w:rsidR="009D2E97">
      <w:fldChar w:fldCharType="begin"/>
    </w:r>
    <w:r w:rsidR="009D2E97">
      <w:instrText xml:space="preserve"> REF OrderNo0047 </w:instrText>
    </w:r>
    <w:r w:rsidR="009D2E97">
      <w:fldChar w:fldCharType="separate"/>
    </w:r>
    <w:r w:rsidR="009D2E97">
      <w:t>PSC-2019-0047-PAA-WS</w:t>
    </w:r>
    <w:r w:rsidR="009D2E97">
      <w:fldChar w:fldCharType="end"/>
    </w:r>
    <w:r>
      <w:tab/>
    </w:r>
    <w:r>
      <w:tab/>
      <w:t>Attachment A</w:t>
    </w:r>
  </w:p>
  <w:p w:rsidR="00F46CBD" w:rsidRDefault="00F46CBD" w:rsidP="00452C66">
    <w:pPr>
      <w:pStyle w:val="OrderHeader"/>
    </w:pPr>
    <w:r>
      <w:t>DOCKET NO. 20170249-WS</w:t>
    </w:r>
    <w:r>
      <w:tab/>
    </w:r>
    <w:r>
      <w:tab/>
      <w:t>Page 3 of 4</w:t>
    </w:r>
  </w:p>
  <w:p w:rsidR="00F46CBD" w:rsidRDefault="00F46CBD" w:rsidP="00452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E97">
      <w:rPr>
        <w:rStyle w:val="PageNumber"/>
        <w:noProof/>
      </w:rPr>
      <w:t>16</w:t>
    </w:r>
    <w:r>
      <w:rPr>
        <w:rStyle w:val="PageNumber"/>
      </w:rPr>
      <w:fldChar w:fldCharType="end"/>
    </w:r>
  </w:p>
  <w:p w:rsidR="00F46CBD" w:rsidRDefault="00F46CBD" w:rsidP="00452C66">
    <w:pPr>
      <w:pStyle w:val="OrderHeader"/>
    </w:pPr>
  </w:p>
  <w:p w:rsidR="00F46CBD" w:rsidRDefault="00F46C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rsidP="00452C66">
    <w:pPr>
      <w:pStyle w:val="OrderHeader"/>
    </w:pPr>
    <w:r>
      <w:t xml:space="preserve">ORDER NO. </w:t>
    </w:r>
    <w:r w:rsidR="009D2E97">
      <w:fldChar w:fldCharType="begin"/>
    </w:r>
    <w:r w:rsidR="009D2E97">
      <w:instrText xml:space="preserve"> REF OrderNo0047 </w:instrText>
    </w:r>
    <w:r w:rsidR="009D2E97">
      <w:fldChar w:fldCharType="separate"/>
    </w:r>
    <w:r w:rsidR="009D2E97">
      <w:t>PSC-2019-0047-PAA-WS</w:t>
    </w:r>
    <w:r w:rsidR="009D2E97">
      <w:fldChar w:fldCharType="end"/>
    </w:r>
    <w:r>
      <w:tab/>
    </w:r>
    <w:r>
      <w:tab/>
      <w:t>Attachment A</w:t>
    </w:r>
  </w:p>
  <w:p w:rsidR="00F46CBD" w:rsidRDefault="00F46CBD" w:rsidP="00452C66">
    <w:pPr>
      <w:pStyle w:val="OrderHeader"/>
    </w:pPr>
    <w:r>
      <w:t>DOCKET NO. 20170249-WS</w:t>
    </w:r>
    <w:r>
      <w:tab/>
    </w:r>
    <w:r>
      <w:tab/>
      <w:t>Page 4 of 4</w:t>
    </w:r>
  </w:p>
  <w:p w:rsidR="00F46CBD" w:rsidRDefault="00F46CBD" w:rsidP="00452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E97">
      <w:rPr>
        <w:rStyle w:val="PageNumber"/>
        <w:noProof/>
      </w:rPr>
      <w:t>17</w:t>
    </w:r>
    <w:r>
      <w:rPr>
        <w:rStyle w:val="PageNumber"/>
      </w:rPr>
      <w:fldChar w:fldCharType="end"/>
    </w:r>
  </w:p>
  <w:p w:rsidR="00F46CBD" w:rsidRDefault="00F46CBD" w:rsidP="00452C66">
    <w:pPr>
      <w:pStyle w:val="OrderHeader"/>
    </w:pPr>
  </w:p>
  <w:p w:rsidR="00F46CBD" w:rsidRDefault="00F46C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BD" w:rsidRDefault="00F46CBD" w:rsidP="00452C66">
    <w:pPr>
      <w:pStyle w:val="OrderHeader"/>
    </w:pPr>
    <w:r>
      <w:t xml:space="preserve">ORDER NO. </w:t>
    </w:r>
    <w:r w:rsidR="009D2E97">
      <w:fldChar w:fldCharType="begin"/>
    </w:r>
    <w:r w:rsidR="009D2E97">
      <w:instrText xml:space="preserve"> REF OrderNo0047 </w:instrText>
    </w:r>
    <w:r w:rsidR="009D2E97">
      <w:fldChar w:fldCharType="separate"/>
    </w:r>
    <w:r w:rsidR="009D2E97">
      <w:t>PSC-2019-0047-PAA-WS</w:t>
    </w:r>
    <w:r w:rsidR="009D2E97">
      <w:fldChar w:fldCharType="end"/>
    </w:r>
    <w:r>
      <w:tab/>
    </w:r>
    <w:r>
      <w:tab/>
      <w:t>Schedule No. 1</w:t>
    </w:r>
  </w:p>
  <w:p w:rsidR="00F46CBD" w:rsidRDefault="00F46CBD" w:rsidP="00452C66">
    <w:pPr>
      <w:pStyle w:val="OrderHeader"/>
    </w:pPr>
    <w:r>
      <w:t>DOCKET NO. 20170249-WS</w:t>
    </w:r>
    <w:r>
      <w:tab/>
    </w:r>
    <w:r>
      <w:tab/>
      <w:t>Page 1 of 1</w:t>
    </w:r>
  </w:p>
  <w:p w:rsidR="00F46CBD" w:rsidRDefault="00F46CBD" w:rsidP="00452C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2E97">
      <w:rPr>
        <w:rStyle w:val="PageNumber"/>
        <w:noProof/>
      </w:rPr>
      <w:t>18</w:t>
    </w:r>
    <w:r>
      <w:rPr>
        <w:rStyle w:val="PageNumber"/>
      </w:rPr>
      <w:fldChar w:fldCharType="end"/>
    </w:r>
  </w:p>
  <w:p w:rsidR="00F46CBD" w:rsidRDefault="00F46CBD" w:rsidP="00452C66">
    <w:pPr>
      <w:pStyle w:val="OrderHeader"/>
    </w:pPr>
  </w:p>
  <w:p w:rsidR="00F46CBD" w:rsidRDefault="00F46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9-WS"/>
  </w:docVars>
  <w:rsids>
    <w:rsidRoot w:val="00E21D8C"/>
    <w:rsid w:val="000022B8"/>
    <w:rsid w:val="0003433F"/>
    <w:rsid w:val="00035A8C"/>
    <w:rsid w:val="00053AB9"/>
    <w:rsid w:val="00056229"/>
    <w:rsid w:val="00057AF1"/>
    <w:rsid w:val="00065FC2"/>
    <w:rsid w:val="00067685"/>
    <w:rsid w:val="00076E6B"/>
    <w:rsid w:val="00081649"/>
    <w:rsid w:val="0008247D"/>
    <w:rsid w:val="0008768A"/>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4A5"/>
    <w:rsid w:val="0012387E"/>
    <w:rsid w:val="00126593"/>
    <w:rsid w:val="00142A96"/>
    <w:rsid w:val="001513DE"/>
    <w:rsid w:val="00154A71"/>
    <w:rsid w:val="001630D9"/>
    <w:rsid w:val="00165EAD"/>
    <w:rsid w:val="00187E32"/>
    <w:rsid w:val="00194E81"/>
    <w:rsid w:val="001A15E7"/>
    <w:rsid w:val="001A33C9"/>
    <w:rsid w:val="001A58F3"/>
    <w:rsid w:val="001C2847"/>
    <w:rsid w:val="001C3F8C"/>
    <w:rsid w:val="001C6097"/>
    <w:rsid w:val="001D008A"/>
    <w:rsid w:val="001E0152"/>
    <w:rsid w:val="001E0FF5"/>
    <w:rsid w:val="002002ED"/>
    <w:rsid w:val="002147F7"/>
    <w:rsid w:val="002170E5"/>
    <w:rsid w:val="00220D57"/>
    <w:rsid w:val="0022721A"/>
    <w:rsid w:val="00230BB9"/>
    <w:rsid w:val="00241CEF"/>
    <w:rsid w:val="0025124E"/>
    <w:rsid w:val="00252B30"/>
    <w:rsid w:val="002613E4"/>
    <w:rsid w:val="0026544B"/>
    <w:rsid w:val="00276CDC"/>
    <w:rsid w:val="00277655"/>
    <w:rsid w:val="002824B7"/>
    <w:rsid w:val="00282AC4"/>
    <w:rsid w:val="00287E52"/>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709E"/>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2DEB"/>
    <w:rsid w:val="00411DF2"/>
    <w:rsid w:val="00411E8F"/>
    <w:rsid w:val="0042527B"/>
    <w:rsid w:val="00452C66"/>
    <w:rsid w:val="0045537F"/>
    <w:rsid w:val="00457DC7"/>
    <w:rsid w:val="00472BCC"/>
    <w:rsid w:val="004A25CD"/>
    <w:rsid w:val="004A26CC"/>
    <w:rsid w:val="004B2108"/>
    <w:rsid w:val="004B3A2B"/>
    <w:rsid w:val="004B5788"/>
    <w:rsid w:val="004B70D3"/>
    <w:rsid w:val="004C312D"/>
    <w:rsid w:val="004C35D1"/>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1EDC"/>
    <w:rsid w:val="005B45F7"/>
    <w:rsid w:val="005B63EA"/>
    <w:rsid w:val="005C1A88"/>
    <w:rsid w:val="005C5033"/>
    <w:rsid w:val="005D0687"/>
    <w:rsid w:val="005E751B"/>
    <w:rsid w:val="005F2705"/>
    <w:rsid w:val="005F3354"/>
    <w:rsid w:val="0060005E"/>
    <w:rsid w:val="0060095B"/>
    <w:rsid w:val="00601266"/>
    <w:rsid w:val="00610E73"/>
    <w:rsid w:val="00616DF2"/>
    <w:rsid w:val="0062744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2192"/>
    <w:rsid w:val="0076669C"/>
    <w:rsid w:val="00766E46"/>
    <w:rsid w:val="00777727"/>
    <w:rsid w:val="00777C73"/>
    <w:rsid w:val="00782B79"/>
    <w:rsid w:val="007865E9"/>
    <w:rsid w:val="00792383"/>
    <w:rsid w:val="00794D5A"/>
    <w:rsid w:val="00794DD9"/>
    <w:rsid w:val="007A060F"/>
    <w:rsid w:val="007B350E"/>
    <w:rsid w:val="007C0FBC"/>
    <w:rsid w:val="007C36E3"/>
    <w:rsid w:val="007C7134"/>
    <w:rsid w:val="007D2CB5"/>
    <w:rsid w:val="007D3D20"/>
    <w:rsid w:val="007D742E"/>
    <w:rsid w:val="007E3AFD"/>
    <w:rsid w:val="007F776D"/>
    <w:rsid w:val="00801DAD"/>
    <w:rsid w:val="00803189"/>
    <w:rsid w:val="00804E7A"/>
    <w:rsid w:val="00805FBB"/>
    <w:rsid w:val="008169A4"/>
    <w:rsid w:val="008278FE"/>
    <w:rsid w:val="00832598"/>
    <w:rsid w:val="0083397E"/>
    <w:rsid w:val="0083534B"/>
    <w:rsid w:val="00842602"/>
    <w:rsid w:val="008449F0"/>
    <w:rsid w:val="00847B45"/>
    <w:rsid w:val="00862B36"/>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3070"/>
    <w:rsid w:val="009D2E97"/>
    <w:rsid w:val="009D4C29"/>
    <w:rsid w:val="009F6AD2"/>
    <w:rsid w:val="00A00D8D"/>
    <w:rsid w:val="00A01BB6"/>
    <w:rsid w:val="00A4303C"/>
    <w:rsid w:val="00A470FD"/>
    <w:rsid w:val="00A62DAB"/>
    <w:rsid w:val="00A6757A"/>
    <w:rsid w:val="00A726A6"/>
    <w:rsid w:val="00A74842"/>
    <w:rsid w:val="00A97535"/>
    <w:rsid w:val="00AA2BAA"/>
    <w:rsid w:val="00AA4FE7"/>
    <w:rsid w:val="00AA73F1"/>
    <w:rsid w:val="00AB0E1A"/>
    <w:rsid w:val="00AB1A30"/>
    <w:rsid w:val="00AB3C36"/>
    <w:rsid w:val="00AD10EB"/>
    <w:rsid w:val="00AD1ED3"/>
    <w:rsid w:val="00AF3D0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5527"/>
    <w:rsid w:val="00D17B79"/>
    <w:rsid w:val="00D23FEA"/>
    <w:rsid w:val="00D269CA"/>
    <w:rsid w:val="00D30B48"/>
    <w:rsid w:val="00D3168A"/>
    <w:rsid w:val="00D417E0"/>
    <w:rsid w:val="00D46FAA"/>
    <w:rsid w:val="00D47A40"/>
    <w:rsid w:val="00D51D33"/>
    <w:rsid w:val="00D5719A"/>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1D8C"/>
    <w:rsid w:val="00E24D79"/>
    <w:rsid w:val="00E4225C"/>
    <w:rsid w:val="00E44879"/>
    <w:rsid w:val="00E72914"/>
    <w:rsid w:val="00E75AE0"/>
    <w:rsid w:val="00E83C1F"/>
    <w:rsid w:val="00E93293"/>
    <w:rsid w:val="00E97656"/>
    <w:rsid w:val="00EA172C"/>
    <w:rsid w:val="00EA259B"/>
    <w:rsid w:val="00EA35A3"/>
    <w:rsid w:val="00EA3E6A"/>
    <w:rsid w:val="00EB18EF"/>
    <w:rsid w:val="00EB7951"/>
    <w:rsid w:val="00ED4269"/>
    <w:rsid w:val="00ED6A79"/>
    <w:rsid w:val="00EE17DF"/>
    <w:rsid w:val="00EE4C4E"/>
    <w:rsid w:val="00EF4621"/>
    <w:rsid w:val="00EF4D52"/>
    <w:rsid w:val="00EF6312"/>
    <w:rsid w:val="00F038B0"/>
    <w:rsid w:val="00F22B27"/>
    <w:rsid w:val="00F234A7"/>
    <w:rsid w:val="00F277B6"/>
    <w:rsid w:val="00F27DA5"/>
    <w:rsid w:val="00F37E07"/>
    <w:rsid w:val="00F4182A"/>
    <w:rsid w:val="00F46CBD"/>
    <w:rsid w:val="00F54380"/>
    <w:rsid w:val="00F54B47"/>
    <w:rsid w:val="00F570E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E21D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7E0"/>
    <w:rPr>
      <w:rFonts w:ascii="Tahoma" w:hAnsi="Tahoma" w:cs="Tahoma"/>
      <w:sz w:val="16"/>
      <w:szCs w:val="16"/>
    </w:rPr>
  </w:style>
  <w:style w:type="character" w:customStyle="1" w:styleId="BalloonTextChar">
    <w:name w:val="Balloon Text Char"/>
    <w:basedOn w:val="DefaultParagraphFont"/>
    <w:link w:val="BalloonText"/>
    <w:rsid w:val="00D41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E21D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7E0"/>
    <w:rPr>
      <w:rFonts w:ascii="Tahoma" w:hAnsi="Tahoma" w:cs="Tahoma"/>
      <w:sz w:val="16"/>
      <w:szCs w:val="16"/>
    </w:rPr>
  </w:style>
  <w:style w:type="character" w:customStyle="1" w:styleId="BalloonTextChar">
    <w:name w:val="Balloon Text Char"/>
    <w:basedOn w:val="DefaultParagraphFont"/>
    <w:link w:val="BalloonText"/>
    <w:rsid w:val="00D41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18</Pages>
  <Words>5106</Words>
  <Characters>28032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2019-01-25T14:12:00Z</dcterms:created>
  <dcterms:modified xsi:type="dcterms:W3CDTF">2019-01-25T14:30:00Z</dcterms:modified>
</cp:coreProperties>
</file>