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41B46">
            <w:pPr>
              <w:pStyle w:val="MemoHeading"/>
            </w:pPr>
            <w:bookmarkStart w:id="1" w:name="FilingDate"/>
            <w:r>
              <w:t>November 26,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41B46" w:rsidRDefault="00341B46">
            <w:pPr>
              <w:pStyle w:val="MemoHeading"/>
            </w:pPr>
            <w:bookmarkStart w:id="2" w:name="From"/>
            <w:r>
              <w:t>Division of Economics (Ward)</w:t>
            </w:r>
          </w:p>
          <w:p w:rsidR="007C0528" w:rsidRDefault="00341B46">
            <w:pPr>
              <w:pStyle w:val="MemoHeading"/>
            </w:pPr>
            <w:r>
              <w:t>Office of the General Counsel (Lherisson)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41B46">
            <w:pPr>
              <w:pStyle w:val="MemoHeadingRe"/>
            </w:pPr>
            <w:bookmarkStart w:id="3" w:name="Re"/>
            <w:r>
              <w:t>Docket No. 20190191-GU – Petition for approval to amend tariff provisions on capacity for transportation service to be consistent with tariff filed with rate case settlement,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41B46">
            <w:pPr>
              <w:pStyle w:val="MemoHeading"/>
            </w:pPr>
            <w:bookmarkStart w:id="4" w:name="AgendaDate"/>
            <w:r>
              <w:t>12/10/19</w:t>
            </w:r>
            <w:bookmarkEnd w:id="4"/>
            <w:r w:rsidR="007C0528">
              <w:t xml:space="preserve"> – </w:t>
            </w:r>
            <w:bookmarkStart w:id="5" w:name="PermittedStatus"/>
            <w:r>
              <w:t xml:space="preserve">Regular Agenda – </w:t>
            </w:r>
            <w:r w:rsidR="003E49DD">
              <w:t xml:space="preserve">Tariff Filing </w:t>
            </w:r>
            <w:r w:rsidR="003E49DD" w:rsidRPr="003E49DD">
              <w:t>–</w:t>
            </w:r>
            <w:r w:rsidR="003E49DD">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41B4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41B46">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376FF">
            <w:pPr>
              <w:pStyle w:val="MemoHeading"/>
            </w:pPr>
            <w:r>
              <w:t>60-day suspension date waived by the utility until 12/10/19</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41B46">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052F5" w:rsidRDefault="007F70B0" w:rsidP="000058C3">
      <w:pPr>
        <w:pStyle w:val="BodyText"/>
      </w:pPr>
      <w:r>
        <w:t xml:space="preserve">On October 10, 2019, Florida City Gas (City Gas or utility) filed a petition for approval to amend tariff provisions to be consistent </w:t>
      </w:r>
      <w:r w:rsidR="00261772">
        <w:t>with the tariff filed with its</w:t>
      </w:r>
      <w:r>
        <w:t xml:space="preserve"> 2017 rate case </w:t>
      </w:r>
      <w:r w:rsidR="00512F36">
        <w:t>Stipulation and Settlement (settlement)</w:t>
      </w:r>
      <w:r>
        <w:t xml:space="preserve">. </w:t>
      </w:r>
      <w:r w:rsidR="000376FF">
        <w:t>In City Gas’s 2017 rate case, the Commission approved a settlement among the parties to the case.</w:t>
      </w:r>
      <w:r w:rsidR="000376FF">
        <w:rPr>
          <w:rStyle w:val="FootnoteReference"/>
        </w:rPr>
        <w:footnoteReference w:id="1"/>
      </w:r>
      <w:r w:rsidR="00032B98">
        <w:t xml:space="preserve"> </w:t>
      </w:r>
      <w:r w:rsidR="001E0936">
        <w:t>On March 26, 2018, t</w:t>
      </w:r>
      <w:r w:rsidR="00CE7853" w:rsidRPr="00CE7853">
        <w:t>he tariff</w:t>
      </w:r>
      <w:r w:rsidR="000376FF">
        <w:t xml:space="preserve">s </w:t>
      </w:r>
      <w:r w:rsidR="006052F5">
        <w:t>implementing</w:t>
      </w:r>
      <w:r w:rsidR="000376FF">
        <w:t xml:space="preserve"> the settlement</w:t>
      </w:r>
      <w:r w:rsidR="00CE7853" w:rsidRPr="00CE7853">
        <w:t xml:space="preserve"> w</w:t>
      </w:r>
      <w:r w:rsidR="000376FF">
        <w:t>ere</w:t>
      </w:r>
      <w:r w:rsidR="00CE7853" w:rsidRPr="00CE7853">
        <w:t xml:space="preserve"> entered into </w:t>
      </w:r>
      <w:r w:rsidR="006052F5">
        <w:t xml:space="preserve">the </w:t>
      </w:r>
      <w:r w:rsidR="000376FF">
        <w:t>rate case record</w:t>
      </w:r>
      <w:r w:rsidR="00CE7853" w:rsidRPr="00CE7853">
        <w:t xml:space="preserve"> as Hearing Exhibit 121. </w:t>
      </w:r>
      <w:r w:rsidR="00476602">
        <w:t>On April 12, 2018</w:t>
      </w:r>
      <w:r w:rsidR="006052F5">
        <w:t>,</w:t>
      </w:r>
      <w:r w:rsidR="00476602">
        <w:t xml:space="preserve"> the utility </w:t>
      </w:r>
      <w:r w:rsidR="00D95A7E">
        <w:t>re</w:t>
      </w:r>
      <w:r w:rsidR="00476602">
        <w:t xml:space="preserve">submitted </w:t>
      </w:r>
      <w:r w:rsidR="006052F5">
        <w:t>the settlement tariff</w:t>
      </w:r>
      <w:r w:rsidR="00D95A7E">
        <w:t>s</w:t>
      </w:r>
      <w:r w:rsidR="006052F5">
        <w:t xml:space="preserve"> in </w:t>
      </w:r>
      <w:r w:rsidR="00D95A7E">
        <w:t>their</w:t>
      </w:r>
      <w:r w:rsidR="006052F5">
        <w:t xml:space="preserve"> entirety to address minor edits and corrections identified by staff</w:t>
      </w:r>
      <w:r w:rsidR="00F17FCC">
        <w:t xml:space="preserve"> on certain pages, including tariff </w:t>
      </w:r>
      <w:r w:rsidR="00C425FA">
        <w:t>Sheet No.</w:t>
      </w:r>
      <w:r w:rsidR="00F17FCC">
        <w:t xml:space="preserve"> 22</w:t>
      </w:r>
      <w:r w:rsidR="006052F5">
        <w:t>.</w:t>
      </w:r>
      <w:r w:rsidR="00476602">
        <w:t xml:space="preserve"> </w:t>
      </w:r>
      <w:r w:rsidR="006052F5">
        <w:t xml:space="preserve">The tariffs as submitted on April 12, 2018, were attached to the </w:t>
      </w:r>
      <w:r w:rsidR="00032B98">
        <w:t>Commission’s final order</w:t>
      </w:r>
      <w:r w:rsidR="006052F5">
        <w:t xml:space="preserve"> in the 2017 rate case (</w:t>
      </w:r>
      <w:r w:rsidR="00032B98">
        <w:t>Order No. PSC-201</w:t>
      </w:r>
      <w:r w:rsidR="006052F5">
        <w:t>8</w:t>
      </w:r>
      <w:r w:rsidR="00032B98">
        <w:t>-0190-FOF-GU</w:t>
      </w:r>
      <w:r w:rsidR="00F17FCC">
        <w:t>)</w:t>
      </w:r>
      <w:r w:rsidR="00032B98">
        <w:t>.</w:t>
      </w:r>
      <w:r w:rsidR="00CE7853">
        <w:t xml:space="preserve"> </w:t>
      </w:r>
    </w:p>
    <w:p w:rsidR="00F17FCC" w:rsidRDefault="00F17FCC" w:rsidP="000058C3">
      <w:pPr>
        <w:pStyle w:val="BodyText"/>
      </w:pPr>
      <w:r>
        <w:lastRenderedPageBreak/>
        <w:t>City Gas states in the inst</w:t>
      </w:r>
      <w:r w:rsidR="00EB419C">
        <w:t>ant petition that it recently ca</w:t>
      </w:r>
      <w:r>
        <w:t xml:space="preserve">me to the utility’s attention that tariff </w:t>
      </w:r>
      <w:r w:rsidR="00C425FA">
        <w:t>S</w:t>
      </w:r>
      <w:r>
        <w:t xml:space="preserve">heet No. 22, as </w:t>
      </w:r>
      <w:r w:rsidR="000168E4">
        <w:t>re</w:t>
      </w:r>
      <w:r>
        <w:t>filed on April 12, 2018</w:t>
      </w:r>
      <w:r w:rsidR="00346EC3">
        <w:t>,</w:t>
      </w:r>
      <w:r w:rsidR="001E0936">
        <w:t xml:space="preserve"> and attached to the order approving the settlement</w:t>
      </w:r>
      <w:r>
        <w:t xml:space="preserve">, does not accurately reflect the settlement terms the parties to the settlement agreed on. Therefore, City Gas filed this petition to revise tariff </w:t>
      </w:r>
      <w:r w:rsidR="00C425FA">
        <w:t>S</w:t>
      </w:r>
      <w:r>
        <w:t xml:space="preserve">heet No. 22 to reflect the tariff that was </w:t>
      </w:r>
      <w:r w:rsidR="001E0936">
        <w:t xml:space="preserve">originally </w:t>
      </w:r>
      <w:r>
        <w:t xml:space="preserve">included in </w:t>
      </w:r>
      <w:r w:rsidRPr="00CE7853">
        <w:t>Hearing Exhibit 121</w:t>
      </w:r>
      <w:r>
        <w:t>. Tariff Sheet No. 22 address</w:t>
      </w:r>
      <w:r w:rsidR="00C425FA">
        <w:t>es</w:t>
      </w:r>
      <w:r>
        <w:t xml:space="preserve"> the utility’s allocation of interstate pipeline capacity to its sales and transportation customers. </w:t>
      </w:r>
    </w:p>
    <w:p w:rsidR="000058C3" w:rsidRDefault="000058C3" w:rsidP="000058C3">
      <w:pPr>
        <w:pStyle w:val="BodyText"/>
      </w:pPr>
      <w:r>
        <w:t xml:space="preserve">During the review process of the current petition, staff issued one data request to the utility, for which responses were received on November 6, 2019. The proposed tariff sheet </w:t>
      </w:r>
      <w:r w:rsidR="00F17FCC">
        <w:t>is</w:t>
      </w:r>
      <w:r>
        <w:t xml:space="preserve"> shown in Attachment </w:t>
      </w:r>
      <w:r w:rsidR="00F17FCC">
        <w:t>A</w:t>
      </w:r>
      <w:r>
        <w:t xml:space="preserve"> to the recommendation. </w:t>
      </w:r>
      <w:r w:rsidR="001E0936">
        <w:t xml:space="preserve">The utility waived the 60-day </w:t>
      </w:r>
      <w:r w:rsidR="000168E4">
        <w:t xml:space="preserve">file and suspend provision of Section 366.06(3), Florida Statutes (F.S.), </w:t>
      </w:r>
      <w:r w:rsidR="001E0936">
        <w:t xml:space="preserve">until December 10, 2019. </w:t>
      </w:r>
      <w:r w:rsidRPr="000058C3">
        <w:t xml:space="preserve">The Commission has jurisdiction over this matter pursuant to Sections 366.03, 366.04, 366.05, </w:t>
      </w:r>
      <w:r w:rsidR="00D95A7E">
        <w:t xml:space="preserve">and </w:t>
      </w:r>
      <w:r w:rsidRPr="000058C3">
        <w:t>366.06</w:t>
      </w:r>
      <w:r w:rsidR="006B6296">
        <w:t>,</w:t>
      </w:r>
      <w:r w:rsidRPr="000058C3">
        <w:t xml:space="preserve"> </w:t>
      </w:r>
      <w:r w:rsidR="00D95A7E">
        <w:t>F.S.</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341B46" w:rsidRDefault="00341B46">
      <w:pPr>
        <w:pStyle w:val="IssueHeading"/>
        <w:rPr>
          <w:vanish/>
          <w:specVanish/>
        </w:rPr>
      </w:pPr>
      <w:r w:rsidRPr="004C3641">
        <w:t xml:space="preserve">Issue </w:t>
      </w:r>
      <w:fldSimple w:instr=" SEQ Issue \* MERGEFORMAT ">
        <w:r w:rsidR="00AA6B4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A6B45">
        <w:rPr>
          <w:noProof/>
        </w:rPr>
        <w:instrText>1</w:instrText>
      </w:r>
      <w:r>
        <w:fldChar w:fldCharType="end"/>
      </w:r>
      <w:r>
        <w:tab/>
        <w:instrText xml:space="preserve">(Ward)" \l 1 </w:instrText>
      </w:r>
      <w:r>
        <w:fldChar w:fldCharType="end"/>
      </w:r>
      <w:r>
        <w:t> </w:t>
      </w:r>
    </w:p>
    <w:p w:rsidR="00341B46" w:rsidRDefault="00341B46">
      <w:pPr>
        <w:pStyle w:val="BodyText"/>
      </w:pPr>
      <w:r>
        <w:t> Should the Commission approve City Gas's proposed changes to Tariff Sheet No. 22?</w:t>
      </w:r>
    </w:p>
    <w:p w:rsidR="00341B46" w:rsidRPr="004C3641" w:rsidRDefault="00341B46">
      <w:pPr>
        <w:pStyle w:val="IssueSubsectionHeading"/>
        <w:rPr>
          <w:vanish/>
          <w:specVanish/>
        </w:rPr>
      </w:pPr>
      <w:r w:rsidRPr="004C3641">
        <w:t>Recommendation: </w:t>
      </w:r>
    </w:p>
    <w:p w:rsidR="00341B46" w:rsidRDefault="00341B46">
      <w:pPr>
        <w:pStyle w:val="BodyText"/>
      </w:pPr>
      <w:r>
        <w:t> </w:t>
      </w:r>
      <w:r w:rsidR="00B260AE">
        <w:t>Yes. The Commission should approve City Gas’s proposed changes to Tariff Sheet No. 22.</w:t>
      </w:r>
      <w:r w:rsidR="000168E4">
        <w:t xml:space="preserve"> The proposed tariff should be effective December 10, 2019.</w:t>
      </w:r>
      <w:r>
        <w:t xml:space="preserve"> (Ward)</w:t>
      </w:r>
    </w:p>
    <w:p w:rsidR="00341B46" w:rsidRPr="004C3641" w:rsidRDefault="00341B46">
      <w:pPr>
        <w:pStyle w:val="IssueSubsectionHeading"/>
        <w:rPr>
          <w:vanish/>
          <w:specVanish/>
        </w:rPr>
      </w:pPr>
      <w:r w:rsidRPr="004C3641">
        <w:t>Staff Analysis: </w:t>
      </w:r>
    </w:p>
    <w:p w:rsidR="000A4B83" w:rsidRDefault="00341B46" w:rsidP="00F17FCC">
      <w:pPr>
        <w:pStyle w:val="BodyText"/>
      </w:pPr>
      <w:r>
        <w:t> </w:t>
      </w:r>
      <w:r w:rsidR="00D23EDF">
        <w:t xml:space="preserve">In City Gas’s 2017 rate case, witness Becker </w:t>
      </w:r>
      <w:r w:rsidR="00261772">
        <w:t>testified about</w:t>
      </w:r>
      <w:r w:rsidR="001E0936">
        <w:t xml:space="preserve"> the utility’s capacity on the interstate pipeline. </w:t>
      </w:r>
      <w:r w:rsidR="000A4B83">
        <w:t>Capacity is the amount of space that City Gas has reserved on the Florida Gas Transmission (FGT) interstate pipeline. Th</w:t>
      </w:r>
      <w:r w:rsidR="000168E4">
        <w:t>e</w:t>
      </w:r>
      <w:r w:rsidR="000A4B83">
        <w:t xml:space="preserve"> space on the interstate pipeline allows City Gas to buy natural gas and transport it to their service territory. The cost of the capacity, or the reservation fee, is paid to the interstate pipeline. City Gas has firm capacity contracts with FGT that vary by season with the highest capacity being held in the winter when customers require more natural gas.</w:t>
      </w:r>
    </w:p>
    <w:p w:rsidR="00070701" w:rsidRDefault="000A4B83" w:rsidP="00F17FCC">
      <w:pPr>
        <w:pStyle w:val="BodyText"/>
      </w:pPr>
      <w:r>
        <w:t xml:space="preserve">Witness Becker further </w:t>
      </w:r>
      <w:r w:rsidR="00D23EDF">
        <w:t xml:space="preserve">explained the difference between sales and transportation customers. Sales customers are those customers who receive their supply of natural gas from the utility. Transportation customers are those customers who only contract for the transport of natural gas on City Gas’s system, but do not get their supply of natural gas from the utility. </w:t>
      </w:r>
      <w:r w:rsidR="000168E4">
        <w:t xml:space="preserve">City Gas </w:t>
      </w:r>
      <w:r w:rsidR="00D23EDF">
        <w:t xml:space="preserve">also </w:t>
      </w:r>
      <w:r w:rsidR="000168E4">
        <w:t>defines a</w:t>
      </w:r>
      <w:r w:rsidR="00D23EDF">
        <w:t xml:space="preserve"> subset of Transportation customers known as Essential Use Transportation</w:t>
      </w:r>
      <w:r w:rsidR="00747900">
        <w:t xml:space="preserve"> (</w:t>
      </w:r>
      <w:r w:rsidR="001F3520">
        <w:t>e</w:t>
      </w:r>
      <w:r w:rsidR="00747900">
        <w:t xml:space="preserve">ssential </w:t>
      </w:r>
      <w:r w:rsidR="001F3520">
        <w:t>u</w:t>
      </w:r>
      <w:r w:rsidR="00747900">
        <w:t>se)</w:t>
      </w:r>
      <w:r w:rsidR="00D23EDF">
        <w:t xml:space="preserve"> customers who require natural gas service for health and safety reasons.</w:t>
      </w:r>
      <w:r w:rsidR="00070701">
        <w:t xml:space="preserve"> City Gas ass</w:t>
      </w:r>
      <w:r w:rsidR="00346EC3">
        <w:t>erted in the rate case that the</w:t>
      </w:r>
      <w:r w:rsidR="00070701">
        <w:t xml:space="preserve"> utility</w:t>
      </w:r>
      <w:r w:rsidR="0081506D">
        <w:t xml:space="preserve"> needs to</w:t>
      </w:r>
      <w:r w:rsidR="00070701">
        <w:t xml:space="preserve"> hold capacity for the essential use customers as a backup supply, because their needs are critical in nature.</w:t>
      </w:r>
      <w:r w:rsidR="00D23EDF">
        <w:t xml:space="preserve"> </w:t>
      </w:r>
      <w:r w:rsidR="00925638">
        <w:t xml:space="preserve">City Gas does not hold capacity for non-essential use transportation customers as the third party </w:t>
      </w:r>
      <w:r w:rsidR="00346EC3">
        <w:t xml:space="preserve">gas </w:t>
      </w:r>
      <w:r w:rsidR="00925638">
        <w:t>marketer</w:t>
      </w:r>
      <w:r w:rsidR="00346EC3">
        <w:t xml:space="preserve"> supplying these customers with the gas commodity</w:t>
      </w:r>
      <w:r w:rsidR="00925638">
        <w:t xml:space="preserve"> is responsible for making capacity arrangements on FGT.</w:t>
      </w:r>
    </w:p>
    <w:p w:rsidR="003F0EFC" w:rsidRDefault="00A5310B" w:rsidP="00F17FCC">
      <w:pPr>
        <w:pStyle w:val="BodyText"/>
      </w:pPr>
      <w:r>
        <w:t xml:space="preserve">Tariff Sheet No. 22 addresses the utility’s allocation of capacity to third party suppliers. </w:t>
      </w:r>
      <w:r w:rsidR="00AE2859">
        <w:t xml:space="preserve">City Gas stated </w:t>
      </w:r>
      <w:r w:rsidR="000168E4">
        <w:t xml:space="preserve">in the instant petition </w:t>
      </w:r>
      <w:r w:rsidR="00AE2859">
        <w:t xml:space="preserve">that the current tariff </w:t>
      </w:r>
      <w:r w:rsidR="003F0EFC">
        <w:t>is not consistent with the negotiate</w:t>
      </w:r>
      <w:r w:rsidR="00783A63">
        <w:t>d</w:t>
      </w:r>
      <w:r w:rsidR="003F0EFC">
        <w:t xml:space="preserve"> rate case settlement and does not provide cl</w:t>
      </w:r>
      <w:r w:rsidR="00A55B88">
        <w:t xml:space="preserve">arity for when City Gas can release </w:t>
      </w:r>
      <w:r w:rsidR="003F0EFC">
        <w:t>capacity</w:t>
      </w:r>
      <w:r w:rsidR="00157C2F">
        <w:t xml:space="preserve"> to third party marketers</w:t>
      </w:r>
      <w:r w:rsidR="003F0EFC">
        <w:t xml:space="preserve">. </w:t>
      </w:r>
    </w:p>
    <w:p w:rsidR="00F17FCC" w:rsidRDefault="00F17FCC" w:rsidP="00F17FCC">
      <w:pPr>
        <w:pStyle w:val="BodyText"/>
      </w:pPr>
      <w:r>
        <w:t xml:space="preserve">The </w:t>
      </w:r>
      <w:r w:rsidR="003F0EFC">
        <w:t xml:space="preserve">proposed </w:t>
      </w:r>
      <w:r>
        <w:t xml:space="preserve">tariff language </w:t>
      </w:r>
      <w:r w:rsidR="00FC28F5">
        <w:t>i</w:t>
      </w:r>
      <w:r w:rsidR="003F0EFC">
        <w:t xml:space="preserve">s designed to </w:t>
      </w:r>
      <w:r>
        <w:t xml:space="preserve">clarify </w:t>
      </w:r>
      <w:r w:rsidR="003F0EFC">
        <w:t xml:space="preserve">the process under which the utility will release </w:t>
      </w:r>
      <w:r>
        <w:t>capacity</w:t>
      </w:r>
      <w:r w:rsidR="003F0EFC">
        <w:t xml:space="preserve"> to third party marketers. In general</w:t>
      </w:r>
      <w:r w:rsidR="00A55B88">
        <w:t>,</w:t>
      </w:r>
      <w:r w:rsidR="003F0EFC">
        <w:t xml:space="preserve"> capacity releases are pos</w:t>
      </w:r>
      <w:r w:rsidR="00A55B88">
        <w:t>t</w:t>
      </w:r>
      <w:r w:rsidR="003F0EFC">
        <w:t>ed on an electroni</w:t>
      </w:r>
      <w:r w:rsidR="00A55B88">
        <w:t>c bulletin</w:t>
      </w:r>
      <w:r w:rsidR="003F0EFC">
        <w:t xml:space="preserve"> board administered by FGT. </w:t>
      </w:r>
      <w:r w:rsidR="00A55B88">
        <w:t>Under the proposed tariff</w:t>
      </w:r>
      <w:r w:rsidR="00FC28F5">
        <w:t>,</w:t>
      </w:r>
      <w:r w:rsidR="00A55B88">
        <w:t xml:space="preserve"> City Gas may not release capacity </w:t>
      </w:r>
      <w:r w:rsidRPr="00373993">
        <w:t xml:space="preserve">unless and until </w:t>
      </w:r>
      <w:r w:rsidR="00FC28F5">
        <w:t xml:space="preserve">the utility holds sufficient </w:t>
      </w:r>
      <w:r w:rsidRPr="00373993">
        <w:t xml:space="preserve">capacity to serve its </w:t>
      </w:r>
      <w:r w:rsidR="004C185E" w:rsidRPr="00373993">
        <w:t>s</w:t>
      </w:r>
      <w:r w:rsidRPr="00373993">
        <w:t xml:space="preserve">ales and </w:t>
      </w:r>
      <w:r w:rsidR="004C185E" w:rsidRPr="00373993">
        <w:t>e</w:t>
      </w:r>
      <w:r w:rsidRPr="00373993">
        <w:t xml:space="preserve">ssential </w:t>
      </w:r>
      <w:r w:rsidR="004C185E" w:rsidRPr="00373993">
        <w:t>u</w:t>
      </w:r>
      <w:r w:rsidRPr="00373993">
        <w:t xml:space="preserve">se </w:t>
      </w:r>
      <w:r w:rsidR="004C185E" w:rsidRPr="00373993">
        <w:t>c</w:t>
      </w:r>
      <w:r w:rsidRPr="00373993">
        <w:t>ustomers.</w:t>
      </w:r>
      <w:r w:rsidR="00C26E7F" w:rsidRPr="00373993">
        <w:t xml:space="preserve"> </w:t>
      </w:r>
      <w:r w:rsidR="00AE2859" w:rsidRPr="00373993">
        <w:t xml:space="preserve">Once City Gas has enough capacity to serve 100 percent of the pipeline capacity necessary to serve its sales and essential use customers, the utility will be required to release capacity. </w:t>
      </w:r>
      <w:r w:rsidR="00C26E7F" w:rsidRPr="00373993">
        <w:t xml:space="preserve">City Gas states that this language </w:t>
      </w:r>
      <w:r w:rsidR="00FC28F5">
        <w:t>i</w:t>
      </w:r>
      <w:r w:rsidR="00C26E7F" w:rsidRPr="00373993">
        <w:t xml:space="preserve">s intended to ensure that </w:t>
      </w:r>
      <w:r w:rsidR="004C185E" w:rsidRPr="00373993">
        <w:t>e</w:t>
      </w:r>
      <w:r w:rsidR="00C26E7F" w:rsidRPr="00373993">
        <w:t xml:space="preserve">ssential </w:t>
      </w:r>
      <w:r w:rsidR="004C185E" w:rsidRPr="00373993">
        <w:t>u</w:t>
      </w:r>
      <w:r w:rsidR="00C26E7F" w:rsidRPr="00373993">
        <w:t xml:space="preserve">se </w:t>
      </w:r>
      <w:r w:rsidR="004C185E" w:rsidRPr="00373993">
        <w:t>c</w:t>
      </w:r>
      <w:r w:rsidR="00373993" w:rsidRPr="00373993">
        <w:t>ustomers are protected</w:t>
      </w:r>
      <w:r w:rsidR="00FC28F5">
        <w:t xml:space="preserve"> if their third party supplier is unable to deliver the gas</w:t>
      </w:r>
      <w:r w:rsidR="00373993" w:rsidRPr="00373993">
        <w:t>. The proposed language also ensures</w:t>
      </w:r>
      <w:r w:rsidR="00C26E7F" w:rsidRPr="00373993">
        <w:t xml:space="preserve"> </w:t>
      </w:r>
      <w:r w:rsidR="00D75113" w:rsidRPr="00373993">
        <w:t>s</w:t>
      </w:r>
      <w:r w:rsidR="00C26E7F" w:rsidRPr="00373993">
        <w:t xml:space="preserve">ales customers are not allocated additional costs as a result of additional capacity being acquired to support the utility’s </w:t>
      </w:r>
      <w:r w:rsidR="00157C2F">
        <w:t>t</w:t>
      </w:r>
      <w:r w:rsidR="00C26E7F" w:rsidRPr="00373993">
        <w:t xml:space="preserve">ransportation </w:t>
      </w:r>
      <w:r w:rsidR="00157C2F">
        <w:t>c</w:t>
      </w:r>
      <w:r w:rsidR="00C26E7F" w:rsidRPr="00373993">
        <w:t>ustomers.</w:t>
      </w:r>
      <w:r w:rsidR="00874723">
        <w:t xml:space="preserve"> </w:t>
      </w:r>
    </w:p>
    <w:p w:rsidR="00341B46" w:rsidRDefault="00B260AE" w:rsidP="00B260AE">
      <w:pPr>
        <w:pStyle w:val="First-LevelSubheading"/>
      </w:pPr>
      <w:r>
        <w:t>Conclusion</w:t>
      </w:r>
    </w:p>
    <w:p w:rsidR="00B260AE" w:rsidRPr="00B260AE" w:rsidRDefault="003F0EFC" w:rsidP="00B260AE">
      <w:pPr>
        <w:pStyle w:val="BodyText"/>
      </w:pPr>
      <w:r>
        <w:t xml:space="preserve">The </w:t>
      </w:r>
      <w:r w:rsidR="00AC4D59">
        <w:t>signatories</w:t>
      </w:r>
      <w:r>
        <w:t xml:space="preserve"> to the settlement were </w:t>
      </w:r>
      <w:r w:rsidR="00261772">
        <w:t xml:space="preserve">City Gas, </w:t>
      </w:r>
      <w:r w:rsidR="00FC28F5">
        <w:t>t</w:t>
      </w:r>
      <w:r w:rsidRPr="00874723">
        <w:t>he Office of Public Counsel</w:t>
      </w:r>
      <w:r>
        <w:t xml:space="preserve"> (OPC)</w:t>
      </w:r>
      <w:r w:rsidR="00261772">
        <w:t>,</w:t>
      </w:r>
      <w:r>
        <w:t xml:space="preserve"> and Federal Executive Agencies (FEA). The utility stated</w:t>
      </w:r>
      <w:r w:rsidRPr="00874723">
        <w:t xml:space="preserve"> that </w:t>
      </w:r>
      <w:r>
        <w:t xml:space="preserve">OPC </w:t>
      </w:r>
      <w:r w:rsidRPr="00874723">
        <w:t xml:space="preserve">has indicated that </w:t>
      </w:r>
      <w:r>
        <w:t>they do not oppose their</w:t>
      </w:r>
      <w:r w:rsidRPr="00874723">
        <w:t xml:space="preserve"> request to make this </w:t>
      </w:r>
      <w:r>
        <w:t xml:space="preserve">tariff </w:t>
      </w:r>
      <w:r w:rsidRPr="00874723">
        <w:t>correction</w:t>
      </w:r>
      <w:r>
        <w:t xml:space="preserve"> and FEA has not responded</w:t>
      </w:r>
      <w:r w:rsidRPr="00874723">
        <w:t>.</w:t>
      </w:r>
      <w:r w:rsidR="00AB72EB">
        <w:t xml:space="preserve"> On November 19, 2019, Commission staff </w:t>
      </w:r>
      <w:r w:rsidR="00AA6B45">
        <w:t xml:space="preserve">also </w:t>
      </w:r>
      <w:r w:rsidR="00AB72EB">
        <w:t xml:space="preserve">contacted FEA in regards to the tariff correction. FEA has not yet </w:t>
      </w:r>
      <w:r w:rsidR="00AB72EB">
        <w:lastRenderedPageBreak/>
        <w:t>responded to staff.</w:t>
      </w:r>
      <w:r>
        <w:t xml:space="preserve"> </w:t>
      </w:r>
      <w:r w:rsidR="00B260AE">
        <w:t xml:space="preserve">Staff has reviewed City Gas’s filings and supporting documentation and believes that the revisions to Tariff Sheet No. 22 are consistent with the </w:t>
      </w:r>
      <w:r w:rsidR="00157C2F">
        <w:t>s</w:t>
      </w:r>
      <w:r w:rsidR="00B260AE">
        <w:t xml:space="preserve">ettlement </w:t>
      </w:r>
      <w:r w:rsidR="00157C2F">
        <w:t xml:space="preserve">and with the tariffs </w:t>
      </w:r>
      <w:r w:rsidR="00157C2F" w:rsidRPr="00CE7853">
        <w:t xml:space="preserve">entered into </w:t>
      </w:r>
      <w:r w:rsidR="00157C2F">
        <w:t>the rate case record</w:t>
      </w:r>
      <w:r w:rsidR="00157C2F" w:rsidRPr="00CE7853">
        <w:t xml:space="preserve"> as Hearing Exhibit 121</w:t>
      </w:r>
      <w:r w:rsidR="00B260AE">
        <w:t>. Therefore, staff recommends approval of City Gas’s amended Tariff Sheet No. 22.</w:t>
      </w:r>
      <w:r w:rsidR="000168E4">
        <w:t xml:space="preserve"> The proposed tariff should be effective December 10, 2019.</w:t>
      </w:r>
    </w:p>
    <w:p w:rsidR="004A11B0" w:rsidRDefault="004A11B0">
      <w:pPr>
        <w:pStyle w:val="IssueHeading"/>
        <w:rPr>
          <w:vanish/>
          <w:specVanish/>
        </w:rPr>
      </w:pPr>
      <w:r w:rsidRPr="004C3641">
        <w:rPr>
          <w:b w:val="0"/>
          <w:i w:val="0"/>
        </w:rPr>
        <w:br w:type="page"/>
      </w:r>
      <w:r w:rsidRPr="004C3641">
        <w:lastRenderedPageBreak/>
        <w:t xml:space="preserve">Issue </w:t>
      </w:r>
      <w:fldSimple w:instr=" SEQ Issue \* MERGEFORMAT ">
        <w:r w:rsidR="00AA6B4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A6B45">
        <w:rPr>
          <w:noProof/>
        </w:rPr>
        <w:instrText>2</w:instrText>
      </w:r>
      <w:r>
        <w:fldChar w:fldCharType="end"/>
      </w:r>
      <w:r>
        <w:tab/>
        <w:instrText xml:space="preserve">" \l 1 </w:instrText>
      </w:r>
      <w:r>
        <w:fldChar w:fldCharType="end"/>
      </w:r>
      <w:r>
        <w:t> </w:t>
      </w:r>
    </w:p>
    <w:p w:rsidR="004A11B0" w:rsidRDefault="004A11B0">
      <w:pPr>
        <w:pStyle w:val="BodyText"/>
      </w:pPr>
      <w:r>
        <w:t> Should this docket be closed?</w:t>
      </w:r>
    </w:p>
    <w:p w:rsidR="004A11B0" w:rsidRPr="004C3641" w:rsidRDefault="004A11B0">
      <w:pPr>
        <w:pStyle w:val="IssueSubsectionHeading"/>
        <w:rPr>
          <w:vanish/>
          <w:specVanish/>
        </w:rPr>
      </w:pPr>
      <w:r w:rsidRPr="004C3641">
        <w:t>Recommendation: </w:t>
      </w:r>
    </w:p>
    <w:p w:rsidR="004A11B0" w:rsidRDefault="004A11B0">
      <w:pPr>
        <w:pStyle w:val="BodyText"/>
      </w:pPr>
      <w:r>
        <w:t xml:space="preserve"> Yes. If Issue 1 is approved and a protest is filed within 21 days of the </w:t>
      </w:r>
      <w:r w:rsidR="00925033">
        <w:t>issuance of the order, the tariffs should remain in effect, with any revenues held subject to refund, pending resolution of the protest. If no timely protest is filed, this docket should be closed upon the issuance of a consummating order.</w:t>
      </w:r>
      <w:r>
        <w:t xml:space="preserve"> (Lherisson)</w:t>
      </w:r>
    </w:p>
    <w:p w:rsidR="004A11B0" w:rsidRPr="004C3641" w:rsidRDefault="004A11B0">
      <w:pPr>
        <w:pStyle w:val="IssueSubsectionHeading"/>
        <w:rPr>
          <w:vanish/>
          <w:specVanish/>
        </w:rPr>
      </w:pPr>
      <w:r w:rsidRPr="004C3641">
        <w:t>Staff Analysis: </w:t>
      </w:r>
    </w:p>
    <w:p w:rsidR="004A11B0" w:rsidRDefault="004A11B0">
      <w:pPr>
        <w:pStyle w:val="BodyText"/>
      </w:pPr>
      <w:r>
        <w:t> </w:t>
      </w:r>
      <w:r w:rsidR="00925033">
        <w:t xml:space="preserve">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w:t>
      </w:r>
    </w:p>
    <w:p w:rsidR="00925033" w:rsidRDefault="00925033" w:rsidP="00E275D8">
      <w:pPr>
        <w:pStyle w:val="BodyText"/>
        <w:sectPr w:rsidR="00925033"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925033" w:rsidP="00E275D8">
      <w:pPr>
        <w:pStyle w:val="BodyText"/>
      </w:pPr>
      <w:r>
        <w:rPr>
          <w:noProof/>
        </w:rPr>
        <w:lastRenderedPageBreak/>
        <w:drawing>
          <wp:inline distT="0" distB="0" distL="0" distR="0" wp14:anchorId="2E10FBCA" wp14:editId="5C984BD3">
            <wp:extent cx="6153912" cy="7964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1 Tariff.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53912" cy="7964424"/>
                    </a:xfrm>
                    <a:prstGeom prst="rect">
                      <a:avLst/>
                    </a:prstGeom>
                  </pic:spPr>
                </pic:pic>
              </a:graphicData>
            </a:graphic>
          </wp:inline>
        </w:drawing>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B46" w:rsidRDefault="00341B46">
      <w:r>
        <w:separator/>
      </w:r>
    </w:p>
  </w:endnote>
  <w:endnote w:type="continuationSeparator" w:id="0">
    <w:p w:rsidR="00341B46" w:rsidRDefault="0034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024F3">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B46" w:rsidRDefault="00341B46">
      <w:r>
        <w:separator/>
      </w:r>
    </w:p>
  </w:footnote>
  <w:footnote w:type="continuationSeparator" w:id="0">
    <w:p w:rsidR="00341B46" w:rsidRDefault="00341B46">
      <w:r>
        <w:continuationSeparator/>
      </w:r>
    </w:p>
  </w:footnote>
  <w:footnote w:id="1">
    <w:p w:rsidR="000376FF" w:rsidRDefault="000376FF">
      <w:pPr>
        <w:pStyle w:val="FootnoteText"/>
      </w:pPr>
      <w:r>
        <w:rPr>
          <w:rStyle w:val="FootnoteReference"/>
        </w:rPr>
        <w:footnoteRef/>
      </w:r>
      <w:r w:rsidR="00925033">
        <w:t xml:space="preserve"> Order No. PSC-2018-0190-FOF-GU, issued April </w:t>
      </w:r>
      <w:r w:rsidR="00353C9C">
        <w:t>20, 2018, in Docket No. 20170179</w:t>
      </w:r>
      <w:r w:rsidR="00925033">
        <w:t xml:space="preserve">-GU, </w:t>
      </w:r>
      <w:r w:rsidR="00925033" w:rsidRPr="00925033">
        <w:rPr>
          <w:i/>
        </w:rPr>
        <w:t>In re: Petition for rate increase by Florida City Gas.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41B46"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20190191-GU</w:t>
    </w:r>
    <w:bookmarkEnd w:id="14"/>
  </w:p>
  <w:p w:rsidR="00BC402E" w:rsidRDefault="00BC402E">
    <w:pPr>
      <w:pStyle w:val="Header"/>
    </w:pPr>
    <w:r>
      <w:t xml:space="preserve">Date: </w:t>
    </w:r>
    <w:fldSimple w:instr=" REF FilingDate ">
      <w:r w:rsidR="00AA6B45">
        <w:t>November 26,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A6B45">
      <w:t>Docket No.</w:t>
    </w:r>
    <w:r>
      <w:fldChar w:fldCharType="end"/>
    </w:r>
    <w:r>
      <w:t xml:space="preserve"> </w:t>
    </w:r>
    <w:r>
      <w:fldChar w:fldCharType="begin"/>
    </w:r>
    <w:r>
      <w:instrText xml:space="preserve"> REF DocketList</w:instrText>
    </w:r>
    <w:r>
      <w:fldChar w:fldCharType="separate"/>
    </w:r>
    <w:r w:rsidR="00AA6B45">
      <w:t>20190191-GU</w:t>
    </w:r>
    <w:r>
      <w:fldChar w:fldCharType="end"/>
    </w:r>
    <w:r>
      <w:tab/>
      <w:t xml:space="preserve">Issue </w:t>
    </w:r>
    <w:fldSimple w:instr=" Seq Issue \c \* Arabic ">
      <w:r w:rsidR="00D024F3">
        <w:rPr>
          <w:noProof/>
        </w:rPr>
        <w:t>2</w:t>
      </w:r>
    </w:fldSimple>
  </w:p>
  <w:p w:rsidR="00BC402E" w:rsidRDefault="00BC402E">
    <w:pPr>
      <w:pStyle w:val="Header"/>
    </w:pPr>
    <w:r>
      <w:t xml:space="preserve">Date: </w:t>
    </w:r>
    <w:fldSimple w:instr=" REF FilingDate ">
      <w:r w:rsidR="00AA6B45">
        <w:t>November 26,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33" w:rsidRDefault="00925033" w:rsidP="00220732">
    <w:pPr>
      <w:pStyle w:val="Header"/>
      <w:tabs>
        <w:tab w:val="clear" w:pos="4320"/>
        <w:tab w:val="clear" w:pos="8640"/>
        <w:tab w:val="right" w:pos="9360"/>
      </w:tabs>
    </w:pPr>
    <w:r>
      <w:fldChar w:fldCharType="begin"/>
    </w:r>
    <w:r>
      <w:instrText xml:space="preserve"> REF DocketLabel</w:instrText>
    </w:r>
    <w:r>
      <w:fldChar w:fldCharType="separate"/>
    </w:r>
    <w:r w:rsidR="00AA6B45">
      <w:t>Docket No.</w:t>
    </w:r>
    <w:r>
      <w:fldChar w:fldCharType="end"/>
    </w:r>
    <w:r>
      <w:t xml:space="preserve"> </w:t>
    </w:r>
    <w:r>
      <w:fldChar w:fldCharType="begin"/>
    </w:r>
    <w:r>
      <w:instrText xml:space="preserve"> REF DocketList</w:instrText>
    </w:r>
    <w:r>
      <w:fldChar w:fldCharType="separate"/>
    </w:r>
    <w:r w:rsidR="00AA6B45">
      <w:t>20190191-GU</w:t>
    </w:r>
    <w:r>
      <w:fldChar w:fldCharType="end"/>
    </w:r>
    <w:r>
      <w:tab/>
      <w:t>Attachment A</w:t>
    </w:r>
  </w:p>
  <w:p w:rsidR="00925033" w:rsidRDefault="00925033">
    <w:pPr>
      <w:pStyle w:val="Header"/>
    </w:pPr>
    <w:r>
      <w:t xml:space="preserve">Date: </w:t>
    </w:r>
    <w:fldSimple w:instr=" REF FilingDate ">
      <w:r w:rsidR="00AA6B45">
        <w:t>November 26, 2019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41B46"/>
    <w:rsid w:val="000043D5"/>
    <w:rsid w:val="000058C3"/>
    <w:rsid w:val="00006170"/>
    <w:rsid w:val="00010E37"/>
    <w:rsid w:val="000168E4"/>
    <w:rsid w:val="000172DA"/>
    <w:rsid w:val="000247C5"/>
    <w:rsid w:val="000277C2"/>
    <w:rsid w:val="00032B98"/>
    <w:rsid w:val="00035B48"/>
    <w:rsid w:val="00036CE2"/>
    <w:rsid w:val="000376FF"/>
    <w:rsid w:val="00042F5A"/>
    <w:rsid w:val="000437FE"/>
    <w:rsid w:val="000513BE"/>
    <w:rsid w:val="00065A06"/>
    <w:rsid w:val="000666F3"/>
    <w:rsid w:val="00070701"/>
    <w:rsid w:val="00070DCB"/>
    <w:rsid w:val="00072CCA"/>
    <w:rsid w:val="00073120"/>
    <w:rsid w:val="000764D0"/>
    <w:rsid w:val="000828D3"/>
    <w:rsid w:val="000A2B57"/>
    <w:rsid w:val="000A418B"/>
    <w:rsid w:val="000A4B83"/>
    <w:rsid w:val="000C4431"/>
    <w:rsid w:val="000D1C06"/>
    <w:rsid w:val="000D4319"/>
    <w:rsid w:val="000F374A"/>
    <w:rsid w:val="001076AF"/>
    <w:rsid w:val="00117C8C"/>
    <w:rsid w:val="00124C38"/>
    <w:rsid w:val="00124E2E"/>
    <w:rsid w:val="00125ED4"/>
    <w:rsid w:val="001305E9"/>
    <w:rsid w:val="001307AF"/>
    <w:rsid w:val="00135687"/>
    <w:rsid w:val="0015506E"/>
    <w:rsid w:val="00157C2F"/>
    <w:rsid w:val="00163031"/>
    <w:rsid w:val="00171A90"/>
    <w:rsid w:val="00180254"/>
    <w:rsid w:val="00191E1F"/>
    <w:rsid w:val="00192943"/>
    <w:rsid w:val="001A7406"/>
    <w:rsid w:val="001B4FEE"/>
    <w:rsid w:val="001B51C5"/>
    <w:rsid w:val="001B6F3F"/>
    <w:rsid w:val="001C52B5"/>
    <w:rsid w:val="001D0D3E"/>
    <w:rsid w:val="001E0936"/>
    <w:rsid w:val="001F00C7"/>
    <w:rsid w:val="001F2245"/>
    <w:rsid w:val="001F2C63"/>
    <w:rsid w:val="001F3520"/>
    <w:rsid w:val="001F48C7"/>
    <w:rsid w:val="001F6DA1"/>
    <w:rsid w:val="002044E6"/>
    <w:rsid w:val="00205C82"/>
    <w:rsid w:val="00205DC2"/>
    <w:rsid w:val="00212B17"/>
    <w:rsid w:val="002163B6"/>
    <w:rsid w:val="00220732"/>
    <w:rsid w:val="00221D32"/>
    <w:rsid w:val="00225C3F"/>
    <w:rsid w:val="00261772"/>
    <w:rsid w:val="00263D44"/>
    <w:rsid w:val="002702AD"/>
    <w:rsid w:val="00292D82"/>
    <w:rsid w:val="002963CB"/>
    <w:rsid w:val="002B4A01"/>
    <w:rsid w:val="002D226D"/>
    <w:rsid w:val="002F6030"/>
    <w:rsid w:val="003037E1"/>
    <w:rsid w:val="00307E51"/>
    <w:rsid w:val="003103EC"/>
    <w:rsid w:val="003144EF"/>
    <w:rsid w:val="00322F74"/>
    <w:rsid w:val="00323C58"/>
    <w:rsid w:val="00340073"/>
    <w:rsid w:val="00341B46"/>
    <w:rsid w:val="00346EC3"/>
    <w:rsid w:val="00353C9C"/>
    <w:rsid w:val="003632FD"/>
    <w:rsid w:val="00372805"/>
    <w:rsid w:val="00373180"/>
    <w:rsid w:val="00373993"/>
    <w:rsid w:val="00375AB9"/>
    <w:rsid w:val="003821A0"/>
    <w:rsid w:val="00385B04"/>
    <w:rsid w:val="003864CF"/>
    <w:rsid w:val="00390AC3"/>
    <w:rsid w:val="003948AE"/>
    <w:rsid w:val="003A22A6"/>
    <w:rsid w:val="003A5494"/>
    <w:rsid w:val="003B2510"/>
    <w:rsid w:val="003C2CC4"/>
    <w:rsid w:val="003C3710"/>
    <w:rsid w:val="003E0EFC"/>
    <w:rsid w:val="003E49DD"/>
    <w:rsid w:val="003E4A2B"/>
    <w:rsid w:val="003E76C2"/>
    <w:rsid w:val="003F0EFC"/>
    <w:rsid w:val="003F1679"/>
    <w:rsid w:val="003F21EB"/>
    <w:rsid w:val="003F4A35"/>
    <w:rsid w:val="003F7FDD"/>
    <w:rsid w:val="00402481"/>
    <w:rsid w:val="004042B4"/>
    <w:rsid w:val="00410DC4"/>
    <w:rsid w:val="00412DAE"/>
    <w:rsid w:val="004242E6"/>
    <w:rsid w:val="00431598"/>
    <w:rsid w:val="004319AD"/>
    <w:rsid w:val="004426B8"/>
    <w:rsid w:val="0044398B"/>
    <w:rsid w:val="00444432"/>
    <w:rsid w:val="00451E58"/>
    <w:rsid w:val="00471860"/>
    <w:rsid w:val="00476602"/>
    <w:rsid w:val="00477026"/>
    <w:rsid w:val="004A11B0"/>
    <w:rsid w:val="004A744D"/>
    <w:rsid w:val="004B60BD"/>
    <w:rsid w:val="004C185E"/>
    <w:rsid w:val="004C3150"/>
    <w:rsid w:val="004C3641"/>
    <w:rsid w:val="004C4390"/>
    <w:rsid w:val="004C4AF7"/>
    <w:rsid w:val="004D2881"/>
    <w:rsid w:val="004D385F"/>
    <w:rsid w:val="004D5B39"/>
    <w:rsid w:val="004E330D"/>
    <w:rsid w:val="004E5147"/>
    <w:rsid w:val="004E69B5"/>
    <w:rsid w:val="004F5C43"/>
    <w:rsid w:val="004F5CB0"/>
    <w:rsid w:val="0050652D"/>
    <w:rsid w:val="00506C03"/>
    <w:rsid w:val="00511A11"/>
    <w:rsid w:val="00512F36"/>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A7B1F"/>
    <w:rsid w:val="005B34B6"/>
    <w:rsid w:val="005B6C8F"/>
    <w:rsid w:val="005B6EC3"/>
    <w:rsid w:val="005D0F74"/>
    <w:rsid w:val="005D2E7D"/>
    <w:rsid w:val="005D4A8F"/>
    <w:rsid w:val="005D561B"/>
    <w:rsid w:val="005D5ECF"/>
    <w:rsid w:val="005F468D"/>
    <w:rsid w:val="005F69A3"/>
    <w:rsid w:val="00604CC7"/>
    <w:rsid w:val="006052F5"/>
    <w:rsid w:val="00606F18"/>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B6296"/>
    <w:rsid w:val="006C0C95"/>
    <w:rsid w:val="006C31E3"/>
    <w:rsid w:val="006D18D3"/>
    <w:rsid w:val="006E08CB"/>
    <w:rsid w:val="006E598D"/>
    <w:rsid w:val="006F04E1"/>
    <w:rsid w:val="0070437D"/>
    <w:rsid w:val="00704CF1"/>
    <w:rsid w:val="00705B04"/>
    <w:rsid w:val="00724992"/>
    <w:rsid w:val="00734820"/>
    <w:rsid w:val="007349DC"/>
    <w:rsid w:val="0074365E"/>
    <w:rsid w:val="00744B55"/>
    <w:rsid w:val="00747900"/>
    <w:rsid w:val="007515FD"/>
    <w:rsid w:val="00760D80"/>
    <w:rsid w:val="00780C09"/>
    <w:rsid w:val="00780DDF"/>
    <w:rsid w:val="007834E9"/>
    <w:rsid w:val="00783A63"/>
    <w:rsid w:val="00787DBC"/>
    <w:rsid w:val="0079019A"/>
    <w:rsid w:val="00792935"/>
    <w:rsid w:val="007A04A1"/>
    <w:rsid w:val="007A1840"/>
    <w:rsid w:val="007C0528"/>
    <w:rsid w:val="007C3D38"/>
    <w:rsid w:val="007D0F35"/>
    <w:rsid w:val="007D4FEB"/>
    <w:rsid w:val="007D6146"/>
    <w:rsid w:val="007E0CE7"/>
    <w:rsid w:val="007F1193"/>
    <w:rsid w:val="007F417F"/>
    <w:rsid w:val="007F70B0"/>
    <w:rsid w:val="007F7644"/>
    <w:rsid w:val="008042BD"/>
    <w:rsid w:val="00806DB3"/>
    <w:rsid w:val="0081506D"/>
    <w:rsid w:val="00816624"/>
    <w:rsid w:val="00822427"/>
    <w:rsid w:val="00822562"/>
    <w:rsid w:val="00823663"/>
    <w:rsid w:val="00832DDC"/>
    <w:rsid w:val="00850BAC"/>
    <w:rsid w:val="00854A3E"/>
    <w:rsid w:val="00855D08"/>
    <w:rsid w:val="008610D8"/>
    <w:rsid w:val="00874344"/>
    <w:rsid w:val="00874723"/>
    <w:rsid w:val="00882155"/>
    <w:rsid w:val="0088233B"/>
    <w:rsid w:val="00882418"/>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5033"/>
    <w:rsid w:val="00925638"/>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5C34"/>
    <w:rsid w:val="009A7C96"/>
    <w:rsid w:val="009C3DB9"/>
    <w:rsid w:val="009D46E5"/>
    <w:rsid w:val="009D568A"/>
    <w:rsid w:val="009E6A51"/>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310B"/>
    <w:rsid w:val="00A5442F"/>
    <w:rsid w:val="00A54FF9"/>
    <w:rsid w:val="00A55B88"/>
    <w:rsid w:val="00A56765"/>
    <w:rsid w:val="00A675AC"/>
    <w:rsid w:val="00A7581F"/>
    <w:rsid w:val="00A92FB1"/>
    <w:rsid w:val="00A95A0C"/>
    <w:rsid w:val="00AA2765"/>
    <w:rsid w:val="00AA6B45"/>
    <w:rsid w:val="00AA77B5"/>
    <w:rsid w:val="00AB6C5D"/>
    <w:rsid w:val="00AB72EB"/>
    <w:rsid w:val="00AC3401"/>
    <w:rsid w:val="00AC4D59"/>
    <w:rsid w:val="00AC51A7"/>
    <w:rsid w:val="00AD444B"/>
    <w:rsid w:val="00AD4976"/>
    <w:rsid w:val="00AD5614"/>
    <w:rsid w:val="00AD6C78"/>
    <w:rsid w:val="00AE2859"/>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4BFE"/>
    <w:rsid w:val="00B25CA3"/>
    <w:rsid w:val="00B260AE"/>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6E7F"/>
    <w:rsid w:val="00C31BB3"/>
    <w:rsid w:val="00C36977"/>
    <w:rsid w:val="00C425FA"/>
    <w:rsid w:val="00C467DA"/>
    <w:rsid w:val="00C477D9"/>
    <w:rsid w:val="00C60BA3"/>
    <w:rsid w:val="00C623F7"/>
    <w:rsid w:val="00C62A81"/>
    <w:rsid w:val="00C75BC5"/>
    <w:rsid w:val="00C81670"/>
    <w:rsid w:val="00C81773"/>
    <w:rsid w:val="00C824E2"/>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5C1E"/>
    <w:rsid w:val="00CC10A9"/>
    <w:rsid w:val="00CE2BF8"/>
    <w:rsid w:val="00CE484E"/>
    <w:rsid w:val="00CE656F"/>
    <w:rsid w:val="00CE7853"/>
    <w:rsid w:val="00CF0DA8"/>
    <w:rsid w:val="00CF2E25"/>
    <w:rsid w:val="00CF4453"/>
    <w:rsid w:val="00CF5D94"/>
    <w:rsid w:val="00CF7E0F"/>
    <w:rsid w:val="00D024F3"/>
    <w:rsid w:val="00D034D7"/>
    <w:rsid w:val="00D04BE4"/>
    <w:rsid w:val="00D06FC7"/>
    <w:rsid w:val="00D12565"/>
    <w:rsid w:val="00D14127"/>
    <w:rsid w:val="00D17ED8"/>
    <w:rsid w:val="00D23EDF"/>
    <w:rsid w:val="00D25BE9"/>
    <w:rsid w:val="00D60B16"/>
    <w:rsid w:val="00D60F02"/>
    <w:rsid w:val="00D66E49"/>
    <w:rsid w:val="00D70D71"/>
    <w:rsid w:val="00D72F74"/>
    <w:rsid w:val="00D75113"/>
    <w:rsid w:val="00D81563"/>
    <w:rsid w:val="00D85907"/>
    <w:rsid w:val="00D9073E"/>
    <w:rsid w:val="00D9221D"/>
    <w:rsid w:val="00D958DF"/>
    <w:rsid w:val="00D95A7E"/>
    <w:rsid w:val="00D96DA1"/>
    <w:rsid w:val="00DA51E7"/>
    <w:rsid w:val="00DB0260"/>
    <w:rsid w:val="00DB1C78"/>
    <w:rsid w:val="00DB7D96"/>
    <w:rsid w:val="00DC23FE"/>
    <w:rsid w:val="00DC31C2"/>
    <w:rsid w:val="00DC59E6"/>
    <w:rsid w:val="00DD150B"/>
    <w:rsid w:val="00DD5025"/>
    <w:rsid w:val="00DF1222"/>
    <w:rsid w:val="00DF1510"/>
    <w:rsid w:val="00E02F1F"/>
    <w:rsid w:val="00E06484"/>
    <w:rsid w:val="00E13C21"/>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419C"/>
    <w:rsid w:val="00EC3FBB"/>
    <w:rsid w:val="00EC6B7A"/>
    <w:rsid w:val="00ED3A87"/>
    <w:rsid w:val="00ED5B67"/>
    <w:rsid w:val="00EF264C"/>
    <w:rsid w:val="00EF3FEE"/>
    <w:rsid w:val="00F04B59"/>
    <w:rsid w:val="00F11741"/>
    <w:rsid w:val="00F12B1C"/>
    <w:rsid w:val="00F13CF8"/>
    <w:rsid w:val="00F15855"/>
    <w:rsid w:val="00F17FCC"/>
    <w:rsid w:val="00F200B2"/>
    <w:rsid w:val="00F227DC"/>
    <w:rsid w:val="00F32978"/>
    <w:rsid w:val="00F45CB2"/>
    <w:rsid w:val="00F544C0"/>
    <w:rsid w:val="00F54FF2"/>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28F5"/>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0376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037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0E29-266A-4115-ACD9-0F14F835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1121</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Jackie Colson</cp:lastModifiedBy>
  <cp:revision>2</cp:revision>
  <cp:lastPrinted>2019-11-25T13:47:00Z</cp:lastPrinted>
  <dcterms:created xsi:type="dcterms:W3CDTF">2019-11-26T14:11:00Z</dcterms:created>
  <dcterms:modified xsi:type="dcterms:W3CDTF">2019-11-26T14:11:00Z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20190191-GU</vt:lpwstr>
  </property>
  <property fmtid="{D5CDD505-2E9C-101B-9397-08002B2CF9AE}" pid="3" name="MasterDocument">
    <vt:bool>false</vt:bool>
  </property>
</Properties>
</file>