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00B71" w:rsidP="00000B71">
      <w:pPr>
        <w:pStyle w:val="OrderHeading"/>
      </w:pPr>
      <w:r>
        <w:t>BEFORE THE FLORIDA PUBLIC SERVICE COMMISSION</w:t>
      </w:r>
    </w:p>
    <w:p w:rsidR="00000B71" w:rsidRDefault="00000B71" w:rsidP="00000B71">
      <w:pPr>
        <w:pStyle w:val="OrderBody"/>
      </w:pPr>
    </w:p>
    <w:p w:rsidR="00000B71" w:rsidRDefault="00000B71" w:rsidP="00000B7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00B71" w:rsidRPr="00C63FCF" w:rsidTr="00C63FCF">
        <w:trPr>
          <w:trHeight w:val="828"/>
        </w:trPr>
        <w:tc>
          <w:tcPr>
            <w:tcW w:w="4788" w:type="dxa"/>
            <w:tcBorders>
              <w:bottom w:val="single" w:sz="8" w:space="0" w:color="auto"/>
              <w:right w:val="double" w:sz="6" w:space="0" w:color="auto"/>
            </w:tcBorders>
            <w:shd w:val="clear" w:color="auto" w:fill="auto"/>
          </w:tcPr>
          <w:p w:rsidR="00000B71" w:rsidRDefault="00000B71" w:rsidP="00C63FCF">
            <w:pPr>
              <w:pStyle w:val="OrderBody"/>
              <w:tabs>
                <w:tab w:val="center" w:pos="4320"/>
                <w:tab w:val="right" w:pos="8640"/>
              </w:tabs>
              <w:jc w:val="left"/>
            </w:pPr>
            <w:r>
              <w:t xml:space="preserve">In re: </w:t>
            </w:r>
            <w:bookmarkStart w:id="0" w:name="SSInRe"/>
            <w:bookmarkEnd w:id="0"/>
            <w:r>
              <w:t>Petition to compel Florida Power &amp; Light to comply with Section 366.91, F.S. and Rule 25.6-065, F.A.C., by Floyd Gonzales and Robert Irwin.</w:t>
            </w:r>
          </w:p>
        </w:tc>
        <w:tc>
          <w:tcPr>
            <w:tcW w:w="4788" w:type="dxa"/>
            <w:tcBorders>
              <w:left w:val="double" w:sz="6" w:space="0" w:color="auto"/>
            </w:tcBorders>
            <w:shd w:val="clear" w:color="auto" w:fill="auto"/>
          </w:tcPr>
          <w:p w:rsidR="00000B71" w:rsidRDefault="00000B71" w:rsidP="00000B71">
            <w:pPr>
              <w:pStyle w:val="OrderBody"/>
            </w:pPr>
            <w:r>
              <w:t xml:space="preserve">DOCKET NO. </w:t>
            </w:r>
            <w:bookmarkStart w:id="1" w:name="SSDocketNo"/>
            <w:bookmarkEnd w:id="1"/>
            <w:r>
              <w:t>20190167-EI</w:t>
            </w:r>
          </w:p>
          <w:p w:rsidR="00000B71" w:rsidRDefault="00000B71" w:rsidP="00C63FCF">
            <w:pPr>
              <w:pStyle w:val="OrderBody"/>
              <w:tabs>
                <w:tab w:val="center" w:pos="4320"/>
                <w:tab w:val="right" w:pos="8640"/>
              </w:tabs>
              <w:jc w:val="left"/>
            </w:pPr>
            <w:r>
              <w:t xml:space="preserve">ORDER NO. </w:t>
            </w:r>
            <w:bookmarkStart w:id="2" w:name="OrderNo0029"/>
            <w:r w:rsidR="003954FB">
              <w:t>PSC-2020-0029-PAA-EI</w:t>
            </w:r>
            <w:bookmarkEnd w:id="2"/>
          </w:p>
          <w:p w:rsidR="00000B71" w:rsidRDefault="00000B71" w:rsidP="00C63FCF">
            <w:pPr>
              <w:pStyle w:val="OrderBody"/>
              <w:tabs>
                <w:tab w:val="center" w:pos="4320"/>
                <w:tab w:val="right" w:pos="8640"/>
              </w:tabs>
              <w:jc w:val="left"/>
            </w:pPr>
            <w:r>
              <w:t xml:space="preserve">ISSUED: </w:t>
            </w:r>
            <w:r w:rsidR="003954FB">
              <w:t>January 17, 2020</w:t>
            </w:r>
          </w:p>
        </w:tc>
      </w:tr>
    </w:tbl>
    <w:p w:rsidR="00000B71" w:rsidRDefault="00000B71" w:rsidP="00000B71"/>
    <w:p w:rsidR="00000B71" w:rsidRDefault="00000B71" w:rsidP="00000B71"/>
    <w:p w:rsidR="00000B71" w:rsidRDefault="00000B71" w:rsidP="00B67A43">
      <w:pPr>
        <w:ind w:firstLine="720"/>
        <w:jc w:val="both"/>
      </w:pPr>
      <w:bookmarkStart w:id="3" w:name="Commissioners"/>
      <w:bookmarkEnd w:id="3"/>
      <w:r>
        <w:t>The following Commissioners participated in the disposition of this matter:</w:t>
      </w:r>
    </w:p>
    <w:p w:rsidR="00000B71" w:rsidRDefault="00000B71" w:rsidP="00B67A43"/>
    <w:p w:rsidR="00000B71" w:rsidRDefault="00000B71" w:rsidP="00B67A43">
      <w:pPr>
        <w:jc w:val="center"/>
      </w:pPr>
      <w:r>
        <w:t>GARY F. CLARK, Chairman</w:t>
      </w:r>
    </w:p>
    <w:p w:rsidR="00000B71" w:rsidRDefault="00000B71" w:rsidP="00B67A43">
      <w:pPr>
        <w:jc w:val="center"/>
      </w:pPr>
      <w:r>
        <w:t>ART GRAHAM</w:t>
      </w:r>
    </w:p>
    <w:p w:rsidR="00000B71" w:rsidRDefault="00000B71" w:rsidP="00B67A43">
      <w:pPr>
        <w:jc w:val="center"/>
      </w:pPr>
      <w:r>
        <w:t>JULIE I. BROWN</w:t>
      </w:r>
    </w:p>
    <w:p w:rsidR="00000B71" w:rsidRDefault="00000B71" w:rsidP="00B67A43">
      <w:pPr>
        <w:jc w:val="center"/>
      </w:pPr>
      <w:r>
        <w:t>DONALD J. POLMANN</w:t>
      </w:r>
    </w:p>
    <w:p w:rsidR="00000B71" w:rsidRDefault="00000B71" w:rsidP="00000B71">
      <w:pPr>
        <w:jc w:val="center"/>
      </w:pPr>
      <w:r>
        <w:t>ANDREW GILES FAY</w:t>
      </w:r>
    </w:p>
    <w:p w:rsidR="00000B71" w:rsidRDefault="00000B71" w:rsidP="00000B71">
      <w:pPr>
        <w:pStyle w:val="OrderBody"/>
      </w:pPr>
    </w:p>
    <w:p w:rsidR="00000B71" w:rsidRDefault="00000B71" w:rsidP="00000B71">
      <w:pPr>
        <w:pStyle w:val="OrderBody"/>
      </w:pPr>
    </w:p>
    <w:bookmarkStart w:id="4" w:name="OrderText"/>
    <w:bookmarkEnd w:id="4"/>
    <w:p w:rsidR="00000B71" w:rsidRPr="003E4B2D" w:rsidRDefault="00000B71">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000B71" w:rsidRPr="003E4B2D" w:rsidRDefault="00000B71">
      <w:pPr>
        <w:pStyle w:val="OrderBody"/>
        <w:jc w:val="center"/>
        <w:rPr>
          <w:u w:val="single"/>
        </w:rPr>
      </w:pPr>
      <w:r w:rsidRPr="003E4B2D">
        <w:rPr>
          <w:u w:val="single"/>
        </w:rPr>
        <w:t>ORDER</w:t>
      </w:r>
      <w:bookmarkStart w:id="5" w:name="OrderTitle"/>
      <w:r>
        <w:rPr>
          <w:u w:val="single"/>
        </w:rPr>
        <w:t xml:space="preserve"> </w:t>
      </w:r>
      <w:r w:rsidR="009936C5">
        <w:rPr>
          <w:u w:val="single"/>
        </w:rPr>
        <w:t>DENYING PETITION</w:t>
      </w:r>
      <w:bookmarkEnd w:id="5"/>
    </w:p>
    <w:p w:rsidR="00000B71" w:rsidRPr="003E4B2D" w:rsidRDefault="00000B71">
      <w:pPr>
        <w:pStyle w:val="OrderBody"/>
      </w:pPr>
    </w:p>
    <w:p w:rsidR="00000B71" w:rsidRPr="003E4B2D" w:rsidRDefault="00000B71">
      <w:pPr>
        <w:pStyle w:val="OrderBody"/>
      </w:pPr>
    </w:p>
    <w:p w:rsidR="00000B71" w:rsidRPr="003E4B2D" w:rsidRDefault="00000B71">
      <w:pPr>
        <w:pStyle w:val="OrderBody"/>
      </w:pPr>
      <w:r w:rsidRPr="003E4B2D">
        <w:t>BY THE COMMISSION:</w:t>
      </w:r>
    </w:p>
    <w:p w:rsidR="00000B71" w:rsidRPr="003E4B2D" w:rsidRDefault="00000B71">
      <w:pPr>
        <w:pStyle w:val="OrderBody"/>
      </w:pPr>
    </w:p>
    <w:p w:rsidR="00000B71" w:rsidRDefault="00000B71">
      <w:pPr>
        <w:pStyle w:val="OrderBody"/>
      </w:pPr>
      <w:r w:rsidRPr="003E4B2D">
        <w:tab/>
        <w:t xml:space="preserve">NOTICE is hereby given by the Florida Public Service Commission </w:t>
      </w:r>
      <w:r w:rsidR="009936C5">
        <w:t xml:space="preserve">(Commission) </w:t>
      </w:r>
      <w:r w:rsidRPr="003E4B2D">
        <w:t>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r w:rsidR="003D7D9E">
        <w:t xml:space="preserve"> </w:t>
      </w:r>
    </w:p>
    <w:p w:rsidR="00CB5276" w:rsidRDefault="00CB5276" w:rsidP="00000B71"/>
    <w:p w:rsidR="00000B71" w:rsidRDefault="00000B71" w:rsidP="00000B71">
      <w:pPr>
        <w:pStyle w:val="RecommendationMajorSectionHeading"/>
      </w:pPr>
      <w:r>
        <w:t>Background</w:t>
      </w:r>
    </w:p>
    <w:p w:rsidR="00000B71" w:rsidRDefault="00000B71" w:rsidP="00000B71">
      <w:pPr>
        <w:suppressAutoHyphens/>
        <w:spacing w:after="240"/>
        <w:jc w:val="both"/>
      </w:pPr>
      <w:r>
        <w:tab/>
        <w:t xml:space="preserve">On August 26, 2019, Floyd Gonzales and Robert Irwin (Petitioners) filed a Petition to Compel Florida Power &amp; Light Company (FPL) to </w:t>
      </w:r>
      <w:proofErr w:type="gramStart"/>
      <w:r>
        <w:t>Comply</w:t>
      </w:r>
      <w:proofErr w:type="gramEnd"/>
      <w:r>
        <w:t xml:space="preserve"> with Section 366.91, Florida Statutes (F.S.) and Rule 25-6.065, F.A.C. (Petition). Petitioners assert they are permitted by law to be included in FPL’s net metering program and FPL’s requirement that customer-owned renewable generation must be sized not to exceed 115 percent of the customer’s annual kWh consumption </w:t>
      </w:r>
      <w:r w:rsidR="003D7D9E">
        <w:t>violates Rule 25-6.065, F.A.C.</w:t>
      </w:r>
    </w:p>
    <w:p w:rsidR="00D57E57" w:rsidRDefault="00000B71" w:rsidP="008E6D50">
      <w:pPr>
        <w:jc w:val="both"/>
      </w:pPr>
      <w:r>
        <w:tab/>
        <w:t>On September 16, 2019, FPL filed a Motion to Dismiss the Petition or in the Alternative to Treat the Petition as a Request for a Declaratory Statement (FPL Motion and Alternative Request). On September 23, 2019, the Petitioners filed a Response in Opposition to FPL’s Motion to Dismiss and Alternative Request.</w:t>
      </w:r>
      <w:r w:rsidR="003D7D9E">
        <w:t xml:space="preserve"> </w:t>
      </w:r>
    </w:p>
    <w:p w:rsidR="00000B71" w:rsidRDefault="00000B71" w:rsidP="00000B71"/>
    <w:p w:rsidR="00000B71" w:rsidRDefault="00000B71" w:rsidP="00000B71">
      <w:pPr>
        <w:pStyle w:val="RecommendationMajorSectionHeading"/>
        <w:keepNext w:val="0"/>
        <w:jc w:val="both"/>
        <w:rPr>
          <w:rFonts w:ascii="Times New Roman" w:hAnsi="Times New Roman" w:cs="Times New Roman"/>
          <w:b w:val="0"/>
        </w:rPr>
      </w:pPr>
      <w:r>
        <w:rPr>
          <w:rFonts w:ascii="Times New Roman" w:hAnsi="Times New Roman" w:cs="Times New Roman"/>
          <w:b w:val="0"/>
        </w:rPr>
        <w:tab/>
      </w:r>
      <w:r w:rsidRPr="006E22D4">
        <w:rPr>
          <w:rFonts w:ascii="Times New Roman" w:hAnsi="Times New Roman" w:cs="Times New Roman"/>
          <w:b w:val="0"/>
        </w:rPr>
        <w:t xml:space="preserve">By email dated October 21, 2019, from FPL attorney, Ken Rubin, to the Petitioners’ attorney, Kyle Egger, FPL expressed that based upon a review of Petitioners’ increased electricity </w:t>
      </w:r>
      <w:proofErr w:type="gramStart"/>
      <w:r w:rsidRPr="006E22D4">
        <w:rPr>
          <w:rFonts w:ascii="Times New Roman" w:hAnsi="Times New Roman" w:cs="Times New Roman"/>
          <w:b w:val="0"/>
        </w:rPr>
        <w:t>usage,</w:t>
      </w:r>
      <w:proofErr w:type="gramEnd"/>
      <w:r w:rsidRPr="006E22D4">
        <w:rPr>
          <w:rFonts w:ascii="Times New Roman" w:hAnsi="Times New Roman" w:cs="Times New Roman"/>
          <w:b w:val="0"/>
        </w:rPr>
        <w:t xml:space="preserve"> such usage was within FPL’s 115% guideline and Petitioners’ application for interconnection as a tier 2 net metered customer could proceed for approval. Specifically, FPL </w:t>
      </w:r>
      <w:r w:rsidRPr="006E22D4">
        <w:rPr>
          <w:rFonts w:ascii="Times New Roman" w:hAnsi="Times New Roman" w:cs="Times New Roman"/>
          <w:b w:val="0"/>
        </w:rPr>
        <w:lastRenderedPageBreak/>
        <w:t>stated that “[o]</w:t>
      </w:r>
      <w:proofErr w:type="spellStart"/>
      <w:r w:rsidRPr="006E22D4">
        <w:rPr>
          <w:rFonts w:ascii="Times New Roman" w:hAnsi="Times New Roman" w:cs="Times New Roman"/>
          <w:b w:val="0"/>
        </w:rPr>
        <w:t>ur</w:t>
      </w:r>
      <w:proofErr w:type="spellEnd"/>
      <w:r w:rsidRPr="006E22D4">
        <w:rPr>
          <w:rFonts w:ascii="Times New Roman" w:hAnsi="Times New Roman" w:cs="Times New Roman"/>
          <w:b w:val="0"/>
        </w:rPr>
        <w:t xml:space="preserve"> goal is to interconnect your client’s system as soon as possible so that he may begin to net meter.”</w:t>
      </w:r>
    </w:p>
    <w:p w:rsidR="00000B71" w:rsidRDefault="00000B71" w:rsidP="008E6D50">
      <w:pPr>
        <w:jc w:val="both"/>
      </w:pPr>
      <w:r>
        <w:tab/>
        <w:t xml:space="preserve">Presented with the suggestion that the Petition had become moot, the attorney for the Petitioners responded to FPL’s attorney on November 20, 2019, that “at this point and with all resources spent on trying to get FPL to do what it was supposed to do from the outset, [Petitioners] still want a formal opinion on their petition.” Net metering for Petitioners became operational on December 5, 2019. </w:t>
      </w:r>
      <w:r w:rsidR="009936C5">
        <w:t xml:space="preserve">By this Order, we </w:t>
      </w:r>
      <w:r w:rsidR="00337605">
        <w:t>address</w:t>
      </w:r>
      <w:r>
        <w:t xml:space="preserve"> the merits of the Petition and </w:t>
      </w:r>
      <w:r w:rsidR="009936C5">
        <w:t xml:space="preserve">make no decision regarding </w:t>
      </w:r>
      <w:r>
        <w:t>the FPL Motion and Alternative Request.</w:t>
      </w:r>
    </w:p>
    <w:p w:rsidR="00000B71" w:rsidRDefault="00000B71" w:rsidP="00000B71"/>
    <w:p w:rsidR="00000B71" w:rsidRPr="00000B71" w:rsidRDefault="009936C5" w:rsidP="00000B71">
      <w:pPr>
        <w:keepNext/>
        <w:spacing w:after="240"/>
        <w:jc w:val="center"/>
        <w:outlineLvl w:val="0"/>
        <w:rPr>
          <w:rFonts w:ascii="Arial" w:hAnsi="Arial" w:cs="Arial"/>
          <w:b/>
          <w:bCs/>
          <w:kern w:val="32"/>
          <w:szCs w:val="32"/>
        </w:rPr>
      </w:pPr>
      <w:bookmarkStart w:id="6" w:name="DiscussionOfIssues"/>
      <w:r>
        <w:rPr>
          <w:rFonts w:ascii="Arial" w:hAnsi="Arial" w:cs="Arial"/>
          <w:b/>
          <w:bCs/>
          <w:kern w:val="32"/>
          <w:szCs w:val="32"/>
        </w:rPr>
        <w:t>Review and Decision</w:t>
      </w:r>
    </w:p>
    <w:bookmarkEnd w:id="6"/>
    <w:p w:rsidR="00000B71" w:rsidRPr="00000B71" w:rsidRDefault="00000B71" w:rsidP="009936C5">
      <w:pPr>
        <w:spacing w:after="240"/>
        <w:jc w:val="both"/>
        <w:rPr>
          <w:u w:val="single"/>
        </w:rPr>
      </w:pPr>
      <w:r w:rsidRPr="00000B71">
        <w:rPr>
          <w:u w:val="single"/>
        </w:rPr>
        <w:t>Net Metering</w:t>
      </w:r>
    </w:p>
    <w:p w:rsidR="00000B71" w:rsidRPr="00000B71" w:rsidRDefault="00000B71" w:rsidP="00000B71">
      <w:pPr>
        <w:spacing w:after="240"/>
        <w:jc w:val="both"/>
        <w:rPr>
          <w:bCs/>
        </w:rPr>
      </w:pPr>
      <w:r>
        <w:tab/>
      </w:r>
      <w:r w:rsidRPr="00000B71">
        <w:t>Petitioners argue that FPL improperly rejected their application for inclusion in FPL’s net metering program in violation of Section 366.91, F.S., and Rule 25-</w:t>
      </w:r>
      <w:proofErr w:type="gramStart"/>
      <w:r w:rsidRPr="00000B71">
        <w:t>6.065,</w:t>
      </w:r>
      <w:proofErr w:type="gramEnd"/>
      <w:r w:rsidRPr="00000B71">
        <w:t xml:space="preserve"> F.A.C. Petitioners aver that the intent of both the applicable rule and statute is to encourage customers to install solar panels. Petitioners contend that, in accordance with Rule 25-6.065(4), F.A.C., the only size limit</w:t>
      </w:r>
      <w:r w:rsidR="00B32067">
        <w:t>ation</w:t>
      </w:r>
      <w:r w:rsidRPr="00000B71">
        <w:t xml:space="preserve"> on a customer’s renewable power generation is that it may not exceed 90% of the customer’s utility distribution service rating. Petitioners conclude that if a customer-owned renewable generation project does not exceed 90% of that customer’s utility distribution service rating, the project qualifies and should be accepted into any utility’s net metering program.  Petitioners argue that their anticipated renewable power generation is well within the foregoing limits and, as a result, Petitioners’ application should have been immediately approved </w:t>
      </w:r>
      <w:r w:rsidRPr="00000B71">
        <w:rPr>
          <w:bCs/>
        </w:rPr>
        <w:t>as the Rule requires.</w:t>
      </w:r>
    </w:p>
    <w:p w:rsidR="00000B71" w:rsidRPr="00000B71" w:rsidRDefault="00000B71" w:rsidP="00000B71">
      <w:pPr>
        <w:spacing w:after="240"/>
        <w:jc w:val="both"/>
      </w:pPr>
      <w:r>
        <w:tab/>
      </w:r>
      <w:r w:rsidRPr="00000B71">
        <w:t>Petitioners assert that FPL imposes limits based on a customer’s historical energy consumption and not capacity. Specifically, Petitioners aver that FPL’s net metering portal instructs its customers that their “[s]</w:t>
      </w:r>
      <w:proofErr w:type="spellStart"/>
      <w:r w:rsidRPr="00000B71">
        <w:t>ystems</w:t>
      </w:r>
      <w:proofErr w:type="spellEnd"/>
      <w:r w:rsidRPr="00000B71">
        <w:t xml:space="preserve"> should not be sized so large that energy produced by the renewable generator would be expected to exceed 115 percent of the customer’s annual kWh consumption.”  Petitioners argue that FPL’s arbitrary limitations violate Section 366.91, F.S., and Rule 25-6.065, F.A.C., and that FPL must be compelled to comply with </w:t>
      </w:r>
      <w:r w:rsidR="00AC0E6C">
        <w:t xml:space="preserve">those legal authorities </w:t>
      </w:r>
      <w:r w:rsidRPr="00000B71">
        <w:t>and approve Petitioners’ application for inclusion in its net metering program.</w:t>
      </w:r>
    </w:p>
    <w:p w:rsidR="00000B71" w:rsidRPr="00000B71" w:rsidRDefault="00000B71" w:rsidP="00000B71">
      <w:pPr>
        <w:spacing w:after="240"/>
        <w:jc w:val="both"/>
      </w:pPr>
      <w:r>
        <w:tab/>
      </w:r>
      <w:r w:rsidRPr="00000B71">
        <w:t xml:space="preserve">Petitioners ask that </w:t>
      </w:r>
      <w:r w:rsidR="00AC0E6C">
        <w:t>we</w:t>
      </w:r>
      <w:r w:rsidRPr="00000B71">
        <w:t xml:space="preserve"> order FPL to approve Petitioners’ application for inclusion in FPL’s net metering program and refund to Petitioners all money unnecessarily spent on electricity because of FPL’s wrongful rejection of their net metering application. </w:t>
      </w:r>
    </w:p>
    <w:p w:rsidR="00000B71" w:rsidRPr="00000B71" w:rsidRDefault="00000B71" w:rsidP="00000B71">
      <w:pPr>
        <w:spacing w:after="240"/>
        <w:jc w:val="both"/>
      </w:pPr>
      <w:r>
        <w:tab/>
      </w:r>
      <w:r w:rsidR="00AC0E6C">
        <w:t xml:space="preserve">Upon review, we find that </w:t>
      </w:r>
      <w:r w:rsidRPr="00000B71">
        <w:t>Petitioners</w:t>
      </w:r>
      <w:r w:rsidR="00AC0E6C">
        <w:t xml:space="preserve">’ arguments </w:t>
      </w:r>
      <w:r w:rsidRPr="00000B71">
        <w:t>ignore the definition of “net metering” in both Rule 25-6.065(2</w:t>
      </w:r>
      <w:proofErr w:type="gramStart"/>
      <w:r w:rsidRPr="00000B71">
        <w:t>)(</w:t>
      </w:r>
      <w:proofErr w:type="gramEnd"/>
      <w:r w:rsidRPr="00000B71">
        <w:t>c), F.A.C., and Section 366.91(2)(c), F.S. Net metering is defined as “a metering and billing methodology whereby customer-owned renewable generation</w:t>
      </w:r>
      <w:r w:rsidRPr="00000B71">
        <w:rPr>
          <w:i/>
        </w:rPr>
        <w:t xml:space="preserve"> is allowed to offset the customer’s electricity consumption onsite</w:t>
      </w:r>
      <w:r w:rsidRPr="00000B71">
        <w:t xml:space="preserve">.” (Emphasis added). Customer-owned renewable generation is “an electric generating system located on a customer’s premises that is primarily intended to offset part or all of the customer’s electricity requirements with renewable </w:t>
      </w:r>
      <w:r w:rsidRPr="00000B71">
        <w:lastRenderedPageBreak/>
        <w:t>energy.”</w:t>
      </w:r>
      <w:r w:rsidR="00337605">
        <w:rPr>
          <w:rStyle w:val="FootnoteReference"/>
        </w:rPr>
        <w:footnoteReference w:id="1"/>
      </w:r>
      <w:r w:rsidRPr="00000B71">
        <w:t xml:space="preserve"> Thus, while “customer-owned renewable generation” </w:t>
      </w:r>
      <w:r w:rsidRPr="00000B71">
        <w:rPr>
          <w:i/>
        </w:rPr>
        <w:t>might have</w:t>
      </w:r>
      <w:r w:rsidRPr="00000B71">
        <w:t xml:space="preserve"> a secondary purpose other than to offset part or all of a customer’s electricity requirements, “net metering” is only allowed to offset the customer’s electricity consumption onsite.</w:t>
      </w:r>
      <w:r w:rsidRPr="00000B71">
        <w:rPr>
          <w:vertAlign w:val="superscript"/>
        </w:rPr>
        <w:footnoteReference w:id="2"/>
      </w:r>
      <w:r w:rsidRPr="00000B71">
        <w:t xml:space="preserve"> FPL does permit net metering of 115% of consumption because each unique system is assessed on a range of values using photovoltaic watts resulting in some fluctuation.</w:t>
      </w:r>
      <w:r w:rsidRPr="00000B71">
        <w:rPr>
          <w:vertAlign w:val="superscript"/>
        </w:rPr>
        <w:footnoteReference w:id="3"/>
      </w:r>
      <w:r w:rsidRPr="00000B71">
        <w:t xml:space="preserve"> </w:t>
      </w:r>
      <w:r w:rsidR="003D6B66">
        <w:t xml:space="preserve">We find this to be </w:t>
      </w:r>
      <w:r w:rsidRPr="00000B71">
        <w:t>a reasonable implementation of Rule 25-6.065(2</w:t>
      </w:r>
      <w:proofErr w:type="gramStart"/>
      <w:r w:rsidRPr="00000B71">
        <w:t>)(</w:t>
      </w:r>
      <w:proofErr w:type="gramEnd"/>
      <w:r w:rsidRPr="00000B71">
        <w:t xml:space="preserve">c), F.A.C. </w:t>
      </w:r>
    </w:p>
    <w:p w:rsidR="00000B71" w:rsidRPr="00000B71" w:rsidRDefault="00000B71" w:rsidP="00000B71">
      <w:pPr>
        <w:spacing w:after="240"/>
        <w:jc w:val="both"/>
      </w:pPr>
      <w:r>
        <w:tab/>
      </w:r>
      <w:r w:rsidRPr="00000B71">
        <w:t xml:space="preserve">In addition to the offsetting limitation for net metering, </w:t>
      </w:r>
      <w:r w:rsidR="003D6B66">
        <w:t>our</w:t>
      </w:r>
      <w:r w:rsidRPr="00000B71">
        <w:t xml:space="preserve"> Rules also limit interconnection by providing that a customer-owned renewable generation system is not to exceed 90% of the customer’s utility distribution rating.</w:t>
      </w:r>
      <w:r w:rsidRPr="00000B71">
        <w:rPr>
          <w:vertAlign w:val="superscript"/>
        </w:rPr>
        <w:footnoteReference w:id="4"/>
      </w:r>
      <w:r w:rsidRPr="00000B71">
        <w:t xml:space="preserve"> That is, a customer-owned renewable generation system does not qualify for expedited interconnection to the utility’s facilities for net metering if it exceeds 90% of a utility’s capacity to service the customer. Rule 25-6.065(4)(a)1, F.A.C. is intended to provide a safety buffer for the utility distribution system, ensuring that the capacity of utility facilities interconnected to customer-owned renewable generation will not be over-loaded. For example, a customer with a load that reaches 95% of its utility distribution rating is only permitted to interconnect a customer-owned renewable generation system that reaches 90% of the customer’s utility distri</w:t>
      </w:r>
      <w:r w:rsidR="00AD62C5">
        <w:t xml:space="preserve">bution rating, notwithstanding </w:t>
      </w:r>
      <w:r w:rsidRPr="00000B71">
        <w:t>greater electric consumption on site. In sum, there are two limitations associated with net metering: (1) net metering of customer-owned renewable generation is to offset electricity consumption, and (2) customer-owned renewable generation may not exceed 90% of the customer’s utility distribution rating.</w:t>
      </w:r>
    </w:p>
    <w:p w:rsidR="00000B71" w:rsidRPr="00000B71" w:rsidRDefault="00000B71" w:rsidP="00000B71">
      <w:pPr>
        <w:jc w:val="both"/>
      </w:pPr>
      <w:r>
        <w:tab/>
      </w:r>
      <w:r w:rsidR="003D6B66">
        <w:t xml:space="preserve">Upon review, we find that </w:t>
      </w:r>
      <w:r w:rsidRPr="00000B71">
        <w:t xml:space="preserve">FPL has complied with the applicable rule and statute governing net metering, has processed the Petitioners’ application for inclusion in the net metering program, and is net metering the Petitioners’ usage; therefore, </w:t>
      </w:r>
      <w:r w:rsidR="003D6B66">
        <w:t xml:space="preserve">we shall </w:t>
      </w:r>
      <w:r w:rsidRPr="00000B71">
        <w:t xml:space="preserve">deny the Petition. </w:t>
      </w:r>
    </w:p>
    <w:p w:rsidR="00000B71" w:rsidRPr="00000B71" w:rsidRDefault="00000B71" w:rsidP="00000B71">
      <w:pPr>
        <w:contextualSpacing/>
        <w:jc w:val="both"/>
        <w:rPr>
          <w:rFonts w:eastAsiaTheme="minorHAnsi"/>
        </w:rPr>
      </w:pPr>
    </w:p>
    <w:p w:rsidR="00000B71" w:rsidRPr="00000B71" w:rsidRDefault="00000B71" w:rsidP="009936C5">
      <w:pPr>
        <w:contextualSpacing/>
        <w:jc w:val="both"/>
        <w:rPr>
          <w:rFonts w:eastAsiaTheme="minorHAnsi"/>
          <w:u w:val="single"/>
        </w:rPr>
      </w:pPr>
      <w:r w:rsidRPr="00000B71">
        <w:rPr>
          <w:rFonts w:eastAsiaTheme="minorHAnsi"/>
          <w:u w:val="single"/>
        </w:rPr>
        <w:t>Requested Refund</w:t>
      </w:r>
    </w:p>
    <w:p w:rsidR="00000B71" w:rsidRPr="00000B71" w:rsidRDefault="00000B71" w:rsidP="00000B71">
      <w:pPr>
        <w:contextualSpacing/>
        <w:jc w:val="both"/>
        <w:rPr>
          <w:rFonts w:eastAsiaTheme="minorHAnsi"/>
        </w:rPr>
      </w:pPr>
    </w:p>
    <w:p w:rsidR="00000B71" w:rsidRPr="00000B71" w:rsidRDefault="00000B71" w:rsidP="00000B71">
      <w:pPr>
        <w:contextualSpacing/>
        <w:jc w:val="both"/>
        <w:rPr>
          <w:rFonts w:eastAsiaTheme="minorHAnsi"/>
        </w:rPr>
      </w:pPr>
      <w:r>
        <w:rPr>
          <w:rFonts w:eastAsiaTheme="minorHAnsi"/>
        </w:rPr>
        <w:tab/>
      </w:r>
      <w:r w:rsidRPr="00000B71">
        <w:rPr>
          <w:rFonts w:eastAsiaTheme="minorHAnsi"/>
        </w:rPr>
        <w:t>The Petitioners have asked th</w:t>
      </w:r>
      <w:r w:rsidR="003D6B66">
        <w:rPr>
          <w:rFonts w:eastAsiaTheme="minorHAnsi"/>
        </w:rPr>
        <w:t>is</w:t>
      </w:r>
      <w:r w:rsidRPr="00000B71">
        <w:rPr>
          <w:rFonts w:eastAsiaTheme="minorHAnsi"/>
        </w:rPr>
        <w:t xml:space="preserve"> Commission to order FPL to refund Petitioners for “all money unnecessarily spent on electricity because of FPL’s wrongful rejection of their net metering application, and such other relief as deemed just and proper.” However, because </w:t>
      </w:r>
      <w:r w:rsidR="003D6B66">
        <w:rPr>
          <w:rFonts w:eastAsiaTheme="minorHAnsi"/>
        </w:rPr>
        <w:t xml:space="preserve">we find that </w:t>
      </w:r>
      <w:r w:rsidRPr="00000B71">
        <w:rPr>
          <w:rFonts w:eastAsiaTheme="minorHAnsi"/>
        </w:rPr>
        <w:t xml:space="preserve">FPL has not wrongfully rejected the Petitioners’ net metering application, the premise underlying the request is unfounded. </w:t>
      </w:r>
    </w:p>
    <w:p w:rsidR="00000B71" w:rsidRPr="00000B71" w:rsidRDefault="00000B71" w:rsidP="00000B71">
      <w:pPr>
        <w:contextualSpacing/>
        <w:jc w:val="both"/>
        <w:rPr>
          <w:rFonts w:eastAsiaTheme="minorHAnsi"/>
        </w:rPr>
      </w:pPr>
    </w:p>
    <w:p w:rsidR="00000B71" w:rsidRPr="00000B71" w:rsidRDefault="00000B71" w:rsidP="00000B71">
      <w:pPr>
        <w:contextualSpacing/>
        <w:jc w:val="both"/>
        <w:rPr>
          <w:rFonts w:eastAsiaTheme="minorHAnsi"/>
        </w:rPr>
      </w:pPr>
      <w:r>
        <w:rPr>
          <w:rFonts w:eastAsiaTheme="minorHAnsi"/>
        </w:rPr>
        <w:tab/>
      </w:r>
      <w:r w:rsidRPr="00000B71">
        <w:rPr>
          <w:rFonts w:eastAsiaTheme="minorHAnsi"/>
        </w:rPr>
        <w:t xml:space="preserve">In its Motion to Dismiss, FPL addressed the merits of Petitioners’ demand for a refund. FPL asserts that a refund is inappropriate because FPL billed Petitioners consistent with a tariffed rate. FPL avers that the refunds Petitioners request are “purely speculative, retroactive, and uncertain” and would be “entirely dependent on a guess as to what Petitioners would have generated and what their usage would have been had they been net metering.” FPL argues that while Rules 25-6.103 and 25-6.106(2), F.A.C., do provide refund mechanisms for customers impacted by ascertainable metering or billing errors, there are no metering or billing errors in this case. </w:t>
      </w:r>
      <w:r w:rsidR="003D6B66">
        <w:rPr>
          <w:rFonts w:eastAsiaTheme="minorHAnsi"/>
        </w:rPr>
        <w:t xml:space="preserve">We find that </w:t>
      </w:r>
      <w:r w:rsidRPr="00000B71">
        <w:rPr>
          <w:rFonts w:eastAsiaTheme="minorHAnsi"/>
        </w:rPr>
        <w:t xml:space="preserve">FPL is persuasive in the foregoing arguments regarding refunds. </w:t>
      </w:r>
      <w:r w:rsidR="003D6B66">
        <w:rPr>
          <w:rFonts w:eastAsiaTheme="minorHAnsi"/>
        </w:rPr>
        <w:t>Moreover, t</w:t>
      </w:r>
      <w:r w:rsidRPr="00000B71">
        <w:rPr>
          <w:rFonts w:eastAsiaTheme="minorHAnsi"/>
        </w:rPr>
        <w:t xml:space="preserve">o the extent that Petitioners intend to request damages, </w:t>
      </w:r>
      <w:r w:rsidR="003D6B66">
        <w:rPr>
          <w:rFonts w:eastAsiaTheme="minorHAnsi"/>
        </w:rPr>
        <w:t xml:space="preserve">this </w:t>
      </w:r>
      <w:r w:rsidRPr="00000B71">
        <w:rPr>
          <w:rFonts w:eastAsiaTheme="minorHAnsi"/>
        </w:rPr>
        <w:t>Commission has no jurisdiction to make such an award.</w:t>
      </w:r>
      <w:r w:rsidRPr="00000B71">
        <w:rPr>
          <w:rFonts w:eastAsiaTheme="minorHAnsi"/>
          <w:vertAlign w:val="superscript"/>
        </w:rPr>
        <w:footnoteReference w:id="5"/>
      </w:r>
      <w:r w:rsidRPr="00000B71">
        <w:rPr>
          <w:rFonts w:eastAsiaTheme="minorHAnsi"/>
        </w:rPr>
        <w:t xml:space="preserve">  </w:t>
      </w:r>
    </w:p>
    <w:p w:rsidR="00000B71" w:rsidRPr="00000B71" w:rsidRDefault="00000B71" w:rsidP="00000B71">
      <w:pPr>
        <w:contextualSpacing/>
        <w:jc w:val="both"/>
        <w:rPr>
          <w:rFonts w:eastAsiaTheme="minorHAnsi"/>
        </w:rPr>
      </w:pPr>
    </w:p>
    <w:p w:rsidR="00000B71" w:rsidRDefault="00000B71" w:rsidP="005976D7">
      <w:pPr>
        <w:jc w:val="both"/>
        <w:rPr>
          <w:rFonts w:eastAsiaTheme="minorHAnsi"/>
        </w:rPr>
      </w:pPr>
      <w:r>
        <w:rPr>
          <w:rFonts w:eastAsiaTheme="minorHAnsi"/>
        </w:rPr>
        <w:tab/>
      </w:r>
      <w:r w:rsidR="005976D7">
        <w:rPr>
          <w:rFonts w:eastAsiaTheme="minorHAnsi"/>
        </w:rPr>
        <w:t xml:space="preserve">Upon review, we find that </w:t>
      </w:r>
      <w:r w:rsidRPr="00000B71">
        <w:rPr>
          <w:rFonts w:eastAsiaTheme="minorHAnsi"/>
        </w:rPr>
        <w:t xml:space="preserve">FPL’s actions do not warrant a refund, </w:t>
      </w:r>
      <w:r w:rsidR="005976D7">
        <w:rPr>
          <w:rFonts w:eastAsiaTheme="minorHAnsi"/>
        </w:rPr>
        <w:t xml:space="preserve">that </w:t>
      </w:r>
      <w:r w:rsidRPr="00000B71">
        <w:rPr>
          <w:rFonts w:eastAsiaTheme="minorHAnsi"/>
        </w:rPr>
        <w:t>refunds are inappropriate under the circumstances presented, and th</w:t>
      </w:r>
      <w:r w:rsidR="005976D7">
        <w:rPr>
          <w:rFonts w:eastAsiaTheme="minorHAnsi"/>
        </w:rPr>
        <w:t>at this C</w:t>
      </w:r>
      <w:r w:rsidRPr="00000B71">
        <w:rPr>
          <w:rFonts w:eastAsiaTheme="minorHAnsi"/>
        </w:rPr>
        <w:t xml:space="preserve">ommission has no authority to award damages; therefore, the Petitioners’ request for a refund </w:t>
      </w:r>
      <w:r w:rsidR="005976D7">
        <w:rPr>
          <w:rFonts w:eastAsiaTheme="minorHAnsi"/>
        </w:rPr>
        <w:t xml:space="preserve">shall </w:t>
      </w:r>
      <w:r w:rsidRPr="00000B71">
        <w:rPr>
          <w:rFonts w:eastAsiaTheme="minorHAnsi"/>
        </w:rPr>
        <w:t>be denied.</w:t>
      </w:r>
    </w:p>
    <w:p w:rsidR="00000B71" w:rsidRDefault="00000B71" w:rsidP="00000B71"/>
    <w:p w:rsidR="00000B71" w:rsidRDefault="00000B71" w:rsidP="00000B71">
      <w:pPr>
        <w:pStyle w:val="OrderBody"/>
      </w:pPr>
      <w:r>
        <w:tab/>
        <w:t>Based on the foregoing, it is</w:t>
      </w:r>
    </w:p>
    <w:p w:rsidR="00000B71" w:rsidRDefault="00000B71" w:rsidP="00000B71">
      <w:pPr>
        <w:pStyle w:val="OrderBody"/>
      </w:pPr>
    </w:p>
    <w:p w:rsidR="009936C5" w:rsidRDefault="00000B71" w:rsidP="009936C5">
      <w:pPr>
        <w:spacing w:after="240"/>
        <w:jc w:val="both"/>
      </w:pPr>
      <w:r>
        <w:tab/>
        <w:t>ORDERED by the Florida Public Service Commission that</w:t>
      </w:r>
      <w:r w:rsidR="009936C5">
        <w:t xml:space="preserve"> </w:t>
      </w:r>
      <w:r w:rsidR="009936C5" w:rsidRPr="00000B71">
        <w:t>Floyd Gonzales and Robert Irwin’s Petition to Compel FPL’s Compliance with Section 366.91, F.S., and Rule 25-6.065, F.A.C., and request for a refund</w:t>
      </w:r>
      <w:r w:rsidR="009936C5">
        <w:t xml:space="preserve"> is denied. It is further</w:t>
      </w:r>
    </w:p>
    <w:p w:rsidR="00000B71" w:rsidRDefault="009936C5" w:rsidP="009936C5">
      <w:pPr>
        <w:spacing w:after="240"/>
        <w:jc w:val="both"/>
      </w:pPr>
      <w:r>
        <w:tab/>
      </w:r>
      <w:r w:rsidR="00000B71">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000B71" w:rsidRDefault="00000B71" w:rsidP="00000B71">
      <w:pPr>
        <w:pStyle w:val="OrderBody"/>
      </w:pPr>
      <w:r>
        <w:tab/>
      </w:r>
      <w:proofErr w:type="gramStart"/>
      <w:r>
        <w:t>ORDERED that in the event this Order becomes final, this docket shall be closed.</w:t>
      </w:r>
      <w:proofErr w:type="gramEnd"/>
    </w:p>
    <w:p w:rsidR="00000B71" w:rsidRDefault="00000B71" w:rsidP="00000B71">
      <w:pPr>
        <w:pStyle w:val="OrderBody"/>
      </w:pPr>
    </w:p>
    <w:p w:rsidR="00000B71" w:rsidRDefault="00000B71" w:rsidP="00000B71">
      <w:pPr>
        <w:pStyle w:val="OrderBody"/>
        <w:keepNext/>
        <w:keepLines/>
      </w:pPr>
      <w:r>
        <w:lastRenderedPageBreak/>
        <w:tab/>
        <w:t xml:space="preserve">By ORDER of the Florida Public Service Commission this </w:t>
      </w:r>
      <w:bookmarkStart w:id="7" w:name="replaceDate"/>
      <w:bookmarkEnd w:id="7"/>
      <w:r w:rsidR="003954FB">
        <w:rPr>
          <w:u w:val="single"/>
        </w:rPr>
        <w:t>17th</w:t>
      </w:r>
      <w:r w:rsidR="003954FB">
        <w:t xml:space="preserve"> day of </w:t>
      </w:r>
      <w:r w:rsidR="003954FB">
        <w:rPr>
          <w:u w:val="single"/>
        </w:rPr>
        <w:t>January</w:t>
      </w:r>
      <w:r w:rsidR="003954FB">
        <w:t xml:space="preserve">, </w:t>
      </w:r>
      <w:r w:rsidR="003954FB">
        <w:rPr>
          <w:u w:val="single"/>
        </w:rPr>
        <w:t>2020</w:t>
      </w:r>
      <w:r w:rsidR="003954FB">
        <w:t>.</w:t>
      </w:r>
    </w:p>
    <w:p w:rsidR="003954FB" w:rsidRPr="003954FB" w:rsidRDefault="003954FB" w:rsidP="00000B71">
      <w:pPr>
        <w:pStyle w:val="OrderBody"/>
        <w:keepNext/>
        <w:keepLines/>
      </w:pPr>
    </w:p>
    <w:p w:rsidR="00000B71" w:rsidRDefault="00000B71" w:rsidP="00000B71">
      <w:pPr>
        <w:pStyle w:val="OrderBody"/>
        <w:keepNext/>
        <w:keepLines/>
      </w:pPr>
    </w:p>
    <w:p w:rsidR="00000B71" w:rsidRDefault="00000B71" w:rsidP="00000B71">
      <w:pPr>
        <w:pStyle w:val="OrderBody"/>
        <w:keepNext/>
        <w:keepLines/>
      </w:pPr>
    </w:p>
    <w:p w:rsidR="00000B71" w:rsidRDefault="00000B71" w:rsidP="00000B71">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000B71" w:rsidTr="00000B71">
        <w:tc>
          <w:tcPr>
            <w:tcW w:w="720" w:type="dxa"/>
            <w:shd w:val="clear" w:color="auto" w:fill="auto"/>
          </w:tcPr>
          <w:p w:rsidR="00000B71" w:rsidRDefault="00000B71" w:rsidP="00000B71">
            <w:pPr>
              <w:pStyle w:val="OrderBody"/>
              <w:keepNext/>
              <w:keepLines/>
            </w:pPr>
            <w:bookmarkStart w:id="8" w:name="bkmrkSignature" w:colFirst="0" w:colLast="0"/>
          </w:p>
        </w:tc>
        <w:tc>
          <w:tcPr>
            <w:tcW w:w="4320" w:type="dxa"/>
            <w:tcBorders>
              <w:bottom w:val="single" w:sz="4" w:space="0" w:color="auto"/>
            </w:tcBorders>
            <w:shd w:val="clear" w:color="auto" w:fill="auto"/>
          </w:tcPr>
          <w:p w:rsidR="00000B71" w:rsidRDefault="003954FB" w:rsidP="00000B71">
            <w:pPr>
              <w:pStyle w:val="OrderBody"/>
              <w:keepNext/>
              <w:keepLines/>
            </w:pPr>
            <w:r>
              <w:t>/s/ Adam J. Teitzman</w:t>
            </w:r>
            <w:bookmarkStart w:id="9" w:name="_GoBack"/>
            <w:bookmarkEnd w:id="9"/>
          </w:p>
        </w:tc>
      </w:tr>
      <w:bookmarkEnd w:id="8"/>
      <w:tr w:rsidR="00000B71" w:rsidTr="00000B71">
        <w:tc>
          <w:tcPr>
            <w:tcW w:w="720" w:type="dxa"/>
            <w:shd w:val="clear" w:color="auto" w:fill="auto"/>
          </w:tcPr>
          <w:p w:rsidR="00000B71" w:rsidRDefault="00000B71" w:rsidP="00000B71">
            <w:pPr>
              <w:pStyle w:val="OrderBody"/>
              <w:keepNext/>
              <w:keepLines/>
            </w:pPr>
          </w:p>
        </w:tc>
        <w:tc>
          <w:tcPr>
            <w:tcW w:w="4320" w:type="dxa"/>
            <w:tcBorders>
              <w:top w:val="single" w:sz="4" w:space="0" w:color="auto"/>
            </w:tcBorders>
            <w:shd w:val="clear" w:color="auto" w:fill="auto"/>
          </w:tcPr>
          <w:p w:rsidR="00000B71" w:rsidRDefault="00000B71" w:rsidP="00000B71">
            <w:pPr>
              <w:pStyle w:val="OrderBody"/>
              <w:keepNext/>
              <w:keepLines/>
            </w:pPr>
            <w:r>
              <w:t>ADAM J. TEITZMAN</w:t>
            </w:r>
          </w:p>
          <w:p w:rsidR="00000B71" w:rsidRDefault="00000B71" w:rsidP="00000B71">
            <w:pPr>
              <w:pStyle w:val="OrderBody"/>
              <w:keepNext/>
              <w:keepLines/>
            </w:pPr>
            <w:r>
              <w:t>Commission Clerk</w:t>
            </w:r>
          </w:p>
        </w:tc>
      </w:tr>
    </w:tbl>
    <w:p w:rsidR="00000B71" w:rsidRDefault="00000B71" w:rsidP="00000B71">
      <w:pPr>
        <w:pStyle w:val="OrderSigInfo"/>
        <w:keepNext/>
        <w:keepLines/>
      </w:pPr>
      <w:r>
        <w:t>Florida Public Service Commission</w:t>
      </w:r>
    </w:p>
    <w:p w:rsidR="00000B71" w:rsidRDefault="00000B71" w:rsidP="00000B71">
      <w:pPr>
        <w:pStyle w:val="OrderSigInfo"/>
        <w:keepNext/>
        <w:keepLines/>
      </w:pPr>
      <w:r>
        <w:t>2540 Shumard Oak Boulevard</w:t>
      </w:r>
    </w:p>
    <w:p w:rsidR="00000B71" w:rsidRDefault="00000B71" w:rsidP="00000B71">
      <w:pPr>
        <w:pStyle w:val="OrderSigInfo"/>
        <w:keepNext/>
        <w:keepLines/>
      </w:pPr>
      <w:r>
        <w:t>Tallahassee, Florida 32399</w:t>
      </w:r>
    </w:p>
    <w:p w:rsidR="00000B71" w:rsidRDefault="00000B71" w:rsidP="00000B71">
      <w:pPr>
        <w:pStyle w:val="OrderSigInfo"/>
        <w:keepNext/>
        <w:keepLines/>
      </w:pPr>
      <w:r>
        <w:t>(850) 413</w:t>
      </w:r>
      <w:r>
        <w:noBreakHyphen/>
        <w:t>6770</w:t>
      </w:r>
    </w:p>
    <w:p w:rsidR="00000B71" w:rsidRDefault="00000B71" w:rsidP="00000B71">
      <w:pPr>
        <w:pStyle w:val="OrderSigInfo"/>
        <w:keepNext/>
        <w:keepLines/>
      </w:pPr>
      <w:r>
        <w:t>www.floridapsc.com</w:t>
      </w:r>
    </w:p>
    <w:p w:rsidR="00000B71" w:rsidRDefault="00000B71" w:rsidP="00000B71">
      <w:pPr>
        <w:pStyle w:val="OrderSigInfo"/>
        <w:keepNext/>
        <w:keepLines/>
      </w:pPr>
    </w:p>
    <w:p w:rsidR="00000B71" w:rsidRDefault="00000B71" w:rsidP="00000B71">
      <w:pPr>
        <w:pStyle w:val="OrderSigInfo"/>
        <w:keepNext/>
        <w:keepLines/>
      </w:pPr>
      <w:r>
        <w:t>Copies furnished:  A copy of this document is provided to the parties of record at the time of issuance and, if applicable, interested persons.</w:t>
      </w:r>
    </w:p>
    <w:p w:rsidR="00000B71" w:rsidRDefault="00000B71" w:rsidP="00000B71">
      <w:pPr>
        <w:pStyle w:val="OrderBody"/>
        <w:keepNext/>
        <w:keepLines/>
      </w:pPr>
    </w:p>
    <w:p w:rsidR="00000B71" w:rsidRDefault="00000B71" w:rsidP="00000B71">
      <w:pPr>
        <w:pStyle w:val="OrderBody"/>
        <w:keepNext/>
        <w:keepLines/>
      </w:pPr>
    </w:p>
    <w:p w:rsidR="00000B71" w:rsidRDefault="00000B71" w:rsidP="00000B71">
      <w:pPr>
        <w:pStyle w:val="OrderBody"/>
        <w:keepNext/>
        <w:keepLines/>
      </w:pPr>
      <w:r>
        <w:t>CWM</w:t>
      </w:r>
    </w:p>
    <w:p w:rsidR="00000B71" w:rsidRDefault="00000B71" w:rsidP="00000B71">
      <w:pPr>
        <w:pStyle w:val="OrderBody"/>
      </w:pPr>
    </w:p>
    <w:p w:rsidR="00000B71" w:rsidRDefault="00000B71" w:rsidP="00000B71">
      <w:pPr>
        <w:pStyle w:val="OrderBody"/>
      </w:pPr>
    </w:p>
    <w:p w:rsidR="00000B71" w:rsidRDefault="00000B71" w:rsidP="00000B71">
      <w:pPr>
        <w:pStyle w:val="OrderBody"/>
      </w:pPr>
    </w:p>
    <w:p w:rsidR="00000B71" w:rsidRDefault="00000B71" w:rsidP="00000B71">
      <w:pPr>
        <w:pStyle w:val="OrderBody"/>
      </w:pPr>
    </w:p>
    <w:p w:rsidR="00000B71" w:rsidRDefault="00000B71" w:rsidP="00000B71">
      <w:pPr>
        <w:pStyle w:val="OrderBody"/>
      </w:pPr>
    </w:p>
    <w:p w:rsidR="00000B71" w:rsidRDefault="00000B71" w:rsidP="00000B71">
      <w:pPr>
        <w:pStyle w:val="CenterUnderline"/>
      </w:pPr>
      <w:r>
        <w:t>NOTICE OF FURTHER PROCEEDINGS OR JUDICIAL REVIEW</w:t>
      </w:r>
    </w:p>
    <w:p w:rsidR="00000B71" w:rsidRDefault="00000B71" w:rsidP="00000B71">
      <w:pPr>
        <w:pStyle w:val="CenterUnderline"/>
        <w:rPr>
          <w:u w:val="none"/>
        </w:rPr>
      </w:pPr>
    </w:p>
    <w:p w:rsidR="00000B71" w:rsidRDefault="00000B71" w:rsidP="00000B71">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000B71" w:rsidRDefault="00000B71" w:rsidP="00000B71">
      <w:pPr>
        <w:pStyle w:val="OrderBody"/>
      </w:pPr>
    </w:p>
    <w:p w:rsidR="00000B71" w:rsidRDefault="00000B71" w:rsidP="00000B71">
      <w:pPr>
        <w:pStyle w:val="OrderBody"/>
      </w:pPr>
      <w:r>
        <w:tab/>
        <w:t>Mediation may be available on a case-by-case basis.  If mediation is conducted, it does not affect a substantially interested person's right to a hearing.</w:t>
      </w:r>
    </w:p>
    <w:p w:rsidR="00000B71" w:rsidRDefault="00000B71" w:rsidP="00000B71">
      <w:pPr>
        <w:pStyle w:val="OrderBody"/>
      </w:pPr>
    </w:p>
    <w:p w:rsidR="00000B71" w:rsidRDefault="00000B71" w:rsidP="00000B71">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3954FB">
        <w:rPr>
          <w:u w:val="single"/>
        </w:rPr>
        <w:t>February 7, 2020</w:t>
      </w:r>
      <w:r>
        <w:t>.</w:t>
      </w:r>
    </w:p>
    <w:p w:rsidR="00000B71" w:rsidRDefault="00000B71" w:rsidP="00000B71">
      <w:pPr>
        <w:pStyle w:val="OrderBody"/>
      </w:pPr>
    </w:p>
    <w:p w:rsidR="00000B71" w:rsidRDefault="00000B71" w:rsidP="00000B71">
      <w:pPr>
        <w:pStyle w:val="OrderBody"/>
      </w:pPr>
      <w:r>
        <w:tab/>
        <w:t>In the absence of such a petition, this order shall become final and effective upon the issuance of a Consummating Order.</w:t>
      </w:r>
    </w:p>
    <w:p w:rsidR="00000B71" w:rsidRDefault="00000B71" w:rsidP="00000B71">
      <w:pPr>
        <w:pStyle w:val="OrderBody"/>
      </w:pPr>
    </w:p>
    <w:p w:rsidR="00000B71" w:rsidRDefault="00000B71" w:rsidP="00000B71">
      <w:pPr>
        <w:pStyle w:val="OrderBody"/>
      </w:pPr>
      <w:r>
        <w:lastRenderedPageBreak/>
        <w:tab/>
        <w:t>Any objection or protest filed in this/these docket(s) before the issuance date of this order is considered abandoned unless it satisfies the foregoing conditions and is renewed within the specified protest period.</w:t>
      </w:r>
    </w:p>
    <w:p w:rsidR="00000B71" w:rsidRDefault="00000B71" w:rsidP="00000B71">
      <w:pPr>
        <w:pStyle w:val="OrderBody"/>
      </w:pPr>
    </w:p>
    <w:p w:rsidR="00000B71" w:rsidRPr="00000B71" w:rsidRDefault="00000B71" w:rsidP="00000B71">
      <w:pPr>
        <w:pStyle w:val="OrderBody"/>
      </w:pPr>
    </w:p>
    <w:sectPr w:rsidR="00000B71" w:rsidRPr="00000B71">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B71" w:rsidRDefault="00000B71">
      <w:r>
        <w:separator/>
      </w:r>
    </w:p>
  </w:endnote>
  <w:endnote w:type="continuationSeparator" w:id="0">
    <w:p w:rsidR="00000B71" w:rsidRDefault="00000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B71" w:rsidRDefault="00000B71">
      <w:r>
        <w:separator/>
      </w:r>
    </w:p>
  </w:footnote>
  <w:footnote w:type="continuationSeparator" w:id="0">
    <w:p w:rsidR="00000B71" w:rsidRDefault="00000B71">
      <w:r>
        <w:continuationSeparator/>
      </w:r>
    </w:p>
  </w:footnote>
  <w:footnote w:id="1">
    <w:p w:rsidR="00337605" w:rsidRDefault="00337605">
      <w:pPr>
        <w:pStyle w:val="FootnoteText"/>
      </w:pPr>
      <w:r>
        <w:rPr>
          <w:rStyle w:val="FootnoteReference"/>
        </w:rPr>
        <w:footnoteRef/>
      </w:r>
      <w:r>
        <w:t xml:space="preserve"> </w:t>
      </w:r>
      <w:r w:rsidRPr="00000B71">
        <w:t>Rule 25-6.065(2</w:t>
      </w:r>
      <w:proofErr w:type="gramStart"/>
      <w:r w:rsidRPr="00000B71">
        <w:t>)(</w:t>
      </w:r>
      <w:proofErr w:type="gramEnd"/>
      <w:r w:rsidRPr="00000B71">
        <w:t>a), F.A.C., and Section 366.91(2)(b), F.S.</w:t>
      </w:r>
    </w:p>
  </w:footnote>
  <w:footnote w:id="2">
    <w:p w:rsidR="00000B71" w:rsidRPr="00D36F3B" w:rsidRDefault="00000B71" w:rsidP="00000B71">
      <w:pPr>
        <w:jc w:val="both"/>
        <w:rPr>
          <w:sz w:val="20"/>
          <w:szCs w:val="20"/>
        </w:rPr>
      </w:pPr>
      <w:r w:rsidRPr="00FB1A57">
        <w:rPr>
          <w:rStyle w:val="FootnoteReference"/>
          <w:sz w:val="20"/>
          <w:szCs w:val="20"/>
        </w:rPr>
        <w:footnoteRef/>
      </w:r>
      <w:r w:rsidRPr="00FB1A57">
        <w:rPr>
          <w:sz w:val="20"/>
          <w:szCs w:val="20"/>
        </w:rPr>
        <w:t xml:space="preserve"> </w:t>
      </w:r>
      <w:r w:rsidRPr="00D36F3B">
        <w:rPr>
          <w:sz w:val="20"/>
          <w:szCs w:val="20"/>
        </w:rPr>
        <w:t xml:space="preserve">In this context, </w:t>
      </w:r>
      <w:r w:rsidR="00AC0E6C">
        <w:rPr>
          <w:sz w:val="20"/>
          <w:szCs w:val="20"/>
        </w:rPr>
        <w:t>we</w:t>
      </w:r>
      <w:r w:rsidRPr="00D36F3B">
        <w:rPr>
          <w:sz w:val="20"/>
          <w:szCs w:val="20"/>
        </w:rPr>
        <w:t xml:space="preserve"> note that </w:t>
      </w:r>
      <w:r w:rsidRPr="008E6605">
        <w:rPr>
          <w:sz w:val="20"/>
          <w:szCs w:val="20"/>
        </w:rPr>
        <w:t>energy produced by a customer-owned renewable system may fluctuate from month to month, and that a system designed to offset a customer’s usage may produce more energy than is needed in any given month</w:t>
      </w:r>
      <w:r>
        <w:rPr>
          <w:sz w:val="20"/>
          <w:szCs w:val="20"/>
        </w:rPr>
        <w:t xml:space="preserve">. Thus, </w:t>
      </w:r>
      <w:r w:rsidRPr="008E6605">
        <w:rPr>
          <w:sz w:val="20"/>
          <w:szCs w:val="20"/>
        </w:rPr>
        <w:t>Rule 25-6.065(8</w:t>
      </w:r>
      <w:proofErr w:type="gramStart"/>
      <w:r w:rsidRPr="008E6605">
        <w:rPr>
          <w:sz w:val="20"/>
          <w:szCs w:val="20"/>
        </w:rPr>
        <w:t>)(</w:t>
      </w:r>
      <w:proofErr w:type="gramEnd"/>
      <w:r w:rsidRPr="008E6605">
        <w:rPr>
          <w:sz w:val="20"/>
          <w:szCs w:val="20"/>
        </w:rPr>
        <w:t>e), F.A.C., provides that during any billing cycle, excess energy delivered to the grid shall be used to offset the customer’s energy consumption in the following month. Rule 25-6.065(8)(f) and (g), F.A.C., provide that any energy credits remaining at the end of the year, or when the customer leaves the utility’s system, shall be purchased at the utility’s as-available energy rate. Although the rule</w:t>
      </w:r>
      <w:r>
        <w:rPr>
          <w:sz w:val="20"/>
          <w:szCs w:val="20"/>
        </w:rPr>
        <w:t xml:space="preserve">s address </w:t>
      </w:r>
      <w:r w:rsidRPr="008E6605">
        <w:rPr>
          <w:sz w:val="20"/>
          <w:szCs w:val="20"/>
        </w:rPr>
        <w:t xml:space="preserve">the reality that excess energy may be produced by a system designed to offset customer usage, </w:t>
      </w:r>
      <w:r>
        <w:rPr>
          <w:sz w:val="20"/>
          <w:szCs w:val="20"/>
        </w:rPr>
        <w:t xml:space="preserve">pursuant to </w:t>
      </w:r>
      <w:r w:rsidRPr="00D36F3B">
        <w:rPr>
          <w:sz w:val="20"/>
          <w:szCs w:val="20"/>
        </w:rPr>
        <w:t>Rule 25-6.065(2)(c)</w:t>
      </w:r>
      <w:r>
        <w:rPr>
          <w:sz w:val="20"/>
          <w:szCs w:val="20"/>
        </w:rPr>
        <w:t xml:space="preserve">, F.A.C.,  </w:t>
      </w:r>
      <w:r w:rsidRPr="008E6605">
        <w:rPr>
          <w:sz w:val="20"/>
          <w:szCs w:val="20"/>
        </w:rPr>
        <w:t xml:space="preserve">the purpose of net metering remains to offset usage, not </w:t>
      </w:r>
      <w:r>
        <w:rPr>
          <w:sz w:val="20"/>
          <w:szCs w:val="20"/>
        </w:rPr>
        <w:t xml:space="preserve">to </w:t>
      </w:r>
      <w:r w:rsidRPr="008E6605">
        <w:rPr>
          <w:sz w:val="20"/>
          <w:szCs w:val="20"/>
        </w:rPr>
        <w:t>purposefully create excess energy by building a system larger than needed to offset usage.</w:t>
      </w:r>
      <w:r w:rsidRPr="00D36F3B">
        <w:t xml:space="preserve"> </w:t>
      </w:r>
      <w:r w:rsidR="005B723F">
        <w:t xml:space="preserve"> </w:t>
      </w:r>
    </w:p>
  </w:footnote>
  <w:footnote w:id="3">
    <w:p w:rsidR="00000B71" w:rsidRDefault="00000B71" w:rsidP="00000B71">
      <w:pPr>
        <w:pStyle w:val="FootnoteText"/>
      </w:pPr>
      <w:r>
        <w:rPr>
          <w:rStyle w:val="FootnoteReference"/>
        </w:rPr>
        <w:footnoteRef/>
      </w:r>
      <w:r>
        <w:t xml:space="preserve"> </w:t>
      </w:r>
      <w:proofErr w:type="gramStart"/>
      <w:r>
        <w:t>FPL Motion and Alternative Request at fn. 2.</w:t>
      </w:r>
      <w:proofErr w:type="gramEnd"/>
    </w:p>
  </w:footnote>
  <w:footnote w:id="4">
    <w:p w:rsidR="00000B71" w:rsidRDefault="00000B71" w:rsidP="00000B71">
      <w:pPr>
        <w:pStyle w:val="FootnoteText"/>
      </w:pPr>
      <w:r>
        <w:rPr>
          <w:rStyle w:val="FootnoteReference"/>
        </w:rPr>
        <w:footnoteRef/>
      </w:r>
      <w:r>
        <w:t xml:space="preserve"> Rule</w:t>
      </w:r>
      <w:r w:rsidRPr="00773B8B">
        <w:t xml:space="preserve"> 25-6.065(4</w:t>
      </w:r>
      <w:proofErr w:type="gramStart"/>
      <w:r w:rsidRPr="00773B8B">
        <w:t>)(</w:t>
      </w:r>
      <w:proofErr w:type="gramEnd"/>
      <w:r w:rsidRPr="00773B8B">
        <w:t>a)1, F.A.C.</w:t>
      </w:r>
    </w:p>
  </w:footnote>
  <w:footnote w:id="5">
    <w:p w:rsidR="00000B71" w:rsidRPr="000B02BD" w:rsidRDefault="00000B71" w:rsidP="00000B71">
      <w:pPr>
        <w:pStyle w:val="FootnoteText"/>
      </w:pPr>
      <w:r w:rsidRPr="000B02BD">
        <w:rPr>
          <w:rStyle w:val="FootnoteReference"/>
        </w:rPr>
        <w:footnoteRef/>
      </w:r>
      <w:r w:rsidRPr="000B02BD">
        <w:t xml:space="preserve"> </w:t>
      </w:r>
      <w:r w:rsidRPr="000B02BD">
        <w:rPr>
          <w:i/>
        </w:rPr>
        <w:t>See</w:t>
      </w:r>
      <w:r w:rsidRPr="000B02BD">
        <w:t xml:space="preserve"> </w:t>
      </w:r>
      <w:r w:rsidRPr="00107F3E">
        <w:t>Southern Bell Telephone &amp; Telephone Co. v. Mobile America Corp., 291 So.2d 199 (Fla. 1974) and</w:t>
      </w:r>
      <w:r w:rsidRPr="00962BE4">
        <w:rPr>
          <w:i/>
        </w:rPr>
        <w:t xml:space="preserve"> </w:t>
      </w:r>
      <w:r>
        <w:t xml:space="preserve">Order No. PSC-02-1344-FOF-TL, issued October 3, 2002, in Docket No. 20020595-TL, </w:t>
      </w:r>
      <w:r>
        <w:rPr>
          <w:i/>
        </w:rPr>
        <w:t>In Re: Complaint of J. Christopher Robbins against BellSouth Telecommunications, Inc. for violation of Rule 25-4.073(1</w:t>
      </w:r>
      <w:proofErr w:type="gramStart"/>
      <w:r>
        <w:rPr>
          <w:i/>
        </w:rPr>
        <w:t>)(</w:t>
      </w:r>
      <w:proofErr w:type="gramEnd"/>
      <w:r>
        <w:rPr>
          <w:i/>
        </w:rPr>
        <w:t>c), F.A.C., answering time.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29 ">
      <w:r w:rsidR="003954FB">
        <w:t>PSC-2020-0029-PAA-EI</w:t>
      </w:r>
    </w:fldSimple>
  </w:p>
  <w:p w:rsidR="00FA6EFD" w:rsidRDefault="00000B71">
    <w:pPr>
      <w:pStyle w:val="OrderHeader"/>
    </w:pPr>
    <w:bookmarkStart w:id="10" w:name="HeaderDocketNo"/>
    <w:bookmarkEnd w:id="10"/>
    <w:r>
      <w:t>DOCKET NO. 20190167-EI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954FB">
      <w:rPr>
        <w:rStyle w:val="PageNumber"/>
        <w:noProof/>
      </w:rPr>
      <w:t>6</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67-EI"/>
  </w:docVars>
  <w:rsids>
    <w:rsidRoot w:val="00000B71"/>
    <w:rsid w:val="00000B71"/>
    <w:rsid w:val="000022B8"/>
    <w:rsid w:val="0003433F"/>
    <w:rsid w:val="00035A8C"/>
    <w:rsid w:val="00053AB9"/>
    <w:rsid w:val="00056229"/>
    <w:rsid w:val="00057AF1"/>
    <w:rsid w:val="00065FC2"/>
    <w:rsid w:val="00067685"/>
    <w:rsid w:val="000730D7"/>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87E32"/>
    <w:rsid w:val="00194E81"/>
    <w:rsid w:val="001A15E7"/>
    <w:rsid w:val="001A33C9"/>
    <w:rsid w:val="001A58F3"/>
    <w:rsid w:val="001C2847"/>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3C5B"/>
    <w:rsid w:val="003140E8"/>
    <w:rsid w:val="003231C7"/>
    <w:rsid w:val="00323839"/>
    <w:rsid w:val="003270C4"/>
    <w:rsid w:val="00331ED0"/>
    <w:rsid w:val="00332B0A"/>
    <w:rsid w:val="00333A41"/>
    <w:rsid w:val="00337605"/>
    <w:rsid w:val="00345434"/>
    <w:rsid w:val="0035495B"/>
    <w:rsid w:val="00355A93"/>
    <w:rsid w:val="00361522"/>
    <w:rsid w:val="0037196E"/>
    <w:rsid w:val="003744F5"/>
    <w:rsid w:val="00387BDE"/>
    <w:rsid w:val="00390DD8"/>
    <w:rsid w:val="00394DC6"/>
    <w:rsid w:val="003954FB"/>
    <w:rsid w:val="00397C3E"/>
    <w:rsid w:val="003B1A09"/>
    <w:rsid w:val="003D4CCA"/>
    <w:rsid w:val="003D52A6"/>
    <w:rsid w:val="003D6416"/>
    <w:rsid w:val="003D6B66"/>
    <w:rsid w:val="003D7D9E"/>
    <w:rsid w:val="003E1D48"/>
    <w:rsid w:val="003F1D2B"/>
    <w:rsid w:val="00411DF2"/>
    <w:rsid w:val="00411E8F"/>
    <w:rsid w:val="0042527B"/>
    <w:rsid w:val="00427EAC"/>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2714D"/>
    <w:rsid w:val="005300C0"/>
    <w:rsid w:val="0055595D"/>
    <w:rsid w:val="00556A10"/>
    <w:rsid w:val="00557F50"/>
    <w:rsid w:val="00571D3D"/>
    <w:rsid w:val="0058264B"/>
    <w:rsid w:val="005868AA"/>
    <w:rsid w:val="00590845"/>
    <w:rsid w:val="005963C2"/>
    <w:rsid w:val="005976D7"/>
    <w:rsid w:val="005A0D69"/>
    <w:rsid w:val="005A31F4"/>
    <w:rsid w:val="005A73EA"/>
    <w:rsid w:val="005B45F7"/>
    <w:rsid w:val="005B63EA"/>
    <w:rsid w:val="005B723F"/>
    <w:rsid w:val="005C1A88"/>
    <w:rsid w:val="005C5033"/>
    <w:rsid w:val="005E751B"/>
    <w:rsid w:val="005F3354"/>
    <w:rsid w:val="0060005E"/>
    <w:rsid w:val="0060095B"/>
    <w:rsid w:val="00601266"/>
    <w:rsid w:val="006056B0"/>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6E5D4D"/>
    <w:rsid w:val="006E6D16"/>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A12EC"/>
    <w:rsid w:val="008B19A6"/>
    <w:rsid w:val="008B4EFB"/>
    <w:rsid w:val="008C21C8"/>
    <w:rsid w:val="008C6375"/>
    <w:rsid w:val="008C6A5B"/>
    <w:rsid w:val="008E0693"/>
    <w:rsid w:val="008E26A5"/>
    <w:rsid w:val="008E42D2"/>
    <w:rsid w:val="008E6328"/>
    <w:rsid w:val="008E6D50"/>
    <w:rsid w:val="008F578F"/>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36C5"/>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C0E6C"/>
    <w:rsid w:val="00AD10EB"/>
    <w:rsid w:val="00AD1ED3"/>
    <w:rsid w:val="00AD62C5"/>
    <w:rsid w:val="00B02001"/>
    <w:rsid w:val="00B03C50"/>
    <w:rsid w:val="00B0777D"/>
    <w:rsid w:val="00B11576"/>
    <w:rsid w:val="00B1195F"/>
    <w:rsid w:val="00B14D10"/>
    <w:rsid w:val="00B209C7"/>
    <w:rsid w:val="00B32067"/>
    <w:rsid w:val="00B3644F"/>
    <w:rsid w:val="00B4057A"/>
    <w:rsid w:val="00B40894"/>
    <w:rsid w:val="00B41039"/>
    <w:rsid w:val="00B444AE"/>
    <w:rsid w:val="00B45E75"/>
    <w:rsid w:val="00B50876"/>
    <w:rsid w:val="00B51074"/>
    <w:rsid w:val="00B54DAA"/>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70B14"/>
    <w:rsid w:val="00C830BC"/>
    <w:rsid w:val="00C8524D"/>
    <w:rsid w:val="00C91123"/>
    <w:rsid w:val="00CA71FF"/>
    <w:rsid w:val="00CB5276"/>
    <w:rsid w:val="00CB5BFC"/>
    <w:rsid w:val="00CB68D7"/>
    <w:rsid w:val="00CC7E68"/>
    <w:rsid w:val="00CD7132"/>
    <w:rsid w:val="00CE0E6F"/>
    <w:rsid w:val="00CE3B21"/>
    <w:rsid w:val="00CE56FC"/>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34D7"/>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3191"/>
    <w:rsid w:val="00F6702E"/>
    <w:rsid w:val="00F70E84"/>
    <w:rsid w:val="00F77B53"/>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000B71"/>
    <w:pPr>
      <w:jc w:val="center"/>
    </w:pPr>
    <w:rPr>
      <w:rFonts w:ascii="Arial" w:hAnsi="Arial"/>
      <w:b/>
    </w:rPr>
  </w:style>
  <w:style w:type="character" w:customStyle="1" w:styleId="FootnoteTextChar">
    <w:name w:val="Footnote Text Char"/>
    <w:basedOn w:val="DefaultParagraphFont"/>
    <w:link w:val="FootnoteText"/>
    <w:rsid w:val="00000B71"/>
  </w:style>
  <w:style w:type="paragraph" w:styleId="BalloonText">
    <w:name w:val="Balloon Text"/>
    <w:basedOn w:val="Normal"/>
    <w:link w:val="BalloonTextChar"/>
    <w:semiHidden/>
    <w:unhideWhenUsed/>
    <w:rsid w:val="003954FB"/>
    <w:rPr>
      <w:rFonts w:ascii="Tahoma" w:hAnsi="Tahoma" w:cs="Tahoma"/>
      <w:sz w:val="16"/>
      <w:szCs w:val="16"/>
    </w:rPr>
  </w:style>
  <w:style w:type="character" w:customStyle="1" w:styleId="BalloonTextChar">
    <w:name w:val="Balloon Text Char"/>
    <w:basedOn w:val="DefaultParagraphFont"/>
    <w:link w:val="BalloonText"/>
    <w:semiHidden/>
    <w:rsid w:val="003954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000B71"/>
    <w:pPr>
      <w:jc w:val="center"/>
    </w:pPr>
    <w:rPr>
      <w:rFonts w:ascii="Arial" w:hAnsi="Arial"/>
      <w:b/>
    </w:rPr>
  </w:style>
  <w:style w:type="character" w:customStyle="1" w:styleId="FootnoteTextChar">
    <w:name w:val="Footnote Text Char"/>
    <w:basedOn w:val="DefaultParagraphFont"/>
    <w:link w:val="FootnoteText"/>
    <w:rsid w:val="00000B71"/>
  </w:style>
  <w:style w:type="paragraph" w:styleId="BalloonText">
    <w:name w:val="Balloon Text"/>
    <w:basedOn w:val="Normal"/>
    <w:link w:val="BalloonTextChar"/>
    <w:semiHidden/>
    <w:unhideWhenUsed/>
    <w:rsid w:val="003954FB"/>
    <w:rPr>
      <w:rFonts w:ascii="Tahoma" w:hAnsi="Tahoma" w:cs="Tahoma"/>
      <w:sz w:val="16"/>
      <w:szCs w:val="16"/>
    </w:rPr>
  </w:style>
  <w:style w:type="character" w:customStyle="1" w:styleId="BalloonTextChar">
    <w:name w:val="Balloon Text Char"/>
    <w:basedOn w:val="DefaultParagraphFont"/>
    <w:link w:val="BalloonText"/>
    <w:semiHidden/>
    <w:rsid w:val="003954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04220-6467-4510-A00C-804CA9F33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6</Pages>
  <Words>1692</Words>
  <Characters>9626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2020-01-17T15:46:00Z</dcterms:created>
  <dcterms:modified xsi:type="dcterms:W3CDTF">2020-01-17T15:52:00Z</dcterms:modified>
</cp:coreProperties>
</file>