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CF1" w:rsidRDefault="00997CF1">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14:anchorId="30E29F01" wp14:editId="00FAAA8E">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05F57">
            <w:pPr>
              <w:pStyle w:val="MemoHeading"/>
            </w:pPr>
            <w:bookmarkStart w:id="1" w:name="FilingDate"/>
            <w:r>
              <w:t>April 23,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05F57" w:rsidRDefault="00F05F57">
            <w:pPr>
              <w:pStyle w:val="MemoHeading"/>
            </w:pPr>
            <w:bookmarkStart w:id="2" w:name="From"/>
            <w:r>
              <w:t>Division of Engineering (Lewis, Johnson, Knoblauch, Ramos)</w:t>
            </w:r>
          </w:p>
          <w:p w:rsidR="00F05F57" w:rsidRDefault="00F05F57">
            <w:pPr>
              <w:pStyle w:val="MemoHeading"/>
            </w:pPr>
            <w:r>
              <w:t>Division of Accounting and Finance (Norris, Thurmond)</w:t>
            </w:r>
          </w:p>
          <w:p w:rsidR="00F05F57" w:rsidRDefault="00F05F57">
            <w:pPr>
              <w:pStyle w:val="MemoHeading"/>
            </w:pPr>
            <w:r>
              <w:t>Division of Economics (Bethea, Hudson)</w:t>
            </w:r>
          </w:p>
          <w:p w:rsidR="007C0528" w:rsidRDefault="00F05F57">
            <w:pPr>
              <w:pStyle w:val="MemoHeading"/>
            </w:pPr>
            <w:r>
              <w:t>Office of the General Counsel (Schrader)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05F57">
            <w:pPr>
              <w:pStyle w:val="MemoHeadingRe"/>
            </w:pPr>
            <w:bookmarkStart w:id="3" w:name="Re"/>
            <w:r>
              <w:t>Docket No. 20190166-WS – Application for increase in water rates in Highlands County by HC Waterworks,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05F57">
            <w:pPr>
              <w:pStyle w:val="MemoHeading"/>
            </w:pPr>
            <w:bookmarkStart w:id="4" w:name="AgendaDate"/>
            <w:r>
              <w:t>05/05/20</w:t>
            </w:r>
            <w:bookmarkEnd w:id="4"/>
            <w:r w:rsidR="007C0528">
              <w:t xml:space="preserve"> – </w:t>
            </w:r>
            <w:bookmarkStart w:id="5" w:name="PermittedStatus"/>
            <w:r>
              <w:t xml:space="preserve">Regular Agenda – </w:t>
            </w:r>
            <w:r w:rsidR="00C24DE0">
              <w:t>Proposed Agency Action, Except for Issues 17</w:t>
            </w:r>
            <w:r w:rsidR="00344D79">
              <w:t>, 18</w:t>
            </w:r>
            <w:r w:rsidR="00C24DE0">
              <w:t xml:space="preserve"> and 19 -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05F5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05F57">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F49FD">
            <w:pPr>
              <w:pStyle w:val="MemoHeading"/>
            </w:pPr>
            <w:r w:rsidRPr="00E74D78">
              <w:t>05/13/20 (5-Month Effective Date (PAA Rate Case))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05F57">
            <w:pPr>
              <w:pStyle w:val="MemoHeading"/>
            </w:pPr>
            <w:bookmarkStart w:id="9" w:name="SpecialInstructions"/>
            <w:r>
              <w:t>None</w:t>
            </w:r>
            <w:bookmarkEnd w:id="9"/>
          </w:p>
        </w:tc>
      </w:tr>
    </w:tbl>
    <w:p w:rsidR="00BB7B19" w:rsidRDefault="00BB7B19">
      <w:pPr>
        <w:pStyle w:val="BodyText"/>
        <w:sectPr w:rsidR="00BB7B19">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BB7B19" w:rsidRDefault="00BB7B19" w:rsidP="00BB7B19">
      <w:pPr>
        <w:pStyle w:val="RecommendationMajorSectionHeading"/>
      </w:pPr>
      <w:r>
        <w:lastRenderedPageBreak/>
        <w:t>Table of Contents</w:t>
      </w:r>
    </w:p>
    <w:p w:rsidR="007E590A" w:rsidRDefault="0006580B">
      <w:pPr>
        <w:pStyle w:val="TOC1"/>
        <w:rPr>
          <w:rFonts w:asciiTheme="minorHAnsi" w:eastAsiaTheme="minorEastAsia" w:hAnsiTheme="minorHAnsi" w:cstheme="minorBidi"/>
          <w:noProof/>
          <w:sz w:val="22"/>
          <w:szCs w:val="22"/>
        </w:rPr>
      </w:pPr>
      <w:r>
        <w:fldChar w:fldCharType="begin"/>
      </w:r>
      <w:r>
        <w:instrText xml:space="preserve"> TOC \f \h \z </w:instrText>
      </w:r>
      <w:r>
        <w:fldChar w:fldCharType="separate"/>
      </w:r>
      <w:hyperlink w:anchor="_Toc38467932" w:history="1">
        <w:r w:rsidR="007E590A" w:rsidRPr="00BE395A">
          <w:rPr>
            <w:rStyle w:val="Hyperlink"/>
            <w:noProof/>
          </w:rPr>
          <w:t>Case Background</w:t>
        </w:r>
        <w:r w:rsidR="007E590A">
          <w:rPr>
            <w:noProof/>
            <w:webHidden/>
          </w:rPr>
          <w:tab/>
        </w:r>
        <w:r w:rsidR="007E590A">
          <w:rPr>
            <w:noProof/>
            <w:webHidden/>
          </w:rPr>
          <w:fldChar w:fldCharType="begin"/>
        </w:r>
        <w:r w:rsidR="007E590A">
          <w:rPr>
            <w:noProof/>
            <w:webHidden/>
          </w:rPr>
          <w:instrText xml:space="preserve"> PAGEREF _Toc38467932 \h </w:instrText>
        </w:r>
        <w:r w:rsidR="007E590A">
          <w:rPr>
            <w:noProof/>
            <w:webHidden/>
          </w:rPr>
        </w:r>
        <w:r w:rsidR="007E590A">
          <w:rPr>
            <w:noProof/>
            <w:webHidden/>
          </w:rPr>
          <w:fldChar w:fldCharType="separate"/>
        </w:r>
        <w:r w:rsidR="00414083">
          <w:rPr>
            <w:noProof/>
            <w:webHidden/>
          </w:rPr>
          <w:t>1</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33" w:history="1">
        <w:r w:rsidR="007E590A" w:rsidRPr="00BE395A">
          <w:rPr>
            <w:rStyle w:val="Hyperlink"/>
            <w:noProof/>
          </w:rPr>
          <w:t>Issue 1 – Quality of Service</w:t>
        </w:r>
        <w:r w:rsidR="007E590A">
          <w:rPr>
            <w:noProof/>
            <w:webHidden/>
          </w:rPr>
          <w:tab/>
        </w:r>
        <w:r w:rsidR="007E590A">
          <w:rPr>
            <w:noProof/>
            <w:webHidden/>
          </w:rPr>
          <w:fldChar w:fldCharType="begin"/>
        </w:r>
        <w:r w:rsidR="007E590A">
          <w:rPr>
            <w:noProof/>
            <w:webHidden/>
          </w:rPr>
          <w:instrText xml:space="preserve"> PAGEREF _Toc38467933 \h </w:instrText>
        </w:r>
        <w:r w:rsidR="007E590A">
          <w:rPr>
            <w:noProof/>
            <w:webHidden/>
          </w:rPr>
        </w:r>
        <w:r w:rsidR="007E590A">
          <w:rPr>
            <w:noProof/>
            <w:webHidden/>
          </w:rPr>
          <w:fldChar w:fldCharType="separate"/>
        </w:r>
        <w:r w:rsidR="00414083">
          <w:rPr>
            <w:noProof/>
            <w:webHidden/>
          </w:rPr>
          <w:t>2</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34" w:history="1">
        <w:r w:rsidR="007E590A" w:rsidRPr="00BE395A">
          <w:rPr>
            <w:rStyle w:val="Hyperlink"/>
            <w:noProof/>
          </w:rPr>
          <w:t>Issue 2 – Infrastructure and Operating Conditions</w:t>
        </w:r>
        <w:r w:rsidR="007E590A">
          <w:rPr>
            <w:noProof/>
            <w:webHidden/>
          </w:rPr>
          <w:tab/>
        </w:r>
        <w:r w:rsidR="007E590A">
          <w:rPr>
            <w:noProof/>
            <w:webHidden/>
          </w:rPr>
          <w:fldChar w:fldCharType="begin"/>
        </w:r>
        <w:r w:rsidR="007E590A">
          <w:rPr>
            <w:noProof/>
            <w:webHidden/>
          </w:rPr>
          <w:instrText xml:space="preserve"> PAGEREF _Toc38467934 \h </w:instrText>
        </w:r>
        <w:r w:rsidR="007E590A">
          <w:rPr>
            <w:noProof/>
            <w:webHidden/>
          </w:rPr>
        </w:r>
        <w:r w:rsidR="007E590A">
          <w:rPr>
            <w:noProof/>
            <w:webHidden/>
          </w:rPr>
          <w:fldChar w:fldCharType="separate"/>
        </w:r>
        <w:r w:rsidR="00414083">
          <w:rPr>
            <w:noProof/>
            <w:webHidden/>
          </w:rPr>
          <w:t>7</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35" w:history="1">
        <w:r w:rsidR="007E590A" w:rsidRPr="00BE395A">
          <w:rPr>
            <w:rStyle w:val="Hyperlink"/>
            <w:noProof/>
          </w:rPr>
          <w:t>Issue 3 – Audit Adjustments to Rate Base</w:t>
        </w:r>
        <w:r w:rsidR="007E590A">
          <w:rPr>
            <w:noProof/>
            <w:webHidden/>
          </w:rPr>
          <w:tab/>
        </w:r>
        <w:r w:rsidR="007E590A">
          <w:rPr>
            <w:noProof/>
            <w:webHidden/>
          </w:rPr>
          <w:fldChar w:fldCharType="begin"/>
        </w:r>
        <w:r w:rsidR="007E590A">
          <w:rPr>
            <w:noProof/>
            <w:webHidden/>
          </w:rPr>
          <w:instrText xml:space="preserve"> PAGEREF _Toc38467935 \h </w:instrText>
        </w:r>
        <w:r w:rsidR="007E590A">
          <w:rPr>
            <w:noProof/>
            <w:webHidden/>
          </w:rPr>
        </w:r>
        <w:r w:rsidR="007E590A">
          <w:rPr>
            <w:noProof/>
            <w:webHidden/>
          </w:rPr>
          <w:fldChar w:fldCharType="separate"/>
        </w:r>
        <w:r w:rsidR="00414083">
          <w:rPr>
            <w:noProof/>
            <w:webHidden/>
          </w:rPr>
          <w:t>9</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36" w:history="1">
        <w:r w:rsidR="007E590A" w:rsidRPr="00BE395A">
          <w:rPr>
            <w:rStyle w:val="Hyperlink"/>
            <w:noProof/>
          </w:rPr>
          <w:t>Issue 4 – Other Adjustments to Rate Base</w:t>
        </w:r>
        <w:r w:rsidR="007E590A">
          <w:rPr>
            <w:noProof/>
            <w:webHidden/>
          </w:rPr>
          <w:tab/>
        </w:r>
        <w:r w:rsidR="007E590A">
          <w:rPr>
            <w:noProof/>
            <w:webHidden/>
          </w:rPr>
          <w:fldChar w:fldCharType="begin"/>
        </w:r>
        <w:r w:rsidR="007E590A">
          <w:rPr>
            <w:noProof/>
            <w:webHidden/>
          </w:rPr>
          <w:instrText xml:space="preserve"> PAGEREF _Toc38467936 \h </w:instrText>
        </w:r>
        <w:r w:rsidR="007E590A">
          <w:rPr>
            <w:noProof/>
            <w:webHidden/>
          </w:rPr>
        </w:r>
        <w:r w:rsidR="007E590A">
          <w:rPr>
            <w:noProof/>
            <w:webHidden/>
          </w:rPr>
          <w:fldChar w:fldCharType="separate"/>
        </w:r>
        <w:r w:rsidR="00414083">
          <w:rPr>
            <w:noProof/>
            <w:webHidden/>
          </w:rPr>
          <w:t>10</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37" w:history="1">
        <w:r w:rsidR="007E590A" w:rsidRPr="00BE395A">
          <w:rPr>
            <w:rStyle w:val="Hyperlink"/>
            <w:noProof/>
          </w:rPr>
          <w:t>Issue 5 – Used and Useful</w:t>
        </w:r>
        <w:r w:rsidR="007E590A">
          <w:rPr>
            <w:noProof/>
            <w:webHidden/>
          </w:rPr>
          <w:tab/>
        </w:r>
        <w:r w:rsidR="007E590A">
          <w:rPr>
            <w:noProof/>
            <w:webHidden/>
          </w:rPr>
          <w:fldChar w:fldCharType="begin"/>
        </w:r>
        <w:r w:rsidR="007E590A">
          <w:rPr>
            <w:noProof/>
            <w:webHidden/>
          </w:rPr>
          <w:instrText xml:space="preserve"> PAGEREF _Toc38467937 \h </w:instrText>
        </w:r>
        <w:r w:rsidR="007E590A">
          <w:rPr>
            <w:noProof/>
            <w:webHidden/>
          </w:rPr>
        </w:r>
        <w:r w:rsidR="007E590A">
          <w:rPr>
            <w:noProof/>
            <w:webHidden/>
          </w:rPr>
          <w:fldChar w:fldCharType="separate"/>
        </w:r>
        <w:r w:rsidR="00414083">
          <w:rPr>
            <w:noProof/>
            <w:webHidden/>
          </w:rPr>
          <w:t>12</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38" w:history="1">
        <w:r w:rsidR="007E590A" w:rsidRPr="00BE395A">
          <w:rPr>
            <w:rStyle w:val="Hyperlink"/>
            <w:noProof/>
          </w:rPr>
          <w:t>Issue 6 – Pro Forma Plant Additions</w:t>
        </w:r>
        <w:r w:rsidR="007E590A">
          <w:rPr>
            <w:noProof/>
            <w:webHidden/>
          </w:rPr>
          <w:tab/>
        </w:r>
        <w:r w:rsidR="007E590A">
          <w:rPr>
            <w:noProof/>
            <w:webHidden/>
          </w:rPr>
          <w:fldChar w:fldCharType="begin"/>
        </w:r>
        <w:r w:rsidR="007E590A">
          <w:rPr>
            <w:noProof/>
            <w:webHidden/>
          </w:rPr>
          <w:instrText xml:space="preserve"> PAGEREF _Toc38467938 \h </w:instrText>
        </w:r>
        <w:r w:rsidR="007E590A">
          <w:rPr>
            <w:noProof/>
            <w:webHidden/>
          </w:rPr>
        </w:r>
        <w:r w:rsidR="007E590A">
          <w:rPr>
            <w:noProof/>
            <w:webHidden/>
          </w:rPr>
          <w:fldChar w:fldCharType="separate"/>
        </w:r>
        <w:r w:rsidR="00414083">
          <w:rPr>
            <w:noProof/>
            <w:webHidden/>
          </w:rPr>
          <w:t>14</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39" w:history="1">
        <w:r w:rsidR="007E590A" w:rsidRPr="00BE395A">
          <w:rPr>
            <w:rStyle w:val="Hyperlink"/>
            <w:noProof/>
          </w:rPr>
          <w:t>Issue 7 – Working Capital Allowance</w:t>
        </w:r>
        <w:r w:rsidR="007E590A">
          <w:rPr>
            <w:noProof/>
            <w:webHidden/>
          </w:rPr>
          <w:tab/>
        </w:r>
        <w:r w:rsidR="007E590A">
          <w:rPr>
            <w:noProof/>
            <w:webHidden/>
          </w:rPr>
          <w:fldChar w:fldCharType="begin"/>
        </w:r>
        <w:r w:rsidR="007E590A">
          <w:rPr>
            <w:noProof/>
            <w:webHidden/>
          </w:rPr>
          <w:instrText xml:space="preserve"> PAGEREF _Toc38467939 \h </w:instrText>
        </w:r>
        <w:r w:rsidR="007E590A">
          <w:rPr>
            <w:noProof/>
            <w:webHidden/>
          </w:rPr>
        </w:r>
        <w:r w:rsidR="007E590A">
          <w:rPr>
            <w:noProof/>
            <w:webHidden/>
          </w:rPr>
          <w:fldChar w:fldCharType="separate"/>
        </w:r>
        <w:r w:rsidR="00414083">
          <w:rPr>
            <w:noProof/>
            <w:webHidden/>
          </w:rPr>
          <w:t>15</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40" w:history="1">
        <w:r w:rsidR="007E590A" w:rsidRPr="00BE395A">
          <w:rPr>
            <w:rStyle w:val="Hyperlink"/>
            <w:noProof/>
          </w:rPr>
          <w:t>Issue 8 – Rate Base</w:t>
        </w:r>
        <w:r w:rsidR="007E590A">
          <w:rPr>
            <w:noProof/>
            <w:webHidden/>
          </w:rPr>
          <w:tab/>
        </w:r>
        <w:r w:rsidR="007E590A">
          <w:rPr>
            <w:noProof/>
            <w:webHidden/>
          </w:rPr>
          <w:fldChar w:fldCharType="begin"/>
        </w:r>
        <w:r w:rsidR="007E590A">
          <w:rPr>
            <w:noProof/>
            <w:webHidden/>
          </w:rPr>
          <w:instrText xml:space="preserve"> PAGEREF _Toc38467940 \h </w:instrText>
        </w:r>
        <w:r w:rsidR="007E590A">
          <w:rPr>
            <w:noProof/>
            <w:webHidden/>
          </w:rPr>
        </w:r>
        <w:r w:rsidR="007E590A">
          <w:rPr>
            <w:noProof/>
            <w:webHidden/>
          </w:rPr>
          <w:fldChar w:fldCharType="separate"/>
        </w:r>
        <w:r w:rsidR="00414083">
          <w:rPr>
            <w:noProof/>
            <w:webHidden/>
          </w:rPr>
          <w:t>16</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41" w:history="1">
        <w:r w:rsidR="007E590A" w:rsidRPr="00BE395A">
          <w:rPr>
            <w:rStyle w:val="Hyperlink"/>
            <w:noProof/>
          </w:rPr>
          <w:t>Issue 9 – Return on Equity</w:t>
        </w:r>
        <w:r w:rsidR="007E590A">
          <w:rPr>
            <w:noProof/>
            <w:webHidden/>
          </w:rPr>
          <w:tab/>
        </w:r>
        <w:r w:rsidR="007E590A">
          <w:rPr>
            <w:noProof/>
            <w:webHidden/>
          </w:rPr>
          <w:fldChar w:fldCharType="begin"/>
        </w:r>
        <w:r w:rsidR="007E590A">
          <w:rPr>
            <w:noProof/>
            <w:webHidden/>
          </w:rPr>
          <w:instrText xml:space="preserve"> PAGEREF _Toc38467941 \h </w:instrText>
        </w:r>
        <w:r w:rsidR="007E590A">
          <w:rPr>
            <w:noProof/>
            <w:webHidden/>
          </w:rPr>
        </w:r>
        <w:r w:rsidR="007E590A">
          <w:rPr>
            <w:noProof/>
            <w:webHidden/>
          </w:rPr>
          <w:fldChar w:fldCharType="separate"/>
        </w:r>
        <w:r w:rsidR="00414083">
          <w:rPr>
            <w:noProof/>
            <w:webHidden/>
          </w:rPr>
          <w:t>17</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42" w:history="1">
        <w:r w:rsidR="007E590A" w:rsidRPr="00BE395A">
          <w:rPr>
            <w:rStyle w:val="Hyperlink"/>
            <w:noProof/>
          </w:rPr>
          <w:t>Issue 10 – Cost of Capital</w:t>
        </w:r>
        <w:r w:rsidR="007E590A">
          <w:rPr>
            <w:noProof/>
            <w:webHidden/>
          </w:rPr>
          <w:tab/>
        </w:r>
        <w:r w:rsidR="007E590A">
          <w:rPr>
            <w:noProof/>
            <w:webHidden/>
          </w:rPr>
          <w:fldChar w:fldCharType="begin"/>
        </w:r>
        <w:r w:rsidR="007E590A">
          <w:rPr>
            <w:noProof/>
            <w:webHidden/>
          </w:rPr>
          <w:instrText xml:space="preserve"> PAGEREF _Toc38467942 \h </w:instrText>
        </w:r>
        <w:r w:rsidR="007E590A">
          <w:rPr>
            <w:noProof/>
            <w:webHidden/>
          </w:rPr>
        </w:r>
        <w:r w:rsidR="007E590A">
          <w:rPr>
            <w:noProof/>
            <w:webHidden/>
          </w:rPr>
          <w:fldChar w:fldCharType="separate"/>
        </w:r>
        <w:r w:rsidR="00414083">
          <w:rPr>
            <w:noProof/>
            <w:webHidden/>
          </w:rPr>
          <w:t>18</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43" w:history="1">
        <w:r w:rsidR="007E590A" w:rsidRPr="00BE395A">
          <w:rPr>
            <w:rStyle w:val="Hyperlink"/>
            <w:noProof/>
          </w:rPr>
          <w:t>Issue 11 – Test Year Revenues</w:t>
        </w:r>
        <w:r w:rsidR="007E590A">
          <w:rPr>
            <w:noProof/>
            <w:webHidden/>
          </w:rPr>
          <w:tab/>
        </w:r>
        <w:r w:rsidR="007E590A">
          <w:rPr>
            <w:noProof/>
            <w:webHidden/>
          </w:rPr>
          <w:fldChar w:fldCharType="begin"/>
        </w:r>
        <w:r w:rsidR="007E590A">
          <w:rPr>
            <w:noProof/>
            <w:webHidden/>
          </w:rPr>
          <w:instrText xml:space="preserve"> PAGEREF _Toc38467943 \h </w:instrText>
        </w:r>
        <w:r w:rsidR="007E590A">
          <w:rPr>
            <w:noProof/>
            <w:webHidden/>
          </w:rPr>
        </w:r>
        <w:r w:rsidR="007E590A">
          <w:rPr>
            <w:noProof/>
            <w:webHidden/>
          </w:rPr>
          <w:fldChar w:fldCharType="separate"/>
        </w:r>
        <w:r w:rsidR="00414083">
          <w:rPr>
            <w:noProof/>
            <w:webHidden/>
          </w:rPr>
          <w:t>19</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44" w:history="1">
        <w:r w:rsidR="007E590A" w:rsidRPr="00BE395A">
          <w:rPr>
            <w:rStyle w:val="Hyperlink"/>
            <w:noProof/>
          </w:rPr>
          <w:t>Issue 12 – Operations &amp; Maintenance Expense</w:t>
        </w:r>
        <w:r w:rsidR="007E590A">
          <w:rPr>
            <w:noProof/>
            <w:webHidden/>
          </w:rPr>
          <w:tab/>
        </w:r>
        <w:r w:rsidR="007E590A">
          <w:rPr>
            <w:noProof/>
            <w:webHidden/>
          </w:rPr>
          <w:fldChar w:fldCharType="begin"/>
        </w:r>
        <w:r w:rsidR="007E590A">
          <w:rPr>
            <w:noProof/>
            <w:webHidden/>
          </w:rPr>
          <w:instrText xml:space="preserve"> PAGEREF _Toc38467944 \h </w:instrText>
        </w:r>
        <w:r w:rsidR="007E590A">
          <w:rPr>
            <w:noProof/>
            <w:webHidden/>
          </w:rPr>
        </w:r>
        <w:r w:rsidR="007E590A">
          <w:rPr>
            <w:noProof/>
            <w:webHidden/>
          </w:rPr>
          <w:fldChar w:fldCharType="separate"/>
        </w:r>
        <w:r w:rsidR="00414083">
          <w:rPr>
            <w:noProof/>
            <w:webHidden/>
          </w:rPr>
          <w:t>20</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45" w:history="1">
        <w:r w:rsidR="007E590A" w:rsidRPr="00BE395A">
          <w:rPr>
            <w:rStyle w:val="Hyperlink"/>
            <w:noProof/>
          </w:rPr>
          <w:t>Issue 13 – Rate Case Expense</w:t>
        </w:r>
        <w:r w:rsidR="007E590A">
          <w:rPr>
            <w:noProof/>
            <w:webHidden/>
          </w:rPr>
          <w:tab/>
        </w:r>
        <w:r w:rsidR="007E590A">
          <w:rPr>
            <w:noProof/>
            <w:webHidden/>
          </w:rPr>
          <w:fldChar w:fldCharType="begin"/>
        </w:r>
        <w:r w:rsidR="007E590A">
          <w:rPr>
            <w:noProof/>
            <w:webHidden/>
          </w:rPr>
          <w:instrText xml:space="preserve"> PAGEREF _Toc38467945 \h </w:instrText>
        </w:r>
        <w:r w:rsidR="007E590A">
          <w:rPr>
            <w:noProof/>
            <w:webHidden/>
          </w:rPr>
        </w:r>
        <w:r w:rsidR="007E590A">
          <w:rPr>
            <w:noProof/>
            <w:webHidden/>
          </w:rPr>
          <w:fldChar w:fldCharType="separate"/>
        </w:r>
        <w:r w:rsidR="00414083">
          <w:rPr>
            <w:noProof/>
            <w:webHidden/>
          </w:rPr>
          <w:t>25</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46" w:history="1">
        <w:r w:rsidR="007E590A" w:rsidRPr="00BE395A">
          <w:rPr>
            <w:rStyle w:val="Hyperlink"/>
            <w:noProof/>
          </w:rPr>
          <w:t>Issue 14 – Revenue Requirement</w:t>
        </w:r>
        <w:r w:rsidR="007E590A">
          <w:rPr>
            <w:noProof/>
            <w:webHidden/>
          </w:rPr>
          <w:tab/>
        </w:r>
        <w:r w:rsidR="007E590A">
          <w:rPr>
            <w:noProof/>
            <w:webHidden/>
          </w:rPr>
          <w:fldChar w:fldCharType="begin"/>
        </w:r>
        <w:r w:rsidR="007E590A">
          <w:rPr>
            <w:noProof/>
            <w:webHidden/>
          </w:rPr>
          <w:instrText xml:space="preserve"> PAGEREF _Toc38467946 \h </w:instrText>
        </w:r>
        <w:r w:rsidR="007E590A">
          <w:rPr>
            <w:noProof/>
            <w:webHidden/>
          </w:rPr>
        </w:r>
        <w:r w:rsidR="007E590A">
          <w:rPr>
            <w:noProof/>
            <w:webHidden/>
          </w:rPr>
          <w:fldChar w:fldCharType="separate"/>
        </w:r>
        <w:r w:rsidR="00414083">
          <w:rPr>
            <w:noProof/>
            <w:webHidden/>
          </w:rPr>
          <w:t>27</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47" w:history="1">
        <w:r w:rsidR="007E590A" w:rsidRPr="00BE395A">
          <w:rPr>
            <w:rStyle w:val="Hyperlink"/>
            <w:noProof/>
          </w:rPr>
          <w:t>Issue 15 –Rate Structure and Rates</w:t>
        </w:r>
        <w:r w:rsidR="007E590A">
          <w:rPr>
            <w:noProof/>
            <w:webHidden/>
          </w:rPr>
          <w:tab/>
        </w:r>
        <w:r w:rsidR="007E590A">
          <w:rPr>
            <w:noProof/>
            <w:webHidden/>
          </w:rPr>
          <w:fldChar w:fldCharType="begin"/>
        </w:r>
        <w:r w:rsidR="007E590A">
          <w:rPr>
            <w:noProof/>
            <w:webHidden/>
          </w:rPr>
          <w:instrText xml:space="preserve"> PAGEREF _Toc38467947 \h </w:instrText>
        </w:r>
        <w:r w:rsidR="007E590A">
          <w:rPr>
            <w:noProof/>
            <w:webHidden/>
          </w:rPr>
        </w:r>
        <w:r w:rsidR="007E590A">
          <w:rPr>
            <w:noProof/>
            <w:webHidden/>
          </w:rPr>
          <w:fldChar w:fldCharType="separate"/>
        </w:r>
        <w:r w:rsidR="00414083">
          <w:rPr>
            <w:noProof/>
            <w:webHidden/>
          </w:rPr>
          <w:t>28</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48" w:history="1">
        <w:r w:rsidR="007E590A" w:rsidRPr="00BE395A">
          <w:rPr>
            <w:rStyle w:val="Hyperlink"/>
            <w:noProof/>
          </w:rPr>
          <w:t>Issue 16 – Customer Deposits</w:t>
        </w:r>
        <w:r w:rsidR="007E590A">
          <w:rPr>
            <w:noProof/>
            <w:webHidden/>
          </w:rPr>
          <w:tab/>
        </w:r>
        <w:r w:rsidR="007E590A">
          <w:rPr>
            <w:noProof/>
            <w:webHidden/>
          </w:rPr>
          <w:fldChar w:fldCharType="begin"/>
        </w:r>
        <w:r w:rsidR="007E590A">
          <w:rPr>
            <w:noProof/>
            <w:webHidden/>
          </w:rPr>
          <w:instrText xml:space="preserve"> PAGEREF _Toc38467948 \h </w:instrText>
        </w:r>
        <w:r w:rsidR="007E590A">
          <w:rPr>
            <w:noProof/>
            <w:webHidden/>
          </w:rPr>
        </w:r>
        <w:r w:rsidR="007E590A">
          <w:rPr>
            <w:noProof/>
            <w:webHidden/>
          </w:rPr>
          <w:fldChar w:fldCharType="separate"/>
        </w:r>
        <w:r w:rsidR="00414083">
          <w:rPr>
            <w:noProof/>
            <w:webHidden/>
          </w:rPr>
          <w:t>30</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49" w:history="1">
        <w:r w:rsidR="007E590A" w:rsidRPr="00BE395A">
          <w:rPr>
            <w:rStyle w:val="Hyperlink"/>
            <w:noProof/>
          </w:rPr>
          <w:t>Issue 17 – Rate Case Expense Reduction</w:t>
        </w:r>
        <w:r w:rsidR="007E590A">
          <w:rPr>
            <w:noProof/>
            <w:webHidden/>
          </w:rPr>
          <w:tab/>
        </w:r>
        <w:r w:rsidR="007E590A">
          <w:rPr>
            <w:noProof/>
            <w:webHidden/>
          </w:rPr>
          <w:fldChar w:fldCharType="begin"/>
        </w:r>
        <w:r w:rsidR="007E590A">
          <w:rPr>
            <w:noProof/>
            <w:webHidden/>
          </w:rPr>
          <w:instrText xml:space="preserve"> PAGEREF _Toc38467949 \h </w:instrText>
        </w:r>
        <w:r w:rsidR="007E590A">
          <w:rPr>
            <w:noProof/>
            <w:webHidden/>
          </w:rPr>
        </w:r>
        <w:r w:rsidR="007E590A">
          <w:rPr>
            <w:noProof/>
            <w:webHidden/>
          </w:rPr>
          <w:fldChar w:fldCharType="separate"/>
        </w:r>
        <w:r w:rsidR="00414083">
          <w:rPr>
            <w:noProof/>
            <w:webHidden/>
          </w:rPr>
          <w:t>31</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50" w:history="1">
        <w:r w:rsidR="007E590A" w:rsidRPr="00BE395A">
          <w:rPr>
            <w:rStyle w:val="Hyperlink"/>
            <w:noProof/>
          </w:rPr>
          <w:t>Issue 18 – Interim Refund</w:t>
        </w:r>
        <w:r w:rsidR="007E590A">
          <w:rPr>
            <w:noProof/>
            <w:webHidden/>
          </w:rPr>
          <w:tab/>
        </w:r>
        <w:r w:rsidR="007E590A">
          <w:rPr>
            <w:noProof/>
            <w:webHidden/>
          </w:rPr>
          <w:fldChar w:fldCharType="begin"/>
        </w:r>
        <w:r w:rsidR="007E590A">
          <w:rPr>
            <w:noProof/>
            <w:webHidden/>
          </w:rPr>
          <w:instrText xml:space="preserve"> PAGEREF _Toc38467950 \h </w:instrText>
        </w:r>
        <w:r w:rsidR="007E590A">
          <w:rPr>
            <w:noProof/>
            <w:webHidden/>
          </w:rPr>
        </w:r>
        <w:r w:rsidR="007E590A">
          <w:rPr>
            <w:noProof/>
            <w:webHidden/>
          </w:rPr>
          <w:fldChar w:fldCharType="separate"/>
        </w:r>
        <w:r w:rsidR="00414083">
          <w:rPr>
            <w:noProof/>
            <w:webHidden/>
          </w:rPr>
          <w:t>32</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51" w:history="1">
        <w:r w:rsidR="007E590A" w:rsidRPr="00BE395A">
          <w:rPr>
            <w:rStyle w:val="Hyperlink"/>
            <w:noProof/>
          </w:rPr>
          <w:t>Issue 19 – Proof of Adjustments</w:t>
        </w:r>
        <w:r w:rsidR="007E590A">
          <w:rPr>
            <w:noProof/>
            <w:webHidden/>
          </w:rPr>
          <w:tab/>
        </w:r>
        <w:r w:rsidR="007E590A">
          <w:rPr>
            <w:noProof/>
            <w:webHidden/>
          </w:rPr>
          <w:fldChar w:fldCharType="begin"/>
        </w:r>
        <w:r w:rsidR="007E590A">
          <w:rPr>
            <w:noProof/>
            <w:webHidden/>
          </w:rPr>
          <w:instrText xml:space="preserve"> PAGEREF _Toc38467951 \h </w:instrText>
        </w:r>
        <w:r w:rsidR="007E590A">
          <w:rPr>
            <w:noProof/>
            <w:webHidden/>
          </w:rPr>
        </w:r>
        <w:r w:rsidR="007E590A">
          <w:rPr>
            <w:noProof/>
            <w:webHidden/>
          </w:rPr>
          <w:fldChar w:fldCharType="separate"/>
        </w:r>
        <w:r w:rsidR="00414083">
          <w:rPr>
            <w:noProof/>
            <w:webHidden/>
          </w:rPr>
          <w:t>33</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52" w:history="1">
        <w:r w:rsidR="007E590A" w:rsidRPr="00BE395A">
          <w:rPr>
            <w:rStyle w:val="Hyperlink"/>
            <w:noProof/>
          </w:rPr>
          <w:t>Issue 20 – Docket Closure</w:t>
        </w:r>
        <w:r w:rsidR="007E590A">
          <w:rPr>
            <w:noProof/>
            <w:webHidden/>
          </w:rPr>
          <w:tab/>
        </w:r>
        <w:r w:rsidR="007E590A">
          <w:rPr>
            <w:noProof/>
            <w:webHidden/>
          </w:rPr>
          <w:fldChar w:fldCharType="begin"/>
        </w:r>
        <w:r w:rsidR="007E590A">
          <w:rPr>
            <w:noProof/>
            <w:webHidden/>
          </w:rPr>
          <w:instrText xml:space="preserve"> PAGEREF _Toc38467952 \h </w:instrText>
        </w:r>
        <w:r w:rsidR="007E590A">
          <w:rPr>
            <w:noProof/>
            <w:webHidden/>
          </w:rPr>
        </w:r>
        <w:r w:rsidR="007E590A">
          <w:rPr>
            <w:noProof/>
            <w:webHidden/>
          </w:rPr>
          <w:fldChar w:fldCharType="separate"/>
        </w:r>
        <w:r w:rsidR="00414083">
          <w:rPr>
            <w:noProof/>
            <w:webHidden/>
          </w:rPr>
          <w:t>34</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53" w:history="1">
        <w:r w:rsidR="007E590A" w:rsidRPr="00BE395A">
          <w:rPr>
            <w:rStyle w:val="Hyperlink"/>
            <w:noProof/>
          </w:rPr>
          <w:t>Schedule No. 1-A – Water Rate Base</w:t>
        </w:r>
        <w:r w:rsidR="007E590A">
          <w:rPr>
            <w:noProof/>
            <w:webHidden/>
          </w:rPr>
          <w:tab/>
        </w:r>
        <w:r w:rsidR="007E590A">
          <w:rPr>
            <w:noProof/>
            <w:webHidden/>
          </w:rPr>
          <w:fldChar w:fldCharType="begin"/>
        </w:r>
        <w:r w:rsidR="007E590A">
          <w:rPr>
            <w:noProof/>
            <w:webHidden/>
          </w:rPr>
          <w:instrText xml:space="preserve"> PAGEREF _Toc38467953 \h </w:instrText>
        </w:r>
        <w:r w:rsidR="007E590A">
          <w:rPr>
            <w:noProof/>
            <w:webHidden/>
          </w:rPr>
        </w:r>
        <w:r w:rsidR="007E590A">
          <w:rPr>
            <w:noProof/>
            <w:webHidden/>
          </w:rPr>
          <w:fldChar w:fldCharType="separate"/>
        </w:r>
        <w:r w:rsidR="00414083">
          <w:rPr>
            <w:noProof/>
            <w:webHidden/>
          </w:rPr>
          <w:t>35</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54" w:history="1">
        <w:r w:rsidR="007E590A" w:rsidRPr="00BE395A">
          <w:rPr>
            <w:rStyle w:val="Hyperlink"/>
            <w:noProof/>
          </w:rPr>
          <w:t>Schedule No. 1-B – Adjustments to Rate Base</w:t>
        </w:r>
        <w:r w:rsidR="007E590A">
          <w:rPr>
            <w:noProof/>
            <w:webHidden/>
          </w:rPr>
          <w:tab/>
        </w:r>
        <w:r w:rsidR="007E590A">
          <w:rPr>
            <w:noProof/>
            <w:webHidden/>
          </w:rPr>
          <w:fldChar w:fldCharType="begin"/>
        </w:r>
        <w:r w:rsidR="007E590A">
          <w:rPr>
            <w:noProof/>
            <w:webHidden/>
          </w:rPr>
          <w:instrText xml:space="preserve"> PAGEREF _Toc38467954 \h </w:instrText>
        </w:r>
        <w:r w:rsidR="007E590A">
          <w:rPr>
            <w:noProof/>
            <w:webHidden/>
          </w:rPr>
        </w:r>
        <w:r w:rsidR="007E590A">
          <w:rPr>
            <w:noProof/>
            <w:webHidden/>
          </w:rPr>
          <w:fldChar w:fldCharType="separate"/>
        </w:r>
        <w:r w:rsidR="00414083">
          <w:rPr>
            <w:noProof/>
            <w:webHidden/>
          </w:rPr>
          <w:t>36</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55" w:history="1">
        <w:r w:rsidR="007E590A" w:rsidRPr="00BE395A">
          <w:rPr>
            <w:rStyle w:val="Hyperlink"/>
            <w:noProof/>
          </w:rPr>
          <w:t>Schedule No. 2 – Capital Structure 13-Month Average</w:t>
        </w:r>
        <w:r w:rsidR="007E590A">
          <w:rPr>
            <w:noProof/>
            <w:webHidden/>
          </w:rPr>
          <w:tab/>
        </w:r>
        <w:r w:rsidR="007E590A">
          <w:rPr>
            <w:noProof/>
            <w:webHidden/>
          </w:rPr>
          <w:fldChar w:fldCharType="begin"/>
        </w:r>
        <w:r w:rsidR="007E590A">
          <w:rPr>
            <w:noProof/>
            <w:webHidden/>
          </w:rPr>
          <w:instrText xml:space="preserve"> PAGEREF _Toc38467955 \h </w:instrText>
        </w:r>
        <w:r w:rsidR="007E590A">
          <w:rPr>
            <w:noProof/>
            <w:webHidden/>
          </w:rPr>
        </w:r>
        <w:r w:rsidR="007E590A">
          <w:rPr>
            <w:noProof/>
            <w:webHidden/>
          </w:rPr>
          <w:fldChar w:fldCharType="separate"/>
        </w:r>
        <w:r w:rsidR="00414083">
          <w:rPr>
            <w:noProof/>
            <w:webHidden/>
          </w:rPr>
          <w:t>37</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56" w:history="1">
        <w:r w:rsidR="007E590A" w:rsidRPr="00BE395A">
          <w:rPr>
            <w:rStyle w:val="Hyperlink"/>
            <w:noProof/>
          </w:rPr>
          <w:t>Schedule No. 3-A – Statement of Water Operations</w:t>
        </w:r>
        <w:r w:rsidR="007E590A">
          <w:rPr>
            <w:noProof/>
            <w:webHidden/>
          </w:rPr>
          <w:tab/>
        </w:r>
        <w:r w:rsidR="007E590A">
          <w:rPr>
            <w:noProof/>
            <w:webHidden/>
          </w:rPr>
          <w:fldChar w:fldCharType="begin"/>
        </w:r>
        <w:r w:rsidR="007E590A">
          <w:rPr>
            <w:noProof/>
            <w:webHidden/>
          </w:rPr>
          <w:instrText xml:space="preserve"> PAGEREF _Toc38467956 \h </w:instrText>
        </w:r>
        <w:r w:rsidR="007E590A">
          <w:rPr>
            <w:noProof/>
            <w:webHidden/>
          </w:rPr>
        </w:r>
        <w:r w:rsidR="007E590A">
          <w:rPr>
            <w:noProof/>
            <w:webHidden/>
          </w:rPr>
          <w:fldChar w:fldCharType="separate"/>
        </w:r>
        <w:r w:rsidR="00414083">
          <w:rPr>
            <w:noProof/>
            <w:webHidden/>
          </w:rPr>
          <w:t>38</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57" w:history="1">
        <w:r w:rsidR="007E590A" w:rsidRPr="00BE395A">
          <w:rPr>
            <w:rStyle w:val="Hyperlink"/>
            <w:noProof/>
          </w:rPr>
          <w:t>Schedule No. 3-B – Adjustment to Operating Income</w:t>
        </w:r>
        <w:r w:rsidR="007E590A">
          <w:rPr>
            <w:noProof/>
            <w:webHidden/>
          </w:rPr>
          <w:tab/>
        </w:r>
        <w:r w:rsidR="007E590A">
          <w:rPr>
            <w:noProof/>
            <w:webHidden/>
          </w:rPr>
          <w:fldChar w:fldCharType="begin"/>
        </w:r>
        <w:r w:rsidR="007E590A">
          <w:rPr>
            <w:noProof/>
            <w:webHidden/>
          </w:rPr>
          <w:instrText xml:space="preserve"> PAGEREF _Toc38467957 \h </w:instrText>
        </w:r>
        <w:r w:rsidR="007E590A">
          <w:rPr>
            <w:noProof/>
            <w:webHidden/>
          </w:rPr>
        </w:r>
        <w:r w:rsidR="007E590A">
          <w:rPr>
            <w:noProof/>
            <w:webHidden/>
          </w:rPr>
          <w:fldChar w:fldCharType="separate"/>
        </w:r>
        <w:r w:rsidR="00414083">
          <w:rPr>
            <w:noProof/>
            <w:webHidden/>
          </w:rPr>
          <w:t>39</w:t>
        </w:r>
        <w:r w:rsidR="007E590A">
          <w:rPr>
            <w:noProof/>
            <w:webHidden/>
          </w:rPr>
          <w:fldChar w:fldCharType="end"/>
        </w:r>
      </w:hyperlink>
    </w:p>
    <w:p w:rsidR="007E590A" w:rsidRDefault="00194728">
      <w:pPr>
        <w:pStyle w:val="TOC1"/>
        <w:rPr>
          <w:rFonts w:asciiTheme="minorHAnsi" w:eastAsiaTheme="minorEastAsia" w:hAnsiTheme="minorHAnsi" w:cstheme="minorBidi"/>
          <w:noProof/>
          <w:sz w:val="22"/>
          <w:szCs w:val="22"/>
        </w:rPr>
      </w:pPr>
      <w:hyperlink w:anchor="_Toc38467958" w:history="1">
        <w:r w:rsidR="007E590A" w:rsidRPr="00BE395A">
          <w:rPr>
            <w:rStyle w:val="Hyperlink"/>
            <w:noProof/>
          </w:rPr>
          <w:t>Schedule No. 4 – Monthly Water Rates</w:t>
        </w:r>
        <w:r w:rsidR="007E590A">
          <w:rPr>
            <w:noProof/>
            <w:webHidden/>
          </w:rPr>
          <w:tab/>
        </w:r>
        <w:r w:rsidR="007E590A">
          <w:rPr>
            <w:noProof/>
            <w:webHidden/>
          </w:rPr>
          <w:fldChar w:fldCharType="begin"/>
        </w:r>
        <w:r w:rsidR="007E590A">
          <w:rPr>
            <w:noProof/>
            <w:webHidden/>
          </w:rPr>
          <w:instrText xml:space="preserve"> PAGEREF _Toc38467958 \h </w:instrText>
        </w:r>
        <w:r w:rsidR="007E590A">
          <w:rPr>
            <w:noProof/>
            <w:webHidden/>
          </w:rPr>
        </w:r>
        <w:r w:rsidR="007E590A">
          <w:rPr>
            <w:noProof/>
            <w:webHidden/>
          </w:rPr>
          <w:fldChar w:fldCharType="separate"/>
        </w:r>
        <w:r w:rsidR="00414083">
          <w:rPr>
            <w:noProof/>
            <w:webHidden/>
          </w:rPr>
          <w:t>40</w:t>
        </w:r>
        <w:r w:rsidR="007E590A">
          <w:rPr>
            <w:noProof/>
            <w:webHidden/>
          </w:rPr>
          <w:fldChar w:fldCharType="end"/>
        </w:r>
      </w:hyperlink>
    </w:p>
    <w:p w:rsidR="00BB7B19" w:rsidRPr="00BB7B19" w:rsidRDefault="0006580B" w:rsidP="00BB7B19">
      <w:pPr>
        <w:pStyle w:val="BodyText"/>
      </w:pPr>
      <w:r>
        <w:fldChar w:fldCharType="end"/>
      </w:r>
    </w:p>
    <w:p w:rsidR="00BB7B19" w:rsidRDefault="00BB7B19">
      <w:pPr>
        <w:pStyle w:val="BodyText"/>
        <w:sectPr w:rsidR="00BB7B19" w:rsidSect="00BB7B19">
          <w:headerReference w:type="first" r:id="rId12"/>
          <w:footerReference w:type="first" r:id="rId13"/>
          <w:pgSz w:w="12240" w:h="15840" w:code="1"/>
          <w:pgMar w:top="1584" w:right="1440" w:bottom="1440" w:left="1440" w:header="720" w:footer="720" w:gutter="0"/>
          <w:pgNumType w:fmt="lowerRoman" w:start="1"/>
          <w:cols w:space="720"/>
          <w:formProt w:val="0"/>
          <w:titlePg/>
          <w:docGrid w:linePitch="360"/>
        </w:sectPr>
      </w:pPr>
    </w:p>
    <w:p w:rsidR="007C0528" w:rsidRDefault="007C0528">
      <w:pPr>
        <w:pStyle w:val="RecommendationMajorSectionHeading"/>
      </w:pPr>
      <w:bookmarkStart w:id="12" w:name="RecToC"/>
      <w:bookmarkEnd w:id="12"/>
      <w:r>
        <w:lastRenderedPageBreak/>
        <w:t xml:space="preserve"> </w:t>
      </w:r>
      <w:bookmarkStart w:id="13" w:name="CaseBackground"/>
      <w:r>
        <w:t>Case Background</w:t>
      </w:r>
      <w:r>
        <w:fldChar w:fldCharType="begin"/>
      </w:r>
      <w:r>
        <w:instrText xml:space="preserve"> TC  "</w:instrText>
      </w:r>
      <w:r>
        <w:tab/>
      </w:r>
      <w:bookmarkStart w:id="14" w:name="_Toc94516455"/>
      <w:bookmarkStart w:id="15" w:name="_Toc38467932"/>
      <w:r>
        <w:instrText>Case Background</w:instrText>
      </w:r>
      <w:bookmarkEnd w:id="14"/>
      <w:bookmarkEnd w:id="15"/>
      <w:r>
        <w:instrText xml:space="preserve">" \l 1 </w:instrText>
      </w:r>
      <w:r>
        <w:fldChar w:fldCharType="end"/>
      </w:r>
    </w:p>
    <w:p w:rsidR="00BB7967" w:rsidRDefault="00BB7967" w:rsidP="00BB7967">
      <w:pPr>
        <w:pStyle w:val="BodyText"/>
      </w:pPr>
      <w:r>
        <w:t>HC Waterworks, Inc.</w:t>
      </w:r>
      <w:r w:rsidRPr="004A2C99">
        <w:t xml:space="preserve"> (</w:t>
      </w:r>
      <w:r>
        <w:t>HC or Utility) is a Class B</w:t>
      </w:r>
      <w:r w:rsidRPr="004A2C99">
        <w:t xml:space="preserve"> </w:t>
      </w:r>
      <w:r>
        <w:t>utility providing wa</w:t>
      </w:r>
      <w:r w:rsidR="00D32686">
        <w:t>ter service to approximately 949</w:t>
      </w:r>
      <w:r>
        <w:t xml:space="preserve"> </w:t>
      </w:r>
      <w:r w:rsidRPr="004A2C99">
        <w:t>residential</w:t>
      </w:r>
      <w:r w:rsidR="00D32686">
        <w:t xml:space="preserve"> customers, 9</w:t>
      </w:r>
      <w:r>
        <w:t xml:space="preserve"> general service customers, and 1 </w:t>
      </w:r>
      <w:r w:rsidR="00D32686">
        <w:t xml:space="preserve">private fire protection customer </w:t>
      </w:r>
      <w:r>
        <w:t xml:space="preserve">in the Leisure Lakes, Lake Josephine, and Sebring Lakes subdivisions </w:t>
      </w:r>
      <w:r w:rsidRPr="004A2C99">
        <w:t xml:space="preserve">in </w:t>
      </w:r>
      <w:r>
        <w:t>Highlands</w:t>
      </w:r>
      <w:r w:rsidRPr="004A2C99">
        <w:t xml:space="preserve"> County. </w:t>
      </w:r>
      <w:r>
        <w:t>HC also provides wastewater service to 323 residential wastewater customers in the Leisure Lakes subdivision.</w:t>
      </w:r>
      <w:r>
        <w:rPr>
          <w:rStyle w:val="FootnoteReference"/>
        </w:rPr>
        <w:footnoteReference w:id="1"/>
      </w:r>
      <w:r>
        <w:t xml:space="preserve"> In the instant docket, the Utility is only requesting a rate increase for HC’s water service, not the wastewater service. </w:t>
      </w:r>
      <w:r w:rsidRPr="004A2C99">
        <w:t>The service area is in the Southwest Florida Water Management District</w:t>
      </w:r>
      <w:r>
        <w:t xml:space="preserve"> (SWFWMD)</w:t>
      </w:r>
      <w:r w:rsidRPr="004A2C99">
        <w:t xml:space="preserve"> and</w:t>
      </w:r>
      <w:r>
        <w:t xml:space="preserve"> is in a water use caution area</w:t>
      </w:r>
      <w:r w:rsidRPr="004A2C99">
        <w:t>.</w:t>
      </w:r>
    </w:p>
    <w:p w:rsidR="00BB7967" w:rsidRDefault="00BB7967" w:rsidP="00BB7967">
      <w:pPr>
        <w:pStyle w:val="BodyText"/>
      </w:pPr>
      <w:proofErr w:type="gramStart"/>
      <w:r>
        <w:t xml:space="preserve">By </w:t>
      </w:r>
      <w:r w:rsidR="00D32686">
        <w:t>Order No.</w:t>
      </w:r>
      <w:proofErr w:type="gramEnd"/>
      <w:r w:rsidR="00D32686">
        <w:t xml:space="preserve"> PSC-</w:t>
      </w:r>
      <w:r w:rsidRPr="004A2C99">
        <w:t>14-03</w:t>
      </w:r>
      <w:r>
        <w:t>14</w:t>
      </w:r>
      <w:r w:rsidRPr="004A2C99">
        <w:t>-PAA-WS</w:t>
      </w:r>
      <w:r>
        <w:t>, the Commission approved the transfer of Certificate Nos. 422-W and 359-S from Aqua Utilities Florida, Inc. (AUF) to HC</w:t>
      </w:r>
      <w:r w:rsidRPr="004A2C99">
        <w:t>.</w:t>
      </w:r>
      <w:r w:rsidRPr="004A2C99">
        <w:rPr>
          <w:vertAlign w:val="superscript"/>
        </w:rPr>
        <w:footnoteReference w:id="2"/>
      </w:r>
      <w:r w:rsidRPr="004A2C99">
        <w:t xml:space="preserve"> </w:t>
      </w:r>
      <w:r>
        <w:t>Water rates were last established for the Utility in 2015.</w:t>
      </w:r>
      <w:r>
        <w:rPr>
          <w:rStyle w:val="FootnoteReference"/>
        </w:rPr>
        <w:footnoteReference w:id="3"/>
      </w:r>
      <w:r>
        <w:t xml:space="preserve"> </w:t>
      </w:r>
      <w:r w:rsidRPr="008A50C5">
        <w:t>On October 15, 2019</w:t>
      </w:r>
      <w:r>
        <w:t xml:space="preserve">, HC filed its application for an </w:t>
      </w:r>
      <w:r w:rsidRPr="008A50C5">
        <w:t>increase in water rates</w:t>
      </w:r>
      <w:r>
        <w:t>.</w:t>
      </w:r>
      <w:r w:rsidRPr="008A50C5">
        <w:t xml:space="preserve"> </w:t>
      </w:r>
      <w:r>
        <w:t xml:space="preserve">Accompanying the Utility’s application were minimum filing requirement (MFRs) schedules required by Section 367.081, Florida Statutes (F.S.), and Rule 25-30.437, Florida Administrative Code (F.A.C.). The Utility requested that the application be processed using the Proposed Agency Action (PAA) procedure and a test year ended June 30, 2019. The Utility was notified of deficiencies in the MFRs on November 12, 2019, and December 6, 2019. The deficiencies were cured and December 13, 2019, was established as the official filing date. </w:t>
      </w:r>
      <w:r w:rsidR="001D66A0" w:rsidRPr="002B310E">
        <w:t>In its 2019 Annual Report, HC reported total operating revenues of $582,926 and a net operating income of $106,946.</w:t>
      </w:r>
    </w:p>
    <w:p w:rsidR="00BB7967" w:rsidRPr="00233BB5" w:rsidRDefault="00BB7967" w:rsidP="00BB7967">
      <w:pPr>
        <w:pStyle w:val="BodyText"/>
      </w:pPr>
      <w:r>
        <w:t xml:space="preserve">The Utility is requesting an increase to recover reasonable and prudent costs for providing service and a reasonable rate of return on its investments. These investments include: </w:t>
      </w:r>
      <w:r w:rsidRPr="00AA5D99">
        <w:t>(1)</w:t>
      </w:r>
      <w:r w:rsidR="00890926">
        <w:t xml:space="preserve"> a water main relocation project due to</w:t>
      </w:r>
      <w:r w:rsidRPr="00AA5D99">
        <w:t xml:space="preserve"> a road widening/realignment project required by Highlands County and Florida Department of Transp</w:t>
      </w:r>
      <w:r w:rsidR="00AA5D99">
        <w:t>ortation (FDOT);</w:t>
      </w:r>
      <w:r w:rsidRPr="00AA5D99">
        <w:t xml:space="preserve"> (2) modifica</w:t>
      </w:r>
      <w:r w:rsidR="00AA5D99">
        <w:t xml:space="preserve">tions to the Lake Josephine </w:t>
      </w:r>
      <w:r w:rsidR="00871BAF">
        <w:t>water treatment plant (</w:t>
      </w:r>
      <w:r w:rsidR="00AA5D99">
        <w:t>WTP</w:t>
      </w:r>
      <w:r w:rsidR="00871BAF">
        <w:t>)</w:t>
      </w:r>
      <w:r w:rsidR="00AA5D99">
        <w:t>;</w:t>
      </w:r>
      <w:r w:rsidRPr="00AA5D99">
        <w:t xml:space="preserve"> and (3) modi</w:t>
      </w:r>
      <w:r>
        <w:t>fications to the Leisure Lakes WTP. The upgrades to both WTPs were mandated by the Florida Department of Environmental Protection (DEP).</w:t>
      </w:r>
    </w:p>
    <w:p w:rsidR="00BB7967" w:rsidRPr="00B64034" w:rsidRDefault="00BB7967" w:rsidP="00BB7967">
      <w:pPr>
        <w:pStyle w:val="BodyText"/>
      </w:pPr>
      <w:proofErr w:type="gramStart"/>
      <w:r>
        <w:t>By Order No.</w:t>
      </w:r>
      <w:proofErr w:type="gramEnd"/>
      <w:r>
        <w:t xml:space="preserve"> PSC-2019-0547-PCO-WS, the Commission suspended final rates proposed by the Utility and approved interim rates to allow staff sufficient time to process this case.</w:t>
      </w:r>
      <w:r>
        <w:rPr>
          <w:rStyle w:val="FootnoteReference"/>
        </w:rPr>
        <w:footnoteReference w:id="4"/>
      </w:r>
      <w:r>
        <w:t xml:space="preserve"> </w:t>
      </w:r>
      <w:r w:rsidRPr="00B64034">
        <w:t>Staff conducted a customer meeting on February 20, 2020</w:t>
      </w:r>
      <w:r>
        <w:t>, in Sebring, Florida</w:t>
      </w:r>
      <w:r w:rsidRPr="00B64034">
        <w:t xml:space="preserve">. </w:t>
      </w:r>
      <w:r>
        <w:t xml:space="preserve">Eighteen residential </w:t>
      </w:r>
      <w:r w:rsidRPr="00B64034">
        <w:t>customer</w:t>
      </w:r>
      <w:r>
        <w:t>s</w:t>
      </w:r>
      <w:r w:rsidRPr="00B64034">
        <w:t xml:space="preserve"> spoke at the meeting</w:t>
      </w:r>
      <w:r>
        <w:t xml:space="preserve"> and approximately </w:t>
      </w:r>
      <w:r w:rsidR="00AA5D99">
        <w:t>35</w:t>
      </w:r>
      <w:r>
        <w:t xml:space="preserve"> </w:t>
      </w:r>
      <w:r w:rsidR="00BC20A0">
        <w:t xml:space="preserve">residential customers </w:t>
      </w:r>
      <w:r>
        <w:t>were in attendance</w:t>
      </w:r>
      <w:r w:rsidRPr="00B64034">
        <w:t xml:space="preserve">. </w:t>
      </w:r>
    </w:p>
    <w:p w:rsidR="00BB7967" w:rsidRPr="002C1110" w:rsidRDefault="00BB7967" w:rsidP="00BB7967">
      <w:pPr>
        <w:pStyle w:val="IssueHeading"/>
        <w:rPr>
          <w:rFonts w:ascii="Times New Roman" w:hAnsi="Times New Roman" w:cs="Times New Roman"/>
          <w:b w:val="0"/>
          <w:i w:val="0"/>
          <w:highlight w:val="cyan"/>
        </w:rPr>
      </w:pPr>
      <w:r w:rsidRPr="004E0915">
        <w:rPr>
          <w:rFonts w:ascii="Times New Roman" w:hAnsi="Times New Roman" w:cs="Times New Roman"/>
          <w:b w:val="0"/>
          <w:i w:val="0"/>
        </w:rPr>
        <w:t>The Commission has jurisdiction in this case pursuant to Secti</w:t>
      </w:r>
      <w:r>
        <w:rPr>
          <w:rFonts w:ascii="Times New Roman" w:hAnsi="Times New Roman" w:cs="Times New Roman"/>
          <w:b w:val="0"/>
          <w:i w:val="0"/>
        </w:rPr>
        <w:t xml:space="preserve">ons 367.011, 367.081, 367.0812, </w:t>
      </w:r>
      <w:r w:rsidRPr="004E0915">
        <w:rPr>
          <w:rFonts w:ascii="Times New Roman" w:hAnsi="Times New Roman" w:cs="Times New Roman"/>
          <w:b w:val="0"/>
          <w:i w:val="0"/>
        </w:rPr>
        <w:t xml:space="preserve">367.0814, 367.091, and 367.121, </w:t>
      </w:r>
      <w:r w:rsidR="00BC20A0">
        <w:rPr>
          <w:rFonts w:ascii="Times New Roman" w:hAnsi="Times New Roman" w:cs="Times New Roman"/>
          <w:b w:val="0"/>
          <w:i w:val="0"/>
        </w:rPr>
        <w:t>F.S</w:t>
      </w:r>
      <w:r w:rsidRPr="004E0915">
        <w:rPr>
          <w:rFonts w:ascii="Times New Roman" w:hAnsi="Times New Roman" w:cs="Times New Roman"/>
          <w:b w:val="0"/>
          <w:i w:val="0"/>
        </w:rPr>
        <w:t>.</w:t>
      </w:r>
    </w:p>
    <w:p w:rsidR="007C0528" w:rsidRDefault="007C0528" w:rsidP="0068481F"/>
    <w:bookmarkEnd w:id="13"/>
    <w:p w:rsidR="00EA2273" w:rsidRDefault="00EA2273">
      <w:pPr>
        <w:pStyle w:val="RecommendationMajorSectionHeading"/>
        <w:sectPr w:rsidR="00EA2273" w:rsidSect="002E5203">
          <w:pgSz w:w="12240" w:h="15840" w:code="1"/>
          <w:pgMar w:top="1584" w:right="1440" w:bottom="1440" w:left="1440" w:header="720" w:footer="720" w:gutter="0"/>
          <w:pgNumType w:start="1"/>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BB7B19" w:rsidRDefault="00BB7B19">
      <w:pPr>
        <w:pStyle w:val="IssueHeading"/>
        <w:rPr>
          <w:vanish/>
          <w:specVanish/>
        </w:rPr>
      </w:pPr>
      <w:r w:rsidRPr="004C3641">
        <w:t xml:space="preserve">Issue </w:t>
      </w:r>
      <w:fldSimple w:instr=" SEQ Issue \* MERGEFORMAT ">
        <w:r w:rsidR="00414083">
          <w:rPr>
            <w:noProof/>
          </w:rPr>
          <w:t>1</w:t>
        </w:r>
      </w:fldSimple>
      <w:r w:rsidRPr="004C3641">
        <w:t>:</w:t>
      </w:r>
      <w:r>
        <w:fldChar w:fldCharType="begin"/>
      </w:r>
      <w:r>
        <w:instrText xml:space="preserve"> TC "</w:instrText>
      </w:r>
      <w:bookmarkStart w:id="17" w:name="_Toc38467933"/>
      <w:r w:rsidR="00B53C2B">
        <w:instrText xml:space="preserve">Issue </w:instrText>
      </w:r>
      <w:r>
        <w:fldChar w:fldCharType="begin"/>
      </w:r>
      <w:r>
        <w:instrText xml:space="preserve"> SEQ issue \c </w:instrText>
      </w:r>
      <w:r>
        <w:fldChar w:fldCharType="separate"/>
      </w:r>
      <w:r w:rsidR="00414083">
        <w:rPr>
          <w:noProof/>
        </w:rPr>
        <w:instrText>1</w:instrText>
      </w:r>
      <w:r>
        <w:fldChar w:fldCharType="end"/>
      </w:r>
      <w:r w:rsidR="00B53C2B">
        <w:instrText xml:space="preserve"> – Quality of Service</w:instrText>
      </w:r>
      <w:bookmarkEnd w:id="17"/>
      <w:r>
        <w:instrText xml:space="preserve">" \l 1 </w:instrText>
      </w:r>
      <w:r>
        <w:fldChar w:fldCharType="end"/>
      </w:r>
      <w:r>
        <w:t> </w:t>
      </w:r>
    </w:p>
    <w:p w:rsidR="00BB7B19" w:rsidRDefault="00BB7B19">
      <w:pPr>
        <w:pStyle w:val="BodyText"/>
      </w:pPr>
      <w:r>
        <w:t> </w:t>
      </w:r>
      <w:r w:rsidR="00B53C2B">
        <w:t>Is the quality of service provided by HC Waterworks satisfactory?</w:t>
      </w:r>
    </w:p>
    <w:p w:rsidR="00BB7B19" w:rsidRPr="004C3641" w:rsidRDefault="00BB7B19">
      <w:pPr>
        <w:pStyle w:val="IssueSubsectionHeading"/>
        <w:rPr>
          <w:vanish/>
          <w:specVanish/>
        </w:rPr>
      </w:pPr>
      <w:r w:rsidRPr="004C3641">
        <w:t>Recommendation: </w:t>
      </w:r>
    </w:p>
    <w:p w:rsidR="00BB7B19" w:rsidRDefault="00BB7B19">
      <w:pPr>
        <w:pStyle w:val="BodyText"/>
      </w:pPr>
      <w:r>
        <w:t> </w:t>
      </w:r>
      <w:r w:rsidR="009B5A9D">
        <w:t>No. While the Utility is in compliance with the DEP and customer complaints have declined overall since 2016, there are still many customer complaints on the pressure, color, and smell of the water</w:t>
      </w:r>
      <w:r w:rsidR="0029448A">
        <w:t xml:space="preserve"> provided by HC</w:t>
      </w:r>
      <w:r w:rsidR="009B5A9D">
        <w:t xml:space="preserve">. </w:t>
      </w:r>
      <w:r w:rsidR="009B5A9D" w:rsidRPr="00E9524E">
        <w:t>Pursuant to Rule 25-30.433(1</w:t>
      </w:r>
      <w:proofErr w:type="gramStart"/>
      <w:r w:rsidR="009B5A9D" w:rsidRPr="00E9524E">
        <w:t>)(</w:t>
      </w:r>
      <w:proofErr w:type="gramEnd"/>
      <w:r w:rsidR="009B5A9D" w:rsidRPr="00E9524E">
        <w:t xml:space="preserve">d), </w:t>
      </w:r>
      <w:r w:rsidR="009B5A9D">
        <w:t>F.A.C.</w:t>
      </w:r>
      <w:r w:rsidR="009B5A9D" w:rsidRPr="00E9524E">
        <w:t xml:space="preserve">, customer testimony, comments, </w:t>
      </w:r>
      <w:r w:rsidR="00E14325">
        <w:t xml:space="preserve">and </w:t>
      </w:r>
      <w:r w:rsidR="009B5A9D" w:rsidRPr="00E9524E">
        <w:t xml:space="preserve">complaints shall be considered in the determination of the quality of service provided by the Utility. </w:t>
      </w:r>
      <w:r w:rsidR="009B5A9D">
        <w:t>Therefore, t</w:t>
      </w:r>
      <w:r w:rsidR="009B5A9D" w:rsidRPr="00E9524E">
        <w:t>he overall quality of service should be considered unsatisfact</w:t>
      </w:r>
      <w:r w:rsidR="009B5A9D">
        <w:t xml:space="preserve">ory due to </w:t>
      </w:r>
      <w:r w:rsidR="0029448A">
        <w:t xml:space="preserve">the high number of </w:t>
      </w:r>
      <w:r w:rsidR="009B5A9D">
        <w:t>customer complaints and</w:t>
      </w:r>
      <w:r w:rsidR="009B5A9D" w:rsidRPr="00E9524E">
        <w:t xml:space="preserve"> the Utility’s Return on Equity (ROE) </w:t>
      </w:r>
      <w:r w:rsidR="009B5A9D">
        <w:t xml:space="preserve">should </w:t>
      </w:r>
      <w:r w:rsidR="009B5A9D" w:rsidRPr="00E9524E">
        <w:t>be reduced by 50 basis points.</w:t>
      </w:r>
      <w:r w:rsidR="009B5A9D">
        <w:t xml:space="preserve"> (Lewis, Johnson, Knoblauch)</w:t>
      </w:r>
      <w:r>
        <w:t xml:space="preserve"> </w:t>
      </w:r>
    </w:p>
    <w:p w:rsidR="00BB7B19" w:rsidRPr="004C3641" w:rsidRDefault="00BB7B19">
      <w:pPr>
        <w:pStyle w:val="IssueSubsectionHeading"/>
        <w:rPr>
          <w:vanish/>
          <w:specVanish/>
        </w:rPr>
      </w:pPr>
      <w:r w:rsidRPr="004C3641">
        <w:t>Staff Analysis: </w:t>
      </w:r>
    </w:p>
    <w:p w:rsidR="00BB7B19" w:rsidRDefault="00BB7B19">
      <w:pPr>
        <w:pStyle w:val="BodyText"/>
        <w:rPr>
          <w:rFonts w:eastAsiaTheme="minorHAnsi"/>
          <w:szCs w:val="22"/>
        </w:rPr>
      </w:pPr>
      <w:r>
        <w:t> </w:t>
      </w:r>
      <w:r w:rsidR="009B5A9D" w:rsidRPr="0047437E">
        <w:rPr>
          <w:rFonts w:eastAsiaTheme="minorHAnsi"/>
          <w:szCs w:val="22"/>
        </w:rPr>
        <w:t>Pursuant to Rule 25-30.433(1),</w:t>
      </w:r>
      <w:r w:rsidR="009B5A9D">
        <w:rPr>
          <w:rFonts w:eastAsiaTheme="minorHAnsi"/>
          <w:szCs w:val="22"/>
        </w:rPr>
        <w:t xml:space="preserve"> F.A.C.</w:t>
      </w:r>
      <w:r w:rsidR="009B5A9D" w:rsidRPr="0047437E">
        <w:rPr>
          <w:rFonts w:eastAsiaTheme="minorHAnsi"/>
          <w:szCs w:val="22"/>
        </w:rPr>
        <w:t xml:space="preserve">, the Commission, in every rate case, shall make a determination of the quality of service provided by the </w:t>
      </w:r>
      <w:r w:rsidR="009B5A9D">
        <w:rPr>
          <w:rFonts w:eastAsiaTheme="minorHAnsi"/>
          <w:szCs w:val="22"/>
        </w:rPr>
        <w:t>Utility</w:t>
      </w:r>
      <w:r w:rsidR="009B5A9D" w:rsidRPr="0047437E">
        <w:rPr>
          <w:rFonts w:eastAsiaTheme="minorHAnsi"/>
          <w:szCs w:val="22"/>
        </w:rPr>
        <w:t xml:space="preserve"> by evaluating the quality of </w:t>
      </w:r>
      <w:r w:rsidR="009B5A9D">
        <w:rPr>
          <w:rFonts w:eastAsiaTheme="minorHAnsi"/>
          <w:szCs w:val="22"/>
        </w:rPr>
        <w:t>the Utility</w:t>
      </w:r>
      <w:r w:rsidR="009B5A9D" w:rsidRPr="0047437E">
        <w:rPr>
          <w:rFonts w:eastAsiaTheme="minorHAnsi"/>
          <w:szCs w:val="22"/>
        </w:rPr>
        <w:t xml:space="preserve">’s product (water) and the </w:t>
      </w:r>
      <w:r w:rsidR="009B5A9D">
        <w:rPr>
          <w:rFonts w:eastAsiaTheme="minorHAnsi"/>
          <w:szCs w:val="22"/>
        </w:rPr>
        <w:t>Utility</w:t>
      </w:r>
      <w:r w:rsidR="009B5A9D" w:rsidRPr="0047437E">
        <w:rPr>
          <w:rFonts w:eastAsiaTheme="minorHAnsi"/>
          <w:szCs w:val="22"/>
        </w:rPr>
        <w:t>’s attempt to address customer satisfacti</w:t>
      </w:r>
      <w:r w:rsidR="00EF4CCC">
        <w:rPr>
          <w:rFonts w:eastAsiaTheme="minorHAnsi"/>
          <w:szCs w:val="22"/>
        </w:rPr>
        <w:t>on (water and wastewater). The r</w:t>
      </w:r>
      <w:r w:rsidR="009B5A9D" w:rsidRPr="0047437E">
        <w:rPr>
          <w:rFonts w:eastAsiaTheme="minorHAnsi"/>
          <w:szCs w:val="22"/>
        </w:rPr>
        <w:t xml:space="preserve">ule states that the most recent chemical </w:t>
      </w:r>
      <w:r w:rsidR="009B5A9D">
        <w:rPr>
          <w:rFonts w:eastAsiaTheme="minorHAnsi"/>
          <w:szCs w:val="22"/>
        </w:rPr>
        <w:t>analysis</w:t>
      </w:r>
      <w:r w:rsidR="009B5A9D" w:rsidRPr="0047437E">
        <w:rPr>
          <w:rFonts w:eastAsiaTheme="minorHAnsi"/>
          <w:szCs w:val="22"/>
        </w:rPr>
        <w:t xml:space="preserve">, outstanding citations, violations, and consent orders on file with </w:t>
      </w:r>
      <w:r w:rsidR="009B5A9D">
        <w:rPr>
          <w:rFonts w:eastAsiaTheme="minorHAnsi"/>
          <w:szCs w:val="22"/>
        </w:rPr>
        <w:t>t</w:t>
      </w:r>
      <w:r w:rsidR="009B5A9D" w:rsidRPr="0047437E">
        <w:rPr>
          <w:rFonts w:eastAsiaTheme="minorHAnsi"/>
          <w:szCs w:val="22"/>
        </w:rPr>
        <w:t xml:space="preserve">he </w:t>
      </w:r>
      <w:r w:rsidR="0029448A">
        <w:rPr>
          <w:rFonts w:eastAsiaTheme="minorHAnsi"/>
          <w:szCs w:val="22"/>
        </w:rPr>
        <w:t>DEP</w:t>
      </w:r>
      <w:r w:rsidR="009B5A9D">
        <w:rPr>
          <w:rFonts w:eastAsiaTheme="minorHAnsi"/>
          <w:szCs w:val="22"/>
        </w:rPr>
        <w:t xml:space="preserve"> </w:t>
      </w:r>
      <w:r w:rsidR="009B5A9D" w:rsidRPr="0047437E">
        <w:rPr>
          <w:rFonts w:eastAsiaTheme="minorHAnsi"/>
          <w:szCs w:val="22"/>
        </w:rPr>
        <w:t xml:space="preserve">and the county health department, along with any DEP and county health department officials’ testimony concerning quality of service shall be considered. In addition, any customer testimony, comments, </w:t>
      </w:r>
      <w:r w:rsidR="00E14325">
        <w:rPr>
          <w:rFonts w:eastAsiaTheme="minorHAnsi"/>
          <w:szCs w:val="22"/>
        </w:rPr>
        <w:t xml:space="preserve">and </w:t>
      </w:r>
      <w:r w:rsidR="009B5A9D" w:rsidRPr="0047437E">
        <w:rPr>
          <w:rFonts w:eastAsiaTheme="minorHAnsi"/>
          <w:szCs w:val="22"/>
        </w:rPr>
        <w:t>complaints shall also be considered.</w:t>
      </w:r>
    </w:p>
    <w:p w:rsidR="00D84FFC" w:rsidRPr="0066718C" w:rsidRDefault="00D84FFC" w:rsidP="00D84FFC">
      <w:pPr>
        <w:spacing w:line="276" w:lineRule="auto"/>
        <w:jc w:val="both"/>
        <w:rPr>
          <w:rFonts w:ascii="Arial" w:eastAsiaTheme="minorHAnsi" w:hAnsi="Arial" w:cs="Arial"/>
          <w:b/>
          <w:szCs w:val="22"/>
        </w:rPr>
      </w:pPr>
      <w:r w:rsidRPr="0066718C">
        <w:rPr>
          <w:rFonts w:ascii="Arial" w:eastAsiaTheme="minorHAnsi" w:hAnsi="Arial" w:cs="Arial"/>
          <w:b/>
          <w:szCs w:val="22"/>
        </w:rPr>
        <w:t>Quality of Utility's Product</w:t>
      </w:r>
    </w:p>
    <w:p w:rsidR="00D84FFC" w:rsidRDefault="00D84FFC" w:rsidP="00D84FFC">
      <w:pPr>
        <w:pStyle w:val="BodyText"/>
      </w:pPr>
      <w:r w:rsidRPr="00334CC6">
        <w:t xml:space="preserve">HC’s water system </w:t>
      </w:r>
      <w:r>
        <w:t>consists of two independent water systems: the Leisure Lakes system and the Lake Josephine system. Previously, HC was composed of three water systems, but in October 2002, the Sebring Lakes system was interconnected with the Lake Josephine system. This connection was originally intended to only provide water to the Lake Josephine customers as necessary. However, due to system pressurization problems in the Lake Josephine water system, in 2010, the valve between the two systems was permanently opened. Since the permanent opening of the valve, the Lake Josephine and Sebring Lakes systems have been treated as one system by the DEP and the Commission; therefore, throughout this recommendation the Lake Josephine and Sebring Lakes systems are referred to as the Lake Josephine system.</w:t>
      </w:r>
    </w:p>
    <w:p w:rsidR="00D84FFC" w:rsidRDefault="00D84FFC" w:rsidP="00D84FFC">
      <w:pPr>
        <w:jc w:val="both"/>
        <w:rPr>
          <w:rFonts w:eastAsiaTheme="minorHAnsi"/>
          <w:szCs w:val="22"/>
        </w:rPr>
      </w:pPr>
      <w:r w:rsidRPr="0047437E">
        <w:rPr>
          <w:rFonts w:eastAsiaTheme="minorHAnsi"/>
          <w:szCs w:val="22"/>
        </w:rPr>
        <w:t>In evaluat</w:t>
      </w:r>
      <w:r>
        <w:rPr>
          <w:rFonts w:eastAsiaTheme="minorHAnsi"/>
          <w:szCs w:val="22"/>
        </w:rPr>
        <w:t>ing</w:t>
      </w:r>
      <w:r w:rsidRPr="0047437E">
        <w:rPr>
          <w:rFonts w:eastAsiaTheme="minorHAnsi"/>
          <w:szCs w:val="22"/>
        </w:rPr>
        <w:t xml:space="preserve"> </w:t>
      </w:r>
      <w:r>
        <w:rPr>
          <w:rFonts w:eastAsiaTheme="minorHAnsi"/>
          <w:szCs w:val="22"/>
        </w:rPr>
        <w:t>HC</w:t>
      </w:r>
      <w:r w:rsidRPr="0047437E">
        <w:rPr>
          <w:rFonts w:eastAsiaTheme="minorHAnsi"/>
          <w:szCs w:val="22"/>
        </w:rPr>
        <w:t>'s produ</w:t>
      </w:r>
      <w:r>
        <w:rPr>
          <w:rFonts w:eastAsiaTheme="minorHAnsi"/>
          <w:szCs w:val="22"/>
        </w:rPr>
        <w:t>ct quality, staff reviewed the Utility</w:t>
      </w:r>
      <w:r w:rsidRPr="0047437E">
        <w:rPr>
          <w:rFonts w:eastAsiaTheme="minorHAnsi"/>
          <w:szCs w:val="22"/>
        </w:rPr>
        <w:t>'s compliance with the DEP</w:t>
      </w:r>
      <w:r>
        <w:rPr>
          <w:rFonts w:eastAsiaTheme="minorHAnsi"/>
          <w:szCs w:val="22"/>
        </w:rPr>
        <w:t>’s</w:t>
      </w:r>
      <w:r w:rsidRPr="0047437E">
        <w:rPr>
          <w:rFonts w:eastAsiaTheme="minorHAnsi"/>
          <w:szCs w:val="22"/>
        </w:rPr>
        <w:t xml:space="preserve"> primary and secondary drinking water standards. Primary standards protect public health, while secondary standards regulate contaminants that may impact the taste, odor, and color of drinking water. </w:t>
      </w:r>
    </w:p>
    <w:p w:rsidR="00D84FFC" w:rsidRDefault="00D84FFC" w:rsidP="00D84FFC">
      <w:pPr>
        <w:jc w:val="both"/>
        <w:rPr>
          <w:rFonts w:eastAsiaTheme="minorHAnsi"/>
          <w:szCs w:val="22"/>
        </w:rPr>
      </w:pPr>
    </w:p>
    <w:p w:rsidR="00D84FFC" w:rsidRPr="00D55A23" w:rsidRDefault="00D84FFC" w:rsidP="00D55A23">
      <w:pPr>
        <w:ind w:firstLine="720"/>
        <w:jc w:val="both"/>
        <w:rPr>
          <w:rFonts w:ascii="Arial" w:eastAsiaTheme="minorHAnsi" w:hAnsi="Arial" w:cs="Arial"/>
          <w:b/>
          <w:i/>
          <w:szCs w:val="22"/>
        </w:rPr>
      </w:pPr>
      <w:r w:rsidRPr="00D55A23">
        <w:rPr>
          <w:rFonts w:ascii="Arial" w:eastAsiaTheme="minorHAnsi" w:hAnsi="Arial" w:cs="Arial"/>
          <w:b/>
          <w:i/>
          <w:szCs w:val="22"/>
        </w:rPr>
        <w:t>Lake Josephine</w:t>
      </w:r>
    </w:p>
    <w:p w:rsidR="00D84FFC" w:rsidRDefault="00D84FFC" w:rsidP="00D84FFC">
      <w:pPr>
        <w:jc w:val="both"/>
        <w:rPr>
          <w:rFonts w:eastAsiaTheme="minorHAnsi"/>
          <w:szCs w:val="22"/>
        </w:rPr>
      </w:pPr>
      <w:r w:rsidRPr="009E158F">
        <w:rPr>
          <w:rFonts w:eastAsiaTheme="minorHAnsi"/>
          <w:szCs w:val="22"/>
        </w:rPr>
        <w:t xml:space="preserve">As </w:t>
      </w:r>
      <w:r>
        <w:rPr>
          <w:rFonts w:eastAsiaTheme="minorHAnsi"/>
          <w:szCs w:val="22"/>
        </w:rPr>
        <w:t>discussed</w:t>
      </w:r>
      <w:r w:rsidRPr="009E158F">
        <w:rPr>
          <w:rFonts w:eastAsiaTheme="minorHAnsi"/>
          <w:szCs w:val="22"/>
        </w:rPr>
        <w:t xml:space="preserve"> in Order No. </w:t>
      </w:r>
      <w:r>
        <w:rPr>
          <w:rFonts w:eastAsiaTheme="minorHAnsi"/>
          <w:szCs w:val="22"/>
        </w:rPr>
        <w:t>PSC-15-0282-PAA-WS</w:t>
      </w:r>
      <w:r w:rsidRPr="009E158F">
        <w:rPr>
          <w:rFonts w:eastAsiaTheme="minorHAnsi"/>
          <w:szCs w:val="22"/>
        </w:rPr>
        <w:t>, the previous owner</w:t>
      </w:r>
      <w:r>
        <w:rPr>
          <w:rFonts w:eastAsiaTheme="minorHAnsi"/>
          <w:szCs w:val="22"/>
        </w:rPr>
        <w:t xml:space="preserve"> attempted to address </w:t>
      </w:r>
      <w:r w:rsidRPr="00692EBA">
        <w:rPr>
          <w:rFonts w:eastAsiaTheme="minorHAnsi"/>
          <w:szCs w:val="22"/>
        </w:rPr>
        <w:t xml:space="preserve">water quality issues primarily related to hydrogen sulfides. </w:t>
      </w:r>
      <w:r>
        <w:rPr>
          <w:rFonts w:eastAsiaTheme="minorHAnsi"/>
          <w:szCs w:val="22"/>
        </w:rPr>
        <w:t>In 2012, t</w:t>
      </w:r>
      <w:r w:rsidRPr="00692EBA">
        <w:rPr>
          <w:rFonts w:eastAsiaTheme="minorHAnsi"/>
          <w:szCs w:val="22"/>
        </w:rPr>
        <w:t xml:space="preserve">he </w:t>
      </w:r>
      <w:r>
        <w:rPr>
          <w:rFonts w:eastAsiaTheme="minorHAnsi"/>
          <w:szCs w:val="22"/>
        </w:rPr>
        <w:t xml:space="preserve">DEP approved the installation of </w:t>
      </w:r>
      <w:proofErr w:type="spellStart"/>
      <w:r>
        <w:rPr>
          <w:rFonts w:eastAsiaTheme="minorHAnsi"/>
          <w:szCs w:val="22"/>
        </w:rPr>
        <w:t>AdEdge</w:t>
      </w:r>
      <w:proofErr w:type="spellEnd"/>
      <w:r w:rsidRPr="00692EBA">
        <w:rPr>
          <w:rFonts w:eastAsiaTheme="minorHAnsi"/>
          <w:szCs w:val="22"/>
        </w:rPr>
        <w:t xml:space="preserve"> filtration system</w:t>
      </w:r>
      <w:r>
        <w:rPr>
          <w:rFonts w:eastAsiaTheme="minorHAnsi"/>
          <w:szCs w:val="22"/>
        </w:rPr>
        <w:t xml:space="preserve">s at both </w:t>
      </w:r>
      <w:r w:rsidRPr="009E158F">
        <w:rPr>
          <w:rFonts w:eastAsiaTheme="minorHAnsi"/>
          <w:szCs w:val="22"/>
        </w:rPr>
        <w:t>the</w:t>
      </w:r>
      <w:r>
        <w:rPr>
          <w:rFonts w:eastAsiaTheme="minorHAnsi"/>
          <w:szCs w:val="22"/>
        </w:rPr>
        <w:t xml:space="preserve"> Lake Josephine and Leisure Lakes </w:t>
      </w:r>
      <w:r w:rsidRPr="009E158F">
        <w:rPr>
          <w:rFonts w:eastAsiaTheme="minorHAnsi"/>
          <w:szCs w:val="22"/>
        </w:rPr>
        <w:t>WTPs.</w:t>
      </w:r>
      <w:r w:rsidR="00557FB8">
        <w:rPr>
          <w:rFonts w:eastAsiaTheme="minorHAnsi"/>
          <w:szCs w:val="22"/>
        </w:rPr>
        <w:t xml:space="preserve"> </w:t>
      </w:r>
      <w:r>
        <w:rPr>
          <w:rFonts w:eastAsiaTheme="minorHAnsi"/>
          <w:szCs w:val="22"/>
        </w:rPr>
        <w:t xml:space="preserve">However, the filters </w:t>
      </w:r>
      <w:r w:rsidRPr="00692EBA">
        <w:rPr>
          <w:rFonts w:eastAsiaTheme="minorHAnsi"/>
          <w:szCs w:val="22"/>
        </w:rPr>
        <w:t>did not</w:t>
      </w:r>
      <w:r>
        <w:rPr>
          <w:rFonts w:eastAsiaTheme="minorHAnsi"/>
          <w:szCs w:val="22"/>
        </w:rPr>
        <w:t xml:space="preserve"> resolve </w:t>
      </w:r>
      <w:r w:rsidRPr="00692EBA">
        <w:rPr>
          <w:rFonts w:eastAsiaTheme="minorHAnsi"/>
          <w:szCs w:val="22"/>
        </w:rPr>
        <w:t>the issues</w:t>
      </w:r>
      <w:r>
        <w:rPr>
          <w:rFonts w:eastAsiaTheme="minorHAnsi"/>
          <w:szCs w:val="22"/>
        </w:rPr>
        <w:t xml:space="preserve"> associated</w:t>
      </w:r>
      <w:r w:rsidRPr="00692EBA">
        <w:rPr>
          <w:rFonts w:eastAsiaTheme="minorHAnsi"/>
          <w:szCs w:val="22"/>
        </w:rPr>
        <w:t xml:space="preserve"> with </w:t>
      </w:r>
      <w:r>
        <w:rPr>
          <w:rFonts w:eastAsiaTheme="minorHAnsi"/>
          <w:szCs w:val="22"/>
        </w:rPr>
        <w:t>d</w:t>
      </w:r>
      <w:r w:rsidRPr="009E158F">
        <w:rPr>
          <w:rFonts w:eastAsiaTheme="minorHAnsi"/>
          <w:szCs w:val="22"/>
        </w:rPr>
        <w:t>isinfection</w:t>
      </w:r>
      <w:r w:rsidRPr="00692EBA">
        <w:rPr>
          <w:rFonts w:eastAsiaTheme="minorHAnsi"/>
          <w:szCs w:val="22"/>
        </w:rPr>
        <w:t xml:space="preserve"> </w:t>
      </w:r>
      <w:r>
        <w:rPr>
          <w:rFonts w:eastAsiaTheme="minorHAnsi"/>
          <w:szCs w:val="22"/>
        </w:rPr>
        <w:t>byproducts reflected in the color, odor, and taste of the finished water.</w:t>
      </w:r>
      <w:r w:rsidRPr="00692EBA">
        <w:rPr>
          <w:rFonts w:eastAsiaTheme="minorHAnsi"/>
          <w:szCs w:val="22"/>
        </w:rPr>
        <w:t xml:space="preserve"> </w:t>
      </w:r>
      <w:r>
        <w:rPr>
          <w:rFonts w:eastAsiaTheme="minorHAnsi"/>
          <w:szCs w:val="22"/>
        </w:rPr>
        <w:t xml:space="preserve">HC also instituted a flushing program, but it did not abate the problem either. </w:t>
      </w:r>
      <w:r w:rsidRPr="00692EBA">
        <w:rPr>
          <w:rFonts w:eastAsiaTheme="minorHAnsi"/>
          <w:szCs w:val="22"/>
        </w:rPr>
        <w:t xml:space="preserve">On December 23, 2016, the DEP issued the </w:t>
      </w:r>
      <w:r>
        <w:rPr>
          <w:rFonts w:eastAsiaTheme="minorHAnsi"/>
          <w:szCs w:val="22"/>
        </w:rPr>
        <w:t>Utility</w:t>
      </w:r>
      <w:r w:rsidRPr="00692EBA">
        <w:rPr>
          <w:rFonts w:eastAsiaTheme="minorHAnsi"/>
          <w:szCs w:val="22"/>
        </w:rPr>
        <w:t xml:space="preserve"> a permit </w:t>
      </w:r>
      <w:r w:rsidRPr="009E158F">
        <w:rPr>
          <w:rFonts w:eastAsiaTheme="minorHAnsi"/>
          <w:szCs w:val="22"/>
        </w:rPr>
        <w:t>to install packed tower aeration systems to remove hydrogen sulfide</w:t>
      </w:r>
      <w:r>
        <w:rPr>
          <w:rFonts w:eastAsiaTheme="minorHAnsi"/>
          <w:szCs w:val="22"/>
        </w:rPr>
        <w:t>s</w:t>
      </w:r>
      <w:r w:rsidRPr="009E158F">
        <w:rPr>
          <w:rFonts w:eastAsiaTheme="minorHAnsi"/>
          <w:szCs w:val="22"/>
        </w:rPr>
        <w:t>, in another effort to address HC’s water quality issues.</w:t>
      </w:r>
      <w:r>
        <w:rPr>
          <w:rFonts w:eastAsiaTheme="minorHAnsi"/>
          <w:szCs w:val="22"/>
        </w:rPr>
        <w:t xml:space="preserve"> </w:t>
      </w:r>
    </w:p>
    <w:p w:rsidR="00D84FFC" w:rsidRDefault="00D84FFC" w:rsidP="00D84FFC">
      <w:pPr>
        <w:jc w:val="both"/>
        <w:rPr>
          <w:rFonts w:eastAsiaTheme="minorHAnsi"/>
          <w:szCs w:val="22"/>
        </w:rPr>
      </w:pPr>
    </w:p>
    <w:p w:rsidR="00D84FFC" w:rsidRDefault="007214C5" w:rsidP="00D84FFC">
      <w:pPr>
        <w:jc w:val="both"/>
        <w:rPr>
          <w:rFonts w:eastAsiaTheme="minorHAnsi"/>
          <w:szCs w:val="22"/>
        </w:rPr>
      </w:pPr>
      <w:r w:rsidRPr="00FE708A">
        <w:rPr>
          <w:rFonts w:eastAsiaTheme="minorHAnsi"/>
        </w:rPr>
        <w:t>On April 20, 2017, the DEP conducted a sanitary survey at the Lake Josephine WTP. On May 19, 2017, the DEP sent a warning letter to HC indicating the Utility was not in compliance with Rule 62-555.350(2), F.A.C., which states that the Utility shall maintain its necessary public water system components in good operating condition.</w:t>
      </w:r>
      <w:r w:rsidR="00D84FFC">
        <w:rPr>
          <w:rFonts w:eastAsiaTheme="minorHAnsi"/>
          <w:szCs w:val="22"/>
        </w:rPr>
        <w:t xml:space="preserve"> HC was not in compliance with this rule since the manganese dioxide from its </w:t>
      </w:r>
      <w:proofErr w:type="spellStart"/>
      <w:r w:rsidR="00D84FFC">
        <w:rPr>
          <w:rFonts w:eastAsiaTheme="minorHAnsi"/>
          <w:szCs w:val="22"/>
        </w:rPr>
        <w:t>AdEdge</w:t>
      </w:r>
      <w:proofErr w:type="spellEnd"/>
      <w:r w:rsidR="00D84FFC">
        <w:rPr>
          <w:rFonts w:eastAsiaTheme="minorHAnsi"/>
          <w:szCs w:val="22"/>
        </w:rPr>
        <w:t xml:space="preserve"> filters was turning the potable water brown. The warning letter directed HC to arrange a meeting with the DEP within 15 days, to discuss the Sanitary Survey and the Utility’s plans to resolve the manganese dioxide issue. It appears the DEP and the Utility came to an agreement, no enforcement action was taken, and t</w:t>
      </w:r>
      <w:r w:rsidR="00D84FFC" w:rsidRPr="00692EBA">
        <w:rPr>
          <w:rFonts w:eastAsiaTheme="minorHAnsi"/>
          <w:szCs w:val="22"/>
        </w:rPr>
        <w:t>he DEP closed its inquiry, on July 3, 2019</w:t>
      </w:r>
      <w:r w:rsidR="00557FB8">
        <w:rPr>
          <w:rFonts w:eastAsiaTheme="minorHAnsi"/>
          <w:szCs w:val="22"/>
        </w:rPr>
        <w:t xml:space="preserve">. </w:t>
      </w:r>
      <w:r w:rsidR="00D84FFC">
        <w:rPr>
          <w:rFonts w:eastAsiaTheme="minorHAnsi"/>
          <w:szCs w:val="22"/>
        </w:rPr>
        <w:t>The DEP conducted a Sanitary Survey on January 29, 20</w:t>
      </w:r>
      <w:r w:rsidR="00557FB8">
        <w:rPr>
          <w:rFonts w:eastAsiaTheme="minorHAnsi"/>
          <w:szCs w:val="22"/>
        </w:rPr>
        <w:t xml:space="preserve">20, at the Lake Josephine WTP. </w:t>
      </w:r>
      <w:r w:rsidR="00D84FFC">
        <w:rPr>
          <w:rFonts w:eastAsiaTheme="minorHAnsi"/>
          <w:szCs w:val="22"/>
        </w:rPr>
        <w:t>On March 30, 2020, the DEP issued its results a</w:t>
      </w:r>
      <w:r w:rsidR="007A5F1C">
        <w:rPr>
          <w:rFonts w:eastAsiaTheme="minorHAnsi"/>
          <w:szCs w:val="22"/>
        </w:rPr>
        <w:t>nd found two minor deficiencies:</w:t>
      </w:r>
      <w:r w:rsidR="00D84FFC">
        <w:rPr>
          <w:rFonts w:eastAsiaTheme="minorHAnsi"/>
          <w:szCs w:val="22"/>
        </w:rPr>
        <w:t xml:space="preserve"> </w:t>
      </w:r>
      <w:proofErr w:type="gramStart"/>
      <w:r w:rsidR="00D84FFC">
        <w:rPr>
          <w:rFonts w:eastAsiaTheme="minorHAnsi"/>
          <w:szCs w:val="22"/>
        </w:rPr>
        <w:t>cracks in the pad at Well #1, and a protective screen was</w:t>
      </w:r>
      <w:proofErr w:type="gramEnd"/>
      <w:r w:rsidR="00D84FFC">
        <w:rPr>
          <w:rFonts w:eastAsiaTheme="minorHAnsi"/>
          <w:szCs w:val="22"/>
        </w:rPr>
        <w:t xml:space="preserve"> abse</w:t>
      </w:r>
      <w:r w:rsidR="00557FB8">
        <w:rPr>
          <w:rFonts w:eastAsiaTheme="minorHAnsi"/>
          <w:szCs w:val="22"/>
        </w:rPr>
        <w:t xml:space="preserve">nt from the vent at Well #2. </w:t>
      </w:r>
      <w:r w:rsidR="00D84FFC">
        <w:rPr>
          <w:rFonts w:eastAsiaTheme="minorHAnsi"/>
          <w:szCs w:val="22"/>
        </w:rPr>
        <w:t>On April 6, 2020, the Utility indicated to staff that these def</w:t>
      </w:r>
      <w:r w:rsidR="00D55A23">
        <w:rPr>
          <w:rFonts w:eastAsiaTheme="minorHAnsi"/>
          <w:szCs w:val="22"/>
        </w:rPr>
        <w:t>iciencies have been corrected.</w:t>
      </w:r>
      <w:r w:rsidR="00656073">
        <w:rPr>
          <w:rStyle w:val="FootnoteReference"/>
          <w:rFonts w:eastAsiaTheme="minorHAnsi"/>
          <w:szCs w:val="22"/>
        </w:rPr>
        <w:footnoteReference w:id="5"/>
      </w:r>
      <w:r w:rsidR="00D55A23">
        <w:rPr>
          <w:rFonts w:eastAsiaTheme="minorHAnsi"/>
          <w:szCs w:val="22"/>
        </w:rPr>
        <w:t xml:space="preserve"> </w:t>
      </w:r>
    </w:p>
    <w:p w:rsidR="00D84FFC" w:rsidRDefault="00D84FFC" w:rsidP="00D84FFC">
      <w:pPr>
        <w:jc w:val="both"/>
        <w:rPr>
          <w:rFonts w:eastAsiaTheme="minorHAnsi"/>
          <w:szCs w:val="22"/>
        </w:rPr>
      </w:pPr>
    </w:p>
    <w:p w:rsidR="00D84FFC" w:rsidRDefault="00D84FFC" w:rsidP="00D84FFC">
      <w:pPr>
        <w:jc w:val="both"/>
        <w:rPr>
          <w:rFonts w:eastAsiaTheme="minorHAnsi"/>
          <w:szCs w:val="22"/>
        </w:rPr>
      </w:pPr>
      <w:r w:rsidRPr="00A972B2">
        <w:rPr>
          <w:rFonts w:eastAsiaTheme="minorHAnsi"/>
          <w:szCs w:val="22"/>
        </w:rPr>
        <w:t xml:space="preserve">The DEP performed a chemical analysis at the Lake Josephine </w:t>
      </w:r>
      <w:r w:rsidR="00267B96">
        <w:rPr>
          <w:rFonts w:eastAsiaTheme="minorHAnsi"/>
          <w:szCs w:val="22"/>
        </w:rPr>
        <w:t>WTP</w:t>
      </w:r>
      <w:r w:rsidRPr="00A972B2">
        <w:rPr>
          <w:rFonts w:eastAsiaTheme="minorHAnsi"/>
          <w:szCs w:val="22"/>
        </w:rPr>
        <w:t xml:space="preserve"> on November 27, 2018, testing for compliance with all primary and secondary water standards. The WTP was deemed in compliance on December 17, 2018. On August 3, 2019, and November 19, 2019, partial chemical analyses were conducted and the WTP was again deemed in compliance both times. Full testing of primary and secondary water standards are performed every three years; therefore, the next scheduled analysis should be completed in 2021.</w:t>
      </w:r>
    </w:p>
    <w:p w:rsidR="00D84FFC" w:rsidRDefault="00D84FFC" w:rsidP="00D84FFC">
      <w:pPr>
        <w:jc w:val="both"/>
        <w:rPr>
          <w:rFonts w:eastAsiaTheme="minorHAnsi"/>
          <w:szCs w:val="22"/>
        </w:rPr>
      </w:pPr>
    </w:p>
    <w:p w:rsidR="00D84FFC" w:rsidRPr="00D55A23" w:rsidRDefault="00D55A23" w:rsidP="00D55A23">
      <w:pPr>
        <w:ind w:firstLine="720"/>
        <w:jc w:val="both"/>
        <w:rPr>
          <w:rFonts w:ascii="Arial" w:eastAsiaTheme="minorHAnsi" w:hAnsi="Arial" w:cs="Arial"/>
          <w:b/>
          <w:i/>
          <w:szCs w:val="22"/>
        </w:rPr>
      </w:pPr>
      <w:r>
        <w:rPr>
          <w:rFonts w:ascii="Arial" w:eastAsiaTheme="minorHAnsi" w:hAnsi="Arial" w:cs="Arial"/>
          <w:b/>
          <w:i/>
          <w:szCs w:val="22"/>
        </w:rPr>
        <w:t>Leisure Lakes</w:t>
      </w:r>
    </w:p>
    <w:p w:rsidR="00D84FFC" w:rsidRDefault="00D84FFC" w:rsidP="00D84FFC">
      <w:pPr>
        <w:jc w:val="both"/>
        <w:rPr>
          <w:rFonts w:eastAsiaTheme="minorHAnsi"/>
          <w:szCs w:val="22"/>
        </w:rPr>
      </w:pPr>
      <w:r w:rsidRPr="0047437E">
        <w:rPr>
          <w:rFonts w:eastAsiaTheme="minorHAnsi"/>
          <w:szCs w:val="22"/>
        </w:rPr>
        <w:t xml:space="preserve">The </w:t>
      </w:r>
      <w:r>
        <w:rPr>
          <w:rFonts w:eastAsiaTheme="minorHAnsi"/>
          <w:szCs w:val="22"/>
        </w:rPr>
        <w:t>DEP conducted a Sanitary Survey</w:t>
      </w:r>
      <w:r w:rsidRPr="0047437E">
        <w:rPr>
          <w:rFonts w:eastAsiaTheme="minorHAnsi"/>
          <w:szCs w:val="22"/>
        </w:rPr>
        <w:t xml:space="preserve"> on </w:t>
      </w:r>
      <w:r>
        <w:rPr>
          <w:rFonts w:eastAsiaTheme="minorHAnsi"/>
          <w:szCs w:val="22"/>
        </w:rPr>
        <w:t>November 21</w:t>
      </w:r>
      <w:r w:rsidRPr="00EB3DD4">
        <w:rPr>
          <w:rFonts w:eastAsiaTheme="minorHAnsi"/>
          <w:szCs w:val="22"/>
        </w:rPr>
        <w:t>, 2017</w:t>
      </w:r>
      <w:r>
        <w:rPr>
          <w:rFonts w:eastAsiaTheme="minorHAnsi"/>
          <w:szCs w:val="22"/>
        </w:rPr>
        <w:t xml:space="preserve">, at the Leisure Lakes WTP.  On January 18, 2018, the DEP issued the results and indicated the Utility was deficient with respect to </w:t>
      </w:r>
      <w:r w:rsidRPr="00104BA3">
        <w:rPr>
          <w:rFonts w:eastAsiaTheme="minorHAnsi"/>
          <w:szCs w:val="22"/>
        </w:rPr>
        <w:t>Rule 62-555.350(2), F.A.C.</w:t>
      </w:r>
      <w:r>
        <w:rPr>
          <w:rFonts w:eastAsiaTheme="minorHAnsi"/>
          <w:szCs w:val="22"/>
        </w:rPr>
        <w:t xml:space="preserve">, and the Utility was cited for not keeping the WTP in good working condition. On October 1, 2018, the DEP executed a Consent Order against HC because of exceedances in </w:t>
      </w:r>
      <w:r w:rsidRPr="009E158F">
        <w:rPr>
          <w:rFonts w:eastAsiaTheme="minorHAnsi"/>
          <w:szCs w:val="22"/>
        </w:rPr>
        <w:t>the level of haloacetic acids</w:t>
      </w:r>
      <w:r w:rsidR="000A30B8">
        <w:rPr>
          <w:rFonts w:eastAsiaTheme="minorHAnsi"/>
          <w:szCs w:val="22"/>
        </w:rPr>
        <w:t>, a primary water standard</w:t>
      </w:r>
      <w:r>
        <w:rPr>
          <w:rFonts w:eastAsiaTheme="minorHAnsi"/>
          <w:szCs w:val="22"/>
        </w:rPr>
        <w:t>. Haloacetic acids</w:t>
      </w:r>
      <w:r w:rsidRPr="00625F39">
        <w:rPr>
          <w:rFonts w:eastAsiaTheme="minorHAnsi"/>
          <w:szCs w:val="22"/>
        </w:rPr>
        <w:t xml:space="preserve"> are a type of </w:t>
      </w:r>
      <w:r>
        <w:rPr>
          <w:rFonts w:eastAsiaTheme="minorHAnsi"/>
          <w:szCs w:val="22"/>
        </w:rPr>
        <w:t>c</w:t>
      </w:r>
      <w:r w:rsidRPr="00625F39">
        <w:rPr>
          <w:rFonts w:eastAsiaTheme="minorHAnsi"/>
          <w:szCs w:val="22"/>
        </w:rPr>
        <w:t xml:space="preserve">hlorination </w:t>
      </w:r>
      <w:r>
        <w:rPr>
          <w:rFonts w:eastAsiaTheme="minorHAnsi"/>
          <w:szCs w:val="22"/>
        </w:rPr>
        <w:t>d</w:t>
      </w:r>
      <w:r w:rsidRPr="00625F39">
        <w:rPr>
          <w:rFonts w:eastAsiaTheme="minorHAnsi"/>
          <w:szCs w:val="22"/>
        </w:rPr>
        <w:t xml:space="preserve">isinfection </w:t>
      </w:r>
      <w:r>
        <w:rPr>
          <w:rFonts w:eastAsiaTheme="minorHAnsi"/>
          <w:szCs w:val="22"/>
        </w:rPr>
        <w:t>by-product</w:t>
      </w:r>
      <w:r w:rsidRPr="00625F39">
        <w:rPr>
          <w:rFonts w:eastAsiaTheme="minorHAnsi"/>
          <w:szCs w:val="22"/>
        </w:rPr>
        <w:t xml:space="preserve"> that </w:t>
      </w:r>
      <w:proofErr w:type="gramStart"/>
      <w:r w:rsidRPr="00625F39">
        <w:rPr>
          <w:rFonts w:eastAsiaTheme="minorHAnsi"/>
          <w:szCs w:val="22"/>
        </w:rPr>
        <w:t>are</w:t>
      </w:r>
      <w:proofErr w:type="gramEnd"/>
      <w:r w:rsidRPr="00625F39">
        <w:rPr>
          <w:rFonts w:eastAsiaTheme="minorHAnsi"/>
          <w:szCs w:val="22"/>
        </w:rPr>
        <w:t xml:space="preserve"> formed when the chlorine used to disinfect drinking water reacts with </w:t>
      </w:r>
      <w:r>
        <w:rPr>
          <w:rFonts w:eastAsiaTheme="minorHAnsi"/>
          <w:szCs w:val="22"/>
        </w:rPr>
        <w:t>the n</w:t>
      </w:r>
      <w:r w:rsidRPr="00625F39">
        <w:rPr>
          <w:rFonts w:eastAsiaTheme="minorHAnsi"/>
          <w:szCs w:val="22"/>
        </w:rPr>
        <w:t xml:space="preserve">aturally </w:t>
      </w:r>
      <w:r>
        <w:rPr>
          <w:rFonts w:eastAsiaTheme="minorHAnsi"/>
          <w:szCs w:val="22"/>
        </w:rPr>
        <w:t>o</w:t>
      </w:r>
      <w:r w:rsidRPr="00625F39">
        <w:rPr>
          <w:rFonts w:eastAsiaTheme="minorHAnsi"/>
          <w:szCs w:val="22"/>
        </w:rPr>
        <w:t xml:space="preserve">ccurring </w:t>
      </w:r>
      <w:r>
        <w:rPr>
          <w:rFonts w:eastAsiaTheme="minorHAnsi"/>
          <w:szCs w:val="22"/>
        </w:rPr>
        <w:t>o</w:t>
      </w:r>
      <w:r w:rsidRPr="00625F39">
        <w:rPr>
          <w:rFonts w:eastAsiaTheme="minorHAnsi"/>
          <w:szCs w:val="22"/>
        </w:rPr>
        <w:t xml:space="preserve">rganic </w:t>
      </w:r>
      <w:r>
        <w:rPr>
          <w:rFonts w:eastAsiaTheme="minorHAnsi"/>
          <w:szCs w:val="22"/>
        </w:rPr>
        <w:t>m</w:t>
      </w:r>
      <w:r w:rsidRPr="00625F39">
        <w:rPr>
          <w:rFonts w:eastAsiaTheme="minorHAnsi"/>
          <w:szCs w:val="22"/>
        </w:rPr>
        <w:t>atter in water.</w:t>
      </w:r>
      <w:r>
        <w:rPr>
          <w:rFonts w:eastAsiaTheme="minorHAnsi"/>
          <w:szCs w:val="22"/>
        </w:rPr>
        <w:t xml:space="preserve"> The Utility was required to make quarterly updates on its efforts to resolve the issue.</w:t>
      </w:r>
      <w:r w:rsidR="00362479">
        <w:rPr>
          <w:rFonts w:eastAsiaTheme="minorHAnsi"/>
          <w:szCs w:val="22"/>
        </w:rPr>
        <w:t xml:space="preserve"> </w:t>
      </w:r>
      <w:r w:rsidR="00362479" w:rsidRPr="00883D7C">
        <w:t>On April 15, 2020, the DEP determined that all conditions of the Consent Order have been completed</w:t>
      </w:r>
      <w:r>
        <w:rPr>
          <w:rFonts w:eastAsiaTheme="minorHAnsi"/>
          <w:szCs w:val="22"/>
        </w:rPr>
        <w:t>.</w:t>
      </w:r>
    </w:p>
    <w:p w:rsidR="00D84FFC" w:rsidRDefault="00D84FFC" w:rsidP="00D84FFC">
      <w:pPr>
        <w:jc w:val="both"/>
        <w:rPr>
          <w:rFonts w:eastAsiaTheme="minorHAnsi"/>
          <w:szCs w:val="22"/>
        </w:rPr>
      </w:pPr>
    </w:p>
    <w:p w:rsidR="00D84FFC" w:rsidRDefault="00D84FFC" w:rsidP="00D84FFC">
      <w:pPr>
        <w:jc w:val="both"/>
        <w:rPr>
          <w:rFonts w:eastAsiaTheme="minorHAnsi"/>
          <w:szCs w:val="22"/>
        </w:rPr>
      </w:pPr>
      <w:r w:rsidRPr="00A972B2">
        <w:rPr>
          <w:rFonts w:eastAsiaTheme="minorHAnsi"/>
          <w:szCs w:val="22"/>
        </w:rPr>
        <w:t>The DEP performed a chemical analysis at the Leisure Lakes WTP on October 3, 2018, testing for compliance with all primary and secondary water standards. The WTP was deemed in c</w:t>
      </w:r>
      <w:r w:rsidR="00557FB8">
        <w:rPr>
          <w:rFonts w:eastAsiaTheme="minorHAnsi"/>
          <w:szCs w:val="22"/>
        </w:rPr>
        <w:t xml:space="preserve">ompliance on October 31, 2018. </w:t>
      </w:r>
      <w:r w:rsidRPr="00A972B2">
        <w:rPr>
          <w:rFonts w:eastAsiaTheme="minorHAnsi"/>
          <w:szCs w:val="22"/>
        </w:rPr>
        <w:t xml:space="preserve">On August 18, 2019, a partial chemical analysis was conducted at the Leisure Lakes WTP </w:t>
      </w:r>
      <w:r w:rsidR="00557FB8">
        <w:rPr>
          <w:rFonts w:eastAsiaTheme="minorHAnsi"/>
          <w:szCs w:val="22"/>
        </w:rPr>
        <w:t>which was deemed in compliance.</w:t>
      </w:r>
      <w:r w:rsidRPr="00A972B2">
        <w:rPr>
          <w:rFonts w:eastAsiaTheme="minorHAnsi"/>
          <w:szCs w:val="22"/>
        </w:rPr>
        <w:t xml:space="preserve"> Full testing of primary and secondary water standards are performed every three years; therefore, the next scheduled analysis should be completed in 2021.</w:t>
      </w:r>
    </w:p>
    <w:p w:rsidR="00D84FFC" w:rsidRPr="001C2CEC" w:rsidRDefault="00D84FFC" w:rsidP="00D84FFC">
      <w:pPr>
        <w:jc w:val="both"/>
        <w:rPr>
          <w:rFonts w:eastAsiaTheme="minorHAnsi"/>
          <w:b/>
          <w:szCs w:val="22"/>
        </w:rPr>
      </w:pPr>
    </w:p>
    <w:p w:rsidR="007B5FA1" w:rsidRDefault="007B5FA1">
      <w:pPr>
        <w:rPr>
          <w:rFonts w:eastAsiaTheme="minorHAnsi"/>
          <w:szCs w:val="22"/>
        </w:rPr>
      </w:pPr>
      <w:r>
        <w:rPr>
          <w:rFonts w:eastAsiaTheme="minorHAnsi"/>
          <w:szCs w:val="22"/>
        </w:rPr>
        <w:br w:type="page"/>
      </w:r>
    </w:p>
    <w:p w:rsidR="00D84FFC" w:rsidRPr="00D55A23" w:rsidRDefault="00D84FFC" w:rsidP="00D84FFC">
      <w:pPr>
        <w:spacing w:line="276" w:lineRule="auto"/>
        <w:jc w:val="both"/>
        <w:rPr>
          <w:rFonts w:ascii="Arial" w:eastAsiaTheme="minorHAnsi" w:hAnsi="Arial" w:cs="Arial"/>
          <w:b/>
          <w:szCs w:val="22"/>
        </w:rPr>
      </w:pPr>
      <w:r w:rsidRPr="00D55A23">
        <w:rPr>
          <w:rFonts w:ascii="Arial" w:eastAsiaTheme="minorHAnsi" w:hAnsi="Arial" w:cs="Arial"/>
          <w:b/>
          <w:szCs w:val="22"/>
        </w:rPr>
        <w:lastRenderedPageBreak/>
        <w:t>The Utility's Attempt t</w:t>
      </w:r>
      <w:r w:rsidR="00D55A23" w:rsidRPr="00D55A23">
        <w:rPr>
          <w:rFonts w:ascii="Arial" w:eastAsiaTheme="minorHAnsi" w:hAnsi="Arial" w:cs="Arial"/>
          <w:b/>
          <w:szCs w:val="22"/>
        </w:rPr>
        <w:t>o Address Customer Satisfaction</w:t>
      </w:r>
    </w:p>
    <w:p w:rsidR="00D84FFC" w:rsidRDefault="00D84FFC" w:rsidP="00D84FFC">
      <w:pPr>
        <w:jc w:val="both"/>
        <w:rPr>
          <w:rFonts w:eastAsiaTheme="minorHAnsi"/>
          <w:szCs w:val="22"/>
        </w:rPr>
      </w:pPr>
      <w:r w:rsidRPr="0047437E">
        <w:rPr>
          <w:rFonts w:eastAsiaTheme="minorHAnsi"/>
          <w:szCs w:val="22"/>
        </w:rPr>
        <w:t>Staff reviewed</w:t>
      </w:r>
      <w:r>
        <w:rPr>
          <w:rFonts w:eastAsiaTheme="minorHAnsi"/>
          <w:szCs w:val="22"/>
        </w:rPr>
        <w:t xml:space="preserve"> the complaints filed in the Commission’s Consumer Activity Tracking System (CATS), with the DEP, and with the Utility from January 2015 through December 2019.  Customer complaints are categorized as either billing or service issues. Customer complaints regarding billing disputes or meter readings </w:t>
      </w:r>
      <w:r w:rsidR="007A62BA">
        <w:rPr>
          <w:rFonts w:eastAsiaTheme="minorHAnsi"/>
          <w:szCs w:val="22"/>
        </w:rPr>
        <w:t>are considered billing issues; whereas</w:t>
      </w:r>
      <w:r>
        <w:rPr>
          <w:rFonts w:eastAsiaTheme="minorHAnsi"/>
          <w:szCs w:val="22"/>
        </w:rPr>
        <w:t xml:space="preserve"> customer complaints regarding water outages, pressure, leaks, and quality are considered service issues. Table 1-1 provides the number of complaint</w:t>
      </w:r>
      <w:r w:rsidR="0002779C">
        <w:rPr>
          <w:rFonts w:eastAsiaTheme="minorHAnsi"/>
          <w:szCs w:val="22"/>
        </w:rPr>
        <w:t>s</w:t>
      </w:r>
      <w:r>
        <w:rPr>
          <w:rFonts w:eastAsiaTheme="minorHAnsi"/>
          <w:szCs w:val="22"/>
        </w:rPr>
        <w:t xml:space="preserve"> by type, source, and year.</w:t>
      </w:r>
    </w:p>
    <w:p w:rsidR="00D84FFC" w:rsidRDefault="00D84FFC" w:rsidP="00D84FFC">
      <w:pPr>
        <w:jc w:val="both"/>
        <w:rPr>
          <w:rFonts w:eastAsiaTheme="minorHAnsi"/>
          <w:szCs w:val="22"/>
        </w:rPr>
      </w:pPr>
    </w:p>
    <w:p w:rsidR="00D55A23" w:rsidRDefault="00D55A23" w:rsidP="00D84FFC">
      <w:pPr>
        <w:jc w:val="both"/>
        <w:rPr>
          <w:rFonts w:eastAsiaTheme="minorHAnsi"/>
          <w:szCs w:val="22"/>
        </w:rPr>
      </w:pPr>
    </w:p>
    <w:p w:rsidR="00D84FFC" w:rsidRPr="00DE6D68" w:rsidRDefault="00D84FFC" w:rsidP="00D84FFC">
      <w:pPr>
        <w:keepNext/>
        <w:jc w:val="center"/>
        <w:rPr>
          <w:rFonts w:ascii="Arial" w:hAnsi="Arial"/>
          <w:b/>
        </w:rPr>
      </w:pPr>
      <w:r>
        <w:rPr>
          <w:rFonts w:eastAsiaTheme="minorHAnsi"/>
          <w:szCs w:val="22"/>
        </w:rPr>
        <w:t xml:space="preserve"> </w:t>
      </w:r>
      <w:r w:rsidRPr="00DE6D68">
        <w:rPr>
          <w:rFonts w:ascii="Arial" w:hAnsi="Arial"/>
          <w:b/>
        </w:rPr>
        <w:t xml:space="preserve">Table </w:t>
      </w:r>
      <w:r w:rsidRPr="00DE6D68">
        <w:rPr>
          <w:rFonts w:ascii="Arial" w:hAnsi="Arial"/>
          <w:b/>
        </w:rPr>
        <w:fldChar w:fldCharType="begin"/>
      </w:r>
      <w:r w:rsidRPr="00DE6D68">
        <w:rPr>
          <w:rFonts w:ascii="Arial" w:hAnsi="Arial"/>
          <w:b/>
        </w:rPr>
        <w:instrText xml:space="preserve"> SEQ Issue \c </w:instrText>
      </w:r>
      <w:r w:rsidRPr="00DE6D68">
        <w:rPr>
          <w:rFonts w:ascii="Arial" w:hAnsi="Arial"/>
          <w:b/>
        </w:rPr>
        <w:fldChar w:fldCharType="separate"/>
      </w:r>
      <w:r w:rsidR="00414083">
        <w:rPr>
          <w:rFonts w:ascii="Arial" w:hAnsi="Arial"/>
          <w:b/>
          <w:noProof/>
        </w:rPr>
        <w:t>1</w:t>
      </w:r>
      <w:r w:rsidRPr="00DE6D68">
        <w:rPr>
          <w:rFonts w:ascii="Arial" w:hAnsi="Arial"/>
          <w:b/>
          <w:noProof/>
        </w:rPr>
        <w:fldChar w:fldCharType="end"/>
      </w:r>
      <w:r w:rsidRPr="00DE6D68">
        <w:rPr>
          <w:rFonts w:ascii="Arial" w:hAnsi="Arial"/>
          <w:b/>
        </w:rPr>
        <w:t>-1</w:t>
      </w:r>
    </w:p>
    <w:p w:rsidR="00D84FFC" w:rsidRDefault="00D84FFC" w:rsidP="00D84FFC">
      <w:pPr>
        <w:keepNext/>
        <w:jc w:val="center"/>
        <w:rPr>
          <w:rFonts w:ascii="Arial" w:hAnsi="Arial"/>
          <w:b/>
        </w:rPr>
      </w:pPr>
      <w:r>
        <w:rPr>
          <w:rFonts w:ascii="Arial" w:hAnsi="Arial"/>
          <w:b/>
        </w:rPr>
        <w:t>Number of Complaints by Type,</w:t>
      </w:r>
      <w:r w:rsidRPr="00DE6D68">
        <w:rPr>
          <w:rFonts w:ascii="Arial" w:hAnsi="Arial"/>
          <w:b/>
        </w:rPr>
        <w:t xml:space="preserve"> Source</w:t>
      </w:r>
      <w:r>
        <w:rPr>
          <w:rFonts w:ascii="Arial" w:hAnsi="Arial"/>
          <w:b/>
        </w:rPr>
        <w:t>, and Year</w:t>
      </w:r>
    </w:p>
    <w:tbl>
      <w:tblPr>
        <w:tblStyle w:val="TableGrid"/>
        <w:tblW w:w="8359" w:type="dxa"/>
        <w:jc w:val="center"/>
        <w:tblLayout w:type="fixed"/>
        <w:tblLook w:val="04A0" w:firstRow="1" w:lastRow="0" w:firstColumn="1" w:lastColumn="0" w:noHBand="0" w:noVBand="1"/>
      </w:tblPr>
      <w:tblGrid>
        <w:gridCol w:w="1030"/>
        <w:gridCol w:w="930"/>
        <w:gridCol w:w="1140"/>
        <w:gridCol w:w="966"/>
        <w:gridCol w:w="1014"/>
        <w:gridCol w:w="1091"/>
        <w:gridCol w:w="1249"/>
        <w:gridCol w:w="939"/>
      </w:tblGrid>
      <w:tr w:rsidR="00D84FFC" w:rsidTr="000A30B8">
        <w:trPr>
          <w:trHeight w:val="467"/>
          <w:jc w:val="center"/>
        </w:trPr>
        <w:tc>
          <w:tcPr>
            <w:tcW w:w="1030" w:type="dxa"/>
          </w:tcPr>
          <w:p w:rsidR="00D84FFC" w:rsidRPr="00EB6180" w:rsidRDefault="00D84FFC" w:rsidP="000A30B8">
            <w:pPr>
              <w:keepNext/>
              <w:jc w:val="center"/>
              <w:rPr>
                <w:b/>
              </w:rPr>
            </w:pPr>
            <w:r>
              <w:rPr>
                <w:b/>
              </w:rPr>
              <w:t>Year</w:t>
            </w:r>
          </w:p>
        </w:tc>
        <w:tc>
          <w:tcPr>
            <w:tcW w:w="2070" w:type="dxa"/>
            <w:gridSpan w:val="2"/>
          </w:tcPr>
          <w:p w:rsidR="00D84FFC" w:rsidRPr="00EB6180" w:rsidRDefault="00D84FFC" w:rsidP="000A30B8">
            <w:pPr>
              <w:keepNext/>
              <w:jc w:val="center"/>
              <w:rPr>
                <w:b/>
              </w:rPr>
            </w:pPr>
            <w:r w:rsidRPr="00EB6180">
              <w:rPr>
                <w:b/>
              </w:rPr>
              <w:t>CATS Records</w:t>
            </w:r>
          </w:p>
        </w:tc>
        <w:tc>
          <w:tcPr>
            <w:tcW w:w="1980" w:type="dxa"/>
            <w:gridSpan w:val="2"/>
          </w:tcPr>
          <w:p w:rsidR="00D84FFC" w:rsidRDefault="00D84FFC" w:rsidP="000A30B8">
            <w:pPr>
              <w:keepNext/>
              <w:jc w:val="center"/>
              <w:rPr>
                <w:b/>
              </w:rPr>
            </w:pPr>
            <w:r w:rsidRPr="00EB6180">
              <w:rPr>
                <w:b/>
              </w:rPr>
              <w:t>DEP Records</w:t>
            </w:r>
          </w:p>
        </w:tc>
        <w:tc>
          <w:tcPr>
            <w:tcW w:w="2340" w:type="dxa"/>
            <w:gridSpan w:val="2"/>
          </w:tcPr>
          <w:p w:rsidR="00D84FFC" w:rsidRPr="00EB6180" w:rsidRDefault="00D84FFC" w:rsidP="000A30B8">
            <w:pPr>
              <w:keepNext/>
              <w:jc w:val="center"/>
              <w:rPr>
                <w:b/>
              </w:rPr>
            </w:pPr>
            <w:r>
              <w:rPr>
                <w:b/>
              </w:rPr>
              <w:t>Utility</w:t>
            </w:r>
            <w:r w:rsidRPr="00EB6180">
              <w:rPr>
                <w:b/>
              </w:rPr>
              <w:t xml:space="preserve"> Records</w:t>
            </w:r>
          </w:p>
        </w:tc>
        <w:tc>
          <w:tcPr>
            <w:tcW w:w="939" w:type="dxa"/>
          </w:tcPr>
          <w:p w:rsidR="00D84FFC" w:rsidRDefault="00D84FFC" w:rsidP="000A30B8">
            <w:pPr>
              <w:keepNext/>
              <w:jc w:val="center"/>
              <w:rPr>
                <w:b/>
              </w:rPr>
            </w:pPr>
            <w:r>
              <w:rPr>
                <w:b/>
              </w:rPr>
              <w:t>Total</w:t>
            </w:r>
          </w:p>
        </w:tc>
      </w:tr>
      <w:tr w:rsidR="00D84FFC" w:rsidTr="000A30B8">
        <w:trPr>
          <w:trHeight w:val="286"/>
          <w:jc w:val="center"/>
        </w:trPr>
        <w:tc>
          <w:tcPr>
            <w:tcW w:w="1030" w:type="dxa"/>
          </w:tcPr>
          <w:p w:rsidR="00D84FFC" w:rsidRPr="008252B2" w:rsidRDefault="00D84FFC" w:rsidP="000A30B8">
            <w:pPr>
              <w:keepNext/>
              <w:jc w:val="center"/>
            </w:pPr>
          </w:p>
        </w:tc>
        <w:tc>
          <w:tcPr>
            <w:tcW w:w="930" w:type="dxa"/>
          </w:tcPr>
          <w:p w:rsidR="00D84FFC" w:rsidRPr="008252B2" w:rsidRDefault="00D84FFC" w:rsidP="000A30B8">
            <w:pPr>
              <w:keepNext/>
              <w:jc w:val="center"/>
            </w:pPr>
            <w:r>
              <w:t>Billing</w:t>
            </w:r>
          </w:p>
        </w:tc>
        <w:tc>
          <w:tcPr>
            <w:tcW w:w="1140" w:type="dxa"/>
          </w:tcPr>
          <w:p w:rsidR="00D84FFC" w:rsidRPr="008252B2" w:rsidRDefault="00D84FFC" w:rsidP="000A30B8">
            <w:pPr>
              <w:keepNext/>
              <w:jc w:val="center"/>
            </w:pPr>
            <w:r>
              <w:t>Service</w:t>
            </w:r>
          </w:p>
        </w:tc>
        <w:tc>
          <w:tcPr>
            <w:tcW w:w="966" w:type="dxa"/>
          </w:tcPr>
          <w:p w:rsidR="00D84FFC" w:rsidRPr="008252B2" w:rsidRDefault="00D84FFC" w:rsidP="000A30B8">
            <w:pPr>
              <w:keepNext/>
              <w:jc w:val="center"/>
            </w:pPr>
            <w:r>
              <w:t>Billing</w:t>
            </w:r>
          </w:p>
        </w:tc>
        <w:tc>
          <w:tcPr>
            <w:tcW w:w="1014" w:type="dxa"/>
          </w:tcPr>
          <w:p w:rsidR="00D84FFC" w:rsidRDefault="00D84FFC" w:rsidP="000A30B8">
            <w:pPr>
              <w:keepNext/>
              <w:jc w:val="center"/>
            </w:pPr>
            <w:r>
              <w:t>Service</w:t>
            </w:r>
          </w:p>
        </w:tc>
        <w:tc>
          <w:tcPr>
            <w:tcW w:w="1091" w:type="dxa"/>
          </w:tcPr>
          <w:p w:rsidR="00D84FFC" w:rsidRPr="008252B2" w:rsidRDefault="00D84FFC" w:rsidP="000A30B8">
            <w:pPr>
              <w:keepNext/>
              <w:jc w:val="center"/>
            </w:pPr>
            <w:r>
              <w:t>Billing</w:t>
            </w:r>
          </w:p>
        </w:tc>
        <w:tc>
          <w:tcPr>
            <w:tcW w:w="1249" w:type="dxa"/>
          </w:tcPr>
          <w:p w:rsidR="00D84FFC" w:rsidRDefault="00D84FFC" w:rsidP="000A30B8">
            <w:pPr>
              <w:keepNext/>
              <w:jc w:val="center"/>
            </w:pPr>
            <w:r>
              <w:t>Service</w:t>
            </w:r>
          </w:p>
        </w:tc>
        <w:tc>
          <w:tcPr>
            <w:tcW w:w="939" w:type="dxa"/>
          </w:tcPr>
          <w:p w:rsidR="00D84FFC" w:rsidRDefault="00D84FFC" w:rsidP="000A30B8">
            <w:pPr>
              <w:keepNext/>
              <w:jc w:val="center"/>
            </w:pPr>
          </w:p>
        </w:tc>
      </w:tr>
      <w:tr w:rsidR="00D84FFC" w:rsidTr="000A30B8">
        <w:trPr>
          <w:trHeight w:val="286"/>
          <w:jc w:val="center"/>
        </w:trPr>
        <w:tc>
          <w:tcPr>
            <w:tcW w:w="1030" w:type="dxa"/>
          </w:tcPr>
          <w:p w:rsidR="00D84FFC" w:rsidRDefault="00D84FFC" w:rsidP="000A30B8">
            <w:pPr>
              <w:keepNext/>
              <w:jc w:val="center"/>
            </w:pPr>
            <w:r>
              <w:t>2015</w:t>
            </w:r>
          </w:p>
        </w:tc>
        <w:tc>
          <w:tcPr>
            <w:tcW w:w="930" w:type="dxa"/>
          </w:tcPr>
          <w:p w:rsidR="00D84FFC" w:rsidRDefault="00D84FFC" w:rsidP="000A30B8">
            <w:pPr>
              <w:keepNext/>
              <w:jc w:val="right"/>
            </w:pPr>
            <w:r>
              <w:t>3</w:t>
            </w:r>
          </w:p>
        </w:tc>
        <w:tc>
          <w:tcPr>
            <w:tcW w:w="1140" w:type="dxa"/>
          </w:tcPr>
          <w:p w:rsidR="00D84FFC" w:rsidRPr="008252B2" w:rsidRDefault="00D84FFC" w:rsidP="000A30B8">
            <w:pPr>
              <w:keepNext/>
              <w:jc w:val="right"/>
            </w:pPr>
            <w:r>
              <w:t>2</w:t>
            </w:r>
          </w:p>
        </w:tc>
        <w:tc>
          <w:tcPr>
            <w:tcW w:w="966" w:type="dxa"/>
          </w:tcPr>
          <w:p w:rsidR="00D84FFC" w:rsidRPr="008252B2" w:rsidRDefault="00D84FFC" w:rsidP="000A30B8">
            <w:pPr>
              <w:keepNext/>
              <w:jc w:val="right"/>
            </w:pPr>
            <w:r>
              <w:t>0</w:t>
            </w:r>
          </w:p>
        </w:tc>
        <w:tc>
          <w:tcPr>
            <w:tcW w:w="1014" w:type="dxa"/>
          </w:tcPr>
          <w:p w:rsidR="00D84FFC" w:rsidRDefault="00D84FFC" w:rsidP="000A30B8">
            <w:pPr>
              <w:keepNext/>
              <w:jc w:val="right"/>
            </w:pPr>
            <w:r>
              <w:t>23</w:t>
            </w:r>
          </w:p>
        </w:tc>
        <w:tc>
          <w:tcPr>
            <w:tcW w:w="1091" w:type="dxa"/>
          </w:tcPr>
          <w:p w:rsidR="00D84FFC" w:rsidRDefault="00D84FFC" w:rsidP="000A30B8">
            <w:pPr>
              <w:keepNext/>
              <w:jc w:val="right"/>
            </w:pPr>
            <w:r>
              <w:t>56</w:t>
            </w:r>
          </w:p>
        </w:tc>
        <w:tc>
          <w:tcPr>
            <w:tcW w:w="1249" w:type="dxa"/>
          </w:tcPr>
          <w:p w:rsidR="00D84FFC" w:rsidRDefault="00D84FFC" w:rsidP="000A30B8">
            <w:pPr>
              <w:keepNext/>
              <w:jc w:val="right"/>
            </w:pPr>
            <w:r>
              <w:t>280</w:t>
            </w:r>
          </w:p>
        </w:tc>
        <w:tc>
          <w:tcPr>
            <w:tcW w:w="939" w:type="dxa"/>
          </w:tcPr>
          <w:p w:rsidR="00D84FFC" w:rsidRDefault="00D84FFC" w:rsidP="000A30B8">
            <w:pPr>
              <w:keepNext/>
              <w:jc w:val="right"/>
            </w:pPr>
            <w:r>
              <w:t>364</w:t>
            </w:r>
          </w:p>
        </w:tc>
      </w:tr>
      <w:tr w:rsidR="00D84FFC" w:rsidTr="000A30B8">
        <w:trPr>
          <w:trHeight w:val="286"/>
          <w:jc w:val="center"/>
        </w:trPr>
        <w:tc>
          <w:tcPr>
            <w:tcW w:w="1030" w:type="dxa"/>
          </w:tcPr>
          <w:p w:rsidR="00D84FFC" w:rsidRPr="008252B2" w:rsidRDefault="00D84FFC" w:rsidP="000A30B8">
            <w:pPr>
              <w:keepNext/>
              <w:jc w:val="center"/>
            </w:pPr>
            <w:r>
              <w:t>2016</w:t>
            </w:r>
          </w:p>
        </w:tc>
        <w:tc>
          <w:tcPr>
            <w:tcW w:w="930" w:type="dxa"/>
          </w:tcPr>
          <w:p w:rsidR="00D84FFC" w:rsidRPr="008252B2" w:rsidRDefault="00D84FFC" w:rsidP="000A30B8">
            <w:pPr>
              <w:keepNext/>
              <w:jc w:val="right"/>
            </w:pPr>
            <w:r>
              <w:t>5</w:t>
            </w:r>
          </w:p>
        </w:tc>
        <w:tc>
          <w:tcPr>
            <w:tcW w:w="1140" w:type="dxa"/>
          </w:tcPr>
          <w:p w:rsidR="00D84FFC" w:rsidRPr="008252B2" w:rsidRDefault="00D84FFC" w:rsidP="000A30B8">
            <w:pPr>
              <w:keepNext/>
              <w:jc w:val="right"/>
            </w:pPr>
            <w:r>
              <w:t>1</w:t>
            </w:r>
          </w:p>
        </w:tc>
        <w:tc>
          <w:tcPr>
            <w:tcW w:w="966" w:type="dxa"/>
          </w:tcPr>
          <w:p w:rsidR="00D84FFC" w:rsidRPr="008252B2" w:rsidRDefault="00D84FFC" w:rsidP="000A30B8">
            <w:pPr>
              <w:keepNext/>
              <w:jc w:val="right"/>
            </w:pPr>
            <w:r>
              <w:t>0</w:t>
            </w:r>
          </w:p>
        </w:tc>
        <w:tc>
          <w:tcPr>
            <w:tcW w:w="1014" w:type="dxa"/>
          </w:tcPr>
          <w:p w:rsidR="00D84FFC" w:rsidRDefault="00D84FFC" w:rsidP="000A30B8">
            <w:pPr>
              <w:keepNext/>
              <w:jc w:val="right"/>
            </w:pPr>
            <w:r>
              <w:t>22</w:t>
            </w:r>
          </w:p>
        </w:tc>
        <w:tc>
          <w:tcPr>
            <w:tcW w:w="1091" w:type="dxa"/>
          </w:tcPr>
          <w:p w:rsidR="00D84FFC" w:rsidRPr="008252B2" w:rsidRDefault="00D84FFC" w:rsidP="000A30B8">
            <w:pPr>
              <w:keepNext/>
              <w:jc w:val="right"/>
            </w:pPr>
            <w:r>
              <w:t>87</w:t>
            </w:r>
          </w:p>
        </w:tc>
        <w:tc>
          <w:tcPr>
            <w:tcW w:w="1249" w:type="dxa"/>
          </w:tcPr>
          <w:p w:rsidR="00D84FFC" w:rsidRDefault="00D84FFC" w:rsidP="000A30B8">
            <w:pPr>
              <w:keepNext/>
              <w:jc w:val="right"/>
            </w:pPr>
            <w:r>
              <w:t>393</w:t>
            </w:r>
          </w:p>
        </w:tc>
        <w:tc>
          <w:tcPr>
            <w:tcW w:w="939" w:type="dxa"/>
          </w:tcPr>
          <w:p w:rsidR="00D84FFC" w:rsidRDefault="00D84FFC" w:rsidP="000A30B8">
            <w:pPr>
              <w:keepNext/>
              <w:jc w:val="right"/>
            </w:pPr>
            <w:r>
              <w:t>508</w:t>
            </w:r>
          </w:p>
        </w:tc>
      </w:tr>
      <w:tr w:rsidR="00D84FFC" w:rsidTr="000A30B8">
        <w:trPr>
          <w:trHeight w:val="308"/>
          <w:jc w:val="center"/>
        </w:trPr>
        <w:tc>
          <w:tcPr>
            <w:tcW w:w="1030" w:type="dxa"/>
          </w:tcPr>
          <w:p w:rsidR="00D84FFC" w:rsidRPr="008252B2" w:rsidRDefault="00D84FFC" w:rsidP="000A30B8">
            <w:pPr>
              <w:keepNext/>
              <w:jc w:val="center"/>
            </w:pPr>
            <w:r>
              <w:t>2017</w:t>
            </w:r>
          </w:p>
        </w:tc>
        <w:tc>
          <w:tcPr>
            <w:tcW w:w="930" w:type="dxa"/>
          </w:tcPr>
          <w:p w:rsidR="00D84FFC" w:rsidRPr="008252B2" w:rsidRDefault="00D84FFC" w:rsidP="000A30B8">
            <w:pPr>
              <w:keepNext/>
              <w:jc w:val="right"/>
            </w:pPr>
            <w:r>
              <w:t>4</w:t>
            </w:r>
          </w:p>
        </w:tc>
        <w:tc>
          <w:tcPr>
            <w:tcW w:w="1140" w:type="dxa"/>
          </w:tcPr>
          <w:p w:rsidR="00D84FFC" w:rsidRPr="008252B2" w:rsidRDefault="00D84FFC" w:rsidP="000A30B8">
            <w:pPr>
              <w:keepNext/>
              <w:jc w:val="right"/>
            </w:pPr>
            <w:r>
              <w:t>1</w:t>
            </w:r>
          </w:p>
        </w:tc>
        <w:tc>
          <w:tcPr>
            <w:tcW w:w="966" w:type="dxa"/>
          </w:tcPr>
          <w:p w:rsidR="00D84FFC" w:rsidRPr="008252B2" w:rsidRDefault="00D84FFC" w:rsidP="000A30B8">
            <w:pPr>
              <w:keepNext/>
              <w:jc w:val="right"/>
            </w:pPr>
            <w:r>
              <w:t>0</w:t>
            </w:r>
          </w:p>
        </w:tc>
        <w:tc>
          <w:tcPr>
            <w:tcW w:w="1014" w:type="dxa"/>
          </w:tcPr>
          <w:p w:rsidR="00D84FFC" w:rsidRDefault="00D84FFC" w:rsidP="000A30B8">
            <w:pPr>
              <w:keepNext/>
              <w:jc w:val="right"/>
            </w:pPr>
            <w:r>
              <w:t>11</w:t>
            </w:r>
          </w:p>
        </w:tc>
        <w:tc>
          <w:tcPr>
            <w:tcW w:w="1091" w:type="dxa"/>
          </w:tcPr>
          <w:p w:rsidR="00D84FFC" w:rsidRPr="008252B2" w:rsidRDefault="00D84FFC" w:rsidP="000A30B8">
            <w:pPr>
              <w:keepNext/>
              <w:jc w:val="right"/>
            </w:pPr>
            <w:r>
              <w:t>83</w:t>
            </w:r>
          </w:p>
        </w:tc>
        <w:tc>
          <w:tcPr>
            <w:tcW w:w="1249" w:type="dxa"/>
          </w:tcPr>
          <w:p w:rsidR="00D84FFC" w:rsidRDefault="00D84FFC" w:rsidP="000A30B8">
            <w:pPr>
              <w:keepNext/>
              <w:jc w:val="right"/>
            </w:pPr>
            <w:r>
              <w:t>206</w:t>
            </w:r>
          </w:p>
        </w:tc>
        <w:tc>
          <w:tcPr>
            <w:tcW w:w="939" w:type="dxa"/>
          </w:tcPr>
          <w:p w:rsidR="00D84FFC" w:rsidRDefault="00D84FFC" w:rsidP="000A30B8">
            <w:pPr>
              <w:keepNext/>
              <w:jc w:val="right"/>
            </w:pPr>
            <w:r>
              <w:t>305</w:t>
            </w:r>
          </w:p>
        </w:tc>
      </w:tr>
      <w:tr w:rsidR="00D84FFC" w:rsidTr="000A30B8">
        <w:trPr>
          <w:trHeight w:val="308"/>
          <w:jc w:val="center"/>
        </w:trPr>
        <w:tc>
          <w:tcPr>
            <w:tcW w:w="1030" w:type="dxa"/>
          </w:tcPr>
          <w:p w:rsidR="00D84FFC" w:rsidRPr="008252B2" w:rsidRDefault="00D84FFC" w:rsidP="000A30B8">
            <w:pPr>
              <w:keepNext/>
              <w:jc w:val="center"/>
            </w:pPr>
            <w:r>
              <w:t>2018</w:t>
            </w:r>
          </w:p>
        </w:tc>
        <w:tc>
          <w:tcPr>
            <w:tcW w:w="930" w:type="dxa"/>
          </w:tcPr>
          <w:p w:rsidR="00D84FFC" w:rsidRPr="008252B2" w:rsidRDefault="00D84FFC" w:rsidP="000A30B8">
            <w:pPr>
              <w:keepNext/>
              <w:jc w:val="right"/>
            </w:pPr>
            <w:r>
              <w:t>5</w:t>
            </w:r>
          </w:p>
        </w:tc>
        <w:tc>
          <w:tcPr>
            <w:tcW w:w="1140" w:type="dxa"/>
          </w:tcPr>
          <w:p w:rsidR="00D84FFC" w:rsidRDefault="00D84FFC" w:rsidP="000A30B8">
            <w:pPr>
              <w:keepNext/>
              <w:jc w:val="right"/>
            </w:pPr>
            <w:r>
              <w:t>3</w:t>
            </w:r>
          </w:p>
        </w:tc>
        <w:tc>
          <w:tcPr>
            <w:tcW w:w="966" w:type="dxa"/>
          </w:tcPr>
          <w:p w:rsidR="00D84FFC" w:rsidRPr="008252B2" w:rsidRDefault="00D84FFC" w:rsidP="000A30B8">
            <w:pPr>
              <w:keepNext/>
              <w:jc w:val="right"/>
            </w:pPr>
            <w:r>
              <w:t>0</w:t>
            </w:r>
          </w:p>
        </w:tc>
        <w:tc>
          <w:tcPr>
            <w:tcW w:w="1014" w:type="dxa"/>
          </w:tcPr>
          <w:p w:rsidR="00D84FFC" w:rsidRDefault="00D84FFC" w:rsidP="000A30B8">
            <w:pPr>
              <w:keepNext/>
              <w:jc w:val="right"/>
            </w:pPr>
            <w:r>
              <w:t>41</w:t>
            </w:r>
          </w:p>
        </w:tc>
        <w:tc>
          <w:tcPr>
            <w:tcW w:w="1091" w:type="dxa"/>
          </w:tcPr>
          <w:p w:rsidR="00D84FFC" w:rsidRPr="008252B2" w:rsidRDefault="00D84FFC" w:rsidP="000A30B8">
            <w:pPr>
              <w:keepNext/>
              <w:jc w:val="right"/>
            </w:pPr>
            <w:r>
              <w:t>94</w:t>
            </w:r>
          </w:p>
        </w:tc>
        <w:tc>
          <w:tcPr>
            <w:tcW w:w="1249" w:type="dxa"/>
          </w:tcPr>
          <w:p w:rsidR="00D84FFC" w:rsidRDefault="00D84FFC" w:rsidP="000A30B8">
            <w:pPr>
              <w:keepNext/>
              <w:jc w:val="right"/>
            </w:pPr>
            <w:r>
              <w:t>192</w:t>
            </w:r>
          </w:p>
        </w:tc>
        <w:tc>
          <w:tcPr>
            <w:tcW w:w="939" w:type="dxa"/>
          </w:tcPr>
          <w:p w:rsidR="00D84FFC" w:rsidRDefault="00D84FFC" w:rsidP="000A30B8">
            <w:pPr>
              <w:keepNext/>
              <w:jc w:val="right"/>
            </w:pPr>
            <w:r>
              <w:t>335</w:t>
            </w:r>
          </w:p>
        </w:tc>
      </w:tr>
      <w:tr w:rsidR="00D84FFC" w:rsidTr="000A30B8">
        <w:trPr>
          <w:trHeight w:val="308"/>
          <w:jc w:val="center"/>
        </w:trPr>
        <w:tc>
          <w:tcPr>
            <w:tcW w:w="1030" w:type="dxa"/>
          </w:tcPr>
          <w:p w:rsidR="00D84FFC" w:rsidRPr="008252B2" w:rsidRDefault="00D84FFC" w:rsidP="000A30B8">
            <w:pPr>
              <w:keepNext/>
              <w:jc w:val="center"/>
            </w:pPr>
            <w:r>
              <w:t>2019</w:t>
            </w:r>
          </w:p>
        </w:tc>
        <w:tc>
          <w:tcPr>
            <w:tcW w:w="930" w:type="dxa"/>
          </w:tcPr>
          <w:p w:rsidR="00D84FFC" w:rsidRPr="008252B2" w:rsidRDefault="00D84FFC" w:rsidP="000A30B8">
            <w:pPr>
              <w:keepNext/>
              <w:jc w:val="right"/>
            </w:pPr>
            <w:r>
              <w:t>1</w:t>
            </w:r>
          </w:p>
        </w:tc>
        <w:tc>
          <w:tcPr>
            <w:tcW w:w="1140" w:type="dxa"/>
          </w:tcPr>
          <w:p w:rsidR="00D84FFC" w:rsidRDefault="00D84FFC" w:rsidP="000A30B8">
            <w:pPr>
              <w:keepNext/>
              <w:jc w:val="right"/>
            </w:pPr>
            <w:r>
              <w:t>5</w:t>
            </w:r>
          </w:p>
        </w:tc>
        <w:tc>
          <w:tcPr>
            <w:tcW w:w="966" w:type="dxa"/>
          </w:tcPr>
          <w:p w:rsidR="00D84FFC" w:rsidRPr="008252B2" w:rsidRDefault="00D84FFC" w:rsidP="000A30B8">
            <w:pPr>
              <w:keepNext/>
              <w:jc w:val="right"/>
            </w:pPr>
            <w:r>
              <w:t>0</w:t>
            </w:r>
          </w:p>
        </w:tc>
        <w:tc>
          <w:tcPr>
            <w:tcW w:w="1014" w:type="dxa"/>
          </w:tcPr>
          <w:p w:rsidR="00D84FFC" w:rsidRDefault="00D84FFC" w:rsidP="000A30B8">
            <w:pPr>
              <w:keepNext/>
              <w:jc w:val="right"/>
            </w:pPr>
            <w:r>
              <w:t>2</w:t>
            </w:r>
          </w:p>
        </w:tc>
        <w:tc>
          <w:tcPr>
            <w:tcW w:w="1091" w:type="dxa"/>
          </w:tcPr>
          <w:p w:rsidR="00D84FFC" w:rsidRPr="008252B2" w:rsidRDefault="00D84FFC" w:rsidP="000A30B8">
            <w:pPr>
              <w:keepNext/>
              <w:jc w:val="right"/>
            </w:pPr>
            <w:r>
              <w:t>52</w:t>
            </w:r>
          </w:p>
        </w:tc>
        <w:tc>
          <w:tcPr>
            <w:tcW w:w="1249" w:type="dxa"/>
          </w:tcPr>
          <w:p w:rsidR="00D84FFC" w:rsidRDefault="00D84FFC" w:rsidP="000A30B8">
            <w:pPr>
              <w:keepNext/>
              <w:jc w:val="right"/>
            </w:pPr>
            <w:r>
              <w:t>109</w:t>
            </w:r>
          </w:p>
        </w:tc>
        <w:tc>
          <w:tcPr>
            <w:tcW w:w="939" w:type="dxa"/>
          </w:tcPr>
          <w:p w:rsidR="00D84FFC" w:rsidRDefault="00D84FFC" w:rsidP="000A30B8">
            <w:pPr>
              <w:keepNext/>
              <w:jc w:val="right"/>
            </w:pPr>
            <w:r>
              <w:t>169</w:t>
            </w:r>
          </w:p>
        </w:tc>
      </w:tr>
      <w:tr w:rsidR="00D84FFC" w:rsidTr="000A30B8">
        <w:trPr>
          <w:trHeight w:val="253"/>
          <w:jc w:val="center"/>
        </w:trPr>
        <w:tc>
          <w:tcPr>
            <w:tcW w:w="1030" w:type="dxa"/>
          </w:tcPr>
          <w:p w:rsidR="00D84FFC" w:rsidRPr="008252B2" w:rsidRDefault="00D84FFC" w:rsidP="000A30B8">
            <w:pPr>
              <w:keepNext/>
              <w:jc w:val="center"/>
            </w:pPr>
            <w:r w:rsidRPr="008252B2">
              <w:t>Total*</w:t>
            </w:r>
          </w:p>
        </w:tc>
        <w:tc>
          <w:tcPr>
            <w:tcW w:w="930" w:type="dxa"/>
          </w:tcPr>
          <w:p w:rsidR="00D84FFC" w:rsidRPr="008252B2" w:rsidRDefault="00D84FFC" w:rsidP="000A30B8">
            <w:pPr>
              <w:keepNext/>
              <w:jc w:val="right"/>
            </w:pPr>
            <w:r>
              <w:t>18</w:t>
            </w:r>
          </w:p>
        </w:tc>
        <w:tc>
          <w:tcPr>
            <w:tcW w:w="1140" w:type="dxa"/>
          </w:tcPr>
          <w:p w:rsidR="00D84FFC" w:rsidRDefault="00D84FFC" w:rsidP="000A30B8">
            <w:pPr>
              <w:keepNext/>
              <w:jc w:val="right"/>
            </w:pPr>
            <w:r>
              <w:t>12</w:t>
            </w:r>
          </w:p>
        </w:tc>
        <w:tc>
          <w:tcPr>
            <w:tcW w:w="966" w:type="dxa"/>
          </w:tcPr>
          <w:p w:rsidR="00D84FFC" w:rsidRPr="008252B2" w:rsidRDefault="00D84FFC" w:rsidP="000A30B8">
            <w:pPr>
              <w:keepNext/>
              <w:jc w:val="right"/>
            </w:pPr>
            <w:r>
              <w:t>0</w:t>
            </w:r>
          </w:p>
        </w:tc>
        <w:tc>
          <w:tcPr>
            <w:tcW w:w="1014" w:type="dxa"/>
          </w:tcPr>
          <w:p w:rsidR="00D84FFC" w:rsidRDefault="00D84FFC" w:rsidP="000A30B8">
            <w:pPr>
              <w:keepNext/>
              <w:jc w:val="right"/>
            </w:pPr>
            <w:r>
              <w:t>99</w:t>
            </w:r>
          </w:p>
        </w:tc>
        <w:tc>
          <w:tcPr>
            <w:tcW w:w="1091" w:type="dxa"/>
          </w:tcPr>
          <w:p w:rsidR="00D84FFC" w:rsidRPr="008252B2" w:rsidRDefault="00D84FFC" w:rsidP="000A30B8">
            <w:pPr>
              <w:keepNext/>
              <w:jc w:val="right"/>
            </w:pPr>
            <w:r>
              <w:t>372</w:t>
            </w:r>
          </w:p>
        </w:tc>
        <w:tc>
          <w:tcPr>
            <w:tcW w:w="1249" w:type="dxa"/>
          </w:tcPr>
          <w:p w:rsidR="00D84FFC" w:rsidRDefault="00D84FFC" w:rsidP="000A30B8">
            <w:pPr>
              <w:keepNext/>
              <w:jc w:val="right"/>
            </w:pPr>
            <w:r>
              <w:t>1,180</w:t>
            </w:r>
          </w:p>
        </w:tc>
        <w:tc>
          <w:tcPr>
            <w:tcW w:w="939" w:type="dxa"/>
          </w:tcPr>
          <w:p w:rsidR="00D84FFC" w:rsidRDefault="00D84FFC" w:rsidP="000A30B8">
            <w:pPr>
              <w:keepNext/>
              <w:jc w:val="right"/>
            </w:pPr>
            <w:r>
              <w:t>1,681</w:t>
            </w:r>
          </w:p>
        </w:tc>
      </w:tr>
    </w:tbl>
    <w:p w:rsidR="00D84FFC" w:rsidRPr="004A3FB4" w:rsidRDefault="00D84FFC" w:rsidP="00D55A23">
      <w:pPr>
        <w:ind w:left="720"/>
        <w:rPr>
          <w:sz w:val="20"/>
          <w:szCs w:val="20"/>
        </w:rPr>
      </w:pPr>
      <w:r w:rsidRPr="007500F6">
        <w:t>*</w:t>
      </w:r>
      <w:r w:rsidRPr="004A3FB4">
        <w:rPr>
          <w:sz w:val="20"/>
          <w:szCs w:val="20"/>
        </w:rPr>
        <w:t>A single customer complaint may be counted multiple times if it fits into multiple categories, was reported to multiple agencies, or was reported multiple times.</w:t>
      </w:r>
    </w:p>
    <w:p w:rsidR="00D84FFC" w:rsidRDefault="00D84FFC" w:rsidP="00D84FFC">
      <w:pPr>
        <w:jc w:val="both"/>
        <w:rPr>
          <w:rFonts w:eastAsiaTheme="minorHAnsi"/>
          <w:szCs w:val="22"/>
        </w:rPr>
      </w:pPr>
    </w:p>
    <w:p w:rsidR="00D55A23" w:rsidRDefault="00D55A23" w:rsidP="00D84FFC">
      <w:pPr>
        <w:jc w:val="both"/>
        <w:rPr>
          <w:rFonts w:eastAsiaTheme="minorHAnsi"/>
          <w:szCs w:val="22"/>
        </w:rPr>
      </w:pPr>
    </w:p>
    <w:p w:rsidR="00D84FFC" w:rsidRDefault="00A65C7B" w:rsidP="00D84FFC">
      <w:pPr>
        <w:jc w:val="both"/>
      </w:pPr>
      <w:r w:rsidRPr="00B52DC3">
        <w:t xml:space="preserve">The complaints from the Commission’s CATS records associated with billing issues are mainly attributable to improper billing disputes and the service issues are mainly attributable to water quality and pressure. The service issue complaints received by the DEP address the color, odor, and pressure of the water and peaked in 2018. The Utility received the most service related complaints compared to those received from CATS and the DEP. Of the 1,180 service related complaints received by the Utility, shown in Table 1-1, the majority were regarding water outages (448 complaints) and water quality (470 complaints). However, water outage complaints received by the Utility decreased annually from 167 complaints in 2015 to 41 complaints in 2019. </w:t>
      </w:r>
      <w:proofErr w:type="gramStart"/>
      <w:r w:rsidRPr="00B52DC3">
        <w:t>The water quality complaints received by the Utility peaked in 2016 with 228 complaints and decreased to 35 complaints in 2019.</w:t>
      </w:r>
      <w:proofErr w:type="gramEnd"/>
      <w:r w:rsidRPr="00B52DC3">
        <w:t xml:space="preserve"> In addition, customer comments pr</w:t>
      </w:r>
      <w:r>
        <w:t>ovided at the customer meeting</w:t>
      </w:r>
      <w:r w:rsidRPr="00B52DC3">
        <w:t xml:space="preserve"> expressed frustration with the water quality and are discussed in greater detail below.</w:t>
      </w:r>
    </w:p>
    <w:p w:rsidR="00D84FFC" w:rsidRDefault="00D84FFC" w:rsidP="00D84FFC">
      <w:pPr>
        <w:jc w:val="both"/>
        <w:rPr>
          <w:rFonts w:eastAsiaTheme="minorHAnsi"/>
          <w:szCs w:val="22"/>
        </w:rPr>
      </w:pPr>
    </w:p>
    <w:p w:rsidR="00D84FFC" w:rsidRDefault="00D84FFC" w:rsidP="00D84FFC">
      <w:pPr>
        <w:spacing w:after="200"/>
        <w:jc w:val="both"/>
        <w:rPr>
          <w:rFonts w:eastAsiaTheme="minorHAnsi"/>
          <w:szCs w:val="22"/>
        </w:rPr>
      </w:pPr>
      <w:r>
        <w:rPr>
          <w:rFonts w:eastAsiaTheme="minorHAnsi"/>
          <w:szCs w:val="22"/>
        </w:rPr>
        <w:t>The</w:t>
      </w:r>
      <w:r w:rsidR="00BC1EF8">
        <w:rPr>
          <w:rFonts w:eastAsiaTheme="minorHAnsi"/>
          <w:szCs w:val="22"/>
        </w:rPr>
        <w:t xml:space="preserve"> noticed </w:t>
      </w:r>
      <w:r>
        <w:rPr>
          <w:rFonts w:eastAsiaTheme="minorHAnsi"/>
          <w:szCs w:val="22"/>
        </w:rPr>
        <w:t xml:space="preserve">customer meeting was held </w:t>
      </w:r>
      <w:r w:rsidR="004110FC">
        <w:rPr>
          <w:rFonts w:eastAsiaTheme="minorHAnsi"/>
          <w:szCs w:val="22"/>
        </w:rPr>
        <w:t xml:space="preserve">on February 20, 2020, </w:t>
      </w:r>
      <w:r>
        <w:rPr>
          <w:rFonts w:eastAsiaTheme="minorHAnsi"/>
          <w:szCs w:val="22"/>
        </w:rPr>
        <w:t xml:space="preserve">at the Highlands County Administration Building, in Sebring, Florida. Approximately 35 customers attended and 18 customers spoke. The majority of the 18 customers who spoke noted dark colored water around the time the Utility had to temporarily by-pass Lake Josephine’s aeration treatment system to fix a hole in the ground storage tank on January 29, 2020. When the aeration system was by-passed, the hydrogen sulfides were not being removed. However, this problem was resolved once the aeration system came back online and extensive flushing was performed. Four customers also stated their experience with water pressure issues. Additionally, several customers stated they </w:t>
      </w:r>
      <w:r>
        <w:rPr>
          <w:rFonts w:eastAsiaTheme="minorHAnsi"/>
          <w:szCs w:val="22"/>
        </w:rPr>
        <w:lastRenderedPageBreak/>
        <w:t xml:space="preserve">recently experienced customer service issues when contacting the Utility for assistance. Specifically, one customer stated they were hung-up on while making a service request and two others stated their requests were not </w:t>
      </w:r>
      <w:r w:rsidR="00557FB8">
        <w:rPr>
          <w:rFonts w:eastAsiaTheme="minorHAnsi"/>
          <w:szCs w:val="22"/>
        </w:rPr>
        <w:t xml:space="preserve">acted upon by the Utility. </w:t>
      </w:r>
      <w:r>
        <w:rPr>
          <w:rFonts w:eastAsiaTheme="minorHAnsi"/>
          <w:szCs w:val="22"/>
        </w:rPr>
        <w:t>Five customers mentioned they had not received boil water notices (BWNs) in the past, but instead, only received notice rescinding the BWNs.</w:t>
      </w:r>
      <w:r>
        <w:rPr>
          <w:rStyle w:val="FootnoteReference"/>
          <w:rFonts w:eastAsiaTheme="minorHAnsi"/>
          <w:szCs w:val="22"/>
        </w:rPr>
        <w:footnoteReference w:id="6"/>
      </w:r>
      <w:r>
        <w:rPr>
          <w:rFonts w:eastAsiaTheme="minorHAnsi"/>
          <w:szCs w:val="22"/>
        </w:rPr>
        <w:t xml:space="preserve"> </w:t>
      </w:r>
    </w:p>
    <w:p w:rsidR="00D84FFC" w:rsidRDefault="00D84FFC" w:rsidP="00D84FFC">
      <w:pPr>
        <w:spacing w:after="200"/>
        <w:jc w:val="both"/>
        <w:rPr>
          <w:rFonts w:eastAsiaTheme="minorHAnsi"/>
          <w:szCs w:val="22"/>
        </w:rPr>
      </w:pPr>
      <w:r>
        <w:rPr>
          <w:color w:val="000000"/>
          <w:shd w:val="clear" w:color="auto" w:fill="FFFFFF"/>
        </w:rPr>
        <w:t xml:space="preserve">Similar to the comments made at the customer meeting for the Utility’s previous rate case in 2015, many customers at the 2020 customer meeting expressed their discontent with the water quality; specifically, odor and color. In addition, </w:t>
      </w:r>
      <w:r>
        <w:rPr>
          <w:rFonts w:eastAsiaTheme="minorHAnsi"/>
          <w:szCs w:val="22"/>
        </w:rPr>
        <w:t xml:space="preserve">three customers noted skin irritation when bathing which they attribute to the chemicals in the water. The customers also described their water having particulates such as sand and clay. A few customers described the </w:t>
      </w:r>
      <w:r w:rsidR="00557FB8">
        <w:rPr>
          <w:rFonts w:eastAsiaTheme="minorHAnsi"/>
          <w:szCs w:val="22"/>
        </w:rPr>
        <w:t xml:space="preserve">overall water quality as poor. </w:t>
      </w:r>
      <w:r w:rsidRPr="00B37B7A">
        <w:rPr>
          <w:rFonts w:eastAsiaTheme="minorHAnsi"/>
          <w:szCs w:val="22"/>
        </w:rPr>
        <w:t>Additi</w:t>
      </w:r>
      <w:r>
        <w:rPr>
          <w:rFonts w:eastAsiaTheme="minorHAnsi"/>
          <w:szCs w:val="22"/>
        </w:rPr>
        <w:t xml:space="preserve">onally, customers expressed that the cost of the water far exceeds its quality and they have no choice but to purchase bottled water, further stating the Utility should not receive a rate increase, but instead should be fined. </w:t>
      </w:r>
    </w:p>
    <w:p w:rsidR="00997CF1" w:rsidRDefault="00C77791" w:rsidP="00D84FFC">
      <w:pPr>
        <w:spacing w:after="200"/>
        <w:jc w:val="both"/>
        <w:rPr>
          <w:rFonts w:eastAsiaTheme="minorHAnsi"/>
          <w:szCs w:val="22"/>
        </w:rPr>
      </w:pPr>
      <w:r>
        <w:rPr>
          <w:color w:val="000000"/>
        </w:rPr>
        <w:t xml:space="preserve">A </w:t>
      </w:r>
      <w:r w:rsidR="00997CF1">
        <w:rPr>
          <w:color w:val="000000"/>
        </w:rPr>
        <w:t>representative from Highlands County attended the meeting and on April 7, 2020, a letter was filed with the Commission on behalf of the Highlands County Board of Co</w:t>
      </w:r>
      <w:r w:rsidR="00FC51D9">
        <w:rPr>
          <w:color w:val="000000"/>
        </w:rPr>
        <w:t xml:space="preserve">unty Commissioners. The letter </w:t>
      </w:r>
      <w:r w:rsidR="00997CF1">
        <w:rPr>
          <w:color w:val="000000"/>
        </w:rPr>
        <w:t>summarized the customer comments from the customer meeting and asked the Commission to investigate HC’s water quality. Additionally, prior to filing its letter with the Commission, on February 18, 2019, a representative from Highlands County also filed a complaint with the DEP on behalf of several customers; the complaint included water contamination concerns related to finding bugs in the water and several customers developing stomach issues. Last, a</w:t>
      </w:r>
      <w:r w:rsidR="00187015">
        <w:rPr>
          <w:color w:val="000000"/>
          <w:shd w:val="clear" w:color="auto" w:fill="FFFFFF"/>
        </w:rPr>
        <w:t>s of April 16</w:t>
      </w:r>
      <w:r w:rsidR="00997CF1">
        <w:rPr>
          <w:color w:val="000000"/>
          <w:shd w:val="clear" w:color="auto" w:fill="FFFFFF"/>
        </w:rPr>
        <w:t xml:space="preserve">, 2020, the Commission received comments from </w:t>
      </w:r>
      <w:r w:rsidR="00DC16D4">
        <w:rPr>
          <w:shd w:val="clear" w:color="auto" w:fill="FFFFFF"/>
        </w:rPr>
        <w:t>12</w:t>
      </w:r>
      <w:r w:rsidR="00997CF1">
        <w:rPr>
          <w:color w:val="000000"/>
          <w:shd w:val="clear" w:color="auto" w:fill="FFFFFF"/>
        </w:rPr>
        <w:t xml:space="preserve"> customers which have been placed in the docket file. These customer comments also discuss poor water quality and objections to the overall rate increase.</w:t>
      </w:r>
    </w:p>
    <w:p w:rsidR="00D84FFC" w:rsidRDefault="00D84FFC" w:rsidP="00D84FFC">
      <w:pPr>
        <w:jc w:val="both"/>
        <w:rPr>
          <w:color w:val="000000"/>
          <w:shd w:val="clear" w:color="auto" w:fill="FFFFFF"/>
        </w:rPr>
      </w:pPr>
      <w:r>
        <w:rPr>
          <w:color w:val="000000"/>
          <w:shd w:val="clear" w:color="auto" w:fill="FFFFFF"/>
        </w:rPr>
        <w:t>After t</w:t>
      </w:r>
      <w:r w:rsidRPr="00654D44">
        <w:rPr>
          <w:color w:val="000000"/>
          <w:shd w:val="clear" w:color="auto" w:fill="FFFFFF"/>
        </w:rPr>
        <w:t>he</w:t>
      </w:r>
      <w:r>
        <w:rPr>
          <w:color w:val="000000"/>
          <w:shd w:val="clear" w:color="auto" w:fill="FFFFFF"/>
        </w:rPr>
        <w:t xml:space="preserve"> customer meeting, the Utility reached out to the customers who spoke by sending the utility manager to each home on March 9</w:t>
      </w:r>
      <w:r w:rsidR="002B4FA4">
        <w:rPr>
          <w:color w:val="000000"/>
          <w:shd w:val="clear" w:color="auto" w:fill="FFFFFF"/>
        </w:rPr>
        <w:t xml:space="preserve"> and 10,</w:t>
      </w:r>
      <w:r>
        <w:rPr>
          <w:color w:val="000000"/>
          <w:shd w:val="clear" w:color="auto" w:fill="FFFFFF"/>
        </w:rPr>
        <w:t xml:space="preserve"> 2020.</w:t>
      </w:r>
      <w:r>
        <w:rPr>
          <w:rStyle w:val="FootnoteReference"/>
          <w:color w:val="000000"/>
          <w:shd w:val="clear" w:color="auto" w:fill="FFFFFF"/>
        </w:rPr>
        <w:footnoteReference w:id="7"/>
      </w:r>
      <w:r>
        <w:rPr>
          <w:color w:val="000000"/>
          <w:shd w:val="clear" w:color="auto" w:fill="FFFFFF"/>
        </w:rPr>
        <w:t xml:space="preserve"> T</w:t>
      </w:r>
      <w:r w:rsidRPr="00654D44">
        <w:rPr>
          <w:color w:val="000000"/>
          <w:shd w:val="clear" w:color="auto" w:fill="FFFFFF"/>
        </w:rPr>
        <w:t xml:space="preserve">he </w:t>
      </w:r>
      <w:r>
        <w:rPr>
          <w:color w:val="000000"/>
          <w:shd w:val="clear" w:color="auto" w:fill="FFFFFF"/>
        </w:rPr>
        <w:t>Utility</w:t>
      </w:r>
      <w:r w:rsidRPr="00654D44">
        <w:rPr>
          <w:color w:val="000000"/>
          <w:shd w:val="clear" w:color="auto" w:fill="FFFFFF"/>
        </w:rPr>
        <w:t xml:space="preserve"> reported the majority of the customers wer</w:t>
      </w:r>
      <w:r>
        <w:rPr>
          <w:color w:val="000000"/>
          <w:shd w:val="clear" w:color="auto" w:fill="FFFFFF"/>
        </w:rPr>
        <w:t>e Lake Josephine customers that were upset with the water quality issues that arose during the time of the tank repair when the aeration system had to be temporarily by-passed, around January 29, 20</w:t>
      </w:r>
      <w:r w:rsidR="00343F7A">
        <w:rPr>
          <w:color w:val="000000"/>
          <w:shd w:val="clear" w:color="auto" w:fill="FFFFFF"/>
        </w:rPr>
        <w:t xml:space="preserve">20. The Utility further stated </w:t>
      </w:r>
      <w:r>
        <w:rPr>
          <w:color w:val="000000"/>
          <w:shd w:val="clear" w:color="auto" w:fill="FFFFFF"/>
        </w:rPr>
        <w:t>the majority of the customers were appreciative of the in-person visit and expressed that water quality has improved.</w:t>
      </w:r>
      <w:r w:rsidR="00187015">
        <w:rPr>
          <w:color w:val="000000"/>
          <w:shd w:val="clear" w:color="auto" w:fill="FFFFFF"/>
        </w:rPr>
        <w:t xml:space="preserve"> </w:t>
      </w:r>
      <w:r w:rsidR="00187015" w:rsidRPr="00B52DC3">
        <w:rPr>
          <w:color w:val="000000"/>
        </w:rPr>
        <w:t>The Utility filed a response to the Highlands County letter on April 9, 2020.</w:t>
      </w:r>
      <w:r w:rsidR="00187015" w:rsidRPr="00B52DC3">
        <w:rPr>
          <w:rStyle w:val="FootnoteReference"/>
          <w:color w:val="000000"/>
        </w:rPr>
        <w:footnoteReference w:id="8"/>
      </w:r>
      <w:r w:rsidR="00187015" w:rsidRPr="00B52DC3">
        <w:rPr>
          <w:color w:val="000000"/>
        </w:rPr>
        <w:t xml:space="preserve"> In the letter, the Utility summarized its actions to address the water quality issues, including installation of the </w:t>
      </w:r>
      <w:r w:rsidR="00187015" w:rsidRPr="00B52DC3">
        <w:rPr>
          <w:rFonts w:eastAsiaTheme="minorHAnsi"/>
        </w:rPr>
        <w:t>aeration treatment systems, and its follow up with customers after the customer meeting, as discussed above.</w:t>
      </w:r>
    </w:p>
    <w:p w:rsidR="00D84FFC" w:rsidRDefault="00D84FFC" w:rsidP="00D84FFC">
      <w:pPr>
        <w:jc w:val="both"/>
        <w:rPr>
          <w:rFonts w:eastAsiaTheme="minorHAnsi"/>
          <w:szCs w:val="22"/>
        </w:rPr>
      </w:pPr>
    </w:p>
    <w:p w:rsidR="00D84FFC" w:rsidRDefault="00D84FFC" w:rsidP="00D84FFC">
      <w:pPr>
        <w:jc w:val="both"/>
      </w:pPr>
      <w:r>
        <w:t xml:space="preserve">As </w:t>
      </w:r>
      <w:r w:rsidRPr="00206EBB">
        <w:t>discussed above</w:t>
      </w:r>
      <w:r>
        <w:t xml:space="preserve">, </w:t>
      </w:r>
      <w:r w:rsidRPr="00206EBB">
        <w:t>in the Utility’s last rate case, HC</w:t>
      </w:r>
      <w:r>
        <w:t xml:space="preserve"> attempted to correct its water quality issues. To address the foul odor of its water, </w:t>
      </w:r>
      <w:r w:rsidRPr="001A5274">
        <w:t>HC converted its WTPs to chloramines for disinfection, and tests conducted subsequent to each conversion show that the conversions were effective in bringing the contaminant levels to well below the DEP standards.</w:t>
      </w:r>
      <w:r>
        <w:t xml:space="preserve"> While t</w:t>
      </w:r>
      <w:r w:rsidRPr="001A5274">
        <w:t xml:space="preserve">he chloramine conversion </w:t>
      </w:r>
      <w:r>
        <w:t xml:space="preserve">provided the appropriate disinfection, </w:t>
      </w:r>
      <w:r w:rsidRPr="001A5274">
        <w:t xml:space="preserve">the secondary considerations of </w:t>
      </w:r>
      <w:r w:rsidRPr="001A5274">
        <w:lastRenderedPageBreak/>
        <w:t xml:space="preserve">taste and odor </w:t>
      </w:r>
      <w:r>
        <w:t>worsened for customers</w:t>
      </w:r>
      <w:r w:rsidRPr="001A5274">
        <w:t xml:space="preserve">. </w:t>
      </w:r>
      <w:r>
        <w:t>T</w:t>
      </w:r>
      <w:r w:rsidRPr="001A5274">
        <w:t>he chloramines used to keep the disinfection byproduct levels low were less effective than free chlorine at disinfection</w:t>
      </w:r>
      <w:r>
        <w:t>.</w:t>
      </w:r>
      <w:r w:rsidRPr="001A5274">
        <w:t xml:space="preserve"> </w:t>
      </w:r>
      <w:r>
        <w:t>Since many Leisure Lakes customers are seasonal</w:t>
      </w:r>
      <w:r w:rsidRPr="001A5274">
        <w:t xml:space="preserve">, the water in some areas of the service territory </w:t>
      </w:r>
      <w:r>
        <w:t>could</w:t>
      </w:r>
      <w:r w:rsidRPr="001A5274">
        <w:t xml:space="preserve"> </w:t>
      </w:r>
      <w:r>
        <w:t>become stagnant</w:t>
      </w:r>
      <w:r w:rsidRPr="001A5274">
        <w:t>. This allowed the hydrogen sulfide</w:t>
      </w:r>
      <w:r>
        <w:t>s to reform in the distribution system</w:t>
      </w:r>
      <w:r w:rsidRPr="001A5274">
        <w:t>.</w:t>
      </w:r>
      <w:r>
        <w:t xml:space="preserve"> Therefore, DEP issued a permit to add the packed aeration filters to both systems in 2016.</w:t>
      </w:r>
    </w:p>
    <w:p w:rsidR="00D84FFC" w:rsidRDefault="00D84FFC" w:rsidP="00D84FFC">
      <w:pPr>
        <w:jc w:val="both"/>
        <w:rPr>
          <w:rFonts w:eastAsiaTheme="minorHAnsi"/>
          <w:szCs w:val="22"/>
        </w:rPr>
      </w:pPr>
    </w:p>
    <w:p w:rsidR="009A5626" w:rsidRPr="00290786" w:rsidRDefault="009A5626" w:rsidP="009A5626">
      <w:pPr>
        <w:jc w:val="both"/>
      </w:pPr>
      <w:r w:rsidRPr="00290786">
        <w:rPr>
          <w:rFonts w:eastAsiaTheme="minorHAnsi"/>
        </w:rPr>
        <w:t xml:space="preserve">In HC’s previous rate case, the Commission deemed the quality of service provided by the Utility as satisfactory. In that case, there were 111 complaints and majority of the complaints were regarding the overall rate increase. While the Utility's customer complaints have declined since 2016, the overall </w:t>
      </w:r>
      <w:proofErr w:type="gramStart"/>
      <w:r w:rsidRPr="00290786">
        <w:rPr>
          <w:rFonts w:eastAsiaTheme="minorHAnsi"/>
        </w:rPr>
        <w:t>volume of complaints have</w:t>
      </w:r>
      <w:proofErr w:type="gramEnd"/>
      <w:r w:rsidRPr="00290786">
        <w:rPr>
          <w:rFonts w:eastAsiaTheme="minorHAnsi"/>
        </w:rPr>
        <w:t xml:space="preserve"> increased since the Utility's last rate case, with the majority of complaints regarding the water quality. The appropriate agency, the DEP, has issued Consent Orders and has been working with the Utility to improve HC’s water quality over the past several years, as discussed previously. HC is currently in compliance with the DEP and all of the Utility’s system improvements have been in place since 2018. Additionally, staff reviewed HC’s complaint records from CATS, the DEP, and the Utility from January 2020 through April 2020, and found additional complaints addressing the pressure, color, and smell of the water.</w:t>
      </w:r>
    </w:p>
    <w:p w:rsidR="00D84FFC" w:rsidRDefault="00D84FFC" w:rsidP="00D84FFC">
      <w:pPr>
        <w:jc w:val="both"/>
        <w:rPr>
          <w:rFonts w:eastAsiaTheme="minorHAnsi"/>
          <w:szCs w:val="22"/>
        </w:rPr>
      </w:pPr>
    </w:p>
    <w:p w:rsidR="00D84FFC" w:rsidRPr="006D6EB6" w:rsidRDefault="009A5626" w:rsidP="00D84FFC">
      <w:pPr>
        <w:jc w:val="both"/>
        <w:rPr>
          <w:rFonts w:eastAsiaTheme="minorHAnsi"/>
          <w:szCs w:val="22"/>
        </w:rPr>
      </w:pPr>
      <w:r w:rsidRPr="00290786">
        <w:rPr>
          <w:rFonts w:eastAsiaTheme="minorHAnsi"/>
        </w:rPr>
        <w:t xml:space="preserve">The Commission has discretion when determining the most appropriate </w:t>
      </w:r>
      <w:r w:rsidR="0032135F">
        <w:rPr>
          <w:rFonts w:eastAsiaTheme="minorHAnsi"/>
        </w:rPr>
        <w:t xml:space="preserve">action </w:t>
      </w:r>
      <w:r w:rsidRPr="00290786">
        <w:rPr>
          <w:rFonts w:eastAsiaTheme="minorHAnsi"/>
        </w:rPr>
        <w:t>for a Utility whose quality of service is de</w:t>
      </w:r>
      <w:r w:rsidR="00676568">
        <w:rPr>
          <w:rFonts w:eastAsiaTheme="minorHAnsi"/>
        </w:rPr>
        <w:t xml:space="preserve">termined to be unsatisfactory. </w:t>
      </w:r>
      <w:r w:rsidRPr="00290786">
        <w:rPr>
          <w:rFonts w:eastAsiaTheme="minorHAnsi"/>
        </w:rPr>
        <w:t xml:space="preserve">In past cases, the Commission has reduced ROE </w:t>
      </w:r>
      <w:r w:rsidR="00D839C5">
        <w:rPr>
          <w:rFonts w:eastAsiaTheme="minorHAnsi"/>
        </w:rPr>
        <w:t xml:space="preserve">between </w:t>
      </w:r>
      <w:r w:rsidRPr="00290786">
        <w:rPr>
          <w:rFonts w:eastAsiaTheme="minorHAnsi"/>
        </w:rPr>
        <w:t xml:space="preserve">25 </w:t>
      </w:r>
      <w:r w:rsidR="00D839C5">
        <w:rPr>
          <w:rFonts w:eastAsiaTheme="minorHAnsi"/>
        </w:rPr>
        <w:t xml:space="preserve">and 100 </w:t>
      </w:r>
      <w:r w:rsidRPr="00290786">
        <w:rPr>
          <w:rFonts w:eastAsiaTheme="minorHAnsi"/>
        </w:rPr>
        <w:t>basis points.</w:t>
      </w:r>
      <w:r w:rsidR="006A2233">
        <w:rPr>
          <w:rStyle w:val="FootnoteReference"/>
          <w:rFonts w:eastAsiaTheme="minorHAnsi"/>
        </w:rPr>
        <w:footnoteReference w:id="9"/>
      </w:r>
      <w:r w:rsidRPr="00290786">
        <w:rPr>
          <w:rFonts w:eastAsiaTheme="minorHAnsi"/>
        </w:rPr>
        <w:t xml:space="preserve"> In addition, the Commission has reduced the utility president</w:t>
      </w:r>
      <w:r w:rsidR="00181879">
        <w:rPr>
          <w:rFonts w:eastAsiaTheme="minorHAnsi"/>
        </w:rPr>
        <w:t xml:space="preserve">’s </w:t>
      </w:r>
      <w:r w:rsidRPr="00290786">
        <w:rPr>
          <w:rFonts w:eastAsiaTheme="minorHAnsi"/>
        </w:rPr>
        <w:t>or officer’s salary.</w:t>
      </w:r>
      <w:r w:rsidRPr="00290786">
        <w:rPr>
          <w:rStyle w:val="FootnoteReference"/>
          <w:rFonts w:eastAsiaTheme="minorHAnsi"/>
        </w:rPr>
        <w:footnoteReference w:id="10"/>
      </w:r>
      <w:r w:rsidRPr="00290786">
        <w:rPr>
          <w:rFonts w:eastAsiaTheme="minorHAnsi"/>
        </w:rPr>
        <w:t xml:space="preserve"> Staff recognizes the Utility is in compliance with the DEP and the overall customer complaints</w:t>
      </w:r>
      <w:r w:rsidR="003A3FB6">
        <w:rPr>
          <w:rFonts w:eastAsiaTheme="minorHAnsi"/>
        </w:rPr>
        <w:t xml:space="preserve"> have been declining since 2016;</w:t>
      </w:r>
      <w:r w:rsidRPr="00290786">
        <w:rPr>
          <w:rFonts w:eastAsiaTheme="minorHAnsi"/>
        </w:rPr>
        <w:t xml:space="preserve"> however, due to the volume of customer complaints reviewed in the instant docket, staff recommends the Utility's quality of service be deemed unsatisfactory and its ROE reduced by 50 basis points.</w:t>
      </w:r>
    </w:p>
    <w:p w:rsidR="00D84FFC" w:rsidRDefault="00D84FFC" w:rsidP="00D84FFC">
      <w:pPr>
        <w:jc w:val="both"/>
        <w:rPr>
          <w:color w:val="000000"/>
          <w:shd w:val="clear" w:color="auto" w:fill="FFFFFF"/>
        </w:rPr>
      </w:pPr>
      <w:r w:rsidRPr="00654D44">
        <w:rPr>
          <w:color w:val="000000"/>
          <w:shd w:val="clear" w:color="auto" w:fill="FFFFFF"/>
        </w:rPr>
        <w:t xml:space="preserve"> </w:t>
      </w:r>
    </w:p>
    <w:p w:rsidR="00D84FFC" w:rsidRPr="00391348" w:rsidRDefault="004D794B" w:rsidP="00D84FFC">
      <w:pPr>
        <w:spacing w:line="276" w:lineRule="auto"/>
        <w:jc w:val="both"/>
        <w:rPr>
          <w:rFonts w:ascii="Arial" w:eastAsiaTheme="minorHAnsi" w:hAnsi="Arial" w:cs="Arial"/>
          <w:b/>
          <w:szCs w:val="22"/>
        </w:rPr>
      </w:pPr>
      <w:r>
        <w:rPr>
          <w:rFonts w:ascii="Arial" w:eastAsiaTheme="minorHAnsi" w:hAnsi="Arial" w:cs="Arial"/>
          <w:b/>
          <w:szCs w:val="22"/>
        </w:rPr>
        <w:t>Conclusion</w:t>
      </w:r>
      <w:r w:rsidR="00D84FFC" w:rsidRPr="0047437E">
        <w:rPr>
          <w:rFonts w:ascii="Arial" w:eastAsiaTheme="minorHAnsi" w:hAnsi="Arial" w:cs="Arial"/>
          <w:b/>
          <w:szCs w:val="22"/>
        </w:rPr>
        <w:t xml:space="preserve"> </w:t>
      </w:r>
      <w:r w:rsidR="00D84FFC" w:rsidRPr="004C3641">
        <w:t> </w:t>
      </w:r>
    </w:p>
    <w:p w:rsidR="009B5A9D" w:rsidRDefault="00D84FFC" w:rsidP="00D84FFC">
      <w:pPr>
        <w:pStyle w:val="BodyText"/>
      </w:pPr>
      <w:r>
        <w:t>While the Utility is in compliance with the DEP and customer complaints have declined overall since 2016, there are still many customer complaints on the pressure, color, and smell of the water</w:t>
      </w:r>
      <w:r w:rsidR="00767EAB">
        <w:t xml:space="preserve"> provided by HC</w:t>
      </w:r>
      <w:r>
        <w:t xml:space="preserve">. </w:t>
      </w:r>
      <w:r w:rsidRPr="00E9524E">
        <w:t>Pursuant to Rule 25-30.433(1</w:t>
      </w:r>
      <w:proofErr w:type="gramStart"/>
      <w:r w:rsidRPr="00E9524E">
        <w:t>)(</w:t>
      </w:r>
      <w:proofErr w:type="gramEnd"/>
      <w:r w:rsidRPr="00E9524E">
        <w:t xml:space="preserve">d), </w:t>
      </w:r>
      <w:r>
        <w:t>F.A.C.</w:t>
      </w:r>
      <w:r w:rsidRPr="00E9524E">
        <w:t xml:space="preserve">, customer testimony, comments, or complaints shall be considered in the determination of the quality of service provided by the Utility. </w:t>
      </w:r>
      <w:r>
        <w:t>Therefore, t</w:t>
      </w:r>
      <w:r w:rsidRPr="00E9524E">
        <w:t>he overall quality of service should be considered unsatisfact</w:t>
      </w:r>
      <w:r>
        <w:t>ory due to customer complaints and</w:t>
      </w:r>
      <w:r w:rsidRPr="00E9524E">
        <w:t xml:space="preserve"> </w:t>
      </w:r>
      <w:r>
        <w:t>the Utility’s ROE</w:t>
      </w:r>
      <w:r w:rsidRPr="00E9524E">
        <w:t xml:space="preserve"> </w:t>
      </w:r>
      <w:r>
        <w:t xml:space="preserve">should </w:t>
      </w:r>
      <w:r w:rsidRPr="00E9524E">
        <w:t>be reduced by 50 basis points.</w:t>
      </w:r>
    </w:p>
    <w:p w:rsidR="00BB7B19" w:rsidRDefault="00BB7B19">
      <w:pPr>
        <w:pStyle w:val="IssueHeading"/>
        <w:rPr>
          <w:vanish/>
          <w:specVanish/>
        </w:rPr>
      </w:pPr>
      <w:r w:rsidRPr="004C3641">
        <w:rPr>
          <w:b w:val="0"/>
          <w:i w:val="0"/>
        </w:rPr>
        <w:br w:type="page"/>
      </w:r>
      <w:r w:rsidRPr="004C3641">
        <w:lastRenderedPageBreak/>
        <w:t xml:space="preserve">Issue </w:t>
      </w:r>
      <w:fldSimple w:instr=" SEQ Issue \* MERGEFORMAT ">
        <w:r w:rsidR="00414083">
          <w:rPr>
            <w:noProof/>
          </w:rPr>
          <w:t>2</w:t>
        </w:r>
      </w:fldSimple>
      <w:r w:rsidRPr="004C3641">
        <w:t>:</w:t>
      </w:r>
      <w:r>
        <w:fldChar w:fldCharType="begin"/>
      </w:r>
      <w:r>
        <w:instrText xml:space="preserve"> TC "</w:instrText>
      </w:r>
      <w:bookmarkStart w:id="18" w:name="_Toc35840313"/>
      <w:bookmarkStart w:id="19" w:name="_Toc38467934"/>
      <w:r w:rsidR="00B53C2B">
        <w:instrText xml:space="preserve">Issue </w:instrText>
      </w:r>
      <w:r w:rsidR="00B53C2B">
        <w:fldChar w:fldCharType="begin"/>
      </w:r>
      <w:r w:rsidR="00B53C2B">
        <w:instrText xml:space="preserve"> SEQ issue \c </w:instrText>
      </w:r>
      <w:r w:rsidR="00B53C2B">
        <w:fldChar w:fldCharType="separate"/>
      </w:r>
      <w:r w:rsidR="00414083">
        <w:rPr>
          <w:noProof/>
        </w:rPr>
        <w:instrText>2</w:instrText>
      </w:r>
      <w:r w:rsidR="00B53C2B">
        <w:fldChar w:fldCharType="end"/>
      </w:r>
      <w:r w:rsidR="00B53C2B">
        <w:instrText xml:space="preserve"> – Infrastructure and Operating Conditions</w:instrText>
      </w:r>
      <w:bookmarkEnd w:id="18"/>
      <w:bookmarkEnd w:id="19"/>
      <w:r w:rsidR="00B53C2B">
        <w:instrText>"</w:instrText>
      </w:r>
      <w:r>
        <w:instrText xml:space="preserve"> \l 1 </w:instrText>
      </w:r>
      <w:r>
        <w:fldChar w:fldCharType="end"/>
      </w:r>
      <w:r>
        <w:t> </w:t>
      </w:r>
    </w:p>
    <w:p w:rsidR="00BB7B19" w:rsidRDefault="00BB7B19">
      <w:pPr>
        <w:pStyle w:val="BodyText"/>
      </w:pPr>
      <w:r>
        <w:t> </w:t>
      </w:r>
      <w:r w:rsidR="00BF32E3" w:rsidRPr="00912F94">
        <w:t>Are the infrastructure and operating conditions of HC Waterworks, Inc.’s water system</w:t>
      </w:r>
      <w:r w:rsidR="00BF32E3">
        <w:t>s</w:t>
      </w:r>
      <w:r w:rsidR="00BF32E3" w:rsidRPr="00912F94">
        <w:t xml:space="preserve"> in compliance with DEP regulations?</w:t>
      </w:r>
    </w:p>
    <w:p w:rsidR="00BB7B19" w:rsidRPr="004C3641" w:rsidRDefault="00BB7B19">
      <w:pPr>
        <w:pStyle w:val="IssueSubsectionHeading"/>
        <w:rPr>
          <w:vanish/>
          <w:specVanish/>
        </w:rPr>
      </w:pPr>
      <w:r w:rsidRPr="004C3641">
        <w:t>Recommendation: </w:t>
      </w:r>
    </w:p>
    <w:p w:rsidR="00BB7B19" w:rsidRDefault="00BB7B19">
      <w:pPr>
        <w:pStyle w:val="BodyText"/>
      </w:pPr>
      <w:r>
        <w:t> </w:t>
      </w:r>
      <w:r w:rsidR="00BF32E3">
        <w:t xml:space="preserve">Yes. </w:t>
      </w:r>
      <w:r w:rsidR="00BF32E3" w:rsidRPr="00912F94">
        <w:t>HC</w:t>
      </w:r>
      <w:r w:rsidR="00BF32E3">
        <w:t xml:space="preserve">’s water system </w:t>
      </w:r>
      <w:r w:rsidR="00A2274F">
        <w:t>infrastructure and operating conditions are</w:t>
      </w:r>
      <w:r w:rsidR="00BF32E3">
        <w:t xml:space="preserve"> currently in compliance with the DEP.</w:t>
      </w:r>
      <w:r w:rsidR="009F781B">
        <w:t xml:space="preserve"> </w:t>
      </w:r>
      <w:r w:rsidR="00BF32E3">
        <w:t>(Johnson)</w:t>
      </w:r>
      <w:r>
        <w:t xml:space="preserve"> </w:t>
      </w:r>
    </w:p>
    <w:p w:rsidR="00BB7B19" w:rsidRPr="004C3641" w:rsidRDefault="00BB7B19">
      <w:pPr>
        <w:pStyle w:val="IssueSubsectionHeading"/>
        <w:rPr>
          <w:vanish/>
          <w:specVanish/>
        </w:rPr>
      </w:pPr>
      <w:r w:rsidRPr="004C3641">
        <w:t>Staff Analysis: </w:t>
      </w:r>
    </w:p>
    <w:p w:rsidR="002A09BA" w:rsidRPr="00096289" w:rsidRDefault="00BB7B19" w:rsidP="002A09BA">
      <w:pPr>
        <w:pStyle w:val="BodyText"/>
      </w:pPr>
      <w:r>
        <w:t> </w:t>
      </w:r>
      <w:r w:rsidR="002A09BA" w:rsidRPr="00096289">
        <w:t>Rule 25-30.225(2), F.A.C., requires each 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In making this determination, the Commission must consider testimony of the DEP and county health department officials, sanitary surveys, citations, violations, and consent orders issued to the utility, customer testimony, comments, and complaints, and utility testimony and responses to the aforementioned items.</w:t>
      </w:r>
    </w:p>
    <w:p w:rsidR="002A09BA" w:rsidRPr="00F625B8" w:rsidRDefault="002A09BA" w:rsidP="002A09BA">
      <w:pPr>
        <w:tabs>
          <w:tab w:val="left" w:pos="3810"/>
        </w:tabs>
        <w:jc w:val="both"/>
        <w:outlineLvl w:val="2"/>
        <w:rPr>
          <w:rFonts w:ascii="Arial" w:hAnsi="Arial" w:cs="Arial"/>
          <w:b/>
          <w:bCs/>
          <w:iCs/>
          <w:szCs w:val="28"/>
        </w:rPr>
      </w:pPr>
      <w:r w:rsidRPr="00F625B8">
        <w:rPr>
          <w:rFonts w:ascii="Arial" w:hAnsi="Arial" w:cs="Arial"/>
          <w:b/>
          <w:bCs/>
          <w:iCs/>
          <w:szCs w:val="28"/>
        </w:rPr>
        <w:t>Water System</w:t>
      </w:r>
      <w:r>
        <w:rPr>
          <w:rFonts w:ascii="Arial" w:hAnsi="Arial" w:cs="Arial"/>
          <w:b/>
          <w:bCs/>
          <w:iCs/>
          <w:szCs w:val="28"/>
        </w:rPr>
        <w:t xml:space="preserve"> Operating</w:t>
      </w:r>
      <w:r w:rsidRPr="00F625B8">
        <w:rPr>
          <w:rFonts w:ascii="Arial" w:hAnsi="Arial" w:cs="Arial"/>
          <w:b/>
          <w:bCs/>
          <w:iCs/>
          <w:szCs w:val="28"/>
        </w:rPr>
        <w:t xml:space="preserve"> Conditions</w:t>
      </w:r>
    </w:p>
    <w:p w:rsidR="002A09BA" w:rsidRDefault="002A09BA" w:rsidP="002A09BA">
      <w:pPr>
        <w:pStyle w:val="BodyText"/>
      </w:pPr>
      <w:r>
        <w:t xml:space="preserve">As discussed in Issue 1, </w:t>
      </w:r>
      <w:r w:rsidRPr="00334CC6">
        <w:t xml:space="preserve">HC’s water system </w:t>
      </w:r>
      <w:r>
        <w:t>consists of two independent water systems: the Leisure Lakes system and the Lake Josephine system. Previously, HC was composed of three water systems, but in October 2002, the Sebring Lakes system was interconnected with the Lake Josephine system. The Lake Josephine and Sebring Lakes systems are treated as one system by the DEP and the Commission.</w:t>
      </w:r>
    </w:p>
    <w:p w:rsidR="002A09BA" w:rsidRPr="004D794B" w:rsidRDefault="002A09BA" w:rsidP="004D794B">
      <w:pPr>
        <w:pStyle w:val="IssueSubsectionHeading"/>
        <w:spacing w:after="0"/>
        <w:ind w:firstLine="720"/>
      </w:pPr>
      <w:bookmarkStart w:id="20" w:name="_Hlk36513820"/>
      <w:r w:rsidRPr="004D794B">
        <w:t>Lake Josephine</w:t>
      </w:r>
      <w:bookmarkEnd w:id="20"/>
    </w:p>
    <w:p w:rsidR="002A09BA" w:rsidRDefault="002A09BA" w:rsidP="002A09BA">
      <w:pPr>
        <w:pStyle w:val="BodyText"/>
      </w:pPr>
      <w:r>
        <w:t>Lake Josephine’s water system has a permitted design capacity of 600,000 gallons per day (</w:t>
      </w:r>
      <w:proofErr w:type="spellStart"/>
      <w:r>
        <w:t>gpd</w:t>
      </w:r>
      <w:proofErr w:type="spellEnd"/>
      <w:r>
        <w:t xml:space="preserve">). The Lake Josephine water system has four wells with </w:t>
      </w:r>
      <w:r w:rsidR="00423438">
        <w:t xml:space="preserve">respective </w:t>
      </w:r>
      <w:r>
        <w:t>pumping capacities of 250, 400, 400, and 400 gallons per minute (</w:t>
      </w:r>
      <w:proofErr w:type="spellStart"/>
      <w:r>
        <w:t>gpm</w:t>
      </w:r>
      <w:proofErr w:type="spellEnd"/>
      <w:r>
        <w:t xml:space="preserve">). This water system also has two ground storage tanks with capacities of 71,000 gallons and 15,000 gallons, along with a hydropneumatic storage tank with a 10,000-gallon capacity. </w:t>
      </w:r>
    </w:p>
    <w:p w:rsidR="002A09BA" w:rsidRDefault="002A09BA" w:rsidP="002A09BA">
      <w:pPr>
        <w:jc w:val="both"/>
      </w:pPr>
      <w:r w:rsidRPr="00C166DA">
        <w:t xml:space="preserve">Staff reviewed </w:t>
      </w:r>
      <w:r>
        <w:t>the Lake Josephine</w:t>
      </w:r>
      <w:r w:rsidRPr="00C166DA">
        <w:t xml:space="preserve"> sanitary surveys conducted by the DEP to determine the Utility’s overall water facility compliance. A review of the inspection conducted on </w:t>
      </w:r>
      <w:r>
        <w:t>January 29, 2020</w:t>
      </w:r>
      <w:r w:rsidR="00DE0AA7">
        <w:t>,</w:t>
      </w:r>
      <w:r w:rsidRPr="00C166DA">
        <w:t xml:space="preserve"> indicated that</w:t>
      </w:r>
      <w:r>
        <w:t xml:space="preserve"> the</w:t>
      </w:r>
      <w:r w:rsidRPr="00C166DA">
        <w:t xml:space="preserve"> water treatment facility</w:t>
      </w:r>
      <w:r>
        <w:t xml:space="preserve"> had two minor </w:t>
      </w:r>
      <w:r w:rsidRPr="00C166DA">
        <w:t>compliance</w:t>
      </w:r>
      <w:r>
        <w:t xml:space="preserve"> violations</w:t>
      </w:r>
      <w:r w:rsidRPr="00C166DA">
        <w:t xml:space="preserve"> with the DEP’s rules and regulations</w:t>
      </w:r>
      <w:r>
        <w:t>. The violations were</w:t>
      </w:r>
      <w:r w:rsidRPr="00A56C3E">
        <w:rPr>
          <w:color w:val="000000"/>
        </w:rPr>
        <w:t xml:space="preserve"> </w:t>
      </w:r>
      <w:r>
        <w:rPr>
          <w:color w:val="000000"/>
        </w:rPr>
        <w:t xml:space="preserve">a slight </w:t>
      </w:r>
      <w:r w:rsidRPr="00A56C3E">
        <w:rPr>
          <w:color w:val="000000"/>
        </w:rPr>
        <w:t>crack in the well pad and a protective screen was off a well</w:t>
      </w:r>
      <w:r>
        <w:rPr>
          <w:color w:val="000000"/>
        </w:rPr>
        <w:t>.</w:t>
      </w:r>
      <w:r>
        <w:t xml:space="preserve"> On April 6, 2020, the Utility indicated that these violations have been corrected.</w:t>
      </w:r>
    </w:p>
    <w:p w:rsidR="002A09BA" w:rsidRDefault="002A09BA" w:rsidP="002A09BA">
      <w:pPr>
        <w:jc w:val="both"/>
      </w:pPr>
    </w:p>
    <w:p w:rsidR="002A09BA" w:rsidRPr="004D794B" w:rsidRDefault="002A09BA" w:rsidP="004D794B">
      <w:pPr>
        <w:pStyle w:val="IssueSubsectionHeading"/>
        <w:spacing w:after="0"/>
        <w:ind w:firstLine="720"/>
      </w:pPr>
      <w:r w:rsidRPr="004D794B">
        <w:t xml:space="preserve">Leisure Lakes </w:t>
      </w:r>
    </w:p>
    <w:p w:rsidR="002A09BA" w:rsidRDefault="002A09BA" w:rsidP="002A09BA">
      <w:pPr>
        <w:pStyle w:val="BodyText"/>
      </w:pPr>
      <w:r>
        <w:t>Leisure Lakes’ water system has a permitted plant</w:t>
      </w:r>
      <w:r w:rsidR="00557FB8">
        <w:t xml:space="preserve"> design capacity of 72,000 </w:t>
      </w:r>
      <w:proofErr w:type="spellStart"/>
      <w:r w:rsidR="00557FB8">
        <w:t>gpd</w:t>
      </w:r>
      <w:proofErr w:type="spellEnd"/>
      <w:r w:rsidR="00557FB8">
        <w:t>.</w:t>
      </w:r>
      <w:r>
        <w:t xml:space="preserve"> Leisure Lakes’ water system has two wells with </w:t>
      </w:r>
      <w:r w:rsidR="00B4654B">
        <w:t xml:space="preserve">respective </w:t>
      </w:r>
      <w:r>
        <w:t>pumpi</w:t>
      </w:r>
      <w:r w:rsidR="00B4654B">
        <w:t>ng capacities</w:t>
      </w:r>
      <w:r>
        <w:t xml:space="preserve"> of 200 and 50 </w:t>
      </w:r>
      <w:proofErr w:type="spellStart"/>
      <w:r>
        <w:t>gpm</w:t>
      </w:r>
      <w:proofErr w:type="spellEnd"/>
      <w:r>
        <w:t xml:space="preserve">, and a ground storage tank with a 50,000 gallons capacity. </w:t>
      </w:r>
    </w:p>
    <w:p w:rsidR="002A09BA" w:rsidRDefault="002A09BA" w:rsidP="002A09BA">
      <w:pPr>
        <w:pStyle w:val="BodyText"/>
      </w:pPr>
      <w:r>
        <w:t>HC and the DEP entered into a Cons</w:t>
      </w:r>
      <w:r w:rsidR="00557FB8">
        <w:t xml:space="preserve">ent Order, on October 1, 2018. </w:t>
      </w:r>
      <w:r>
        <w:t xml:space="preserve">This Consent Order required HC to install a packed tower aeration system/forced draft degasification tower and install a 4,000-gallon hydropneumatic (pressure) tank, among other modifications. The construction of the forced draft aeration system is the remedy for the </w:t>
      </w:r>
      <w:r w:rsidR="002B2EA8">
        <w:t>non-compliance issues from 2017</w:t>
      </w:r>
      <w:r>
        <w:t xml:space="preserve"> that resulted in the October 1, 2018 Consent Order.</w:t>
      </w:r>
    </w:p>
    <w:p w:rsidR="002A09BA" w:rsidRPr="00F3775D" w:rsidRDefault="002A09BA" w:rsidP="002A09BA">
      <w:pPr>
        <w:pStyle w:val="BodyText"/>
      </w:pPr>
      <w:r w:rsidRPr="00F3775D">
        <w:lastRenderedPageBreak/>
        <w:t>Staff reviewed Leisure Lakes’ sanitary surveys conducted by the DEP to determine this system’s overall water facility compliance. Also, staff received an email from the DEP, dated February 6, 2020,</w:t>
      </w:r>
      <w:r w:rsidR="00477099">
        <w:t xml:space="preserve"> </w:t>
      </w:r>
      <w:r w:rsidR="003B2FB0" w:rsidRPr="00F3775D">
        <w:t xml:space="preserve">in which the </w:t>
      </w:r>
      <w:r w:rsidRPr="00F3775D">
        <w:t>DEP stated, “In regard to the Leisure Lakes Consent Order, all the corrective action items listed in the conse</w:t>
      </w:r>
      <w:r w:rsidR="00557FB8" w:rsidRPr="00F3775D">
        <w:t xml:space="preserve">nt order have been completed.” </w:t>
      </w:r>
      <w:r w:rsidRPr="00F3775D">
        <w:t xml:space="preserve">After completing items in the Consent Order, </w:t>
      </w:r>
      <w:r w:rsidR="00AF322A" w:rsidRPr="00F3775D">
        <w:t xml:space="preserve">the </w:t>
      </w:r>
      <w:r w:rsidRPr="00F3775D">
        <w:t xml:space="preserve">Leisure Lakes </w:t>
      </w:r>
      <w:r w:rsidR="00AF322A" w:rsidRPr="00F3775D">
        <w:t xml:space="preserve">WTP is currently in </w:t>
      </w:r>
      <w:r w:rsidRPr="00F3775D">
        <w:t xml:space="preserve">compliance </w:t>
      </w:r>
      <w:r w:rsidR="00AF322A" w:rsidRPr="00F3775D">
        <w:t>with the DEP</w:t>
      </w:r>
      <w:r w:rsidRPr="00F3775D">
        <w:t>.</w:t>
      </w:r>
    </w:p>
    <w:p w:rsidR="002A09BA" w:rsidRPr="00096289" w:rsidRDefault="002A09BA" w:rsidP="002A09BA">
      <w:pPr>
        <w:pStyle w:val="First-LevelSubheading"/>
      </w:pPr>
      <w:r w:rsidRPr="00096289">
        <w:t>Conclusion</w:t>
      </w:r>
    </w:p>
    <w:p w:rsidR="002A09BA" w:rsidRDefault="0075406C" w:rsidP="00F3775D">
      <w:pPr>
        <w:jc w:val="both"/>
      </w:pPr>
      <w:r w:rsidRPr="0075406C">
        <w:t xml:space="preserve">Staff believes that </w:t>
      </w:r>
      <w:r w:rsidR="002A09BA" w:rsidRPr="0075406C">
        <w:t>HC’s water system</w:t>
      </w:r>
      <w:r w:rsidRPr="0075406C">
        <w:t xml:space="preserve"> infrastructure and operating conditions are </w:t>
      </w:r>
      <w:r w:rsidR="002A09BA" w:rsidRPr="0075406C">
        <w:t>currently in compliance with the DEP</w:t>
      </w:r>
      <w:r w:rsidR="002A09BA">
        <w:t>.</w:t>
      </w:r>
    </w:p>
    <w:p w:rsidR="006D58A7" w:rsidRPr="006D58A7" w:rsidRDefault="006D58A7">
      <w:pPr>
        <w:pStyle w:val="IssueHeading"/>
        <w:rPr>
          <w:vanish/>
          <w:specVanish/>
        </w:rPr>
      </w:pPr>
      <w:r w:rsidRPr="004C3641">
        <w:rPr>
          <w:b w:val="0"/>
          <w:i w:val="0"/>
        </w:rPr>
        <w:br w:type="page"/>
      </w:r>
      <w:r w:rsidRPr="004C3641">
        <w:lastRenderedPageBreak/>
        <w:t xml:space="preserve">Issue </w:t>
      </w:r>
      <w:fldSimple w:instr=" SEQ Issue \* MERGEFORMAT ">
        <w:r w:rsidR="00414083">
          <w:rPr>
            <w:noProof/>
          </w:rPr>
          <w:t>3</w:t>
        </w:r>
      </w:fldSimple>
      <w:r w:rsidRPr="004C3641">
        <w:t>:</w:t>
      </w:r>
      <w:r>
        <w:fldChar w:fldCharType="begin"/>
      </w:r>
      <w:r>
        <w:instrText xml:space="preserve"> TC "</w:instrText>
      </w:r>
      <w:bookmarkStart w:id="21" w:name="_Toc38467935"/>
      <w:r w:rsidR="004732A9">
        <w:instrText xml:space="preserve">Issue </w:instrText>
      </w:r>
      <w:r>
        <w:fldChar w:fldCharType="begin"/>
      </w:r>
      <w:r>
        <w:instrText xml:space="preserve"> SEQ issue \c </w:instrText>
      </w:r>
      <w:r>
        <w:fldChar w:fldCharType="separate"/>
      </w:r>
      <w:r w:rsidR="00414083">
        <w:rPr>
          <w:noProof/>
        </w:rPr>
        <w:instrText>3</w:instrText>
      </w:r>
      <w:r>
        <w:fldChar w:fldCharType="end"/>
      </w:r>
      <w:r w:rsidR="004732A9">
        <w:instrText xml:space="preserve"> – Audit Adjustments to Rate Base</w:instrText>
      </w:r>
      <w:bookmarkEnd w:id="21"/>
      <w:r>
        <w:tab/>
        <w:instrText xml:space="preserve">" \l 1 </w:instrText>
      </w:r>
      <w:r>
        <w:fldChar w:fldCharType="end"/>
      </w:r>
      <w:r>
        <w:t> </w:t>
      </w:r>
    </w:p>
    <w:p w:rsidR="006D58A7" w:rsidRDefault="006D58A7">
      <w:pPr>
        <w:pStyle w:val="BodyText"/>
      </w:pPr>
      <w:r w:rsidRPr="006D58A7">
        <w:t> </w:t>
      </w:r>
      <w:r>
        <w:t>Should the audit adjustments to rate base to which the Utility agree</w:t>
      </w:r>
      <w:r w:rsidR="002C38E1">
        <w:t>s</w:t>
      </w:r>
      <w:r>
        <w:t xml:space="preserve"> be made?</w:t>
      </w:r>
    </w:p>
    <w:p w:rsidR="006D58A7" w:rsidRPr="004C3641" w:rsidRDefault="006D58A7">
      <w:pPr>
        <w:pStyle w:val="IssueSubsectionHeading"/>
        <w:rPr>
          <w:vanish/>
          <w:specVanish/>
        </w:rPr>
      </w:pPr>
      <w:r w:rsidRPr="004C3641">
        <w:t>Recommendation: </w:t>
      </w:r>
    </w:p>
    <w:p w:rsidR="006D58A7" w:rsidRDefault="006D58A7">
      <w:pPr>
        <w:pStyle w:val="BodyText"/>
      </w:pPr>
      <w:r>
        <w:t> </w:t>
      </w:r>
      <w:r w:rsidR="00517613">
        <w:t>Y</w:t>
      </w:r>
      <w:r w:rsidR="00517613" w:rsidRPr="00BF7707">
        <w:t>es. Plant should b</w:t>
      </w:r>
      <w:r w:rsidR="00517613">
        <w:t xml:space="preserve">e decreased by $7,383 and </w:t>
      </w:r>
      <w:r w:rsidR="00517613" w:rsidRPr="00BF7707">
        <w:t>accumulated depreciation should be decreased by $1,02</w:t>
      </w:r>
      <w:r w:rsidR="00517613">
        <w:t>1</w:t>
      </w:r>
      <w:r w:rsidR="00517613" w:rsidRPr="00BF7707">
        <w:t>. A corresponding adjustment should be made to decrease depreciation expense by $26</w:t>
      </w:r>
      <w:r w:rsidR="00517613">
        <w:t>1. (Thurmond)</w:t>
      </w:r>
      <w:r>
        <w:t xml:space="preserve"> </w:t>
      </w:r>
    </w:p>
    <w:p w:rsidR="006D58A7" w:rsidRPr="004C3641" w:rsidRDefault="006D58A7">
      <w:pPr>
        <w:pStyle w:val="IssueSubsectionHeading"/>
        <w:rPr>
          <w:vanish/>
          <w:specVanish/>
        </w:rPr>
      </w:pPr>
      <w:r w:rsidRPr="004C3641">
        <w:t>Staff Analysis: </w:t>
      </w:r>
    </w:p>
    <w:p w:rsidR="006D58A7" w:rsidRDefault="006D58A7">
      <w:pPr>
        <w:pStyle w:val="BodyText"/>
      </w:pPr>
      <w:r>
        <w:t> </w:t>
      </w:r>
      <w:r w:rsidR="00BE390C" w:rsidRPr="00BF7707">
        <w:t>Staff’s audit report was filed on February 3, 2020. HC did not file a formal response to the audit</w:t>
      </w:r>
      <w:r w:rsidR="00D7529E">
        <w:t xml:space="preserve"> </w:t>
      </w:r>
      <w:r w:rsidR="00BE390C" w:rsidRPr="00BF7707">
        <w:t>because it did not oppose any of the findings. The audit adjustments are set forth</w:t>
      </w:r>
      <w:r w:rsidR="00F969E6">
        <w:t xml:space="preserve"> </w:t>
      </w:r>
      <w:r w:rsidR="00E921EC">
        <w:t xml:space="preserve">in </w:t>
      </w:r>
      <w:r w:rsidR="00F969E6">
        <w:t>Table 3-1</w:t>
      </w:r>
      <w:r w:rsidR="00BE390C">
        <w:t>.</w:t>
      </w:r>
    </w:p>
    <w:p w:rsidR="008850EB" w:rsidRDefault="008850EB" w:rsidP="008850EB">
      <w:pPr>
        <w:pStyle w:val="TableNumber"/>
        <w:keepNext/>
      </w:pPr>
      <w:r>
        <w:t xml:space="preserve">Table </w:t>
      </w:r>
      <w:r w:rsidR="00194728">
        <w:fldChar w:fldCharType="begin"/>
      </w:r>
      <w:r w:rsidR="00194728">
        <w:instrText xml:space="preserve"> SEQ Issue \c </w:instrText>
      </w:r>
      <w:r w:rsidR="00194728">
        <w:fldChar w:fldCharType="separate"/>
      </w:r>
      <w:r w:rsidR="00414083">
        <w:rPr>
          <w:noProof/>
        </w:rPr>
        <w:t>3</w:t>
      </w:r>
      <w:r w:rsidR="00194728">
        <w:rPr>
          <w:noProof/>
        </w:rPr>
        <w:fldChar w:fldCharType="end"/>
      </w:r>
      <w:r>
        <w:t>-1</w:t>
      </w:r>
    </w:p>
    <w:p w:rsidR="008850EB" w:rsidRDefault="008850EB" w:rsidP="008850EB">
      <w:pPr>
        <w:pStyle w:val="TableTitle"/>
        <w:keepNext/>
      </w:pPr>
      <w:r>
        <w:t>Audit Adjustments</w:t>
      </w:r>
    </w:p>
    <w:tbl>
      <w:tblPr>
        <w:tblStyle w:val="TableGrid"/>
        <w:tblW w:w="0" w:type="auto"/>
        <w:tblLook w:val="04A0" w:firstRow="1" w:lastRow="0" w:firstColumn="1" w:lastColumn="0" w:noHBand="0" w:noVBand="1"/>
      </w:tblPr>
      <w:tblGrid>
        <w:gridCol w:w="1454"/>
        <w:gridCol w:w="3390"/>
        <w:gridCol w:w="1540"/>
        <w:gridCol w:w="1576"/>
        <w:gridCol w:w="1616"/>
      </w:tblGrid>
      <w:tr w:rsidR="008850EB" w:rsidTr="00AF1058">
        <w:tc>
          <w:tcPr>
            <w:tcW w:w="1458" w:type="dxa"/>
            <w:vAlign w:val="center"/>
          </w:tcPr>
          <w:p w:rsidR="008850EB" w:rsidRPr="00FD31B9" w:rsidRDefault="008850EB" w:rsidP="00AF1058">
            <w:pPr>
              <w:jc w:val="center"/>
              <w:rPr>
                <w:b/>
              </w:rPr>
            </w:pPr>
            <w:r w:rsidRPr="00FD31B9">
              <w:rPr>
                <w:b/>
              </w:rPr>
              <w:t>Audit Adjustment</w:t>
            </w:r>
          </w:p>
        </w:tc>
        <w:tc>
          <w:tcPr>
            <w:tcW w:w="3690" w:type="dxa"/>
            <w:vAlign w:val="center"/>
          </w:tcPr>
          <w:p w:rsidR="008850EB" w:rsidRPr="00FD31B9" w:rsidRDefault="008850EB" w:rsidP="00AF1058">
            <w:pPr>
              <w:jc w:val="center"/>
              <w:rPr>
                <w:b/>
              </w:rPr>
            </w:pPr>
            <w:r w:rsidRPr="00FD31B9">
              <w:rPr>
                <w:b/>
              </w:rPr>
              <w:t>Description</w:t>
            </w:r>
          </w:p>
        </w:tc>
        <w:tc>
          <w:tcPr>
            <w:tcW w:w="1620" w:type="dxa"/>
            <w:vAlign w:val="center"/>
          </w:tcPr>
          <w:p w:rsidR="008850EB" w:rsidRPr="00FD31B9" w:rsidRDefault="008850EB" w:rsidP="00AF1058">
            <w:pPr>
              <w:jc w:val="center"/>
              <w:rPr>
                <w:b/>
              </w:rPr>
            </w:pPr>
            <w:r w:rsidRPr="00FD31B9">
              <w:rPr>
                <w:b/>
              </w:rPr>
              <w:t>Plant</w:t>
            </w:r>
          </w:p>
        </w:tc>
        <w:tc>
          <w:tcPr>
            <w:tcW w:w="1179" w:type="dxa"/>
            <w:vAlign w:val="center"/>
          </w:tcPr>
          <w:p w:rsidR="008850EB" w:rsidRPr="00FD31B9" w:rsidRDefault="008850EB" w:rsidP="00AF1058">
            <w:pPr>
              <w:jc w:val="center"/>
              <w:rPr>
                <w:b/>
              </w:rPr>
            </w:pPr>
            <w:r w:rsidRPr="00FD31B9">
              <w:rPr>
                <w:b/>
              </w:rPr>
              <w:t>Accumulated Depreciation</w:t>
            </w:r>
          </w:p>
        </w:tc>
        <w:tc>
          <w:tcPr>
            <w:tcW w:w="1629" w:type="dxa"/>
            <w:vAlign w:val="center"/>
          </w:tcPr>
          <w:p w:rsidR="008850EB" w:rsidRPr="00FD31B9" w:rsidRDefault="008850EB" w:rsidP="00AF1058">
            <w:pPr>
              <w:jc w:val="center"/>
              <w:rPr>
                <w:b/>
              </w:rPr>
            </w:pPr>
            <w:r w:rsidRPr="00FD31B9">
              <w:rPr>
                <w:b/>
              </w:rPr>
              <w:t>Depreciation Expense</w:t>
            </w:r>
          </w:p>
        </w:tc>
      </w:tr>
      <w:tr w:rsidR="008850EB" w:rsidTr="00AF1058">
        <w:tc>
          <w:tcPr>
            <w:tcW w:w="1458" w:type="dxa"/>
            <w:vAlign w:val="center"/>
          </w:tcPr>
          <w:p w:rsidR="008850EB" w:rsidRPr="00FD31B9" w:rsidRDefault="008850EB" w:rsidP="00AF1058">
            <w:pPr>
              <w:jc w:val="center"/>
            </w:pPr>
            <w:r>
              <w:t>Finding 1</w:t>
            </w:r>
          </w:p>
        </w:tc>
        <w:tc>
          <w:tcPr>
            <w:tcW w:w="3690" w:type="dxa"/>
          </w:tcPr>
          <w:p w:rsidR="008850EB" w:rsidRDefault="008850EB" w:rsidP="00AF1058">
            <w:r>
              <w:t>Commission-Ordered Adjustments</w:t>
            </w:r>
          </w:p>
        </w:tc>
        <w:tc>
          <w:tcPr>
            <w:tcW w:w="1620" w:type="dxa"/>
            <w:vAlign w:val="bottom"/>
          </w:tcPr>
          <w:p w:rsidR="008850EB" w:rsidRDefault="008850EB" w:rsidP="00AF1058">
            <w:pPr>
              <w:jc w:val="right"/>
            </w:pPr>
            <w:r>
              <w:t>($7,383)</w:t>
            </w:r>
          </w:p>
        </w:tc>
        <w:tc>
          <w:tcPr>
            <w:tcW w:w="1179" w:type="dxa"/>
            <w:vAlign w:val="bottom"/>
          </w:tcPr>
          <w:p w:rsidR="008850EB" w:rsidRDefault="008850EB" w:rsidP="00AF1058">
            <w:pPr>
              <w:jc w:val="right"/>
            </w:pPr>
            <w:r>
              <w:t>$1,021</w:t>
            </w:r>
          </w:p>
        </w:tc>
        <w:tc>
          <w:tcPr>
            <w:tcW w:w="1629" w:type="dxa"/>
            <w:vAlign w:val="bottom"/>
          </w:tcPr>
          <w:p w:rsidR="008850EB" w:rsidRDefault="008850EB" w:rsidP="00AF1058">
            <w:pPr>
              <w:jc w:val="right"/>
            </w:pPr>
            <w:r>
              <w:t>($261)</w:t>
            </w:r>
          </w:p>
        </w:tc>
      </w:tr>
    </w:tbl>
    <w:p w:rsidR="008850EB" w:rsidRDefault="008850EB" w:rsidP="004D794B">
      <w:pPr>
        <w:pStyle w:val="IssueHeading"/>
        <w:spacing w:after="480"/>
        <w:rPr>
          <w:rFonts w:ascii="Times New Roman" w:hAnsi="Times New Roman" w:cs="Times New Roman"/>
          <w:b w:val="0"/>
          <w:i w:val="0"/>
          <w:sz w:val="20"/>
          <w:szCs w:val="20"/>
        </w:rPr>
      </w:pPr>
      <w:r w:rsidRPr="008850EB">
        <w:rPr>
          <w:rFonts w:ascii="Times New Roman" w:hAnsi="Times New Roman" w:cs="Times New Roman"/>
          <w:b w:val="0"/>
          <w:i w:val="0"/>
          <w:sz w:val="20"/>
          <w:szCs w:val="20"/>
        </w:rPr>
        <w:t xml:space="preserve">Source: </w:t>
      </w:r>
      <w:r>
        <w:rPr>
          <w:rFonts w:ascii="Times New Roman" w:hAnsi="Times New Roman" w:cs="Times New Roman"/>
          <w:b w:val="0"/>
          <w:i w:val="0"/>
          <w:sz w:val="20"/>
          <w:szCs w:val="20"/>
        </w:rPr>
        <w:t>Staff Audit Report</w:t>
      </w:r>
    </w:p>
    <w:p w:rsidR="008850EB" w:rsidRDefault="008850EB">
      <w:pPr>
        <w:pStyle w:val="IssueHeading"/>
        <w:rPr>
          <w:rFonts w:ascii="Times New Roman" w:hAnsi="Times New Roman" w:cs="Times New Roman"/>
          <w:b w:val="0"/>
          <w:i w:val="0"/>
          <w:sz w:val="20"/>
          <w:szCs w:val="20"/>
        </w:rPr>
      </w:pPr>
    </w:p>
    <w:p w:rsidR="006D58A7" w:rsidRDefault="006D58A7">
      <w:pPr>
        <w:pStyle w:val="IssueHeading"/>
        <w:rPr>
          <w:vanish/>
          <w:specVanish/>
        </w:rPr>
      </w:pPr>
      <w:r w:rsidRPr="004C3641">
        <w:rPr>
          <w:b w:val="0"/>
          <w:i w:val="0"/>
        </w:rPr>
        <w:br w:type="page"/>
      </w:r>
      <w:r w:rsidRPr="004C3641">
        <w:lastRenderedPageBreak/>
        <w:t xml:space="preserve">Issue </w:t>
      </w:r>
      <w:fldSimple w:instr=" SEQ Issue \* MERGEFORMAT ">
        <w:r w:rsidR="00414083">
          <w:rPr>
            <w:noProof/>
          </w:rPr>
          <w:t>4</w:t>
        </w:r>
      </w:fldSimple>
      <w:r w:rsidRPr="004C3641">
        <w:t>:</w:t>
      </w:r>
      <w:r>
        <w:fldChar w:fldCharType="begin"/>
      </w:r>
      <w:r>
        <w:instrText xml:space="preserve"> TC "</w:instrText>
      </w:r>
      <w:bookmarkStart w:id="22" w:name="_Toc38467936"/>
      <w:r w:rsidR="004732A9">
        <w:instrText xml:space="preserve">Issue </w:instrText>
      </w:r>
      <w:r>
        <w:fldChar w:fldCharType="begin"/>
      </w:r>
      <w:r>
        <w:instrText xml:space="preserve"> SEQ issue \c </w:instrText>
      </w:r>
      <w:r>
        <w:fldChar w:fldCharType="separate"/>
      </w:r>
      <w:r w:rsidR="00414083">
        <w:rPr>
          <w:noProof/>
        </w:rPr>
        <w:instrText>4</w:instrText>
      </w:r>
      <w:r>
        <w:fldChar w:fldCharType="end"/>
      </w:r>
      <w:r w:rsidR="004732A9">
        <w:instrText xml:space="preserve"> – Other Adjustments to Rate Base</w:instrText>
      </w:r>
      <w:bookmarkEnd w:id="22"/>
      <w:r>
        <w:instrText xml:space="preserve">" \l 1 </w:instrText>
      </w:r>
      <w:r>
        <w:fldChar w:fldCharType="end"/>
      </w:r>
      <w:r>
        <w:t> </w:t>
      </w:r>
    </w:p>
    <w:p w:rsidR="006D58A7" w:rsidRDefault="006D58A7">
      <w:pPr>
        <w:pStyle w:val="BodyText"/>
      </w:pPr>
      <w:r>
        <w:t> </w:t>
      </w:r>
      <w:r w:rsidR="00E11838">
        <w:t>Should further adjustments be made to test year rate base</w:t>
      </w:r>
      <w:r w:rsidR="00B63DF0" w:rsidRPr="00E11838">
        <w:t>?</w:t>
      </w:r>
      <w:r w:rsidR="00B63DF0">
        <w:t xml:space="preserve"> </w:t>
      </w:r>
    </w:p>
    <w:p w:rsidR="006D58A7" w:rsidRPr="004C3641" w:rsidRDefault="006D58A7">
      <w:pPr>
        <w:pStyle w:val="IssueSubsectionHeading"/>
        <w:rPr>
          <w:vanish/>
          <w:specVanish/>
        </w:rPr>
      </w:pPr>
      <w:r w:rsidRPr="004C3641">
        <w:t>Recommendation: </w:t>
      </w:r>
    </w:p>
    <w:p w:rsidR="006D58A7" w:rsidRDefault="006D58A7">
      <w:pPr>
        <w:pStyle w:val="BodyText"/>
      </w:pPr>
      <w:r>
        <w:t> </w:t>
      </w:r>
      <w:r w:rsidR="008B2537">
        <w:t>Yes, plant should be increased by $31,138 and accumulated depreciation should be decreased by $7,707. A corresponding adjustment should be made to decrease depreciati</w:t>
      </w:r>
      <w:r w:rsidR="00557FB8">
        <w:t xml:space="preserve">on expense by $1,463. </w:t>
      </w:r>
      <w:r w:rsidR="008B2537">
        <w:t>(Johnson, Knoblauch, Thurmond)</w:t>
      </w:r>
      <w:r>
        <w:t xml:space="preserve"> </w:t>
      </w:r>
    </w:p>
    <w:p w:rsidR="006D58A7" w:rsidRPr="004C3641" w:rsidRDefault="006D58A7">
      <w:pPr>
        <w:pStyle w:val="IssueSubsectionHeading"/>
        <w:rPr>
          <w:vanish/>
          <w:specVanish/>
        </w:rPr>
      </w:pPr>
      <w:r w:rsidRPr="004C3641">
        <w:t>Staff Analysis: </w:t>
      </w:r>
    </w:p>
    <w:p w:rsidR="006D58A7" w:rsidRDefault="006D58A7">
      <w:pPr>
        <w:pStyle w:val="BodyText"/>
      </w:pPr>
      <w:r>
        <w:t> </w:t>
      </w:r>
      <w:r w:rsidR="008B2537" w:rsidRPr="005068BC">
        <w:t>Staff has reviewed the test year rate base components along with support documentation. Staff believes further adjustments are necessary to HC’s rate base, as discussed below</w:t>
      </w:r>
      <w:r w:rsidR="008B2537">
        <w:t>.</w:t>
      </w:r>
    </w:p>
    <w:p w:rsidR="008B2537" w:rsidRDefault="008B2537" w:rsidP="008B2537">
      <w:pPr>
        <w:pStyle w:val="First-LevelSubheading"/>
      </w:pPr>
      <w:r>
        <w:t>Test Year Plant Additions</w:t>
      </w:r>
    </w:p>
    <w:p w:rsidR="00B34542" w:rsidRDefault="00F10A09" w:rsidP="00B34542">
      <w:pPr>
        <w:jc w:val="both"/>
      </w:pPr>
      <w:r>
        <w:t xml:space="preserve">Highlands County and the FDOT initiated a road widening project, and notified HC that its water mains, in the </w:t>
      </w:r>
      <w:r w:rsidRPr="003F343B">
        <w:t>right-of-way of Lake Josephine Drive</w:t>
      </w:r>
      <w:r>
        <w:t>, would need to be relocated</w:t>
      </w:r>
      <w:r w:rsidRPr="003F343B">
        <w:t>.</w:t>
      </w:r>
      <w:r>
        <w:t xml:space="preserve"> </w:t>
      </w:r>
      <w:r w:rsidR="00B34542">
        <w:t xml:space="preserve">In its MFRs, HC requested $516,589 for a </w:t>
      </w:r>
      <w:r w:rsidR="00B14F9C">
        <w:t xml:space="preserve">water </w:t>
      </w:r>
      <w:r w:rsidR="00550323">
        <w:t xml:space="preserve">main relocation project </w:t>
      </w:r>
      <w:r w:rsidR="00B34542">
        <w:t xml:space="preserve">within its Lake Josephine system. The Utility received two bids and the lowest bidder was selected. The selected bidder was also the </w:t>
      </w:r>
      <w:r w:rsidR="00B34542" w:rsidRPr="00093D83">
        <w:t xml:space="preserve">contractor utilized by Highlands County; therefore, the contractor was already on-site. The </w:t>
      </w:r>
      <w:r w:rsidR="00B32E09">
        <w:t xml:space="preserve">water main relocation </w:t>
      </w:r>
      <w:r w:rsidR="00B34542" w:rsidRPr="00093D83">
        <w:t xml:space="preserve">project was completed in January 2018, and the Utility provided invoices for </w:t>
      </w:r>
      <w:r w:rsidR="00B34542">
        <w:t xml:space="preserve">an actual </w:t>
      </w:r>
      <w:r w:rsidR="00B34542" w:rsidRPr="00093D83">
        <w:t xml:space="preserve">project cost of $514,039, including engineering </w:t>
      </w:r>
      <w:r w:rsidR="00B34542" w:rsidRPr="00E71B2F">
        <w:t>and permitting costs.</w:t>
      </w:r>
      <w:r w:rsidR="00B34542">
        <w:t xml:space="preserve"> </w:t>
      </w:r>
    </w:p>
    <w:p w:rsidR="00B34542" w:rsidRDefault="00B34542" w:rsidP="00B34542">
      <w:pPr>
        <w:jc w:val="both"/>
      </w:pPr>
    </w:p>
    <w:p w:rsidR="00B34542" w:rsidRDefault="00B34542" w:rsidP="00B34542">
      <w:pPr>
        <w:jc w:val="both"/>
      </w:pPr>
      <w:r>
        <w:t>In its MFRs, HC recorded $</w:t>
      </w:r>
      <w:r w:rsidRPr="00534F8F">
        <w:t>493</w:t>
      </w:r>
      <w:r>
        <w:t>,</w:t>
      </w:r>
      <w:r w:rsidRPr="00534F8F">
        <w:t>015</w:t>
      </w:r>
      <w:r>
        <w:t xml:space="preserve"> for a water quality improvement project at its Lake Josephine WTP required by the DEP. In May 2017, HC met with the DEP to discuss ongoing water quality issues with its </w:t>
      </w:r>
      <w:r w:rsidRPr="00476197">
        <w:t xml:space="preserve">Lake Josephine </w:t>
      </w:r>
      <w:r>
        <w:t>system. The Utility stated that the DEP had indicated it was prepared to issue a Consent Order if HC did not promptly address the hydrogen sulfide in the water. In September 2017, the DEP issued a</w:t>
      </w:r>
      <w:r w:rsidRPr="00476197">
        <w:t xml:space="preserve"> construction permit</w:t>
      </w:r>
      <w:r>
        <w:t xml:space="preserve"> to the Utility for the addition of a new</w:t>
      </w:r>
      <w:r w:rsidRPr="00476197">
        <w:t xml:space="preserve"> treatment system</w:t>
      </w:r>
      <w:r>
        <w:t xml:space="preserve"> at the </w:t>
      </w:r>
      <w:r w:rsidRPr="00476197">
        <w:t>Lake Josephine WTP</w:t>
      </w:r>
      <w:r>
        <w:t xml:space="preserve">. The new treatment system implemented was a packed tower </w:t>
      </w:r>
      <w:r w:rsidRPr="00476197">
        <w:t xml:space="preserve">aeration treatment system for </w:t>
      </w:r>
      <w:r>
        <w:t>removal of hydrogen sulfide. The Utility received thre</w:t>
      </w:r>
      <w:r w:rsidR="00A36D01">
        <w:t xml:space="preserve">e bids for the aeration project </w:t>
      </w:r>
      <w:r>
        <w:t xml:space="preserve">and </w:t>
      </w:r>
      <w:r w:rsidR="00A36D01">
        <w:t xml:space="preserve">the Utility chose the lowest bidder, </w:t>
      </w:r>
      <w:r w:rsidRPr="001D5781">
        <w:t>U</w:t>
      </w:r>
      <w:r>
        <w:t>.</w:t>
      </w:r>
      <w:r w:rsidRPr="001D5781">
        <w:t>S</w:t>
      </w:r>
      <w:r>
        <w:t>.</w:t>
      </w:r>
      <w:r w:rsidRPr="001D5781">
        <w:t xml:space="preserve"> Water Services</w:t>
      </w:r>
      <w:r w:rsidR="006B63FE">
        <w:t xml:space="preserve"> Corporation (USWSC). </w:t>
      </w:r>
      <w:r>
        <w:t xml:space="preserve">The aeration tower was completed and placed into service in June 2018; </w:t>
      </w:r>
      <w:r w:rsidRPr="00984A61">
        <w:t>having received partial clearance from the DEP</w:t>
      </w:r>
      <w:r w:rsidRPr="00093D83">
        <w:t>.</w:t>
      </w:r>
      <w:r>
        <w:t xml:space="preserve"> The DEP indicated that all portions of the project would need to be completed before granting full clearance. Some of the remaining portions of the project</w:t>
      </w:r>
      <w:r w:rsidR="00A36D01">
        <w:t xml:space="preserve"> included</w:t>
      </w:r>
      <w:r>
        <w:t xml:space="preserve"> the installation of a new hydropneumatic tank, chemical pumping skids, telemetry system, upgraded electric</w:t>
      </w:r>
      <w:r w:rsidR="00A36D01">
        <w:t>al controls, and bypass piping.</w:t>
      </w:r>
      <w:r>
        <w:t xml:space="preserve"> </w:t>
      </w:r>
      <w:r w:rsidR="00A36D01">
        <w:t xml:space="preserve">These remaining portions </w:t>
      </w:r>
      <w:r>
        <w:t xml:space="preserve">were all completed in 2019. </w:t>
      </w:r>
      <w:r w:rsidRPr="00093D83">
        <w:t>Based on the invoices provided by the Utility, the total cost for the project was $547,980</w:t>
      </w:r>
      <w:r>
        <w:t xml:space="preserve">. The Utility stated that some </w:t>
      </w:r>
      <w:proofErr w:type="gramStart"/>
      <w:r>
        <w:t>expenditures</w:t>
      </w:r>
      <w:proofErr w:type="gramEnd"/>
      <w:r>
        <w:t xml:space="preserve"> had inadvertently not been included in its filing, but the correct project cost was </w:t>
      </w:r>
      <w:r w:rsidRPr="00004084">
        <w:t>$547,980</w:t>
      </w:r>
      <w:r>
        <w:t>, which included engineering and permitting costs.</w:t>
      </w:r>
      <w:r>
        <w:rPr>
          <w:rStyle w:val="FootnoteReference"/>
        </w:rPr>
        <w:footnoteReference w:id="11"/>
      </w:r>
    </w:p>
    <w:p w:rsidR="00B34542" w:rsidRDefault="00B34542" w:rsidP="00B34542">
      <w:pPr>
        <w:jc w:val="both"/>
      </w:pPr>
    </w:p>
    <w:p w:rsidR="00B34542" w:rsidRDefault="001F3603" w:rsidP="00B34542">
      <w:pPr>
        <w:pStyle w:val="BodyText"/>
      </w:pPr>
      <w:r>
        <w:t>As both</w:t>
      </w:r>
      <w:r w:rsidR="00B34542">
        <w:t xml:space="preserve"> the</w:t>
      </w:r>
      <w:r w:rsidR="00B34542" w:rsidRPr="000E7E3D">
        <w:t xml:space="preserve"> Lake Josephine</w:t>
      </w:r>
      <w:r w:rsidR="00B34542">
        <w:t xml:space="preserve"> </w:t>
      </w:r>
      <w:r w:rsidR="00435A1D">
        <w:t xml:space="preserve">water main relocation </w:t>
      </w:r>
      <w:r w:rsidR="00B34542">
        <w:t>project and the</w:t>
      </w:r>
      <w:r w:rsidR="00B34542" w:rsidRPr="000E7E3D">
        <w:t xml:space="preserve"> Lake Josephine water quality</w:t>
      </w:r>
      <w:r w:rsidR="00B34542">
        <w:t xml:space="preserve"> improvement project</w:t>
      </w:r>
      <w:r w:rsidR="00B34542" w:rsidRPr="000E7E3D">
        <w:t xml:space="preserve"> </w:t>
      </w:r>
      <w:r w:rsidR="00B34542">
        <w:t>were required by governmental agencies</w:t>
      </w:r>
      <w:r w:rsidR="00B34542" w:rsidRPr="00510A14">
        <w:t xml:space="preserve">, staff believes the </w:t>
      </w:r>
      <w:r w:rsidR="00B34542">
        <w:t xml:space="preserve">projects </w:t>
      </w:r>
      <w:r w:rsidR="00CE3280">
        <w:t>were necessary</w:t>
      </w:r>
      <w:r w:rsidR="00B34542" w:rsidRPr="00510A14">
        <w:t xml:space="preserve">. The Utility obtained multiple </w:t>
      </w:r>
      <w:r w:rsidR="00B34542">
        <w:t>bids for each</w:t>
      </w:r>
      <w:r w:rsidR="00B34542" w:rsidRPr="00510A14">
        <w:t xml:space="preserve"> project, and invoices supporting the costs were reviewed by staff. Therefore, staff recommends approv</w:t>
      </w:r>
      <w:r w:rsidR="00B34542">
        <w:t>al</w:t>
      </w:r>
      <w:r w:rsidR="00B34542" w:rsidRPr="00510A14">
        <w:t xml:space="preserve"> of the </w:t>
      </w:r>
      <w:r w:rsidR="00B34542" w:rsidRPr="000E7E3D">
        <w:t xml:space="preserve">Lake Josephine </w:t>
      </w:r>
      <w:r w:rsidR="00F32CFE">
        <w:t xml:space="preserve">water main relocation </w:t>
      </w:r>
      <w:r w:rsidR="00B34542">
        <w:t>project and the</w:t>
      </w:r>
      <w:r w:rsidR="00B34542" w:rsidRPr="000E7E3D">
        <w:t xml:space="preserve"> Lake Josephine water quality</w:t>
      </w:r>
      <w:r w:rsidR="00B34542">
        <w:t xml:space="preserve"> project at a cost of $</w:t>
      </w:r>
      <w:r w:rsidR="00B34542" w:rsidRPr="00093D83">
        <w:t>514,039</w:t>
      </w:r>
      <w:r w:rsidR="00B34542">
        <w:t xml:space="preserve"> and </w:t>
      </w:r>
      <w:r w:rsidR="00B34542" w:rsidRPr="00093D83">
        <w:t>$547,980</w:t>
      </w:r>
      <w:r w:rsidR="00B34542">
        <w:t>, respectively.</w:t>
      </w:r>
    </w:p>
    <w:p w:rsidR="008B2537" w:rsidRDefault="008B2537" w:rsidP="008B2537">
      <w:pPr>
        <w:pStyle w:val="BodyText"/>
      </w:pPr>
      <w:r>
        <w:lastRenderedPageBreak/>
        <w:t>Based on the additional amount and reclassification of plant additions in the test year, plant should be increased by $31,138 and accumulated depreciation should be decreased by $67. A corresponding adjustment should be made to decrease depreciation expense by $74. Staff notes that the adjust</w:t>
      </w:r>
      <w:r w:rsidR="00A51C97">
        <w:t>ments are based on using a half-</w:t>
      </w:r>
      <w:r>
        <w:t xml:space="preserve">year convention </w:t>
      </w:r>
      <w:r w:rsidR="00B13B6B">
        <w:t xml:space="preserve">for </w:t>
      </w:r>
      <w:r>
        <w:t>test year additions and the use of a simple average rate base for the test year.</w:t>
      </w:r>
      <w:r w:rsidR="00B13B6B">
        <w:rPr>
          <w:rStyle w:val="FootnoteReference"/>
        </w:rPr>
        <w:footnoteReference w:id="12"/>
      </w:r>
      <w:r>
        <w:t xml:space="preserve"> </w:t>
      </w:r>
    </w:p>
    <w:p w:rsidR="008B2537" w:rsidRDefault="008B2537" w:rsidP="008B2537">
      <w:pPr>
        <w:pStyle w:val="First-LevelSubheading"/>
      </w:pPr>
      <w:r>
        <w:t>Accumulated Depreciation</w:t>
      </w:r>
    </w:p>
    <w:p w:rsidR="008B2537" w:rsidRDefault="008B2537" w:rsidP="008B2537">
      <w:pPr>
        <w:pStyle w:val="BodyText"/>
      </w:pPr>
      <w:r>
        <w:t xml:space="preserve">In the Utility’s prior rate case, accumulated depreciation was removed for specific plant accounts without balances. One of these accounts, transportation, still maintained an accumulated depreciation balance in the current test year, along with depreciation expense. Consistent with the Commission’s prior decision, staff reduced accumulated depreciation by $7,640 to reflect the removal of this balance. </w:t>
      </w:r>
      <w:r w:rsidR="000B6B8C">
        <w:t xml:space="preserve">Staff also made a </w:t>
      </w:r>
      <w:r>
        <w:t xml:space="preserve">corresponding adjustment to decrease depreciation expense by $1,389. </w:t>
      </w:r>
    </w:p>
    <w:p w:rsidR="008B2537" w:rsidRDefault="008B2537" w:rsidP="008B2537">
      <w:pPr>
        <w:pStyle w:val="First-LevelSubheading"/>
      </w:pPr>
      <w:r>
        <w:t>Conclusion</w:t>
      </w:r>
    </w:p>
    <w:p w:rsidR="008B2537" w:rsidRDefault="008B2537" w:rsidP="008B2537">
      <w:pPr>
        <w:pStyle w:val="BodyText"/>
      </w:pPr>
      <w:r>
        <w:t>Based on the adjustments above, plant should be increased by $31,138, accumulated depreciation should be decreased by $7,707 ($67+$7,640), and depreciation expense should be decreased by $1,463 ($74+$1,389).</w:t>
      </w:r>
    </w:p>
    <w:p w:rsidR="00BB7B19" w:rsidRDefault="00BB7B19">
      <w:pPr>
        <w:pStyle w:val="IssueHeading"/>
        <w:rPr>
          <w:vanish/>
          <w:specVanish/>
        </w:rPr>
      </w:pPr>
      <w:r w:rsidRPr="004C3641">
        <w:rPr>
          <w:b w:val="0"/>
          <w:i w:val="0"/>
        </w:rPr>
        <w:br w:type="page"/>
      </w:r>
      <w:r w:rsidRPr="004C3641">
        <w:lastRenderedPageBreak/>
        <w:t xml:space="preserve">Issue </w:t>
      </w:r>
      <w:fldSimple w:instr=" SEQ Issue \* MERGEFORMAT ">
        <w:r w:rsidR="00414083">
          <w:rPr>
            <w:noProof/>
          </w:rPr>
          <w:t>5</w:t>
        </w:r>
      </w:fldSimple>
      <w:r w:rsidRPr="004C3641">
        <w:t>:</w:t>
      </w:r>
      <w:r>
        <w:fldChar w:fldCharType="begin"/>
      </w:r>
      <w:r>
        <w:instrText xml:space="preserve"> TC "</w:instrText>
      </w:r>
      <w:bookmarkStart w:id="23" w:name="_Toc38467937"/>
      <w:r w:rsidR="00B53C2B">
        <w:instrText xml:space="preserve">Issue </w:instrText>
      </w:r>
      <w:r>
        <w:fldChar w:fldCharType="begin"/>
      </w:r>
      <w:r>
        <w:instrText xml:space="preserve"> SEQ issue \c </w:instrText>
      </w:r>
      <w:r>
        <w:fldChar w:fldCharType="separate"/>
      </w:r>
      <w:r w:rsidR="00414083">
        <w:rPr>
          <w:noProof/>
        </w:rPr>
        <w:instrText>5</w:instrText>
      </w:r>
      <w:r>
        <w:fldChar w:fldCharType="end"/>
      </w:r>
      <w:r w:rsidR="00B53C2B">
        <w:instrText xml:space="preserve"> – Used and Useful</w:instrText>
      </w:r>
      <w:bookmarkEnd w:id="23"/>
      <w:r>
        <w:instrText xml:space="preserve">" \l 1 </w:instrText>
      </w:r>
      <w:r>
        <w:fldChar w:fldCharType="end"/>
      </w:r>
      <w:r>
        <w:t> </w:t>
      </w:r>
    </w:p>
    <w:p w:rsidR="00BB7B19" w:rsidRDefault="00BB7B19">
      <w:pPr>
        <w:pStyle w:val="BodyText"/>
      </w:pPr>
      <w:r>
        <w:t> </w:t>
      </w:r>
      <w:r w:rsidR="000A5CA2" w:rsidRPr="00EC43F3">
        <w:t>What are the used and useful (U&amp;U) percentages of HC Waterworks, Inc.’s water treatment plant (WTP), storage, and water distribution system?</w:t>
      </w:r>
    </w:p>
    <w:p w:rsidR="00BB7B19" w:rsidRPr="004C3641" w:rsidRDefault="00BB7B19">
      <w:pPr>
        <w:pStyle w:val="IssueSubsectionHeading"/>
        <w:rPr>
          <w:vanish/>
          <w:specVanish/>
        </w:rPr>
      </w:pPr>
      <w:r w:rsidRPr="004C3641">
        <w:t>Recommendation: </w:t>
      </w:r>
    </w:p>
    <w:p w:rsidR="00BB7B19" w:rsidRDefault="00BB7B19">
      <w:pPr>
        <w:pStyle w:val="BodyText"/>
      </w:pPr>
      <w:r>
        <w:t> </w:t>
      </w:r>
      <w:r w:rsidR="000A5CA2">
        <w:t>HC’s WTP should be considered 89.9 percent U&amp;U, and its storage should be considered 100 percent U&amp;U. The Utility’s water distribution system should be considered 100 percent U&amp;U.</w:t>
      </w:r>
      <w:r w:rsidR="000A5CA2" w:rsidRPr="007873F8">
        <w:rPr>
          <w:bCs/>
          <w:iCs/>
        </w:rPr>
        <w:t xml:space="preserve"> Additionally, staff recommends </w:t>
      </w:r>
      <w:r w:rsidR="000A5CA2">
        <w:rPr>
          <w:bCs/>
          <w:iCs/>
        </w:rPr>
        <w:t>an</w:t>
      </w:r>
      <w:r w:rsidR="000A5CA2" w:rsidRPr="007873F8">
        <w:rPr>
          <w:bCs/>
          <w:iCs/>
        </w:rPr>
        <w:t xml:space="preserve"> adjustment </w:t>
      </w:r>
      <w:r w:rsidR="000A5CA2">
        <w:rPr>
          <w:bCs/>
          <w:iCs/>
        </w:rPr>
        <w:t>of 2.2</w:t>
      </w:r>
      <w:r w:rsidR="009F781B">
        <w:rPr>
          <w:bCs/>
          <w:iCs/>
        </w:rPr>
        <w:t>3</w:t>
      </w:r>
      <w:r w:rsidR="000A5CA2">
        <w:rPr>
          <w:bCs/>
          <w:iCs/>
        </w:rPr>
        <w:t xml:space="preserve"> percent</w:t>
      </w:r>
      <w:r w:rsidR="000A5CA2" w:rsidRPr="007873F8">
        <w:rPr>
          <w:bCs/>
          <w:iCs/>
        </w:rPr>
        <w:t xml:space="preserve"> </w:t>
      </w:r>
      <w:r w:rsidR="000A5CA2">
        <w:rPr>
          <w:bCs/>
          <w:iCs/>
        </w:rPr>
        <w:t xml:space="preserve">be made to </w:t>
      </w:r>
      <w:r w:rsidR="000A5CA2" w:rsidRPr="007873F8">
        <w:rPr>
          <w:bCs/>
          <w:iCs/>
        </w:rPr>
        <w:t>purchased power and chemical expenses</w:t>
      </w:r>
      <w:r w:rsidR="000A5CA2">
        <w:rPr>
          <w:bCs/>
          <w:iCs/>
        </w:rPr>
        <w:t xml:space="preserve"> for </w:t>
      </w:r>
      <w:r w:rsidR="000A5CA2" w:rsidRPr="007873F8">
        <w:rPr>
          <w:bCs/>
          <w:iCs/>
        </w:rPr>
        <w:t>excessive unaccounted for water (EUW).</w:t>
      </w:r>
      <w:r w:rsidR="000A5CA2">
        <w:t xml:space="preserve"> </w:t>
      </w:r>
      <w:r w:rsidR="002B15E0" w:rsidRPr="00C52BD1">
        <w:t>To reflect th</w:t>
      </w:r>
      <w:r w:rsidR="002B15E0">
        <w:t>e appropriate U&amp;U percentages</w:t>
      </w:r>
      <w:r w:rsidR="002B15E0" w:rsidRPr="00C52BD1">
        <w:t>,</w:t>
      </w:r>
      <w:r w:rsidR="00605AC9" w:rsidRPr="004120F8">
        <w:t xml:space="preserve"> staff recommends an increase to plant of $35,793 and an increase to accumulated depreciation of $7,419. Additionally, CIAC and accumulated amortization of CIAC should be decreased by $1,944 and $219, respectively.</w:t>
      </w:r>
      <w:r w:rsidR="00605AC9">
        <w:t xml:space="preserve"> </w:t>
      </w:r>
      <w:r w:rsidR="008D5AE6" w:rsidRPr="000129A4">
        <w:t xml:space="preserve">Collectively, these adjustments decrease the Utility’s non-U&amp;U component by $30,098 ($35,793 - $7,419 + $1,944 + $219). Corresponding </w:t>
      </w:r>
      <w:r w:rsidR="00265CBA">
        <w:t>adjustments should be made to in</w:t>
      </w:r>
      <w:r w:rsidR="008D5AE6" w:rsidRPr="000129A4">
        <w:t xml:space="preserve">crease </w:t>
      </w:r>
      <w:r w:rsidR="003D6336">
        <w:t xml:space="preserve">net </w:t>
      </w:r>
      <w:r w:rsidR="008D5AE6" w:rsidRPr="000129A4">
        <w:t>depreciation expense by $</w:t>
      </w:r>
      <w:r w:rsidR="00265CBA">
        <w:t>929</w:t>
      </w:r>
      <w:r w:rsidR="008D5AE6" w:rsidRPr="000129A4">
        <w:t>. Further, a corresponding adjustment should be made to increase property tax by $504.</w:t>
      </w:r>
      <w:r w:rsidR="008D5AE6">
        <w:t xml:space="preserve"> </w:t>
      </w:r>
      <w:r w:rsidR="002B15E0">
        <w:t>(Johnson, Knoblauch, Thurmond)</w:t>
      </w:r>
      <w:r>
        <w:t xml:space="preserve"> </w:t>
      </w:r>
    </w:p>
    <w:p w:rsidR="00BB7B19" w:rsidRPr="004C3641" w:rsidRDefault="00BB7B19">
      <w:pPr>
        <w:pStyle w:val="IssueSubsectionHeading"/>
        <w:rPr>
          <w:vanish/>
          <w:specVanish/>
        </w:rPr>
      </w:pPr>
      <w:r w:rsidRPr="004C3641">
        <w:t>Staff Analysis: </w:t>
      </w:r>
    </w:p>
    <w:p w:rsidR="00BB7B19" w:rsidRPr="003667EA" w:rsidRDefault="00BB7B19" w:rsidP="002B15E0">
      <w:pPr>
        <w:pStyle w:val="BodyText"/>
        <w:rPr>
          <w:rFonts w:ascii="o reflect the appropriate U&amp;U p" w:hAnsi="o reflect the appropriate U&amp;U p"/>
        </w:rPr>
      </w:pPr>
      <w:r>
        <w:t> </w:t>
      </w:r>
      <w:r w:rsidR="000A5CA2" w:rsidRPr="00C21D99">
        <w:t>HC’s three WTPs, and their associated storage and distribution systems, were initially owned and operated independently of one another</w:t>
      </w:r>
      <w:r w:rsidR="000A5CA2">
        <w:t>. I</w:t>
      </w:r>
      <w:r w:rsidR="000A5CA2" w:rsidRPr="00C21D99">
        <w:t>n their respective rates cases over the years</w:t>
      </w:r>
      <w:r w:rsidR="00605AC9">
        <w:t>,</w:t>
      </w:r>
      <w:r w:rsidR="000A5CA2" w:rsidRPr="00C21D99">
        <w:t xml:space="preserve"> the Commission has assigned each </w:t>
      </w:r>
      <w:r w:rsidR="00605AC9">
        <w:t xml:space="preserve">system </w:t>
      </w:r>
      <w:r w:rsidR="000A5CA2" w:rsidRPr="00C21D99">
        <w:t>different U&amp;U percentages</w:t>
      </w:r>
      <w:r w:rsidR="000A5CA2">
        <w:t>.</w:t>
      </w:r>
      <w:r w:rsidR="000A5CA2" w:rsidRPr="00C21D99">
        <w:t xml:space="preserve"> </w:t>
      </w:r>
      <w:r w:rsidR="000A5CA2">
        <w:t xml:space="preserve">However, in its last rate case, the Commission </w:t>
      </w:r>
      <w:r w:rsidR="000A5CA2" w:rsidRPr="00C21D99">
        <w:t xml:space="preserve">combined </w:t>
      </w:r>
      <w:r w:rsidR="00605AC9">
        <w:t xml:space="preserve">the systems </w:t>
      </w:r>
      <w:r w:rsidR="000A5CA2" w:rsidRPr="00C21D99">
        <w:t>using a weighted average to obtain a single U&amp;U percentage for the total system</w:t>
      </w:r>
      <w:r w:rsidR="000A5CA2">
        <w:t xml:space="preserve"> and staff utilized this same methodology in the instant docket.</w:t>
      </w:r>
      <w:r w:rsidR="000A5CA2" w:rsidRPr="000D0046">
        <w:rPr>
          <w:rStyle w:val="FootnoteReference"/>
          <w:rFonts w:eastAsiaTheme="majorEastAsia"/>
        </w:rPr>
        <w:footnoteReference w:id="13"/>
      </w:r>
    </w:p>
    <w:p w:rsidR="000E2B41" w:rsidRPr="0035732E" w:rsidRDefault="000E2B41" w:rsidP="000E2B41">
      <w:pPr>
        <w:jc w:val="both"/>
        <w:outlineLvl w:val="2"/>
        <w:rPr>
          <w:rFonts w:ascii="Arial" w:hAnsi="Arial" w:cs="Arial"/>
          <w:b/>
          <w:bCs/>
          <w:iCs/>
          <w:szCs w:val="28"/>
        </w:rPr>
      </w:pPr>
      <w:r w:rsidRPr="0035732E">
        <w:rPr>
          <w:rFonts w:ascii="Arial" w:hAnsi="Arial" w:cs="Arial"/>
          <w:b/>
          <w:bCs/>
          <w:iCs/>
          <w:szCs w:val="28"/>
        </w:rPr>
        <w:t>Used and Useful Percentages</w:t>
      </w:r>
    </w:p>
    <w:p w:rsidR="000E2B41" w:rsidRDefault="000E2B41" w:rsidP="000E2B41">
      <w:pPr>
        <w:jc w:val="both"/>
      </w:pPr>
      <w:r w:rsidRPr="000D0046">
        <w:t xml:space="preserve">Rule 25-30.4325, F.A.C., addresses the method by which the U&amp;U of a water system is determined. </w:t>
      </w:r>
      <w:r>
        <w:t>HC’s</w:t>
      </w:r>
      <w:r w:rsidRPr="000D0046">
        <w:t xml:space="preserve"> U&amp;U percentages were last determined in Docket No. 201</w:t>
      </w:r>
      <w:r>
        <w:t>4</w:t>
      </w:r>
      <w:r w:rsidRPr="000D0046">
        <w:t>0</w:t>
      </w:r>
      <w:r>
        <w:t>158</w:t>
      </w:r>
      <w:r w:rsidRPr="000D0046">
        <w:t xml:space="preserve">-WS. In that docket, the Commission determined the Utility’s WTP </w:t>
      </w:r>
      <w:r>
        <w:t xml:space="preserve">to be 89.9 percent U&amp;U </w:t>
      </w:r>
      <w:r w:rsidRPr="000D0046">
        <w:t xml:space="preserve">and water storage to be 100 percent U&amp;U. </w:t>
      </w:r>
      <w:r>
        <w:t>Additionally, t</w:t>
      </w:r>
      <w:r w:rsidRPr="000D0046">
        <w:t xml:space="preserve">he Utility’s water distribution system </w:t>
      </w:r>
      <w:r>
        <w:t>should</w:t>
      </w:r>
      <w:r w:rsidRPr="000D0046">
        <w:t xml:space="preserve"> be</w:t>
      </w:r>
      <w:r>
        <w:t xml:space="preserve"> considered</w:t>
      </w:r>
      <w:r w:rsidRPr="000D0046">
        <w:t xml:space="preserve"> </w:t>
      </w:r>
      <w:r>
        <w:t>100</w:t>
      </w:r>
      <w:r w:rsidRPr="000D0046">
        <w:t xml:space="preserve"> percent U&amp;U</w:t>
      </w:r>
      <w:r>
        <w:t>, due to the lack of vacant lots</w:t>
      </w:r>
      <w:r w:rsidRPr="000602B4">
        <w:t xml:space="preserve">. </w:t>
      </w:r>
      <w:r>
        <w:t>HC’s</w:t>
      </w:r>
      <w:r w:rsidRPr="000D0046">
        <w:t xml:space="preserve"> water service area has had </w:t>
      </w:r>
      <w:r w:rsidRPr="00D52B24">
        <w:t>insignificant</w:t>
      </w:r>
      <w:r>
        <w:t xml:space="preserve"> </w:t>
      </w:r>
      <w:r w:rsidRPr="000D0046">
        <w:t>growth</w:t>
      </w:r>
      <w:r>
        <w:t xml:space="preserve"> (less than one percent)</w:t>
      </w:r>
      <w:r w:rsidRPr="000D0046">
        <w:t xml:space="preserve"> for the past five years, and the Utility has not expanded its territory. Therefore, consistent with the Commission’s previous decision, staff recommends the Utility’s WTP</w:t>
      </w:r>
      <w:r>
        <w:t xml:space="preserve"> be considered 89.9 percent</w:t>
      </w:r>
      <w:r w:rsidRPr="000D0046">
        <w:t xml:space="preserve"> and water storage be considered 100 percent U&amp;U, and the Utility’s water distribution system be considered </w:t>
      </w:r>
      <w:r>
        <w:t>100</w:t>
      </w:r>
      <w:r w:rsidRPr="000D0046">
        <w:t xml:space="preserve"> percent U&amp;U.</w:t>
      </w:r>
    </w:p>
    <w:p w:rsidR="000E2B41" w:rsidRPr="000D0046" w:rsidRDefault="000E2B41" w:rsidP="000E2B41">
      <w:pPr>
        <w:jc w:val="both"/>
      </w:pPr>
    </w:p>
    <w:p w:rsidR="000E2B41" w:rsidRPr="0035732E" w:rsidRDefault="000E2B41" w:rsidP="000E2B41">
      <w:pPr>
        <w:jc w:val="both"/>
        <w:outlineLvl w:val="2"/>
        <w:rPr>
          <w:rFonts w:ascii="Arial" w:hAnsi="Arial" w:cs="Arial"/>
          <w:b/>
          <w:bCs/>
          <w:iCs/>
          <w:szCs w:val="28"/>
        </w:rPr>
      </w:pPr>
      <w:r w:rsidRPr="0035732E">
        <w:rPr>
          <w:rFonts w:ascii="Arial" w:hAnsi="Arial" w:cs="Arial"/>
          <w:b/>
          <w:bCs/>
          <w:iCs/>
          <w:szCs w:val="28"/>
        </w:rPr>
        <w:t>Excessive Unaccounted for Water</w:t>
      </w:r>
    </w:p>
    <w:p w:rsidR="000E2B41" w:rsidRDefault="000E2B41" w:rsidP="000E2B41">
      <w:pPr>
        <w:spacing w:after="240"/>
        <w:jc w:val="both"/>
      </w:pPr>
      <w:r w:rsidRPr="0035732E">
        <w:t xml:space="preserve">Rule 25-30.4325, F.A.C., additionally provides factors to be considered in determining whether adjustments to operating expenses are necessary for EUW. </w:t>
      </w:r>
      <w:r w:rsidR="00605AC9">
        <w:t>Rule 25-30.425(1</w:t>
      </w:r>
      <w:proofErr w:type="gramStart"/>
      <w:r w:rsidR="00605AC9">
        <w:t>)(</w:t>
      </w:r>
      <w:proofErr w:type="gramEnd"/>
      <w:r w:rsidR="00605AC9">
        <w:t>e)</w:t>
      </w:r>
      <w:r w:rsidR="001E634A">
        <w:t>, F.A.C.,</w:t>
      </w:r>
      <w:r w:rsidR="00605AC9">
        <w:t xml:space="preserve"> defines </w:t>
      </w:r>
      <w:r w:rsidRPr="0035732E">
        <w:t>EUW as “unaccounted for water in excess of 10 percent of the amount produced.” Unaccounted for water is all water produced that is not sold, metered, or accounted for in the records of the Utility.</w:t>
      </w:r>
      <w:r>
        <w:t xml:space="preserve"> </w:t>
      </w:r>
      <w:r w:rsidRPr="00535F9B">
        <w:t xml:space="preserve">EUW is calculated by subtracting both the gallons sold to customers and the gallons used for other services, such as flushing, from the total gallons pumped for the test year. </w:t>
      </w:r>
    </w:p>
    <w:p w:rsidR="000E2B41" w:rsidRDefault="000E2B41" w:rsidP="000E2B41">
      <w:pPr>
        <w:spacing w:after="240"/>
        <w:jc w:val="both"/>
      </w:pPr>
      <w:r>
        <w:t>According to HC’s records, the Utility pumped a combined total of 53,224,000 gallons during the test year. In its MFRs, the Utility indicated that it purchased no water and estimated 12,944,919 gallons for other uses, including</w:t>
      </w:r>
      <w:r w:rsidRPr="00FE25B8">
        <w:t xml:space="preserve"> flushing</w:t>
      </w:r>
      <w:r>
        <w:t xml:space="preserve"> for maintenance, filter backwash, </w:t>
      </w:r>
      <w:r>
        <w:lastRenderedPageBreak/>
        <w:t>main/service line breaks</w:t>
      </w:r>
      <w:r w:rsidRPr="00FE25B8">
        <w:t xml:space="preserve"> or customer leak adjustments.</w:t>
      </w:r>
      <w:r>
        <w:t xml:space="preserve"> In the Utility’s response to staff’s third data request, HC reported that there was an additional 585,000 gallons that were utilized for </w:t>
      </w:r>
      <w:r w:rsidR="00F13380">
        <w:t xml:space="preserve">those </w:t>
      </w:r>
      <w:r>
        <w:t>other uses.</w:t>
      </w:r>
      <w:r>
        <w:rPr>
          <w:rStyle w:val="FootnoteReference"/>
          <w:rFonts w:eastAsiaTheme="majorEastAsia"/>
        </w:rPr>
        <w:footnoteReference w:id="14"/>
      </w:r>
      <w:r>
        <w:t xml:space="preserve"> According to staff’s billing determinants, the Utility sold 33,186,000 gallons </w:t>
      </w:r>
      <w:r w:rsidR="00557FB8">
        <w:t xml:space="preserve">of water during the test year. </w:t>
      </w:r>
      <w:r>
        <w:t>Thus, staff calculated the total amount of unaccounted for water to be 6,508,081 gallons, or 12.2</w:t>
      </w:r>
      <w:r w:rsidR="007E4F0F">
        <w:t>3</w:t>
      </w:r>
      <w:r>
        <w:t xml:space="preserve"> percent (6,508,081/53,224,000), yielding </w:t>
      </w:r>
      <w:proofErr w:type="gramStart"/>
      <w:r>
        <w:t>an</w:t>
      </w:r>
      <w:proofErr w:type="gramEnd"/>
      <w:r>
        <w:t xml:space="preserve"> EUW of 2.2</w:t>
      </w:r>
      <w:r w:rsidR="007E4F0F">
        <w:t>3</w:t>
      </w:r>
      <w:r>
        <w:t xml:space="preserve"> percent. As such, staff recommends that a 2.2</w:t>
      </w:r>
      <w:r w:rsidR="007E4F0F">
        <w:t>3</w:t>
      </w:r>
      <w:r>
        <w:t xml:space="preserve"> percent adjustment to purchased power and chemical expenses be made for excessive EUW.</w:t>
      </w:r>
    </w:p>
    <w:p w:rsidR="000E2B41" w:rsidRPr="005C2335" w:rsidRDefault="000E2B41" w:rsidP="000E2B41">
      <w:pPr>
        <w:jc w:val="both"/>
        <w:outlineLvl w:val="2"/>
        <w:rPr>
          <w:rFonts w:ascii="Arial" w:hAnsi="Arial" w:cs="Arial"/>
          <w:b/>
          <w:bCs/>
          <w:iCs/>
          <w:szCs w:val="28"/>
        </w:rPr>
      </w:pPr>
      <w:r w:rsidRPr="005C2335">
        <w:rPr>
          <w:rFonts w:ascii="Arial" w:hAnsi="Arial" w:cs="Arial"/>
          <w:b/>
          <w:bCs/>
          <w:iCs/>
          <w:szCs w:val="28"/>
        </w:rPr>
        <w:t>Conclusion</w:t>
      </w:r>
    </w:p>
    <w:p w:rsidR="000E2B41" w:rsidRDefault="000E2B41" w:rsidP="000E2B41">
      <w:pPr>
        <w:pStyle w:val="BodyText"/>
      </w:pPr>
      <w:r>
        <w:t>HC’s WTP should be considered 89.9 percent U&amp;U, and its storage should be considered 100 percent U&amp;U. The Utility’s water distribution system should be considered 100 percent U&amp;U.</w:t>
      </w:r>
      <w:r w:rsidRPr="007873F8">
        <w:rPr>
          <w:bCs/>
          <w:iCs/>
        </w:rPr>
        <w:t xml:space="preserve"> Additionally, staff recommends </w:t>
      </w:r>
      <w:r>
        <w:rPr>
          <w:bCs/>
          <w:iCs/>
        </w:rPr>
        <w:t>an</w:t>
      </w:r>
      <w:r w:rsidRPr="007873F8">
        <w:rPr>
          <w:bCs/>
          <w:iCs/>
        </w:rPr>
        <w:t xml:space="preserve"> adjustment </w:t>
      </w:r>
      <w:r>
        <w:rPr>
          <w:bCs/>
          <w:iCs/>
        </w:rPr>
        <w:t>of 2.2</w:t>
      </w:r>
      <w:r w:rsidR="00FE163D">
        <w:rPr>
          <w:bCs/>
          <w:iCs/>
        </w:rPr>
        <w:t>3</w:t>
      </w:r>
      <w:r>
        <w:rPr>
          <w:bCs/>
          <w:iCs/>
        </w:rPr>
        <w:t xml:space="preserve"> percent </w:t>
      </w:r>
      <w:r w:rsidRPr="007873F8">
        <w:rPr>
          <w:bCs/>
          <w:iCs/>
        </w:rPr>
        <w:t xml:space="preserve">to </w:t>
      </w:r>
      <w:r>
        <w:rPr>
          <w:bCs/>
          <w:iCs/>
        </w:rPr>
        <w:t xml:space="preserve">be made to </w:t>
      </w:r>
      <w:r w:rsidRPr="007873F8">
        <w:rPr>
          <w:bCs/>
          <w:iCs/>
        </w:rPr>
        <w:t>purchased power and chemical expenses</w:t>
      </w:r>
      <w:r>
        <w:rPr>
          <w:bCs/>
          <w:iCs/>
        </w:rPr>
        <w:t xml:space="preserve"> for </w:t>
      </w:r>
      <w:r w:rsidRPr="007873F8">
        <w:rPr>
          <w:bCs/>
          <w:iCs/>
        </w:rPr>
        <w:t>EUW.</w:t>
      </w:r>
    </w:p>
    <w:p w:rsidR="00494902" w:rsidRPr="00E30A09" w:rsidRDefault="00D54C86">
      <w:pPr>
        <w:pStyle w:val="IssueHeading"/>
        <w:rPr>
          <w:rFonts w:ascii="Times New Roman" w:hAnsi="Times New Roman" w:cs="Times New Roman"/>
          <w:b w:val="0"/>
          <w:i w:val="0"/>
          <w:szCs w:val="24"/>
        </w:rPr>
      </w:pPr>
      <w:r w:rsidRPr="00D54C86">
        <w:rPr>
          <w:rFonts w:ascii="Times New Roman" w:hAnsi="Times New Roman" w:cs="Times New Roman"/>
          <w:b w:val="0"/>
          <w:i w:val="0"/>
          <w:szCs w:val="24"/>
        </w:rPr>
        <w:t xml:space="preserve">In its filing, HC made non-U&amp;U adjustments to decrease rate base by $107,752, depreciation expense by $6,614, and property tax expense by $354. However, it did not include an adjustment to CIAC in its proposed adjustment. To reflect the appropriate non-U&amp;U percentages applied to all components of rate base, staff recommends </w:t>
      </w:r>
      <w:r w:rsidR="00494902" w:rsidRPr="00BA1F64">
        <w:rPr>
          <w:rFonts w:ascii="Times New Roman" w:hAnsi="Times New Roman" w:cs="Times New Roman"/>
          <w:b w:val="0"/>
          <w:i w:val="0"/>
          <w:szCs w:val="24"/>
        </w:rPr>
        <w:t xml:space="preserve">an increase of plant of $35,793 and an increase to accumulated depreciation of $7,419. Additionally, CIAC and accumulated amortization of CIAC should be decreased by $1,944 and $219, respectively. </w:t>
      </w:r>
      <w:r w:rsidR="00E30A09" w:rsidRPr="00E30A09">
        <w:rPr>
          <w:rFonts w:ascii="Times New Roman" w:hAnsi="Times New Roman" w:cs="Times New Roman"/>
          <w:b w:val="0"/>
          <w:i w:val="0"/>
          <w:szCs w:val="24"/>
        </w:rPr>
        <w:t xml:space="preserve">Collectively, these adjustments decrease the Utility’s non-U&amp;U component by $30,098 ($35,793 - $7,419 + $1,944 + $219). Corresponding </w:t>
      </w:r>
      <w:r w:rsidR="00AE096A">
        <w:rPr>
          <w:rFonts w:ascii="Times New Roman" w:hAnsi="Times New Roman" w:cs="Times New Roman"/>
          <w:b w:val="0"/>
          <w:i w:val="0"/>
          <w:szCs w:val="24"/>
        </w:rPr>
        <w:t>adjustments should be made to in</w:t>
      </w:r>
      <w:r w:rsidR="00E30A09" w:rsidRPr="00E30A09">
        <w:rPr>
          <w:rFonts w:ascii="Times New Roman" w:hAnsi="Times New Roman" w:cs="Times New Roman"/>
          <w:b w:val="0"/>
          <w:i w:val="0"/>
          <w:szCs w:val="24"/>
        </w:rPr>
        <w:t xml:space="preserve">crease </w:t>
      </w:r>
      <w:r w:rsidR="00AF32F6">
        <w:rPr>
          <w:rFonts w:ascii="Times New Roman" w:hAnsi="Times New Roman" w:cs="Times New Roman"/>
          <w:b w:val="0"/>
          <w:i w:val="0"/>
          <w:szCs w:val="24"/>
        </w:rPr>
        <w:t xml:space="preserve">net </w:t>
      </w:r>
      <w:r w:rsidR="00E30A09" w:rsidRPr="00E30A09">
        <w:rPr>
          <w:rFonts w:ascii="Times New Roman" w:hAnsi="Times New Roman" w:cs="Times New Roman"/>
          <w:b w:val="0"/>
          <w:i w:val="0"/>
          <w:szCs w:val="24"/>
        </w:rPr>
        <w:t>depreciation expense by</w:t>
      </w:r>
      <w:r w:rsidR="00AE096A">
        <w:rPr>
          <w:rFonts w:ascii="Times New Roman" w:hAnsi="Times New Roman" w:cs="Times New Roman"/>
          <w:b w:val="0"/>
          <w:i w:val="0"/>
          <w:szCs w:val="24"/>
        </w:rPr>
        <w:t xml:space="preserve"> $929</w:t>
      </w:r>
      <w:r w:rsidR="00E30A09" w:rsidRPr="00E30A09">
        <w:rPr>
          <w:rFonts w:ascii="Times New Roman" w:hAnsi="Times New Roman" w:cs="Times New Roman"/>
          <w:b w:val="0"/>
          <w:i w:val="0"/>
          <w:szCs w:val="24"/>
        </w:rPr>
        <w:t>. Further, a corresponding adjustment should be made to increase property tax by $504.</w:t>
      </w:r>
    </w:p>
    <w:p w:rsidR="00494902" w:rsidRDefault="00494902">
      <w:pPr>
        <w:pStyle w:val="IssueHeading"/>
        <w:rPr>
          <w:rFonts w:ascii="Times New Roman" w:hAnsi="Times New Roman" w:cs="Times New Roman"/>
          <w:b w:val="0"/>
          <w:i w:val="0"/>
          <w:szCs w:val="24"/>
        </w:rPr>
      </w:pPr>
    </w:p>
    <w:p w:rsidR="00BB7B19" w:rsidRDefault="00BB7B19">
      <w:pPr>
        <w:pStyle w:val="IssueHeading"/>
        <w:rPr>
          <w:vanish/>
          <w:specVanish/>
        </w:rPr>
      </w:pPr>
      <w:r w:rsidRPr="004C3641">
        <w:rPr>
          <w:b w:val="0"/>
          <w:i w:val="0"/>
        </w:rPr>
        <w:br w:type="page"/>
      </w:r>
      <w:r w:rsidRPr="004C3641">
        <w:lastRenderedPageBreak/>
        <w:t xml:space="preserve">Issue </w:t>
      </w:r>
      <w:fldSimple w:instr=" SEQ Issue \* MERGEFORMAT ">
        <w:r w:rsidR="00414083">
          <w:rPr>
            <w:noProof/>
          </w:rPr>
          <w:t>6</w:t>
        </w:r>
      </w:fldSimple>
      <w:r w:rsidRPr="004C3641">
        <w:t>:</w:t>
      </w:r>
      <w:r>
        <w:fldChar w:fldCharType="begin"/>
      </w:r>
      <w:r>
        <w:instrText xml:space="preserve"> TC "</w:instrText>
      </w:r>
      <w:bookmarkStart w:id="24" w:name="_Toc38467938"/>
      <w:r w:rsidR="00B53C2B">
        <w:instrText xml:space="preserve">Issue </w:instrText>
      </w:r>
      <w:r>
        <w:fldChar w:fldCharType="begin"/>
      </w:r>
      <w:r>
        <w:instrText xml:space="preserve"> SEQ issue \c </w:instrText>
      </w:r>
      <w:r>
        <w:fldChar w:fldCharType="separate"/>
      </w:r>
      <w:r w:rsidR="00414083">
        <w:rPr>
          <w:noProof/>
        </w:rPr>
        <w:instrText>6</w:instrText>
      </w:r>
      <w:r>
        <w:fldChar w:fldCharType="end"/>
      </w:r>
      <w:r w:rsidR="00B53C2B">
        <w:instrText xml:space="preserve"> – Pro Forma Plant Additions</w:instrText>
      </w:r>
      <w:bookmarkEnd w:id="24"/>
      <w:r>
        <w:instrText xml:space="preserve">" \l 1 </w:instrText>
      </w:r>
      <w:r>
        <w:fldChar w:fldCharType="end"/>
      </w:r>
      <w:r>
        <w:t> </w:t>
      </w:r>
    </w:p>
    <w:p w:rsidR="00BB7B19" w:rsidRDefault="00BB7B19">
      <w:pPr>
        <w:pStyle w:val="BodyText"/>
      </w:pPr>
      <w:r>
        <w:t> </w:t>
      </w:r>
      <w:r w:rsidR="002135B6" w:rsidRPr="005532BA">
        <w:t>Should any adjustments be made to the Utility’s pro forma plant</w:t>
      </w:r>
      <w:r w:rsidR="002135B6">
        <w:t>?</w:t>
      </w:r>
    </w:p>
    <w:p w:rsidR="00BB7B19" w:rsidRPr="004C3641" w:rsidRDefault="00BB7B19">
      <w:pPr>
        <w:pStyle w:val="IssueSubsectionHeading"/>
        <w:rPr>
          <w:vanish/>
          <w:specVanish/>
        </w:rPr>
      </w:pPr>
      <w:r w:rsidRPr="004C3641">
        <w:t>Recommendation: </w:t>
      </w:r>
    </w:p>
    <w:p w:rsidR="00BB7B19" w:rsidRDefault="00BB7B19">
      <w:pPr>
        <w:pStyle w:val="BodyText"/>
      </w:pPr>
      <w:r>
        <w:t> </w:t>
      </w:r>
      <w:r w:rsidR="007E348A" w:rsidRPr="00C56BF2">
        <w:t xml:space="preserve">Yes. </w:t>
      </w:r>
      <w:r w:rsidR="007E348A">
        <w:t>P</w:t>
      </w:r>
      <w:r w:rsidR="007E348A" w:rsidRPr="00C56BF2">
        <w:t xml:space="preserve">ro forma plant </w:t>
      </w:r>
      <w:r w:rsidR="007E348A">
        <w:t xml:space="preserve">should be </w:t>
      </w:r>
      <w:r w:rsidR="007E348A" w:rsidRPr="00C56BF2">
        <w:t>increase</w:t>
      </w:r>
      <w:r w:rsidR="007E348A">
        <w:t xml:space="preserve">d by $56,499. </w:t>
      </w:r>
      <w:r w:rsidR="007E348A" w:rsidRPr="00C56BF2">
        <w:t>Corresponding adjustments should also be made to increase accumulated depreciation by $</w:t>
      </w:r>
      <w:r w:rsidR="007E348A">
        <w:t xml:space="preserve">14,030 </w:t>
      </w:r>
      <w:r w:rsidR="007E348A" w:rsidRPr="00C56BF2">
        <w:t>and depreciation expense by $</w:t>
      </w:r>
      <w:r w:rsidR="007E348A">
        <w:t>14,030</w:t>
      </w:r>
      <w:r w:rsidR="007E348A" w:rsidRPr="00C56BF2">
        <w:t>. Additionally, property taxes should be increased by $</w:t>
      </w:r>
      <w:r w:rsidR="007E348A">
        <w:t>3,219. (Johnson, Knoblauch, Thurmond)</w:t>
      </w:r>
      <w:r>
        <w:t xml:space="preserve"> </w:t>
      </w:r>
    </w:p>
    <w:p w:rsidR="00BB7B19" w:rsidRPr="004C3641" w:rsidRDefault="00BB7B19">
      <w:pPr>
        <w:pStyle w:val="IssueSubsectionHeading"/>
        <w:rPr>
          <w:vanish/>
          <w:specVanish/>
        </w:rPr>
      </w:pPr>
      <w:r w:rsidRPr="004C3641">
        <w:t>Staff Analysis: </w:t>
      </w:r>
    </w:p>
    <w:p w:rsidR="00B1347F" w:rsidRPr="00B1347F" w:rsidRDefault="00BB7B19" w:rsidP="00B1347F">
      <w:pPr>
        <w:jc w:val="both"/>
      </w:pPr>
      <w:r>
        <w:t> </w:t>
      </w:r>
      <w:r w:rsidR="00B1347F" w:rsidRPr="00B1347F">
        <w:t>In its MFRs, HC requested $525,970 for a water quality project at its Leisure Lakes WTP. HC and the DEP entered into a Consent Order, for the Leisure Lakes system, on October 1, 2018, for disinfection byproduct exceedances. The Utility also stated that like Lake Josephine, there were elevated levels of hydrogen sulfide in the water for the Leisure Lakes’ system. As such, the Utility decided to implement the same packed tower aeration treatment system for Leisure Lakes that was being utilized at the Lake Josephine WTP. As with Lake Josephine, the Utility received three bids for the Leisure Lakes aeration project, and the Utility chose the lo</w:t>
      </w:r>
      <w:r w:rsidR="004A356C">
        <w:t>west bidder, USWSU</w:t>
      </w:r>
      <w:r w:rsidR="00B1347F" w:rsidRPr="00B1347F">
        <w:t>. The aeration system received clearance from the DEP and was placed into service in September 2019. Based on the invoices provided by the Utility, the total cost for the project will be $582,468.</w:t>
      </w:r>
    </w:p>
    <w:p w:rsidR="00B1347F" w:rsidRPr="00B1347F" w:rsidRDefault="00B1347F" w:rsidP="00B1347F">
      <w:pPr>
        <w:jc w:val="both"/>
      </w:pPr>
    </w:p>
    <w:p w:rsidR="00B1347F" w:rsidRPr="00B1347F" w:rsidRDefault="00B1347F" w:rsidP="00B1347F">
      <w:pPr>
        <w:pStyle w:val="BodyText"/>
      </w:pPr>
      <w:r w:rsidRPr="00B1347F">
        <w:t>Considering that the Leisure Lakes water quality project was required by the DEP, staff believes the project is needed. The Utility obtained multiple bids for the project, and invoices supporting the costs were reviewed by staff. Therefore, staff recommends approval of Leisure Lakes' water quality project at a cost of $582,468. The Utility stated that the bid amount requested for the project did not include engineering costs, and the updated project cost is $582,468.</w:t>
      </w:r>
      <w:r w:rsidRPr="00B1347F">
        <w:rPr>
          <w:rStyle w:val="FootnoteReference"/>
        </w:rPr>
        <w:footnoteReference w:id="15"/>
      </w:r>
    </w:p>
    <w:p w:rsidR="00BB7B19" w:rsidRDefault="00B1347F" w:rsidP="00B1347F">
      <w:pPr>
        <w:jc w:val="both"/>
      </w:pPr>
      <w:r w:rsidRPr="00B1347F">
        <w:t>In total, pro forma plant should be increased by $56,499. Corresponding adjustments should also be made to increase accumulated depreciation by $14,030 and depreciation expense by $14,030. Additionally, property taxes should be increased by $3,219.</w:t>
      </w:r>
    </w:p>
    <w:p w:rsidR="00B1347F" w:rsidRDefault="00B1347F" w:rsidP="00B1347F">
      <w:pPr>
        <w:jc w:val="both"/>
      </w:pPr>
    </w:p>
    <w:p w:rsidR="00BB7B19" w:rsidRDefault="00BB7B19">
      <w:pPr>
        <w:pStyle w:val="IssueHeading"/>
        <w:rPr>
          <w:vanish/>
          <w:specVanish/>
        </w:rPr>
      </w:pPr>
      <w:r w:rsidRPr="004C3641">
        <w:rPr>
          <w:b w:val="0"/>
          <w:i w:val="0"/>
        </w:rPr>
        <w:br w:type="page"/>
      </w:r>
      <w:r w:rsidRPr="004C3641">
        <w:lastRenderedPageBreak/>
        <w:t xml:space="preserve">Issue </w:t>
      </w:r>
      <w:fldSimple w:instr=" SEQ Issue \* MERGEFORMAT ">
        <w:r w:rsidR="00414083">
          <w:rPr>
            <w:noProof/>
          </w:rPr>
          <w:t>7</w:t>
        </w:r>
      </w:fldSimple>
      <w:r w:rsidRPr="004C3641">
        <w:t>:</w:t>
      </w:r>
      <w:r>
        <w:fldChar w:fldCharType="begin"/>
      </w:r>
      <w:r>
        <w:instrText xml:space="preserve"> TC "</w:instrText>
      </w:r>
      <w:bookmarkStart w:id="25" w:name="_Toc38467939"/>
      <w:r w:rsidR="00B53C2B">
        <w:instrText xml:space="preserve">Issue </w:instrText>
      </w:r>
      <w:r>
        <w:fldChar w:fldCharType="begin"/>
      </w:r>
      <w:r>
        <w:instrText xml:space="preserve"> SEQ issue \c </w:instrText>
      </w:r>
      <w:r>
        <w:fldChar w:fldCharType="separate"/>
      </w:r>
      <w:r w:rsidR="00414083">
        <w:rPr>
          <w:noProof/>
        </w:rPr>
        <w:instrText>7</w:instrText>
      </w:r>
      <w:r>
        <w:fldChar w:fldCharType="end"/>
      </w:r>
      <w:r w:rsidR="00B53C2B">
        <w:instrText xml:space="preserve"> – Working Capital Allowance</w:instrText>
      </w:r>
      <w:bookmarkEnd w:id="25"/>
      <w:r>
        <w:instrText xml:space="preserve">" \l 1 </w:instrText>
      </w:r>
      <w:r>
        <w:fldChar w:fldCharType="end"/>
      </w:r>
      <w:r>
        <w:t> </w:t>
      </w:r>
    </w:p>
    <w:p w:rsidR="00BB7B19" w:rsidRDefault="00BB7B19">
      <w:pPr>
        <w:pStyle w:val="BodyText"/>
      </w:pPr>
      <w:r>
        <w:t> </w:t>
      </w:r>
      <w:r w:rsidR="009B5406" w:rsidRPr="007D6798">
        <w:t>What is the appropriate working capital allowance</w:t>
      </w:r>
      <w:r w:rsidR="009B5406">
        <w:t>?</w:t>
      </w:r>
    </w:p>
    <w:p w:rsidR="00BB7B19" w:rsidRPr="004C3641" w:rsidRDefault="00BB7B19">
      <w:pPr>
        <w:pStyle w:val="IssueSubsectionHeading"/>
        <w:rPr>
          <w:vanish/>
          <w:specVanish/>
        </w:rPr>
      </w:pPr>
      <w:r w:rsidRPr="004C3641">
        <w:t>Recommendation: </w:t>
      </w:r>
    </w:p>
    <w:p w:rsidR="00BB7B19" w:rsidRDefault="00BB7B19">
      <w:pPr>
        <w:pStyle w:val="BodyText"/>
      </w:pPr>
      <w:r>
        <w:t> </w:t>
      </w:r>
      <w:r w:rsidR="007E348A" w:rsidRPr="007D6798">
        <w:t>The appropriate working capital allowance is $4</w:t>
      </w:r>
      <w:r w:rsidR="007E348A">
        <w:t>9,885</w:t>
      </w:r>
      <w:r w:rsidR="007E348A" w:rsidRPr="007D6798">
        <w:t xml:space="preserve">. As such, the working capital allowance should be </w:t>
      </w:r>
      <w:r w:rsidR="007E348A">
        <w:t>increased by $1,586. (Thurmond)</w:t>
      </w:r>
      <w:r>
        <w:t xml:space="preserve"> </w:t>
      </w:r>
    </w:p>
    <w:p w:rsidR="00BB7B19" w:rsidRPr="004C3641" w:rsidRDefault="00BB7B19">
      <w:pPr>
        <w:pStyle w:val="IssueSubsectionHeading"/>
        <w:rPr>
          <w:vanish/>
          <w:specVanish/>
        </w:rPr>
      </w:pPr>
      <w:r w:rsidRPr="004C3641">
        <w:t>Staff Analysis: </w:t>
      </w:r>
    </w:p>
    <w:p w:rsidR="00BB7B19" w:rsidRDefault="00BB7B19">
      <w:pPr>
        <w:pStyle w:val="BodyText"/>
      </w:pPr>
      <w:r>
        <w:t> </w:t>
      </w:r>
      <w:r w:rsidR="00507A13">
        <w:t>Rule 25-30.433</w:t>
      </w:r>
      <w:r w:rsidR="008A5A58">
        <w:t>(3</w:t>
      </w:r>
      <w:r w:rsidR="007E348A" w:rsidRPr="007D6798">
        <w:t>), F.A.C., requires Class B utilities to use the formula method, or one-eighth of</w:t>
      </w:r>
      <w:r w:rsidR="008A5A58">
        <w:t xml:space="preserve"> operation and maintenance (</w:t>
      </w:r>
      <w:r w:rsidR="007E348A" w:rsidRPr="007D6798">
        <w:t>O&amp;M</w:t>
      </w:r>
      <w:r w:rsidR="008A5A58">
        <w:t>)</w:t>
      </w:r>
      <w:r w:rsidR="007E348A" w:rsidRPr="007D6798">
        <w:t xml:space="preserve"> expenses, to calculate the </w:t>
      </w:r>
      <w:r w:rsidR="008A5A58">
        <w:t>working capital allowance. The U</w:t>
      </w:r>
      <w:r w:rsidR="007E348A" w:rsidRPr="007D6798">
        <w:t>tility has properly filed its allowance for working capital using the formula method. Staff recommended adjustments to HC’s O&amp;M expenses. As a result, staff recommends working capital of $49,885. This reflects an increase of $</w:t>
      </w:r>
      <w:r w:rsidR="007E348A">
        <w:t>1,586</w:t>
      </w:r>
      <w:r w:rsidR="007E348A" w:rsidRPr="007D6798">
        <w:t xml:space="preserve"> to the Utility’s requested working capital allowance of $48,</w:t>
      </w:r>
      <w:r w:rsidR="007E348A">
        <w:t>299.</w:t>
      </w:r>
    </w:p>
    <w:p w:rsidR="00BB7B19" w:rsidRDefault="00BB7B19">
      <w:pPr>
        <w:pStyle w:val="IssueHeading"/>
        <w:rPr>
          <w:vanish/>
          <w:specVanish/>
        </w:rPr>
      </w:pPr>
      <w:r w:rsidRPr="004C3641">
        <w:rPr>
          <w:b w:val="0"/>
          <w:i w:val="0"/>
        </w:rPr>
        <w:br w:type="page"/>
      </w:r>
      <w:r w:rsidRPr="004C3641">
        <w:lastRenderedPageBreak/>
        <w:t xml:space="preserve">Issue </w:t>
      </w:r>
      <w:fldSimple w:instr=" SEQ Issue \* MERGEFORMAT ">
        <w:r w:rsidR="00414083">
          <w:rPr>
            <w:noProof/>
          </w:rPr>
          <w:t>8</w:t>
        </w:r>
      </w:fldSimple>
      <w:r w:rsidRPr="004C3641">
        <w:t>:</w:t>
      </w:r>
      <w:r>
        <w:fldChar w:fldCharType="begin"/>
      </w:r>
      <w:r>
        <w:instrText xml:space="preserve"> TC "</w:instrText>
      </w:r>
      <w:bookmarkStart w:id="26" w:name="_Toc38467940"/>
      <w:r w:rsidR="00AB18B3">
        <w:instrText xml:space="preserve">Issue </w:instrText>
      </w:r>
      <w:r>
        <w:fldChar w:fldCharType="begin"/>
      </w:r>
      <w:r>
        <w:instrText xml:space="preserve"> SEQ issue \c </w:instrText>
      </w:r>
      <w:r>
        <w:fldChar w:fldCharType="separate"/>
      </w:r>
      <w:r w:rsidR="00414083">
        <w:rPr>
          <w:noProof/>
        </w:rPr>
        <w:instrText>8</w:instrText>
      </w:r>
      <w:r>
        <w:fldChar w:fldCharType="end"/>
      </w:r>
      <w:r w:rsidR="007C1369">
        <w:instrText xml:space="preserve"> – Rate Base</w:instrText>
      </w:r>
      <w:bookmarkEnd w:id="26"/>
      <w:r>
        <w:instrText xml:space="preserve">" \l 1 </w:instrText>
      </w:r>
      <w:r>
        <w:fldChar w:fldCharType="end"/>
      </w:r>
      <w:r>
        <w:t> </w:t>
      </w:r>
    </w:p>
    <w:p w:rsidR="00BB7B19" w:rsidRDefault="00BB7B19">
      <w:pPr>
        <w:pStyle w:val="BodyText"/>
      </w:pPr>
      <w:r>
        <w:t> </w:t>
      </w:r>
      <w:r w:rsidR="00C95E16" w:rsidRPr="007D6798">
        <w:t>What is the appropriate rate base for the test year ended June 30, 2019</w:t>
      </w:r>
      <w:r w:rsidR="00C95E16">
        <w:t>?</w:t>
      </w:r>
    </w:p>
    <w:p w:rsidR="00BB7B19" w:rsidRPr="004C3641" w:rsidRDefault="00BB7B19">
      <w:pPr>
        <w:pStyle w:val="IssueSubsectionHeading"/>
        <w:rPr>
          <w:vanish/>
          <w:specVanish/>
        </w:rPr>
      </w:pPr>
      <w:r w:rsidRPr="004C3641">
        <w:t>Recommendation: </w:t>
      </w:r>
    </w:p>
    <w:p w:rsidR="00BB7B19" w:rsidRDefault="00BB7B19">
      <w:pPr>
        <w:pStyle w:val="BodyText"/>
      </w:pPr>
      <w:r>
        <w:t> </w:t>
      </w:r>
      <w:r w:rsidR="00422F5E" w:rsidRPr="007D6798">
        <w:t>Consistent with staff’s other recommended adjustments, the appropriate rate base for the test year ended June</w:t>
      </w:r>
      <w:r w:rsidR="00422F5E">
        <w:t xml:space="preserve"> 30, 2019, is $3,116,734. (Thurmond)</w:t>
      </w:r>
      <w:r>
        <w:t xml:space="preserve"> </w:t>
      </w:r>
    </w:p>
    <w:p w:rsidR="00BB7B19" w:rsidRPr="004C3641" w:rsidRDefault="00BB7B19">
      <w:pPr>
        <w:pStyle w:val="IssueSubsectionHeading"/>
        <w:rPr>
          <w:vanish/>
          <w:specVanish/>
        </w:rPr>
      </w:pPr>
      <w:r w:rsidRPr="004C3641">
        <w:t>Staff Analysis: </w:t>
      </w:r>
    </w:p>
    <w:p w:rsidR="00BB7B19" w:rsidRDefault="00BB7B19">
      <w:pPr>
        <w:pStyle w:val="BodyText"/>
      </w:pPr>
      <w:r>
        <w:t> </w:t>
      </w:r>
      <w:r w:rsidR="00422F5E" w:rsidRPr="007D6798">
        <w:t>In its MFRs, the Utility requested a rate base of $3,010,098. Based on staff’s previously recommended adjustments, the appropriate rate base is $</w:t>
      </w:r>
      <w:r w:rsidR="00422F5E">
        <w:t>3,116,734</w:t>
      </w:r>
      <w:r w:rsidR="00422F5E" w:rsidRPr="007D6798">
        <w:t>. The schedule for rate base is attached as Schedule No. 1-</w:t>
      </w:r>
      <w:proofErr w:type="gramStart"/>
      <w:r w:rsidR="00422F5E" w:rsidRPr="007D6798">
        <w:t>A,</w:t>
      </w:r>
      <w:proofErr w:type="gramEnd"/>
      <w:r w:rsidR="00422F5E" w:rsidRPr="007D6798">
        <w:t xml:space="preserve"> and the adjustments are shown on Schedule No. 1-B</w:t>
      </w:r>
      <w:r w:rsidR="00422F5E">
        <w:t>.</w:t>
      </w:r>
    </w:p>
    <w:p w:rsidR="00BB7B19" w:rsidRDefault="00BB7B19">
      <w:pPr>
        <w:pStyle w:val="IssueHeading"/>
        <w:rPr>
          <w:vanish/>
          <w:specVanish/>
        </w:rPr>
      </w:pPr>
      <w:r w:rsidRPr="004C3641">
        <w:rPr>
          <w:b w:val="0"/>
          <w:i w:val="0"/>
        </w:rPr>
        <w:br w:type="page"/>
      </w:r>
      <w:r w:rsidRPr="004C3641">
        <w:lastRenderedPageBreak/>
        <w:t xml:space="preserve">Issue </w:t>
      </w:r>
      <w:fldSimple w:instr=" SEQ Issue \* MERGEFORMAT ">
        <w:r w:rsidR="00414083">
          <w:rPr>
            <w:noProof/>
          </w:rPr>
          <w:t>9</w:t>
        </w:r>
      </w:fldSimple>
      <w:r w:rsidRPr="004C3641">
        <w:t>:</w:t>
      </w:r>
      <w:r>
        <w:fldChar w:fldCharType="begin"/>
      </w:r>
      <w:r>
        <w:instrText xml:space="preserve"> TC "</w:instrText>
      </w:r>
      <w:bookmarkStart w:id="27" w:name="_Toc38467941"/>
      <w:r w:rsidR="007C1369">
        <w:instrText xml:space="preserve">Issue </w:instrText>
      </w:r>
      <w:r>
        <w:fldChar w:fldCharType="begin"/>
      </w:r>
      <w:r>
        <w:instrText xml:space="preserve"> SEQ issue \c </w:instrText>
      </w:r>
      <w:r>
        <w:fldChar w:fldCharType="separate"/>
      </w:r>
      <w:r w:rsidR="00414083">
        <w:rPr>
          <w:noProof/>
        </w:rPr>
        <w:instrText>9</w:instrText>
      </w:r>
      <w:r>
        <w:fldChar w:fldCharType="end"/>
      </w:r>
      <w:r w:rsidR="007C1369">
        <w:instrText xml:space="preserve"> – Return on Equity</w:instrText>
      </w:r>
      <w:bookmarkEnd w:id="27"/>
      <w:r>
        <w:instrText xml:space="preserve">" \l 1 </w:instrText>
      </w:r>
      <w:r>
        <w:fldChar w:fldCharType="end"/>
      </w:r>
      <w:r>
        <w:t> </w:t>
      </w:r>
    </w:p>
    <w:p w:rsidR="00BB7B19" w:rsidRDefault="00BB7B19">
      <w:pPr>
        <w:pStyle w:val="BodyText"/>
      </w:pPr>
      <w:r>
        <w:t> </w:t>
      </w:r>
      <w:r w:rsidR="007C1369">
        <w:t>What is the appropriate return on equity?</w:t>
      </w:r>
    </w:p>
    <w:p w:rsidR="00BB7B19" w:rsidRPr="004C3641" w:rsidRDefault="00BB7B19">
      <w:pPr>
        <w:pStyle w:val="IssueSubsectionHeading"/>
        <w:rPr>
          <w:vanish/>
          <w:specVanish/>
        </w:rPr>
      </w:pPr>
      <w:r w:rsidRPr="004C3641">
        <w:t>Recommendation: </w:t>
      </w:r>
    </w:p>
    <w:p w:rsidR="00BB7B19" w:rsidRDefault="00BB7B19">
      <w:pPr>
        <w:pStyle w:val="BodyText"/>
      </w:pPr>
      <w:r>
        <w:t> </w:t>
      </w:r>
      <w:r w:rsidR="00AF1058" w:rsidRPr="009F0C51">
        <w:t xml:space="preserve">Based on the Commission’s leverage formula currently in effect and staff’s recommended </w:t>
      </w:r>
      <w:r w:rsidR="00534DD8">
        <w:t xml:space="preserve">adjustment for unsatisfactory </w:t>
      </w:r>
      <w:r w:rsidR="00534DD8" w:rsidRPr="009F0C51">
        <w:t xml:space="preserve">quality </w:t>
      </w:r>
      <w:r w:rsidR="00AF1058" w:rsidRPr="009F0C51">
        <w:t>of service discussed in Issue 1, the appropriate return on equity (ROE) is 9.17 percent with an allowed range of plus or minus 100 basis points</w:t>
      </w:r>
      <w:r w:rsidR="00AF1058">
        <w:t>. (Thurmond)</w:t>
      </w:r>
      <w:r>
        <w:t xml:space="preserve"> </w:t>
      </w:r>
    </w:p>
    <w:p w:rsidR="00BB7B19" w:rsidRPr="004C3641" w:rsidRDefault="00BB7B19">
      <w:pPr>
        <w:pStyle w:val="IssueSubsectionHeading"/>
        <w:rPr>
          <w:vanish/>
          <w:specVanish/>
        </w:rPr>
      </w:pPr>
      <w:r w:rsidRPr="004C3641">
        <w:t>Staff Analysis: </w:t>
      </w:r>
    </w:p>
    <w:p w:rsidR="00BB7B19" w:rsidRDefault="00BB7B19">
      <w:pPr>
        <w:pStyle w:val="BodyText"/>
      </w:pPr>
      <w:r>
        <w:t> </w:t>
      </w:r>
      <w:r w:rsidR="008831F1" w:rsidRPr="009F0C51">
        <w:t>The RO</w:t>
      </w:r>
      <w:r w:rsidR="001E634A">
        <w:t>E included in the Utility’s MFR</w:t>
      </w:r>
      <w:r w:rsidR="008831F1" w:rsidRPr="009F0C51">
        <w:t>s is 9.67 percent. Based on the current leverage formula in effect and the equity ratio of 49.79 percent, the a</w:t>
      </w:r>
      <w:r w:rsidR="008831F1">
        <w:t>ppropriate ROE is 9.67 percent.</w:t>
      </w:r>
      <w:r w:rsidR="008831F1">
        <w:rPr>
          <w:rStyle w:val="FootnoteReference"/>
        </w:rPr>
        <w:footnoteReference w:id="16"/>
      </w:r>
      <w:r w:rsidR="008831F1" w:rsidRPr="009F0C51">
        <w:t xml:space="preserve"> However</w:t>
      </w:r>
      <w:r w:rsidR="008831F1">
        <w:t>,</w:t>
      </w:r>
      <w:r w:rsidR="008831F1" w:rsidRPr="009F0C51">
        <w:t xml:space="preserve"> as discussed in Issue 1, staff is recommending a reduction of 50 basis points for unsatisfactory quality of service. Therefore, the appropriate ROE is 9.17 percent. Staff recommends an allowed range of plus or minus 100 basis points be recognized for ratemaking purposes</w:t>
      </w:r>
      <w:r w:rsidR="008831F1">
        <w:t>.</w:t>
      </w:r>
    </w:p>
    <w:p w:rsidR="00BB7B19" w:rsidRDefault="00BB7B19">
      <w:pPr>
        <w:pStyle w:val="IssueHeading"/>
        <w:rPr>
          <w:vanish/>
          <w:specVanish/>
        </w:rPr>
      </w:pPr>
      <w:r w:rsidRPr="004C3641">
        <w:rPr>
          <w:b w:val="0"/>
          <w:i w:val="0"/>
        </w:rPr>
        <w:br w:type="page"/>
      </w:r>
      <w:r w:rsidRPr="004C3641">
        <w:lastRenderedPageBreak/>
        <w:t xml:space="preserve">Issue </w:t>
      </w:r>
      <w:fldSimple w:instr=" SEQ Issue \* MERGEFORMAT ">
        <w:r w:rsidR="00414083">
          <w:rPr>
            <w:noProof/>
          </w:rPr>
          <w:t>10</w:t>
        </w:r>
      </w:fldSimple>
      <w:r w:rsidRPr="004C3641">
        <w:t>:</w:t>
      </w:r>
      <w:r>
        <w:fldChar w:fldCharType="begin"/>
      </w:r>
      <w:r>
        <w:instrText xml:space="preserve"> TC "</w:instrText>
      </w:r>
      <w:bookmarkStart w:id="28" w:name="_Toc38467942"/>
      <w:r w:rsidR="007C1369">
        <w:instrText xml:space="preserve">Issue </w:instrText>
      </w:r>
      <w:r>
        <w:fldChar w:fldCharType="begin"/>
      </w:r>
      <w:r>
        <w:instrText xml:space="preserve"> SEQ issue \c </w:instrText>
      </w:r>
      <w:r>
        <w:fldChar w:fldCharType="separate"/>
      </w:r>
      <w:r w:rsidR="00414083">
        <w:rPr>
          <w:noProof/>
        </w:rPr>
        <w:instrText>10</w:instrText>
      </w:r>
      <w:r>
        <w:fldChar w:fldCharType="end"/>
      </w:r>
      <w:r w:rsidR="007C1369">
        <w:instrText xml:space="preserve"> – Cost of Capital</w:instrText>
      </w:r>
      <w:bookmarkEnd w:id="28"/>
      <w:r>
        <w:instrText xml:space="preserve">" \l 1 </w:instrText>
      </w:r>
      <w:r>
        <w:fldChar w:fldCharType="end"/>
      </w:r>
      <w:r>
        <w:t> </w:t>
      </w:r>
    </w:p>
    <w:p w:rsidR="00BB7B19" w:rsidRDefault="00BB7B19">
      <w:pPr>
        <w:pStyle w:val="BodyText"/>
      </w:pPr>
      <w:r>
        <w:t> </w:t>
      </w:r>
      <w:r w:rsidR="00CD6B3E" w:rsidRPr="009F0C51">
        <w:t>What is the appropriate weighted average cost of capital based on the proper components, amounts, and cost rates associated with the capital structure for the test year ended June 30, 2019</w:t>
      </w:r>
      <w:r w:rsidR="00CD6B3E">
        <w:t>?</w:t>
      </w:r>
    </w:p>
    <w:p w:rsidR="00BB7B19" w:rsidRPr="004C3641" w:rsidRDefault="00BB7B19">
      <w:pPr>
        <w:pStyle w:val="IssueSubsectionHeading"/>
        <w:rPr>
          <w:vanish/>
          <w:specVanish/>
        </w:rPr>
      </w:pPr>
      <w:r w:rsidRPr="004C3641">
        <w:t>Recommendation: </w:t>
      </w:r>
    </w:p>
    <w:p w:rsidR="00BB7B19" w:rsidRDefault="00BB7B19">
      <w:pPr>
        <w:pStyle w:val="BodyText"/>
      </w:pPr>
      <w:r>
        <w:t> </w:t>
      </w:r>
      <w:r w:rsidR="000C3035" w:rsidRPr="009F0C51">
        <w:t>The appropriate weighted average cost of capital for the test year ended June 30, 2019, is 7.1</w:t>
      </w:r>
      <w:r w:rsidR="000C3035">
        <w:t>4</w:t>
      </w:r>
      <w:r w:rsidR="000C3035" w:rsidRPr="009F0C51">
        <w:t xml:space="preserve"> percent</w:t>
      </w:r>
      <w:r w:rsidR="000C3035">
        <w:t>. (Thurmond)</w:t>
      </w:r>
      <w:r>
        <w:t xml:space="preserve"> </w:t>
      </w:r>
    </w:p>
    <w:p w:rsidR="00BB7B19" w:rsidRPr="004C3641" w:rsidRDefault="00BB7B19">
      <w:pPr>
        <w:pStyle w:val="IssueSubsectionHeading"/>
        <w:rPr>
          <w:vanish/>
          <w:specVanish/>
        </w:rPr>
      </w:pPr>
      <w:r w:rsidRPr="004C3641">
        <w:t>Staff Analysis: </w:t>
      </w:r>
    </w:p>
    <w:p w:rsidR="00BB7B19" w:rsidRDefault="00BB7B19">
      <w:pPr>
        <w:pStyle w:val="BodyText"/>
      </w:pPr>
      <w:r>
        <w:t> </w:t>
      </w:r>
      <w:r w:rsidR="000C3035" w:rsidRPr="009F0C51">
        <w:t xml:space="preserve">In its filing, HC requested an overall cost of capital of 7.39 percent. The Utility’s capital structure </w:t>
      </w:r>
      <w:r w:rsidR="000C3035" w:rsidRPr="00D22B36">
        <w:t>consists</w:t>
      </w:r>
      <w:r w:rsidR="000C3035">
        <w:t xml:space="preserve"> </w:t>
      </w:r>
      <w:r w:rsidR="000C3035" w:rsidRPr="009F0C51">
        <w:t>of long term debt, common equity, and customer deposits.</w:t>
      </w:r>
      <w:r w:rsidR="000C3035">
        <w:t xml:space="preserve"> </w:t>
      </w:r>
      <w:r w:rsidR="000C3035" w:rsidRPr="009F0C51">
        <w:t>Based upon the proper components, amounts, and cost rates associa</w:t>
      </w:r>
      <w:r w:rsidR="000C3035">
        <w:t>ted with the capital structure</w:t>
      </w:r>
      <w:r w:rsidR="000C3035" w:rsidRPr="009F0C51">
        <w:t>, staff recommends a weighted average cost of capital</w:t>
      </w:r>
      <w:r w:rsidR="000C3035">
        <w:t xml:space="preserve"> of 7.14</w:t>
      </w:r>
      <w:r w:rsidR="00B26551">
        <w:t xml:space="preserve"> percent. </w:t>
      </w:r>
      <w:proofErr w:type="gramStart"/>
      <w:r w:rsidR="000C3035" w:rsidRPr="009F0C51">
        <w:t>Schedule No. 2 details staff’s recommended overall cost of capital</w:t>
      </w:r>
      <w:r w:rsidR="000C3035">
        <w:t>.</w:t>
      </w:r>
      <w:proofErr w:type="gramEnd"/>
    </w:p>
    <w:p w:rsidR="000C3035" w:rsidRDefault="000C3035">
      <w:pPr>
        <w:pStyle w:val="BodyText"/>
      </w:pPr>
    </w:p>
    <w:p w:rsidR="00BB7B19" w:rsidRDefault="00BB7B19">
      <w:pPr>
        <w:pStyle w:val="IssueHeading"/>
        <w:rPr>
          <w:vanish/>
          <w:specVanish/>
        </w:rPr>
      </w:pPr>
      <w:r w:rsidRPr="004C3641">
        <w:rPr>
          <w:b w:val="0"/>
          <w:i w:val="0"/>
        </w:rPr>
        <w:br w:type="page"/>
      </w:r>
      <w:r w:rsidRPr="004C3641">
        <w:lastRenderedPageBreak/>
        <w:t xml:space="preserve">Issue </w:t>
      </w:r>
      <w:fldSimple w:instr=" SEQ Issue \* MERGEFORMAT ">
        <w:r w:rsidR="00414083">
          <w:rPr>
            <w:noProof/>
          </w:rPr>
          <w:t>11</w:t>
        </w:r>
      </w:fldSimple>
      <w:r w:rsidRPr="004C3641">
        <w:t>:</w:t>
      </w:r>
      <w:r>
        <w:fldChar w:fldCharType="begin"/>
      </w:r>
      <w:r>
        <w:instrText xml:space="preserve"> TC "</w:instrText>
      </w:r>
      <w:bookmarkStart w:id="29" w:name="_Toc38467943"/>
      <w:r w:rsidR="007C1369">
        <w:instrText xml:space="preserve">Issue </w:instrText>
      </w:r>
      <w:r>
        <w:fldChar w:fldCharType="begin"/>
      </w:r>
      <w:r>
        <w:instrText xml:space="preserve"> SEQ issue \c </w:instrText>
      </w:r>
      <w:r>
        <w:fldChar w:fldCharType="separate"/>
      </w:r>
      <w:r w:rsidR="00414083">
        <w:rPr>
          <w:noProof/>
        </w:rPr>
        <w:instrText>11</w:instrText>
      </w:r>
      <w:r>
        <w:fldChar w:fldCharType="end"/>
      </w:r>
      <w:r w:rsidR="007C1369">
        <w:instrText xml:space="preserve"> – Test Year Revenues</w:instrText>
      </w:r>
      <w:bookmarkEnd w:id="29"/>
      <w:r>
        <w:instrText xml:space="preserve">" \l 1 </w:instrText>
      </w:r>
      <w:r>
        <w:fldChar w:fldCharType="end"/>
      </w:r>
      <w:r>
        <w:t> </w:t>
      </w:r>
    </w:p>
    <w:p w:rsidR="00BB7B19" w:rsidRDefault="00BB7B19">
      <w:pPr>
        <w:pStyle w:val="BodyText"/>
      </w:pPr>
      <w:r>
        <w:t> </w:t>
      </w:r>
      <w:r w:rsidR="007C1369">
        <w:t>What are the appropriate test year revenues</w:t>
      </w:r>
      <w:r w:rsidR="00694452">
        <w:t xml:space="preserve"> for HC Waterworks’ water system</w:t>
      </w:r>
      <w:r w:rsidR="007C1369">
        <w:t>?</w:t>
      </w:r>
    </w:p>
    <w:p w:rsidR="00BB7B19" w:rsidRPr="004C3641" w:rsidRDefault="00BB7B19">
      <w:pPr>
        <w:pStyle w:val="IssueSubsectionHeading"/>
        <w:rPr>
          <w:vanish/>
          <w:specVanish/>
        </w:rPr>
      </w:pPr>
      <w:r w:rsidRPr="004C3641">
        <w:t>Recommendation: </w:t>
      </w:r>
    </w:p>
    <w:p w:rsidR="00BB7B19" w:rsidRDefault="00BB7B19">
      <w:pPr>
        <w:pStyle w:val="BodyText"/>
      </w:pPr>
      <w:r>
        <w:t> </w:t>
      </w:r>
      <w:r w:rsidR="00694452">
        <w:t>The approp</w:t>
      </w:r>
      <w:r w:rsidR="009F256F">
        <w:t xml:space="preserve">riate test year revenues for HC’s </w:t>
      </w:r>
      <w:r w:rsidR="00694452">
        <w:t>water system are $561,027</w:t>
      </w:r>
      <w:r w:rsidR="00BF3C91">
        <w:t>, which is a decrease of $14,708</w:t>
      </w:r>
      <w:r w:rsidR="00694452">
        <w:t xml:space="preserve"> to the Utility’s recorded test year revenues. (Bethea)</w:t>
      </w:r>
      <w:r>
        <w:t xml:space="preserve"> </w:t>
      </w:r>
    </w:p>
    <w:p w:rsidR="00BB7B19" w:rsidRPr="004C3641" w:rsidRDefault="00BB7B19">
      <w:pPr>
        <w:pStyle w:val="IssueSubsectionHeading"/>
        <w:rPr>
          <w:vanish/>
          <w:specVanish/>
        </w:rPr>
      </w:pPr>
      <w:r w:rsidRPr="004C3641">
        <w:t>Staff Analysis: </w:t>
      </w:r>
    </w:p>
    <w:p w:rsidR="00694452" w:rsidRDefault="00BB7B19" w:rsidP="00694452">
      <w:pPr>
        <w:pStyle w:val="BodyText"/>
      </w:pPr>
      <w:r>
        <w:t> </w:t>
      </w:r>
      <w:r w:rsidR="00694452">
        <w:t>According to the Utility’s MFRs, the Utility</w:t>
      </w:r>
      <w:r w:rsidR="00694452" w:rsidRPr="003E20BB">
        <w:t xml:space="preserve"> </w:t>
      </w:r>
      <w:r w:rsidR="00F35CF9">
        <w:t xml:space="preserve">reflected </w:t>
      </w:r>
      <w:r w:rsidR="00694452" w:rsidRPr="003E20BB">
        <w:t>tota</w:t>
      </w:r>
      <w:r w:rsidR="00D10F67">
        <w:t xml:space="preserve">l test year revenues of $575,735 </w:t>
      </w:r>
      <w:r w:rsidR="00694452">
        <w:t>for water</w:t>
      </w:r>
      <w:r w:rsidR="00694452" w:rsidRPr="003E20BB">
        <w:t xml:space="preserve">. The </w:t>
      </w:r>
      <w:r w:rsidR="00C03411">
        <w:t>water revenues included $559,693</w:t>
      </w:r>
      <w:r w:rsidR="00694452">
        <w:t xml:space="preserve"> of service revenues, $10,237 of miscellaneous revenues, and $5,805 of guaranteed revenues. </w:t>
      </w:r>
    </w:p>
    <w:p w:rsidR="00694452" w:rsidRDefault="00694452" w:rsidP="00694452">
      <w:pPr>
        <w:pStyle w:val="BodyText"/>
      </w:pPr>
      <w:r>
        <w:t xml:space="preserve">The Utility made adjustments to its billing data to account for duplicate bills that occurred as a result of move in/move outs and prorated bills for a rate change. For move ins/move outs, there is a final bill for the old customer and bill for the new customer at the same address. The billing analysis reflected both bills when there should only be one bill per address. The Utility’s rates were increased for a price index rate adjustment in the first month of the test year. The change in </w:t>
      </w:r>
      <w:r w:rsidR="00912776">
        <w:t xml:space="preserve">the </w:t>
      </w:r>
      <w:r>
        <w:t>base facility charge was prorated and reflected as two separate charges on a customer’s bill.  However, the two separate charges were recognized as two separate bills in the Utility’s billing analysis. Staff agrees with the Utility’s adjustments because the two scenarios overstate the U</w:t>
      </w:r>
      <w:r w:rsidR="00557FB8">
        <w:t xml:space="preserve">tility’s billing determinants. </w:t>
      </w:r>
      <w:r>
        <w:t>Su</w:t>
      </w:r>
      <w:r w:rsidR="00912776">
        <w:t>bsequent to the test year, the U</w:t>
      </w:r>
      <w:r>
        <w:t xml:space="preserve">tility’s rates </w:t>
      </w:r>
      <w:r w:rsidR="00912776">
        <w:t xml:space="preserve">decreased </w:t>
      </w:r>
      <w:r>
        <w:t>reflect</w:t>
      </w:r>
      <w:r w:rsidR="00912776">
        <w:t>ing</w:t>
      </w:r>
      <w:r>
        <w:t xml:space="preserve"> the expiration of amortized rate case expense. Since there was a rate change subsequent to the test year, staff has annualized the test year service revenues using the adjusted billing determinants and the rates that became effective August 6, 2019. Staff determined water test year service revenues to be $550,79</w:t>
      </w:r>
      <w:r w:rsidR="00033204">
        <w:t>0, which is a decrease of $8,903 ($559,693</w:t>
      </w:r>
      <w:r>
        <w:t xml:space="preserve"> - $550,790).  </w:t>
      </w:r>
    </w:p>
    <w:p w:rsidR="00694452" w:rsidRDefault="00694452" w:rsidP="00694452">
      <w:pPr>
        <w:pStyle w:val="BodyText"/>
      </w:pPr>
      <w:r>
        <w:t xml:space="preserve">In addition, the Utility included guaranteed revenues as </w:t>
      </w:r>
      <w:r w:rsidR="00557FB8">
        <w:t>part of its test year revenues.</w:t>
      </w:r>
      <w:r>
        <w:t xml:space="preserve"> The revenues were actually a result of the Utility assessing its allowance for funds prudently invested (AFPI) charges. AFPI is considered below the line for ratemaking purposes. As a result, staff decreased test year revenues by $5,805. Staff had no adjustments to miscellaneous revenues.</w:t>
      </w:r>
    </w:p>
    <w:p w:rsidR="00BB7B19" w:rsidRDefault="00694452" w:rsidP="00694452">
      <w:pPr>
        <w:pStyle w:val="BodyText"/>
      </w:pPr>
      <w:r>
        <w:t>Based on the above, the approp</w:t>
      </w:r>
      <w:r w:rsidR="005C66B3">
        <w:t>riate test year revenues for HC’s</w:t>
      </w:r>
      <w:r>
        <w:t xml:space="preserve"> water system are $561,027 ($550,790 +$10,237)</w:t>
      </w:r>
      <w:r w:rsidR="00197A12">
        <w:t>, which is a decrease of $14,708 ($8,903</w:t>
      </w:r>
      <w:r>
        <w:t xml:space="preserve"> + $5,805) to the Utility’s recorded test year revenues.</w:t>
      </w:r>
    </w:p>
    <w:p w:rsidR="00BB7B19" w:rsidRDefault="00BB7B19">
      <w:pPr>
        <w:pStyle w:val="IssueHeading"/>
        <w:rPr>
          <w:vanish/>
          <w:specVanish/>
        </w:rPr>
      </w:pPr>
      <w:r w:rsidRPr="004C3641">
        <w:rPr>
          <w:b w:val="0"/>
          <w:i w:val="0"/>
        </w:rPr>
        <w:br w:type="page"/>
      </w:r>
      <w:r w:rsidRPr="004C3641">
        <w:lastRenderedPageBreak/>
        <w:t xml:space="preserve">Issue </w:t>
      </w:r>
      <w:fldSimple w:instr=" SEQ Issue \* MERGEFORMAT ">
        <w:r w:rsidR="00414083">
          <w:rPr>
            <w:noProof/>
          </w:rPr>
          <w:t>12</w:t>
        </w:r>
      </w:fldSimple>
      <w:r w:rsidRPr="004C3641">
        <w:t>:</w:t>
      </w:r>
      <w:r>
        <w:fldChar w:fldCharType="begin"/>
      </w:r>
      <w:r>
        <w:instrText xml:space="preserve"> TC "</w:instrText>
      </w:r>
      <w:bookmarkStart w:id="30" w:name="_Toc38467944"/>
      <w:r w:rsidR="007C1369">
        <w:instrText xml:space="preserve">Issue </w:instrText>
      </w:r>
      <w:r>
        <w:fldChar w:fldCharType="begin"/>
      </w:r>
      <w:r>
        <w:instrText xml:space="preserve"> SEQ issue \c </w:instrText>
      </w:r>
      <w:r>
        <w:fldChar w:fldCharType="separate"/>
      </w:r>
      <w:r w:rsidR="00414083">
        <w:rPr>
          <w:noProof/>
        </w:rPr>
        <w:instrText>12</w:instrText>
      </w:r>
      <w:r>
        <w:fldChar w:fldCharType="end"/>
      </w:r>
      <w:r w:rsidR="007C1369">
        <w:instrText xml:space="preserve"> – Operations &amp; Maintenance Expense</w:instrText>
      </w:r>
      <w:bookmarkEnd w:id="30"/>
      <w:r>
        <w:tab/>
        <w:instrText xml:space="preserve">" \l 1 </w:instrText>
      </w:r>
      <w:r>
        <w:fldChar w:fldCharType="end"/>
      </w:r>
      <w:r>
        <w:t> </w:t>
      </w:r>
    </w:p>
    <w:p w:rsidR="00BB7B19" w:rsidRDefault="00BB7B19">
      <w:pPr>
        <w:pStyle w:val="BodyText"/>
      </w:pPr>
      <w:r>
        <w:t> </w:t>
      </w:r>
      <w:r w:rsidR="009B5406" w:rsidRPr="00CA6BEE">
        <w:t>Should further adjustments be made</w:t>
      </w:r>
      <w:r w:rsidR="009B5406">
        <w:t xml:space="preserve"> to</w:t>
      </w:r>
      <w:r w:rsidR="009B5406" w:rsidRPr="00CA6BEE">
        <w:t xml:space="preserve"> the Utility’s O&amp;M expense</w:t>
      </w:r>
      <w:r w:rsidR="007C1369">
        <w:t>?</w:t>
      </w:r>
    </w:p>
    <w:p w:rsidR="00BB7B19" w:rsidRPr="004C3641" w:rsidRDefault="00BB7B19">
      <w:pPr>
        <w:pStyle w:val="IssueSubsectionHeading"/>
        <w:rPr>
          <w:vanish/>
          <w:specVanish/>
        </w:rPr>
      </w:pPr>
      <w:r w:rsidRPr="004C3641">
        <w:t>Recommendation: </w:t>
      </w:r>
    </w:p>
    <w:p w:rsidR="00BB7B19" w:rsidRDefault="00BB7B19">
      <w:pPr>
        <w:pStyle w:val="BodyText"/>
      </w:pPr>
      <w:r>
        <w:t> </w:t>
      </w:r>
      <w:r w:rsidR="00B26551" w:rsidRPr="00CA6BEE">
        <w:t xml:space="preserve">Yes. </w:t>
      </w:r>
      <w:r w:rsidR="00B26551" w:rsidRPr="00F50DF1">
        <w:t xml:space="preserve">O&amp;M </w:t>
      </w:r>
      <w:r w:rsidR="00061527">
        <w:t xml:space="preserve">expense </w:t>
      </w:r>
      <w:r w:rsidR="00B26551" w:rsidRPr="00F50DF1">
        <w:t xml:space="preserve">should be </w:t>
      </w:r>
      <w:r w:rsidR="00E921EC">
        <w:t>in</w:t>
      </w:r>
      <w:r w:rsidR="00B26551" w:rsidRPr="00F50DF1">
        <w:t>creased by $9,5</w:t>
      </w:r>
      <w:r w:rsidR="00B26551">
        <w:t>03. (Johnson, Knoblauch, Thurmond)</w:t>
      </w:r>
      <w:r>
        <w:t xml:space="preserve"> </w:t>
      </w:r>
    </w:p>
    <w:p w:rsidR="00BB7B19" w:rsidRPr="004C3641" w:rsidRDefault="00BB7B19">
      <w:pPr>
        <w:pStyle w:val="IssueSubsectionHeading"/>
        <w:rPr>
          <w:vanish/>
          <w:specVanish/>
        </w:rPr>
      </w:pPr>
      <w:r w:rsidRPr="004C3641">
        <w:t>Staff Analysis: </w:t>
      </w:r>
    </w:p>
    <w:p w:rsidR="00BB7B19" w:rsidRDefault="00BB7B19">
      <w:pPr>
        <w:pStyle w:val="BodyText"/>
      </w:pPr>
      <w:r>
        <w:t> </w:t>
      </w:r>
      <w:r w:rsidR="00B26551" w:rsidRPr="00CA6BEE">
        <w:t>Based on its review of test year O&amp;M expense, staff recommends several adjustments to the Utility’s O&amp;M expense as summarized below</w:t>
      </w:r>
      <w:r w:rsidR="00B26551">
        <w:t>.</w:t>
      </w:r>
    </w:p>
    <w:p w:rsidR="00B26551" w:rsidRDefault="00B26551" w:rsidP="00B26551">
      <w:pPr>
        <w:pStyle w:val="First-LevelSubheading"/>
      </w:pPr>
      <w:r>
        <w:t>Purchased Power</w:t>
      </w:r>
    </w:p>
    <w:p w:rsidR="00B26551" w:rsidRPr="00AA2637" w:rsidRDefault="00B26551" w:rsidP="00B26551">
      <w:pPr>
        <w:pStyle w:val="BodyText"/>
      </w:pPr>
      <w:r w:rsidRPr="00AA2637">
        <w:t>In its filing, HC refl</w:t>
      </w:r>
      <w:r>
        <w:t xml:space="preserve">ected purchased power expense of $47,237, which included a pro forma increase of $7,262. </w:t>
      </w:r>
      <w:r w:rsidR="00673400">
        <w:t>The Utility stated that the new water treatment system at the Leisure Lakes WTP would increase purchased power. This is because the water would have “to be pumped twice, once through the aeration then back out of the storage tank into the distribution system.”</w:t>
      </w:r>
      <w:r w:rsidR="00673400">
        <w:rPr>
          <w:rStyle w:val="FootnoteReference"/>
        </w:rPr>
        <w:footnoteReference w:id="17"/>
      </w:r>
      <w:r w:rsidR="00673400">
        <w:t xml:space="preserve"> However, the Utility did not provide any invoices or documentation to support the requested adjustment of $7,262. Therefore, staff recommends no adjustment to purchased pow</w:t>
      </w:r>
      <w:r w:rsidR="000A4FD7">
        <w:t>er expense</w:t>
      </w:r>
      <w:r w:rsidR="00E17ED3">
        <w:t xml:space="preserve"> </w:t>
      </w:r>
      <w:r w:rsidR="00E17ED3" w:rsidRPr="00902DE1">
        <w:t xml:space="preserve">for the Leisure Lakes new water treatment system. However, as discussed in Issue 5, </w:t>
      </w:r>
      <w:r w:rsidR="00D67982">
        <w:rPr>
          <w:bCs/>
          <w:iCs/>
        </w:rPr>
        <w:t xml:space="preserve">staff recommends </w:t>
      </w:r>
      <w:r w:rsidR="00E17ED3" w:rsidRPr="00902DE1">
        <w:rPr>
          <w:bCs/>
          <w:iCs/>
        </w:rPr>
        <w:t xml:space="preserve">an adjustment of 2.23 percent be made to </w:t>
      </w:r>
      <w:proofErr w:type="gramStart"/>
      <w:r w:rsidR="00E17ED3" w:rsidRPr="00902DE1">
        <w:rPr>
          <w:bCs/>
          <w:iCs/>
        </w:rPr>
        <w:t>purchased</w:t>
      </w:r>
      <w:proofErr w:type="gramEnd"/>
      <w:r w:rsidR="00E17ED3" w:rsidRPr="00902DE1">
        <w:rPr>
          <w:bCs/>
          <w:iCs/>
        </w:rPr>
        <w:t xml:space="preserve"> power expense for EUW.</w:t>
      </w:r>
      <w:r>
        <w:t xml:space="preserve"> As such, staff recommends reducing purchased power by $1,053 (2.23 percent x $47,237).</w:t>
      </w:r>
    </w:p>
    <w:p w:rsidR="00B26551" w:rsidRDefault="00B26551" w:rsidP="00B26551">
      <w:pPr>
        <w:pStyle w:val="First-LevelSubheading"/>
      </w:pPr>
      <w:r>
        <w:t>Chemicals</w:t>
      </w:r>
    </w:p>
    <w:p w:rsidR="00B26551" w:rsidRDefault="00B26551" w:rsidP="00B26551">
      <w:pPr>
        <w:pStyle w:val="BodyText"/>
      </w:pPr>
      <w:r w:rsidRPr="00AA2637">
        <w:t>In its filing, HC refle</w:t>
      </w:r>
      <w:r>
        <w:t>cted chemical</w:t>
      </w:r>
      <w:r w:rsidR="00726757">
        <w:t>s</w:t>
      </w:r>
      <w:r>
        <w:t xml:space="preserve"> expense of $38,625, which included a pro forma increase of $3,473.</w:t>
      </w:r>
      <w:r w:rsidR="000831DB">
        <w:t xml:space="preserve"> The Utility explained that new chemicals were required for the water treatment system at the Leisure Lakes WTP, which was not captured in the test year expense. Invoices for the new chemicals were provided by the Utility from August 2019 through February 2020 totaling $3,528.</w:t>
      </w:r>
      <w:r w:rsidR="000831DB">
        <w:rPr>
          <w:rStyle w:val="FootnoteReference"/>
        </w:rPr>
        <w:footnoteReference w:id="18"/>
      </w:r>
      <w:r w:rsidR="000831DB">
        <w:t xml:space="preserve"> Utilizing these invoices, staff calculated the average monthly cost for the new chemicals, and subsequently calculated an annual cost of $6,048. Therefore, staff recommends an increase of $6,048 to chemicals expense.</w:t>
      </w:r>
      <w:r>
        <w:t xml:space="preserve"> </w:t>
      </w:r>
      <w:r w:rsidR="005D2511" w:rsidRPr="002E4034">
        <w:t xml:space="preserve">Additionally, as discussed in Issue 5, </w:t>
      </w:r>
      <w:r w:rsidR="00971933">
        <w:rPr>
          <w:bCs/>
          <w:iCs/>
        </w:rPr>
        <w:t>staff recommends</w:t>
      </w:r>
      <w:r w:rsidR="005D2511" w:rsidRPr="002E4034">
        <w:rPr>
          <w:bCs/>
          <w:iCs/>
        </w:rPr>
        <w:t xml:space="preserve"> an adjustment of 2.23 percent be made to chemicals expense for EUW,</w:t>
      </w:r>
      <w:r w:rsidR="005D2511">
        <w:rPr>
          <w:bCs/>
          <w:iCs/>
        </w:rPr>
        <w:t xml:space="preserve"> </w:t>
      </w:r>
      <w:r>
        <w:t>which result</w:t>
      </w:r>
      <w:r w:rsidR="003F56E5">
        <w:t>s</w:t>
      </w:r>
      <w:r>
        <w:t xml:space="preserve"> in a decrease of $996 (2.23 percent x $44,673). As such staff recommends increasing chemicals by $5,052 ($6,048 - $996).</w:t>
      </w:r>
    </w:p>
    <w:p w:rsidR="00B26551" w:rsidRDefault="00B26551" w:rsidP="00B26551">
      <w:pPr>
        <w:pStyle w:val="First-LevelSubheading"/>
      </w:pPr>
      <w:r>
        <w:t>Contractual Services-Other</w:t>
      </w:r>
    </w:p>
    <w:p w:rsidR="00B26551" w:rsidRDefault="00B26551" w:rsidP="00B26551">
      <w:pPr>
        <w:pStyle w:val="BodyText"/>
      </w:pPr>
      <w:r>
        <w:t xml:space="preserve">During the test year, the Utility recorded contractual services - other expense of $263,131. HC receives all of its operational and administrative services under a contract with an affiliated company, USWSC. Pursuant to the contract, HC employed the services of USWSC to perform various functions: administrative management, operations, maintenance, and billing/collection for the Utility. These include management and financial oversight, water system operations, maintenance, and customer service. </w:t>
      </w:r>
    </w:p>
    <w:p w:rsidR="00B26551" w:rsidRDefault="00B26551" w:rsidP="00B26551">
      <w:pPr>
        <w:pStyle w:val="BodyText"/>
      </w:pPr>
      <w:r>
        <w:t xml:space="preserve">On January 7, 2020, HC submitted documentation containing additional information related to its outside contractual </w:t>
      </w:r>
      <w:r w:rsidR="00557FB8">
        <w:t xml:space="preserve">services agreement with USWSC. </w:t>
      </w:r>
      <w:r>
        <w:t xml:space="preserve">According to the Utility, USWSC currently operates in 60 of Florida’s 67 counties, providing service to over 1,000 utility systems, and over 1,000,000 customers daily. USWSC’s president and majority shareholder has been in </w:t>
      </w:r>
      <w:r>
        <w:lastRenderedPageBreak/>
        <w:t>the water utility management and operations industry for over 30 years. HC contracts with USWSC for the following services:</w:t>
      </w:r>
    </w:p>
    <w:p w:rsidR="00D75082" w:rsidRDefault="00B26551" w:rsidP="00D75082">
      <w:pPr>
        <w:pStyle w:val="BodyText"/>
        <w:numPr>
          <w:ilvl w:val="0"/>
          <w:numId w:val="11"/>
        </w:numPr>
        <w:spacing w:after="0"/>
        <w:ind w:left="1080" w:hanging="360"/>
      </w:pPr>
      <w:r>
        <w:t>Water and Wastewater Operations</w:t>
      </w:r>
    </w:p>
    <w:p w:rsidR="00D75082" w:rsidRDefault="00B26551" w:rsidP="00D75082">
      <w:pPr>
        <w:pStyle w:val="BodyText"/>
        <w:numPr>
          <w:ilvl w:val="0"/>
          <w:numId w:val="11"/>
        </w:numPr>
        <w:spacing w:after="0"/>
        <w:ind w:left="1080" w:hanging="360"/>
      </w:pPr>
      <w:r>
        <w:t>Meter Reading</w:t>
      </w:r>
    </w:p>
    <w:p w:rsidR="00D75082" w:rsidRDefault="00B26551" w:rsidP="00D75082">
      <w:pPr>
        <w:pStyle w:val="BodyText"/>
        <w:numPr>
          <w:ilvl w:val="0"/>
          <w:numId w:val="11"/>
        </w:numPr>
        <w:spacing w:after="0"/>
        <w:ind w:left="1080" w:hanging="360"/>
      </w:pPr>
      <w:r>
        <w:t>System Maintenance and Repairs</w:t>
      </w:r>
    </w:p>
    <w:p w:rsidR="00D75082" w:rsidRDefault="00B26551" w:rsidP="00D75082">
      <w:pPr>
        <w:pStyle w:val="BodyText"/>
        <w:numPr>
          <w:ilvl w:val="0"/>
          <w:numId w:val="11"/>
        </w:numPr>
        <w:spacing w:after="0"/>
        <w:ind w:left="1080" w:hanging="360"/>
      </w:pPr>
      <w:r>
        <w:t>Billing and Collections</w:t>
      </w:r>
    </w:p>
    <w:p w:rsidR="00D75082" w:rsidRDefault="00B26551" w:rsidP="00D75082">
      <w:pPr>
        <w:pStyle w:val="BodyText"/>
        <w:numPr>
          <w:ilvl w:val="0"/>
          <w:numId w:val="11"/>
        </w:numPr>
        <w:spacing w:after="0"/>
        <w:ind w:left="1080" w:hanging="360"/>
      </w:pPr>
      <w:r>
        <w:t>Customer Service</w:t>
      </w:r>
    </w:p>
    <w:p w:rsidR="00D75082" w:rsidRDefault="00B26551" w:rsidP="00D75082">
      <w:pPr>
        <w:pStyle w:val="BodyText"/>
        <w:numPr>
          <w:ilvl w:val="0"/>
          <w:numId w:val="11"/>
        </w:numPr>
        <w:spacing w:after="0"/>
        <w:ind w:left="1080" w:hanging="360"/>
      </w:pPr>
      <w:r>
        <w:t>Regulatory Affairs</w:t>
      </w:r>
    </w:p>
    <w:p w:rsidR="00D75082" w:rsidRDefault="00B26551" w:rsidP="00D75082">
      <w:pPr>
        <w:pStyle w:val="BodyText"/>
        <w:numPr>
          <w:ilvl w:val="0"/>
          <w:numId w:val="11"/>
        </w:numPr>
        <w:spacing w:after="0"/>
        <w:ind w:left="1080" w:hanging="360"/>
      </w:pPr>
      <w:r>
        <w:t>Testing</w:t>
      </w:r>
    </w:p>
    <w:p w:rsidR="00D75082" w:rsidRDefault="00B26551" w:rsidP="00D75082">
      <w:pPr>
        <w:pStyle w:val="BodyText"/>
        <w:numPr>
          <w:ilvl w:val="0"/>
          <w:numId w:val="11"/>
        </w:numPr>
        <w:spacing w:after="0"/>
        <w:ind w:left="1080" w:hanging="360"/>
      </w:pPr>
      <w:r>
        <w:t>Accounting</w:t>
      </w:r>
    </w:p>
    <w:p w:rsidR="00B26551" w:rsidRDefault="00B26551" w:rsidP="00D75082">
      <w:pPr>
        <w:pStyle w:val="BodyText"/>
        <w:numPr>
          <w:ilvl w:val="0"/>
          <w:numId w:val="11"/>
        </w:numPr>
        <w:spacing w:after="0"/>
        <w:ind w:left="1080" w:hanging="360"/>
      </w:pPr>
      <w:r>
        <w:t>Office Space and Equipment</w:t>
      </w:r>
    </w:p>
    <w:p w:rsidR="00D75082" w:rsidRDefault="00D75082" w:rsidP="00D75082">
      <w:pPr>
        <w:pStyle w:val="BodyText"/>
        <w:spacing w:after="0"/>
      </w:pPr>
    </w:p>
    <w:p w:rsidR="00B26551" w:rsidRDefault="00B26551" w:rsidP="00B26551">
      <w:pPr>
        <w:pStyle w:val="BodyText"/>
      </w:pPr>
      <w:r>
        <w:t>According to the Utility, each of the service contracts that USWSC enters into with a utility “are different and are priced differently d</w:t>
      </w:r>
      <w:r w:rsidR="00557FB8">
        <w:t xml:space="preserve">epending on numerous factors.” </w:t>
      </w:r>
      <w:r>
        <w:t>These factors include the number of employees needed and the number of hours required per system for successful operation. Additional considerations include whether USWSC provides chemicals, power, offices, vehicles, etc., or if these items are provided by the utility.</w:t>
      </w:r>
    </w:p>
    <w:p w:rsidR="00B26551" w:rsidRPr="00931DBB" w:rsidRDefault="00B26551" w:rsidP="00B26551">
      <w:pPr>
        <w:pStyle w:val="BodyText"/>
      </w:pPr>
      <w:r w:rsidRPr="00931DBB">
        <w:t xml:space="preserve">Additional support offered by the Utility included the “2016 American Water Works Association Benchmarking Performance Indicators for Water and Wastewater” (AWWA Benchmark) and an independent third-party contract and benchmarking review commissioned by the Florida Governmental Utility Authority (FGUA), which was issued in 2013. According to the AWWA Benchmark, the median O&amp;M expense per account of the 44 water companies surveyed is $430.71, including customer service costs, with a range from $331.25 to $639.82. </w:t>
      </w:r>
    </w:p>
    <w:p w:rsidR="00B26551" w:rsidRPr="00931DBB" w:rsidRDefault="00B26551" w:rsidP="00B26551">
      <w:pPr>
        <w:pStyle w:val="BodyText"/>
      </w:pPr>
      <w:r w:rsidRPr="00931DBB">
        <w:t>The contract and benchmarking review commissioned by FGUA was undertaken to review charges by USWSC in comparison to similar water utilities throughout the United States. The FGUA study concluded that the USWSC costs on a per account basis fell within the top quartile (l</w:t>
      </w:r>
      <w:r w:rsidR="00557FB8">
        <w:t xml:space="preserve">ower cost) of other utilities. </w:t>
      </w:r>
      <w:r w:rsidRPr="00931DBB">
        <w:t>These were charges to FGUA by USWSC. While the Utility represented that there was a flaw in the data presented in the 2013 study, staff’s greater concern is the age of some of the underlying data, which can be tied to AWWA’s 2011 Benchmarking Performance Indicators. As such, staff believes that the 2016 Benchmarking Performance Indicators are a more appropriate reference point.</w:t>
      </w:r>
    </w:p>
    <w:p w:rsidR="00B26551" w:rsidRDefault="00B26551" w:rsidP="00B26551">
      <w:pPr>
        <w:pStyle w:val="BodyText"/>
      </w:pPr>
      <w:r w:rsidRPr="00931DBB">
        <w:t xml:space="preserve">Staff also compared HC to five “sister” water utilities that </w:t>
      </w:r>
      <w:r w:rsidR="00775957">
        <w:t>share common ownership and</w:t>
      </w:r>
      <w:r w:rsidR="00775957" w:rsidRPr="00931DBB">
        <w:t xml:space="preserve"> </w:t>
      </w:r>
      <w:r w:rsidRPr="00931DBB">
        <w:t xml:space="preserve">had a rate case approved in the last five years by calculating a three-year average O&amp;M per </w:t>
      </w:r>
      <w:r w:rsidR="002B4F0B">
        <w:t>equivalent residential connection</w:t>
      </w:r>
      <w:r w:rsidR="002B4F0B" w:rsidRPr="00931DBB">
        <w:t xml:space="preserve"> </w:t>
      </w:r>
      <w:r w:rsidR="002B4F0B">
        <w:t>(</w:t>
      </w:r>
      <w:r w:rsidRPr="00931DBB">
        <w:t>ERC</w:t>
      </w:r>
      <w:r w:rsidR="002B4F0B">
        <w:t>)</w:t>
      </w:r>
      <w:r w:rsidRPr="00931DBB">
        <w:t xml:space="preserve"> expense using information contained in each utility’s 2016, 2017, and 2018 Annual R</w:t>
      </w:r>
      <w:r w:rsidR="00557FB8">
        <w:t>eports.</w:t>
      </w:r>
      <w:r w:rsidR="00E66F4B">
        <w:rPr>
          <w:rStyle w:val="FootnoteReference"/>
        </w:rPr>
        <w:footnoteReference w:id="19"/>
      </w:r>
      <w:r w:rsidRPr="00931DBB">
        <w:t xml:space="preserve"> Staff</w:t>
      </w:r>
      <w:r w:rsidR="00E66F4B">
        <w:t xml:space="preserve"> then compared HC to five non-U</w:t>
      </w:r>
      <w:r w:rsidRPr="00931DBB">
        <w:t>S</w:t>
      </w:r>
      <w:r w:rsidR="00E66F4B">
        <w:t>WSC</w:t>
      </w:r>
      <w:r w:rsidRPr="00931DBB">
        <w:t xml:space="preserve"> affiliated water </w:t>
      </w:r>
      <w:r w:rsidRPr="00931DBB">
        <w:lastRenderedPageBreak/>
        <w:t>util</w:t>
      </w:r>
      <w:r w:rsidR="00557FB8">
        <w:t xml:space="preserve">ities using the same criteria. </w:t>
      </w:r>
      <w:r w:rsidRPr="00931DBB">
        <w:t xml:space="preserve">Table </w:t>
      </w:r>
      <w:r w:rsidRPr="00D22B36">
        <w:t>12</w:t>
      </w:r>
      <w:r w:rsidRPr="00931DBB">
        <w:t xml:space="preserve">-2 reflects the comparative average O&amp;M </w:t>
      </w:r>
      <w:r w:rsidR="00735261">
        <w:t>expense per ERC for HC, its USWSC</w:t>
      </w:r>
      <w:r w:rsidRPr="00931DBB">
        <w:t xml:space="preserve"> </w:t>
      </w:r>
      <w:r w:rsidR="00735261">
        <w:t xml:space="preserve">sister utilities, and non-USWSC </w:t>
      </w:r>
      <w:r w:rsidRPr="00931DBB">
        <w:t>utilities. For comparison purposes, the average O&amp;M expense per ERC incorporated in staff’s proposed water revenue requirements</w:t>
      </w:r>
      <w:r>
        <w:t xml:space="preserve"> are also represented in Table 12</w:t>
      </w:r>
      <w:r w:rsidR="00971577">
        <w:t xml:space="preserve">-2. </w:t>
      </w:r>
    </w:p>
    <w:p w:rsidR="00B26551" w:rsidRDefault="00B26551" w:rsidP="00B26551">
      <w:pPr>
        <w:pStyle w:val="TableNumber"/>
        <w:keepNext/>
      </w:pPr>
      <w:r>
        <w:t xml:space="preserve">Table </w:t>
      </w:r>
      <w:r w:rsidR="00194728">
        <w:fldChar w:fldCharType="begin"/>
      </w:r>
      <w:r w:rsidR="00194728">
        <w:instrText xml:space="preserve"> SEQ Issue \c </w:instrText>
      </w:r>
      <w:r w:rsidR="00194728">
        <w:fldChar w:fldCharType="separate"/>
      </w:r>
      <w:r w:rsidR="00414083">
        <w:rPr>
          <w:noProof/>
        </w:rPr>
        <w:t>12</w:t>
      </w:r>
      <w:r w:rsidR="00194728">
        <w:rPr>
          <w:noProof/>
        </w:rPr>
        <w:fldChar w:fldCharType="end"/>
      </w:r>
      <w:r>
        <w:t>-2</w:t>
      </w:r>
    </w:p>
    <w:p w:rsidR="00B26551" w:rsidRDefault="00B26551" w:rsidP="00B26551">
      <w:pPr>
        <w:pStyle w:val="TableTitle"/>
        <w:keepNext/>
      </w:pPr>
      <w:r>
        <w:t xml:space="preserve">Water O&amp;M Expense </w:t>
      </w:r>
      <w:proofErr w:type="gramStart"/>
      <w:r>
        <w:t>Per</w:t>
      </w:r>
      <w:proofErr w:type="gramEnd"/>
      <w:r>
        <w:t xml:space="preserve"> ERC</w:t>
      </w:r>
    </w:p>
    <w:tbl>
      <w:tblPr>
        <w:tblStyle w:val="TableGrid"/>
        <w:tblW w:w="0" w:type="auto"/>
        <w:jc w:val="center"/>
        <w:tblLook w:val="04A0" w:firstRow="1" w:lastRow="0" w:firstColumn="1" w:lastColumn="0" w:noHBand="0" w:noVBand="1"/>
      </w:tblPr>
      <w:tblGrid>
        <w:gridCol w:w="4788"/>
        <w:gridCol w:w="1710"/>
      </w:tblGrid>
      <w:tr w:rsidR="00B26551" w:rsidTr="00BF32E3">
        <w:trPr>
          <w:jc w:val="center"/>
        </w:trPr>
        <w:tc>
          <w:tcPr>
            <w:tcW w:w="4788" w:type="dxa"/>
          </w:tcPr>
          <w:p w:rsidR="00B26551" w:rsidRDefault="00B26551" w:rsidP="00BF32E3"/>
        </w:tc>
        <w:tc>
          <w:tcPr>
            <w:tcW w:w="1710" w:type="dxa"/>
          </w:tcPr>
          <w:p w:rsidR="00B26551" w:rsidRPr="00C319B9" w:rsidRDefault="00B26551" w:rsidP="00BF32E3">
            <w:pPr>
              <w:jc w:val="center"/>
              <w:rPr>
                <w:b/>
              </w:rPr>
            </w:pPr>
            <w:r w:rsidRPr="00C319B9">
              <w:rPr>
                <w:b/>
              </w:rPr>
              <w:t>Utility</w:t>
            </w:r>
            <w:r w:rsidRPr="00C319B9">
              <w:rPr>
                <w:b/>
              </w:rPr>
              <w:tab/>
              <w:t>O&amp;M Exp./ERC</w:t>
            </w:r>
          </w:p>
        </w:tc>
      </w:tr>
      <w:tr w:rsidR="00BF6F18" w:rsidTr="00BF32E3">
        <w:trPr>
          <w:jc w:val="center"/>
        </w:trPr>
        <w:tc>
          <w:tcPr>
            <w:tcW w:w="4788" w:type="dxa"/>
          </w:tcPr>
          <w:p w:rsidR="00BF6F18" w:rsidRDefault="00BF6F18" w:rsidP="001C2CEC">
            <w:r w:rsidRPr="00136605">
              <w:t>U</w:t>
            </w:r>
            <w:r>
              <w:t>SWSC</w:t>
            </w:r>
            <w:r w:rsidRPr="00136605">
              <w:t xml:space="preserve"> Sister Utilities (3-Yr. Avg.)</w:t>
            </w:r>
          </w:p>
        </w:tc>
        <w:tc>
          <w:tcPr>
            <w:tcW w:w="1710" w:type="dxa"/>
          </w:tcPr>
          <w:p w:rsidR="00BF6F18" w:rsidRDefault="00BF6F18" w:rsidP="00BF32E3">
            <w:pPr>
              <w:jc w:val="center"/>
            </w:pPr>
            <w:r w:rsidRPr="00136605">
              <w:t>$306.60</w:t>
            </w:r>
          </w:p>
        </w:tc>
      </w:tr>
      <w:tr w:rsidR="00BF6F18" w:rsidTr="00BF32E3">
        <w:trPr>
          <w:jc w:val="center"/>
        </w:trPr>
        <w:tc>
          <w:tcPr>
            <w:tcW w:w="4788" w:type="dxa"/>
          </w:tcPr>
          <w:p w:rsidR="00BF6F18" w:rsidRDefault="00BF6F18" w:rsidP="00BF32E3">
            <w:r w:rsidRPr="00136605">
              <w:t>Non-U</w:t>
            </w:r>
            <w:r>
              <w:t>SWSC</w:t>
            </w:r>
            <w:r w:rsidRPr="00136605">
              <w:t xml:space="preserve"> Utilities (3-Yr. Avg.)</w:t>
            </w:r>
          </w:p>
        </w:tc>
        <w:tc>
          <w:tcPr>
            <w:tcW w:w="1710" w:type="dxa"/>
          </w:tcPr>
          <w:p w:rsidR="00BF6F18" w:rsidRDefault="00BF6F18" w:rsidP="00BF32E3">
            <w:pPr>
              <w:jc w:val="center"/>
            </w:pPr>
            <w:r>
              <w:t>$486.71</w:t>
            </w:r>
          </w:p>
        </w:tc>
      </w:tr>
      <w:tr w:rsidR="00BF6F18" w:rsidTr="00BF32E3">
        <w:trPr>
          <w:jc w:val="center"/>
        </w:trPr>
        <w:tc>
          <w:tcPr>
            <w:tcW w:w="4788" w:type="dxa"/>
          </w:tcPr>
          <w:p w:rsidR="00BF6F18" w:rsidRDefault="00BF6F18" w:rsidP="00BF32E3">
            <w:r w:rsidRPr="00136605">
              <w:t>HC Waterworks (Staff Recommended)</w:t>
            </w:r>
          </w:p>
        </w:tc>
        <w:tc>
          <w:tcPr>
            <w:tcW w:w="1710" w:type="dxa"/>
          </w:tcPr>
          <w:p w:rsidR="00BF6F18" w:rsidRDefault="00BF6F18" w:rsidP="00BF32E3">
            <w:pPr>
              <w:jc w:val="center"/>
            </w:pPr>
            <w:r w:rsidRPr="00136605">
              <w:t>$386.19</w:t>
            </w:r>
          </w:p>
        </w:tc>
      </w:tr>
    </w:tbl>
    <w:p w:rsidR="00B26551" w:rsidRPr="004433A7" w:rsidRDefault="00B26551" w:rsidP="00B26551">
      <w:pPr>
        <w:pStyle w:val="TableSource"/>
        <w:ind w:left="720" w:firstLine="720"/>
        <w:rPr>
          <w:sz w:val="20"/>
          <w:szCs w:val="20"/>
        </w:rPr>
      </w:pPr>
      <w:r w:rsidRPr="004433A7">
        <w:rPr>
          <w:sz w:val="20"/>
          <w:szCs w:val="20"/>
        </w:rPr>
        <w:t>Source: 2016-2018 Annual Reports and staff calculations.</w:t>
      </w:r>
    </w:p>
    <w:p w:rsidR="00B26551" w:rsidRPr="00931DBB" w:rsidRDefault="00237A0C" w:rsidP="00B26551">
      <w:pPr>
        <w:pStyle w:val="BodyText"/>
      </w:pPr>
      <w:r>
        <w:t>A</w:t>
      </w:r>
      <w:r w:rsidR="00B26551" w:rsidRPr="00931DBB">
        <w:t>t the March 3, 2020</w:t>
      </w:r>
      <w:r w:rsidR="00B26551">
        <w:t xml:space="preserve"> </w:t>
      </w:r>
      <w:r w:rsidR="00B26551" w:rsidRPr="00D22B36">
        <w:t>Commission</w:t>
      </w:r>
      <w:r w:rsidR="00B26551">
        <w:t xml:space="preserve"> C</w:t>
      </w:r>
      <w:r w:rsidR="00B26551" w:rsidRPr="00931DBB">
        <w:t xml:space="preserve">onference, </w:t>
      </w:r>
      <w:r>
        <w:t>the Commission approved</w:t>
      </w:r>
      <w:r w:rsidR="00B26551" w:rsidRPr="00931DBB">
        <w:t xml:space="preserve"> the </w:t>
      </w:r>
      <w:r>
        <w:t xml:space="preserve">USWSC </w:t>
      </w:r>
      <w:r w:rsidR="00B26551" w:rsidRPr="00931DBB">
        <w:t>contractual services agreement</w:t>
      </w:r>
      <w:r>
        <w:t>s for three additional “sister” utilities</w:t>
      </w:r>
      <w:r w:rsidR="00B26551" w:rsidRPr="00931DBB">
        <w:t>, based, in part, on comparisons to other utilities with similar agreements.</w:t>
      </w:r>
      <w:r>
        <w:rPr>
          <w:rStyle w:val="FootnoteReference"/>
        </w:rPr>
        <w:footnoteReference w:id="20"/>
      </w:r>
      <w:r w:rsidR="00B26551" w:rsidRPr="00931DBB">
        <w:t xml:space="preserve"> The contractual services agreements </w:t>
      </w:r>
      <w:r>
        <w:t xml:space="preserve">in those </w:t>
      </w:r>
      <w:r w:rsidR="00B26551" w:rsidRPr="00931DBB">
        <w:t xml:space="preserve">dockets also appeared reasonable when compared to the O&amp;M expenses per ERC of industry peers as reflected in the AWWA Benchmark. </w:t>
      </w:r>
    </w:p>
    <w:p w:rsidR="00B26551" w:rsidRPr="00931DBB" w:rsidRDefault="00B26551" w:rsidP="00B26551">
      <w:pPr>
        <w:pStyle w:val="BodyText"/>
      </w:pPr>
      <w:r w:rsidRPr="00931DBB">
        <w:t>Staff notes that the Commission previously approved similar USWSC agreements and related costs in prior cases involving twelve of HC’</w:t>
      </w:r>
      <w:r>
        <w:t>s</w:t>
      </w:r>
      <w:r w:rsidRPr="00931DBB">
        <w:t xml:space="preserve"> sister utilities during f</w:t>
      </w:r>
      <w:r w:rsidR="00557FB8">
        <w:t xml:space="preserve">ourteen rate case proceedings. </w:t>
      </w:r>
      <w:r w:rsidRPr="00931DBB">
        <w:t xml:space="preserve">Two sister utilities, LP Waterworks, Inc. and Lakeside Waterworks, Inc., each had two SARCs in which the Commission reviewed and approved expenses related to USWSC management services contracts. In regard to the appropriateness of utility contracts with affiliated companies, the Utility cited </w:t>
      </w:r>
      <w:r w:rsidRPr="00F50DF1">
        <w:rPr>
          <w:i/>
        </w:rPr>
        <w:t xml:space="preserve">GTE v. </w:t>
      </w:r>
      <w:proofErr w:type="spellStart"/>
      <w:r w:rsidRPr="00F50DF1">
        <w:rPr>
          <w:i/>
        </w:rPr>
        <w:t>Deason</w:t>
      </w:r>
      <w:proofErr w:type="spellEnd"/>
      <w:r w:rsidRPr="00931DBB">
        <w:t xml:space="preserve">, 642 </w:t>
      </w:r>
      <w:proofErr w:type="gramStart"/>
      <w:r w:rsidRPr="00931DBB">
        <w:t>So</w:t>
      </w:r>
      <w:proofErr w:type="gramEnd"/>
      <w:r w:rsidRPr="00931DBB">
        <w:t>. 2d 545 (Fla. 1994), in which the Florida Supreme Court stated:</w:t>
      </w:r>
    </w:p>
    <w:p w:rsidR="00B26551" w:rsidRPr="00931DBB" w:rsidRDefault="00B26551" w:rsidP="00B26551">
      <w:pPr>
        <w:pStyle w:val="BodyText"/>
        <w:ind w:left="720" w:right="720"/>
      </w:pPr>
      <w:r w:rsidRPr="00C55F73">
        <w:t xml:space="preserve">The mere fact that a utility is doing business with an affiliate does not mean that unfair or excess profits are being generated, without more. Charles F. Phillips, Jr., </w:t>
      </w:r>
      <w:proofErr w:type="gramStart"/>
      <w:r w:rsidRPr="00C55F73">
        <w:t>The</w:t>
      </w:r>
      <w:proofErr w:type="gramEnd"/>
      <w:r w:rsidRPr="00C55F73">
        <w:t xml:space="preserve"> Regulation of Public Utilities 254-255 (1988). We believe the standard must be whether the transactions exceed the going market rate or otherwise inherently unfair . . . if the answer is “no,” then the PSC may not</w:t>
      </w:r>
      <w:r w:rsidR="00557FB8">
        <w:t xml:space="preserve"> reject the utility’s position.</w:t>
      </w:r>
    </w:p>
    <w:p w:rsidR="005E4EBE" w:rsidRDefault="005E4EBE" w:rsidP="00B26551">
      <w:pPr>
        <w:pStyle w:val="BodyText"/>
      </w:pPr>
      <w:r w:rsidRPr="00341CB6">
        <w:rPr>
          <w:i/>
          <w:iCs/>
        </w:rPr>
        <w:t xml:space="preserve">GTE v. </w:t>
      </w:r>
      <w:proofErr w:type="spellStart"/>
      <w:r w:rsidRPr="00341CB6">
        <w:rPr>
          <w:i/>
          <w:iCs/>
        </w:rPr>
        <w:t>Deason</w:t>
      </w:r>
      <w:proofErr w:type="spellEnd"/>
      <w:r>
        <w:rPr>
          <w:i/>
          <w:iCs/>
        </w:rPr>
        <w:t>,</w:t>
      </w:r>
      <w:r w:rsidRPr="00341CB6">
        <w:rPr>
          <w:i/>
          <w:iCs/>
        </w:rPr>
        <w:t xml:space="preserve"> </w:t>
      </w:r>
      <w:r w:rsidRPr="005E4EBE">
        <w:rPr>
          <w:iCs/>
        </w:rPr>
        <w:t>642 So. 2d at 547-548</w:t>
      </w:r>
      <w:r w:rsidRPr="00341CB6">
        <w:rPr>
          <w:i/>
          <w:iCs/>
        </w:rPr>
        <w:t>.</w:t>
      </w:r>
    </w:p>
    <w:p w:rsidR="00B26551" w:rsidRPr="00931DBB" w:rsidRDefault="00B26551" w:rsidP="00B26551">
      <w:pPr>
        <w:pStyle w:val="BodyText"/>
      </w:pPr>
      <w:r w:rsidRPr="00931DBB">
        <w:t xml:space="preserve">On February </w:t>
      </w:r>
      <w:r>
        <w:t>7, 2020, HC provided s</w:t>
      </w:r>
      <w:r w:rsidRPr="00931DBB">
        <w:t>taff an internal audit conducted in 2018 to capture the actual costs of USWSC</w:t>
      </w:r>
      <w:r>
        <w:t xml:space="preserve"> that demonstrate the reasonableness of the contract</w:t>
      </w:r>
      <w:r w:rsidRPr="00931DBB">
        <w:t>. After reviewing this audit</w:t>
      </w:r>
      <w:r>
        <w:t>,</w:t>
      </w:r>
      <w:r w:rsidRPr="00931DBB">
        <w:t xml:space="preserve"> staff believes that despite the hi</w:t>
      </w:r>
      <w:r>
        <w:t>gher per ERC cost, HC</w:t>
      </w:r>
      <w:r w:rsidRPr="00931DBB">
        <w:t>’</w:t>
      </w:r>
      <w:r>
        <w:t>s</w:t>
      </w:r>
      <w:r w:rsidRPr="00931DBB">
        <w:t xml:space="preserve"> contractual services agreement with </w:t>
      </w:r>
      <w:r w:rsidRPr="00931DBB">
        <w:lastRenderedPageBreak/>
        <w:t>USWSC is reasonable</w:t>
      </w:r>
      <w:r>
        <w:t xml:space="preserve">, especially given that the system requires additional resources to address </w:t>
      </w:r>
      <w:r w:rsidR="005D497D">
        <w:t xml:space="preserve">water </w:t>
      </w:r>
      <w:r>
        <w:t>quality issues</w:t>
      </w:r>
      <w:r w:rsidRPr="00931DBB">
        <w:t xml:space="preserve">. Staff believes that USWSC and its employees bring considerable management and operational experience at a comparably reasonable cost. </w:t>
      </w:r>
      <w:r w:rsidR="00E67AE7" w:rsidRPr="00065119">
        <w:t>As a result, staff believes that the Utility’s customers are experiencing operational benefits that might not be realized if HC was to purchase and provide these services itself.</w:t>
      </w:r>
    </w:p>
    <w:p w:rsidR="00B26551" w:rsidRDefault="00B26551" w:rsidP="00B26551">
      <w:pPr>
        <w:pStyle w:val="BodyText"/>
      </w:pPr>
      <w:r w:rsidRPr="00931DBB">
        <w:t xml:space="preserve">Through its contract with USWSC, the Utility asserted that it made </w:t>
      </w:r>
      <w:r w:rsidR="00557FB8">
        <w:t>significant plant improvements.</w:t>
      </w:r>
      <w:r w:rsidRPr="00931DBB">
        <w:t xml:space="preserve"> In the instant case, staff believes that the contract reflects the market conditions of the Utility’s service area. HC asserted that if it was required</w:t>
      </w:r>
      <w:r w:rsidR="00495D6E">
        <w:t xml:space="preserve"> to hire its own </w:t>
      </w:r>
      <w:r w:rsidRPr="00931DBB">
        <w:t>personnel for maintenance, customer service, accounting, regulatory compliance, etc., the cost would exceed that of the current USWSC contract. Absent the USWSC contract, staff believes the costs to provide service would most likely be higher. For the reasons discussed above, staff believes that the Utility’s contract with USWSC is reasonable and the cost should be included for recovery in the Utility’s proposed rates.</w:t>
      </w:r>
    </w:p>
    <w:p w:rsidR="00B26551" w:rsidRDefault="00B26551" w:rsidP="00B26551">
      <w:pPr>
        <w:pStyle w:val="BodyText"/>
      </w:pPr>
      <w:r w:rsidRPr="00136605">
        <w:t xml:space="preserve">The USWSC contract amount </w:t>
      </w:r>
      <w:r>
        <w:t>increas</w:t>
      </w:r>
      <w:r w:rsidRPr="00136605">
        <w:t xml:space="preserve">ed over the test year to reflect </w:t>
      </w:r>
      <w:r>
        <w:t>an increase based on the 2018 audit in September 2018 and an index increase in April 2019 that mirrored the same amount</w:t>
      </w:r>
      <w:r w:rsidRPr="00136605">
        <w:t xml:space="preserve"> approved by the Commission.</w:t>
      </w:r>
      <w:r w:rsidR="00BD71D4" w:rsidRPr="00BD71D4">
        <w:rPr>
          <w:rStyle w:val="FootnoteReference"/>
        </w:rPr>
        <w:t xml:space="preserve"> </w:t>
      </w:r>
      <w:r w:rsidR="00BD71D4">
        <w:rPr>
          <w:rStyle w:val="FootnoteReference"/>
        </w:rPr>
        <w:footnoteReference w:id="21"/>
      </w:r>
      <w:r w:rsidRPr="00136605">
        <w:t xml:space="preserve"> </w:t>
      </w:r>
      <w:r>
        <w:t xml:space="preserve">This results in a total contract amount of $273,067. As approved for its three sister utilities by the Commission at the March 3, 2020 </w:t>
      </w:r>
      <w:r w:rsidRPr="00D22B36">
        <w:t>Commission</w:t>
      </w:r>
      <w:r>
        <w:t xml:space="preserve"> Conference,</w:t>
      </w:r>
      <w:r w:rsidR="00BD71D4" w:rsidRPr="00BD71D4">
        <w:rPr>
          <w:rStyle w:val="FootnoteReference"/>
        </w:rPr>
        <w:t xml:space="preserve"> </w:t>
      </w:r>
      <w:r w:rsidR="00BD71D4">
        <w:rPr>
          <w:rStyle w:val="FootnoteReference"/>
        </w:rPr>
        <w:footnoteReference w:id="22"/>
      </w:r>
      <w:r w:rsidR="00BD71D4">
        <w:t xml:space="preserve"> </w:t>
      </w:r>
      <w:r>
        <w:t xml:space="preserve">staff believes an adjustment should be made to annualize the increase in the test year. This </w:t>
      </w:r>
      <w:r w:rsidR="005E1A56">
        <w:t xml:space="preserve">adjustment </w:t>
      </w:r>
      <w:r>
        <w:t>results in an increase of $9,936.</w:t>
      </w:r>
    </w:p>
    <w:p w:rsidR="00B26551" w:rsidRDefault="00B26551" w:rsidP="00B26551">
      <w:pPr>
        <w:pStyle w:val="First-LevelSubheading"/>
      </w:pPr>
      <w:r>
        <w:t>Bad Debt Expense</w:t>
      </w:r>
    </w:p>
    <w:p w:rsidR="00B26551" w:rsidRDefault="00B26551" w:rsidP="00B26551">
      <w:pPr>
        <w:pStyle w:val="BodyText"/>
      </w:pPr>
      <w:r>
        <w:t xml:space="preserve">In its filing, HC reflected bad debt expense of $8,151 in the test year and included an adjustment to increase the expense by $3,432, which represented 2 percent of its requested revenue increase. Staff reviewed the test year amount and compared it to the 3-year average for the Utility. The difference is immaterial and staff believes the test year amount is reasonable. </w:t>
      </w:r>
    </w:p>
    <w:p w:rsidR="00B26551" w:rsidRDefault="00B26551" w:rsidP="00B26551">
      <w:pPr>
        <w:pStyle w:val="BodyText"/>
      </w:pPr>
      <w:r>
        <w:t xml:space="preserve">Staff believes the Utility’s request to include a factor for bad debt expense in respect to the revenue increase is also </w:t>
      </w:r>
      <w:proofErr w:type="gramStart"/>
      <w:r>
        <w:t>reasonable,</w:t>
      </w:r>
      <w:proofErr w:type="gramEnd"/>
      <w:r>
        <w:t xml:space="preserve"> as </w:t>
      </w:r>
      <w:r w:rsidR="008E7E12">
        <w:t xml:space="preserve">such a factor is consistent with similar factors used </w:t>
      </w:r>
      <w:r>
        <w:t xml:space="preserve">in the gas and electric industries. It is parallel to the inclusion of regulatory assessment fees </w:t>
      </w:r>
      <w:r w:rsidR="00FA595A">
        <w:t xml:space="preserve">(RAFs) </w:t>
      </w:r>
      <w:r>
        <w:t>factored into revenue requirement based on the revenue increase. However, staff believes the percentage applied to the revenue increas</w:t>
      </w:r>
      <w:r w:rsidR="00113B24">
        <w:t>e should reflect the Utility’s three</w:t>
      </w:r>
      <w:r>
        <w:t xml:space="preserve">-year average, which is 1.37 percent. </w:t>
      </w:r>
      <w:r w:rsidR="00113B24">
        <w:t>S</w:t>
      </w:r>
      <w:r>
        <w:t>taff remove</w:t>
      </w:r>
      <w:r w:rsidR="00F80973">
        <w:t>d</w:t>
      </w:r>
      <w:r>
        <w:t xml:space="preserve"> the Utility’s pro forma increase of $3,432 in order to apply the 1.37 percent to staff’s final recommended revenue increase addressed in Issue 14.</w:t>
      </w:r>
      <w:r w:rsidR="00F80973">
        <w:t xml:space="preserve"> In total, staff is recommending bad debt expense of $10,657.</w:t>
      </w:r>
    </w:p>
    <w:p w:rsidR="000F085A" w:rsidRDefault="000F085A">
      <w:pPr>
        <w:rPr>
          <w:rFonts w:ascii="Arial" w:hAnsi="Arial" w:cs="Arial"/>
          <w:b/>
          <w:bCs/>
          <w:iCs/>
          <w:szCs w:val="28"/>
        </w:rPr>
      </w:pPr>
      <w:r>
        <w:br w:type="page"/>
      </w:r>
    </w:p>
    <w:p w:rsidR="00B26551" w:rsidRDefault="00B26551" w:rsidP="00B26551">
      <w:pPr>
        <w:pStyle w:val="First-LevelSubheading"/>
      </w:pPr>
      <w:r>
        <w:lastRenderedPageBreak/>
        <w:t xml:space="preserve">Miscellaneous </w:t>
      </w:r>
    </w:p>
    <w:p w:rsidR="00B26551" w:rsidRPr="007E45C1" w:rsidRDefault="00B26551" w:rsidP="00B26551">
      <w:pPr>
        <w:pStyle w:val="BodyText"/>
      </w:pPr>
      <w:r>
        <w:t>In it</w:t>
      </w:r>
      <w:r w:rsidRPr="007E45C1">
        <w:t>s fili</w:t>
      </w:r>
      <w:r>
        <w:t>ng, HC reflected miscellaneous e</w:t>
      </w:r>
      <w:r w:rsidRPr="007E45C1">
        <w:t xml:space="preserve">xpense </w:t>
      </w:r>
      <w:r>
        <w:t xml:space="preserve">of $9,273. However, </w:t>
      </w:r>
      <w:r w:rsidRPr="007E45C1">
        <w:t>in</w:t>
      </w:r>
      <w:r>
        <w:t xml:space="preserve"> its</w:t>
      </w:r>
      <w:r w:rsidRPr="007E45C1">
        <w:t xml:space="preserve"> response to staff’s first data request HC stated </w:t>
      </w:r>
      <w:r>
        <w:t xml:space="preserve">that </w:t>
      </w:r>
      <w:r w:rsidRPr="007E45C1">
        <w:t>$1,000 for FDEP annual permits included in miscellaneous expense should have been booked to wastewater. Thus, staff recommends a decrease to miscellaneous expense of $1,000</w:t>
      </w:r>
      <w:r>
        <w:t>.</w:t>
      </w:r>
    </w:p>
    <w:p w:rsidR="00B26551" w:rsidRDefault="00B26551" w:rsidP="00B26551">
      <w:pPr>
        <w:pStyle w:val="First-LevelSubheading"/>
      </w:pPr>
      <w:r>
        <w:t>Summary</w:t>
      </w:r>
    </w:p>
    <w:p w:rsidR="00B26551" w:rsidRDefault="00B26551" w:rsidP="00B26551">
      <w:pPr>
        <w:pStyle w:val="BodyText"/>
      </w:pPr>
      <w:r>
        <w:t>Based on the adjustments discussed above, O&amp;M expense should be increased by $9,503 (-</w:t>
      </w:r>
      <w:r w:rsidRPr="006D1D9E">
        <w:t>$1,053</w:t>
      </w:r>
      <w:r>
        <w:t xml:space="preserve"> + </w:t>
      </w:r>
      <w:r w:rsidRPr="006D1D9E">
        <w:t>$5,052</w:t>
      </w:r>
      <w:r>
        <w:t xml:space="preserve"> + </w:t>
      </w:r>
      <w:r w:rsidRPr="006D1D9E">
        <w:t>$9,936</w:t>
      </w:r>
      <w:r>
        <w:t xml:space="preserve"> - </w:t>
      </w:r>
      <w:r w:rsidRPr="00C319B9">
        <w:t>$3,432</w:t>
      </w:r>
      <w:r>
        <w:t xml:space="preserve"> - $1,000)</w:t>
      </w:r>
      <w:r w:rsidRPr="00D22B36">
        <w:t>.</w:t>
      </w:r>
    </w:p>
    <w:p w:rsidR="00BB7B19" w:rsidRDefault="00BB7B19">
      <w:pPr>
        <w:pStyle w:val="IssueHeading"/>
        <w:rPr>
          <w:vanish/>
          <w:specVanish/>
        </w:rPr>
      </w:pPr>
      <w:r w:rsidRPr="004C3641">
        <w:rPr>
          <w:b w:val="0"/>
          <w:i w:val="0"/>
        </w:rPr>
        <w:br w:type="page"/>
      </w:r>
      <w:r w:rsidRPr="004C3641">
        <w:lastRenderedPageBreak/>
        <w:t xml:space="preserve">Issue </w:t>
      </w:r>
      <w:fldSimple w:instr=" SEQ Issue \* MERGEFORMAT ">
        <w:r w:rsidR="00414083">
          <w:rPr>
            <w:noProof/>
          </w:rPr>
          <w:t>13</w:t>
        </w:r>
      </w:fldSimple>
      <w:r w:rsidRPr="004C3641">
        <w:t>:</w:t>
      </w:r>
      <w:r>
        <w:fldChar w:fldCharType="begin"/>
      </w:r>
      <w:r>
        <w:instrText xml:space="preserve"> TC "</w:instrText>
      </w:r>
      <w:bookmarkStart w:id="31" w:name="_Toc38467945"/>
      <w:r w:rsidR="007C1369">
        <w:instrText xml:space="preserve">Issue </w:instrText>
      </w:r>
      <w:r>
        <w:fldChar w:fldCharType="begin"/>
      </w:r>
      <w:r>
        <w:instrText xml:space="preserve"> SEQ issue \c </w:instrText>
      </w:r>
      <w:r>
        <w:fldChar w:fldCharType="separate"/>
      </w:r>
      <w:r w:rsidR="00414083">
        <w:rPr>
          <w:noProof/>
        </w:rPr>
        <w:instrText>13</w:instrText>
      </w:r>
      <w:r>
        <w:fldChar w:fldCharType="end"/>
      </w:r>
      <w:r w:rsidR="007C1369">
        <w:instrText xml:space="preserve"> – Rate Case Expense</w:instrText>
      </w:r>
      <w:bookmarkEnd w:id="31"/>
      <w:r>
        <w:instrText xml:space="preserve">" \l 1 </w:instrText>
      </w:r>
      <w:r>
        <w:fldChar w:fldCharType="end"/>
      </w:r>
      <w:r>
        <w:t> </w:t>
      </w:r>
    </w:p>
    <w:p w:rsidR="00BB7B19" w:rsidRDefault="00BB7B19">
      <w:pPr>
        <w:pStyle w:val="BodyText"/>
      </w:pPr>
      <w:r>
        <w:t> </w:t>
      </w:r>
      <w:r w:rsidR="00B664ED" w:rsidRPr="00C319B9">
        <w:t>What is the appropriate amount of rate case expens</w:t>
      </w:r>
      <w:r w:rsidR="00B664ED">
        <w:t>e?</w:t>
      </w:r>
    </w:p>
    <w:p w:rsidR="00BB7B19" w:rsidRPr="004C3641" w:rsidRDefault="00BB7B19">
      <w:pPr>
        <w:pStyle w:val="IssueSubsectionHeading"/>
        <w:rPr>
          <w:vanish/>
          <w:specVanish/>
        </w:rPr>
      </w:pPr>
      <w:r w:rsidRPr="004C3641">
        <w:t>Recommendation: </w:t>
      </w:r>
    </w:p>
    <w:p w:rsidR="00BB7B19" w:rsidRDefault="00BB7B19">
      <w:pPr>
        <w:pStyle w:val="BodyText"/>
      </w:pPr>
      <w:r>
        <w:t> </w:t>
      </w:r>
      <w:r w:rsidR="00DC72DC" w:rsidRPr="00C319B9">
        <w:t>The appropriate amount of rate case expense is $</w:t>
      </w:r>
      <w:r w:rsidR="008C13F2">
        <w:t>7,915</w:t>
      </w:r>
      <w:r w:rsidR="00DC72DC" w:rsidRPr="00C319B9">
        <w:t>. This expense should be recovered over four years for an annual expense of $</w:t>
      </w:r>
      <w:r w:rsidR="008C13F2">
        <w:t>1,979</w:t>
      </w:r>
      <w:r w:rsidR="00DC72DC" w:rsidRPr="00C319B9">
        <w:t>. Therefore, annual rate case expense should be increased by $</w:t>
      </w:r>
      <w:r w:rsidR="008C13F2">
        <w:t>493</w:t>
      </w:r>
      <w:r w:rsidR="005D64A6">
        <w:t>.</w:t>
      </w:r>
      <w:r w:rsidR="00DC72DC">
        <w:t xml:space="preserve"> (Thurmond)</w:t>
      </w:r>
      <w:r>
        <w:t xml:space="preserve"> </w:t>
      </w:r>
    </w:p>
    <w:p w:rsidR="00BB7B19" w:rsidRPr="004C3641" w:rsidRDefault="00BB7B19">
      <w:pPr>
        <w:pStyle w:val="IssueSubsectionHeading"/>
        <w:rPr>
          <w:vanish/>
          <w:specVanish/>
        </w:rPr>
      </w:pPr>
      <w:r w:rsidRPr="004C3641">
        <w:t>Staff Analysis: </w:t>
      </w:r>
    </w:p>
    <w:p w:rsidR="00D87EBA" w:rsidRDefault="00BB7B19" w:rsidP="00D87EBA">
      <w:pPr>
        <w:pStyle w:val="BodyText"/>
      </w:pPr>
      <w:r>
        <w:t> </w:t>
      </w:r>
      <w:r w:rsidR="00D87EBA" w:rsidRPr="00C319B9">
        <w:t>In its MFRs, HC requested $5,945 for current rate case expense. Staff requested an update on the actual rate case expense incurred, with supporting documentation, as well as the estimated amount to complete the case. On February 3, 2020, the Utility submitted its last revised estimate of rate case expense, through completion of the P</w:t>
      </w:r>
      <w:r w:rsidR="008C13F2">
        <w:t>AA process, which totaled $7,137</w:t>
      </w:r>
      <w:r w:rsidR="00D87EBA" w:rsidRPr="00C319B9">
        <w:t xml:space="preserve">. </w:t>
      </w:r>
    </w:p>
    <w:p w:rsidR="00D87EBA" w:rsidRDefault="00D87EBA" w:rsidP="00D87EBA">
      <w:pPr>
        <w:pStyle w:val="TableNumber"/>
        <w:keepNext/>
      </w:pPr>
      <w:r>
        <w:t xml:space="preserve">Table </w:t>
      </w:r>
      <w:r w:rsidR="00194728">
        <w:fldChar w:fldCharType="begin"/>
      </w:r>
      <w:r w:rsidR="00194728">
        <w:instrText xml:space="preserve"> SEQ Issue \c </w:instrText>
      </w:r>
      <w:r w:rsidR="00194728">
        <w:fldChar w:fldCharType="separate"/>
      </w:r>
      <w:r w:rsidR="00414083">
        <w:rPr>
          <w:noProof/>
        </w:rPr>
        <w:t>13</w:t>
      </w:r>
      <w:r w:rsidR="00194728">
        <w:rPr>
          <w:noProof/>
        </w:rPr>
        <w:fldChar w:fldCharType="end"/>
      </w:r>
      <w:r>
        <w:t>-1</w:t>
      </w:r>
    </w:p>
    <w:p w:rsidR="00D87EBA" w:rsidRDefault="00D87EBA" w:rsidP="00D87EBA">
      <w:pPr>
        <w:pStyle w:val="TableTitle"/>
        <w:keepNext/>
      </w:pPr>
      <w:r>
        <w:t>HC’s Initial and Revised Rate Case Expense Request</w:t>
      </w:r>
    </w:p>
    <w:tbl>
      <w:tblPr>
        <w:tblStyle w:val="TableGrid"/>
        <w:tblW w:w="0" w:type="auto"/>
        <w:jc w:val="center"/>
        <w:tblLook w:val="04A0" w:firstRow="1" w:lastRow="0" w:firstColumn="1" w:lastColumn="0" w:noHBand="0" w:noVBand="1"/>
      </w:tblPr>
      <w:tblGrid>
        <w:gridCol w:w="1915"/>
        <w:gridCol w:w="1681"/>
        <w:gridCol w:w="1678"/>
        <w:gridCol w:w="1800"/>
        <w:gridCol w:w="1710"/>
      </w:tblGrid>
      <w:tr w:rsidR="00D87EBA" w:rsidTr="00BF32E3">
        <w:trPr>
          <w:jc w:val="center"/>
        </w:trPr>
        <w:tc>
          <w:tcPr>
            <w:tcW w:w="1915" w:type="dxa"/>
          </w:tcPr>
          <w:p w:rsidR="00D87EBA" w:rsidRDefault="00D87EBA" w:rsidP="00BF32E3"/>
        </w:tc>
        <w:tc>
          <w:tcPr>
            <w:tcW w:w="1681" w:type="dxa"/>
            <w:vAlign w:val="center"/>
          </w:tcPr>
          <w:p w:rsidR="00D87EBA" w:rsidRPr="00C319B9" w:rsidRDefault="00D87EBA" w:rsidP="00BF32E3">
            <w:pPr>
              <w:jc w:val="center"/>
              <w:rPr>
                <w:b/>
              </w:rPr>
            </w:pPr>
            <w:r w:rsidRPr="00C319B9">
              <w:rPr>
                <w:b/>
              </w:rPr>
              <w:t>MFR B-10 Estimated</w:t>
            </w:r>
          </w:p>
        </w:tc>
        <w:tc>
          <w:tcPr>
            <w:tcW w:w="1678" w:type="dxa"/>
            <w:vAlign w:val="center"/>
          </w:tcPr>
          <w:p w:rsidR="00D87EBA" w:rsidRPr="00C319B9" w:rsidRDefault="00D87EBA" w:rsidP="00BF32E3">
            <w:pPr>
              <w:jc w:val="center"/>
              <w:rPr>
                <w:b/>
              </w:rPr>
            </w:pPr>
            <w:r w:rsidRPr="00C319B9">
              <w:rPr>
                <w:b/>
              </w:rPr>
              <w:t>Actual</w:t>
            </w:r>
          </w:p>
        </w:tc>
        <w:tc>
          <w:tcPr>
            <w:tcW w:w="1800" w:type="dxa"/>
            <w:vAlign w:val="center"/>
          </w:tcPr>
          <w:p w:rsidR="00D87EBA" w:rsidRPr="00C319B9" w:rsidRDefault="00D87EBA" w:rsidP="00BF32E3">
            <w:pPr>
              <w:jc w:val="center"/>
              <w:rPr>
                <w:b/>
              </w:rPr>
            </w:pPr>
            <w:r w:rsidRPr="00C319B9">
              <w:rPr>
                <w:b/>
              </w:rPr>
              <w:t>Additional</w:t>
            </w:r>
          </w:p>
          <w:p w:rsidR="00D87EBA" w:rsidRPr="00C319B9" w:rsidRDefault="00D87EBA" w:rsidP="00BF32E3">
            <w:pPr>
              <w:jc w:val="center"/>
              <w:rPr>
                <w:b/>
              </w:rPr>
            </w:pPr>
            <w:r w:rsidRPr="00C319B9">
              <w:rPr>
                <w:b/>
              </w:rPr>
              <w:t>Estimated</w:t>
            </w:r>
          </w:p>
        </w:tc>
        <w:tc>
          <w:tcPr>
            <w:tcW w:w="1710" w:type="dxa"/>
            <w:vAlign w:val="center"/>
          </w:tcPr>
          <w:p w:rsidR="00D87EBA" w:rsidRPr="00C319B9" w:rsidRDefault="00D87EBA" w:rsidP="00BF32E3">
            <w:pPr>
              <w:jc w:val="center"/>
              <w:rPr>
                <w:b/>
              </w:rPr>
            </w:pPr>
            <w:r w:rsidRPr="00C319B9">
              <w:rPr>
                <w:b/>
              </w:rPr>
              <w:t>Revised</w:t>
            </w:r>
          </w:p>
          <w:p w:rsidR="00D87EBA" w:rsidRPr="00C319B9" w:rsidRDefault="00D87EBA" w:rsidP="00BF32E3">
            <w:pPr>
              <w:jc w:val="center"/>
              <w:rPr>
                <w:b/>
              </w:rPr>
            </w:pPr>
            <w:r w:rsidRPr="00C319B9">
              <w:rPr>
                <w:b/>
              </w:rPr>
              <w:t>Total</w:t>
            </w:r>
          </w:p>
        </w:tc>
      </w:tr>
      <w:tr w:rsidR="00D87EBA" w:rsidTr="00BF32E3">
        <w:trPr>
          <w:jc w:val="center"/>
        </w:trPr>
        <w:tc>
          <w:tcPr>
            <w:tcW w:w="1915" w:type="dxa"/>
          </w:tcPr>
          <w:p w:rsidR="00D87EBA" w:rsidRDefault="00D87EBA" w:rsidP="00BF32E3">
            <w:r>
              <w:t>Noticing</w:t>
            </w:r>
          </w:p>
        </w:tc>
        <w:tc>
          <w:tcPr>
            <w:tcW w:w="1681" w:type="dxa"/>
          </w:tcPr>
          <w:p w:rsidR="00D87EBA" w:rsidRDefault="00D87EBA" w:rsidP="00BF32E3">
            <w:pPr>
              <w:jc w:val="right"/>
            </w:pPr>
            <w:r>
              <w:t>$1,995</w:t>
            </w:r>
          </w:p>
        </w:tc>
        <w:tc>
          <w:tcPr>
            <w:tcW w:w="1678" w:type="dxa"/>
          </w:tcPr>
          <w:p w:rsidR="00D87EBA" w:rsidRDefault="00D87EBA" w:rsidP="00BF32E3">
            <w:pPr>
              <w:jc w:val="right"/>
            </w:pPr>
            <w:r>
              <w:t>$1,004</w:t>
            </w:r>
          </w:p>
        </w:tc>
        <w:tc>
          <w:tcPr>
            <w:tcW w:w="1800" w:type="dxa"/>
          </w:tcPr>
          <w:p w:rsidR="00D87EBA" w:rsidRDefault="00D87EBA" w:rsidP="00BF32E3">
            <w:pPr>
              <w:jc w:val="right"/>
            </w:pPr>
            <w:r>
              <w:t>$2,008</w:t>
            </w:r>
          </w:p>
        </w:tc>
        <w:tc>
          <w:tcPr>
            <w:tcW w:w="1710" w:type="dxa"/>
          </w:tcPr>
          <w:p w:rsidR="00D87EBA" w:rsidRDefault="00D87EBA" w:rsidP="00BF32E3">
            <w:pPr>
              <w:jc w:val="right"/>
            </w:pPr>
            <w:r>
              <w:t>$3,012</w:t>
            </w:r>
          </w:p>
        </w:tc>
      </w:tr>
      <w:tr w:rsidR="00D87EBA" w:rsidTr="00BF32E3">
        <w:trPr>
          <w:jc w:val="center"/>
        </w:trPr>
        <w:tc>
          <w:tcPr>
            <w:tcW w:w="1915" w:type="dxa"/>
          </w:tcPr>
          <w:p w:rsidR="00D87EBA" w:rsidRDefault="00D87EBA" w:rsidP="00BF32E3">
            <w:r>
              <w:t>Travel</w:t>
            </w:r>
          </w:p>
        </w:tc>
        <w:tc>
          <w:tcPr>
            <w:tcW w:w="1681" w:type="dxa"/>
          </w:tcPr>
          <w:p w:rsidR="00D87EBA" w:rsidRDefault="00D87EBA" w:rsidP="00BF32E3">
            <w:pPr>
              <w:jc w:val="right"/>
            </w:pPr>
            <w:r>
              <w:t>450</w:t>
            </w:r>
          </w:p>
        </w:tc>
        <w:tc>
          <w:tcPr>
            <w:tcW w:w="1678" w:type="dxa"/>
          </w:tcPr>
          <w:p w:rsidR="00D87EBA" w:rsidRDefault="00D87EBA" w:rsidP="00BF32E3">
            <w:pPr>
              <w:jc w:val="right"/>
            </w:pPr>
            <w:r>
              <w:t>400</w:t>
            </w:r>
          </w:p>
        </w:tc>
        <w:tc>
          <w:tcPr>
            <w:tcW w:w="1800" w:type="dxa"/>
          </w:tcPr>
          <w:p w:rsidR="00D87EBA" w:rsidRDefault="00D87EBA" w:rsidP="00BF32E3">
            <w:pPr>
              <w:jc w:val="right"/>
            </w:pPr>
            <w:r>
              <w:t>225</w:t>
            </w:r>
          </w:p>
        </w:tc>
        <w:tc>
          <w:tcPr>
            <w:tcW w:w="1710" w:type="dxa"/>
          </w:tcPr>
          <w:p w:rsidR="00D87EBA" w:rsidRDefault="00D87EBA" w:rsidP="00BF32E3">
            <w:pPr>
              <w:jc w:val="right"/>
            </w:pPr>
            <w:r>
              <w:t>625</w:t>
            </w:r>
          </w:p>
        </w:tc>
      </w:tr>
      <w:tr w:rsidR="00D87EBA" w:rsidTr="00BF32E3">
        <w:trPr>
          <w:jc w:val="center"/>
        </w:trPr>
        <w:tc>
          <w:tcPr>
            <w:tcW w:w="1915" w:type="dxa"/>
          </w:tcPr>
          <w:p w:rsidR="00D87EBA" w:rsidRDefault="00D87EBA" w:rsidP="00BF32E3">
            <w:r>
              <w:t>Filing Fee</w:t>
            </w:r>
          </w:p>
        </w:tc>
        <w:tc>
          <w:tcPr>
            <w:tcW w:w="1681" w:type="dxa"/>
          </w:tcPr>
          <w:p w:rsidR="00D87EBA" w:rsidRPr="004728A5" w:rsidRDefault="00D87EBA" w:rsidP="00BF32E3">
            <w:pPr>
              <w:jc w:val="right"/>
              <w:rPr>
                <w:u w:val="single"/>
              </w:rPr>
            </w:pPr>
            <w:r w:rsidRPr="004728A5">
              <w:rPr>
                <w:u w:val="single"/>
              </w:rPr>
              <w:t>3,500</w:t>
            </w:r>
          </w:p>
        </w:tc>
        <w:tc>
          <w:tcPr>
            <w:tcW w:w="1678" w:type="dxa"/>
          </w:tcPr>
          <w:p w:rsidR="00D87EBA" w:rsidRPr="004728A5" w:rsidRDefault="00D87EBA" w:rsidP="00BF32E3">
            <w:pPr>
              <w:jc w:val="right"/>
              <w:rPr>
                <w:u w:val="single"/>
              </w:rPr>
            </w:pPr>
            <w:r w:rsidRPr="004728A5">
              <w:rPr>
                <w:u w:val="single"/>
              </w:rPr>
              <w:t>3,500</w:t>
            </w:r>
          </w:p>
        </w:tc>
        <w:tc>
          <w:tcPr>
            <w:tcW w:w="1800" w:type="dxa"/>
          </w:tcPr>
          <w:p w:rsidR="00D87EBA" w:rsidRPr="004728A5" w:rsidRDefault="00D87EBA" w:rsidP="00BF32E3">
            <w:pPr>
              <w:jc w:val="right"/>
              <w:rPr>
                <w:u w:val="single"/>
              </w:rPr>
            </w:pPr>
            <w:r w:rsidRPr="004728A5">
              <w:rPr>
                <w:u w:val="single"/>
              </w:rPr>
              <w:t>0</w:t>
            </w:r>
          </w:p>
        </w:tc>
        <w:tc>
          <w:tcPr>
            <w:tcW w:w="1710" w:type="dxa"/>
          </w:tcPr>
          <w:p w:rsidR="00D87EBA" w:rsidRPr="004728A5" w:rsidRDefault="00D87EBA" w:rsidP="00BF32E3">
            <w:pPr>
              <w:jc w:val="right"/>
              <w:rPr>
                <w:u w:val="single"/>
              </w:rPr>
            </w:pPr>
            <w:r w:rsidRPr="004728A5">
              <w:rPr>
                <w:u w:val="single"/>
              </w:rPr>
              <w:t>3,500</w:t>
            </w:r>
          </w:p>
        </w:tc>
      </w:tr>
      <w:tr w:rsidR="00D87EBA" w:rsidTr="00BF32E3">
        <w:trPr>
          <w:jc w:val="center"/>
        </w:trPr>
        <w:tc>
          <w:tcPr>
            <w:tcW w:w="1915" w:type="dxa"/>
          </w:tcPr>
          <w:p w:rsidR="00D87EBA" w:rsidRDefault="00D87EBA" w:rsidP="00BF32E3">
            <w:r>
              <w:t xml:space="preserve">   Total</w:t>
            </w:r>
          </w:p>
        </w:tc>
        <w:tc>
          <w:tcPr>
            <w:tcW w:w="1681" w:type="dxa"/>
          </w:tcPr>
          <w:p w:rsidR="00D87EBA" w:rsidRPr="004728A5" w:rsidRDefault="00D87EBA" w:rsidP="00BF32E3">
            <w:pPr>
              <w:jc w:val="right"/>
              <w:rPr>
                <w:u w:val="double"/>
              </w:rPr>
            </w:pPr>
            <w:r w:rsidRPr="004728A5">
              <w:rPr>
                <w:u w:val="double"/>
              </w:rPr>
              <w:t>$5,945</w:t>
            </w:r>
          </w:p>
        </w:tc>
        <w:tc>
          <w:tcPr>
            <w:tcW w:w="1678" w:type="dxa"/>
          </w:tcPr>
          <w:p w:rsidR="00D87EBA" w:rsidRPr="004728A5" w:rsidRDefault="00D87EBA" w:rsidP="00BF32E3">
            <w:pPr>
              <w:jc w:val="right"/>
              <w:rPr>
                <w:u w:val="double"/>
              </w:rPr>
            </w:pPr>
            <w:r w:rsidRPr="004728A5">
              <w:rPr>
                <w:u w:val="double"/>
              </w:rPr>
              <w:t>$4,904</w:t>
            </w:r>
          </w:p>
        </w:tc>
        <w:tc>
          <w:tcPr>
            <w:tcW w:w="1800" w:type="dxa"/>
          </w:tcPr>
          <w:p w:rsidR="00D87EBA" w:rsidRPr="004728A5" w:rsidRDefault="00D87EBA" w:rsidP="00BF32E3">
            <w:pPr>
              <w:jc w:val="right"/>
              <w:rPr>
                <w:u w:val="double"/>
              </w:rPr>
            </w:pPr>
            <w:r w:rsidRPr="004728A5">
              <w:rPr>
                <w:u w:val="double"/>
              </w:rPr>
              <w:t>$2,233</w:t>
            </w:r>
          </w:p>
        </w:tc>
        <w:tc>
          <w:tcPr>
            <w:tcW w:w="1710" w:type="dxa"/>
          </w:tcPr>
          <w:p w:rsidR="00D87EBA" w:rsidRPr="004728A5" w:rsidRDefault="00D87EBA" w:rsidP="00BF32E3">
            <w:pPr>
              <w:jc w:val="right"/>
              <w:rPr>
                <w:u w:val="double"/>
              </w:rPr>
            </w:pPr>
            <w:r w:rsidRPr="004728A5">
              <w:rPr>
                <w:u w:val="double"/>
              </w:rPr>
              <w:t>$7,137</w:t>
            </w:r>
          </w:p>
        </w:tc>
      </w:tr>
    </w:tbl>
    <w:p w:rsidR="00D87EBA" w:rsidRPr="00D87EBA" w:rsidRDefault="00D87EBA" w:rsidP="00D87EBA">
      <w:pPr>
        <w:pStyle w:val="TableSource"/>
        <w:rPr>
          <w:sz w:val="20"/>
          <w:szCs w:val="20"/>
        </w:rPr>
      </w:pPr>
      <w:r>
        <w:rPr>
          <w:sz w:val="20"/>
          <w:szCs w:val="20"/>
        </w:rPr>
        <w:t xml:space="preserve">      </w:t>
      </w:r>
      <w:r w:rsidRPr="00D87EBA">
        <w:rPr>
          <w:sz w:val="20"/>
          <w:szCs w:val="20"/>
        </w:rPr>
        <w:t>Source: MFR Schedule B-10 and Utility responses to staff data requests</w:t>
      </w:r>
    </w:p>
    <w:p w:rsidR="00D87EBA" w:rsidRDefault="00D87EBA" w:rsidP="00D87EBA">
      <w:pPr>
        <w:pStyle w:val="BodyText"/>
      </w:pPr>
      <w:r w:rsidRPr="004728A5">
        <w:t xml:space="preserve">Pursuant to Section 367.081(7), F.S., the Commission shall determine the reasonableness of rate case expense and shall disallow all rate case expense </w:t>
      </w:r>
      <w:r w:rsidR="00557FB8">
        <w:t xml:space="preserve">determined to be unreasonable. </w:t>
      </w:r>
      <w:r w:rsidRPr="004728A5">
        <w:t xml:space="preserve">Staff has examined the requested actual expenses, supporting documentation, and estimated expenses as listed above for the current rate case. Based on its review, staff believes the following adjustments to </w:t>
      </w:r>
      <w:r>
        <w:t>HC’</w:t>
      </w:r>
      <w:r w:rsidRPr="004728A5">
        <w:t>s rate case expense estimate are appropriate</w:t>
      </w:r>
      <w:r>
        <w:t>.</w:t>
      </w:r>
    </w:p>
    <w:p w:rsidR="00D87EBA" w:rsidRDefault="00D87EBA" w:rsidP="00D87EBA">
      <w:pPr>
        <w:pStyle w:val="First-LevelSubheading"/>
      </w:pPr>
      <w:r>
        <w:t>Noticing</w:t>
      </w:r>
    </w:p>
    <w:p w:rsidR="00D87EBA" w:rsidRDefault="00D87EBA" w:rsidP="00D87EBA">
      <w:pPr>
        <w:pStyle w:val="BodyText"/>
      </w:pPr>
      <w:r>
        <w:t>The Utility’s initial filing reflected costs associated with se</w:t>
      </w:r>
      <w:r w:rsidR="00F80973">
        <w:t xml:space="preserve">nding two notices–the customer </w:t>
      </w:r>
      <w:r>
        <w:t xml:space="preserve">meeting and final notice. In its revised estimate, it included an additional amount to reflect the interim notice. Upon </w:t>
      </w:r>
      <w:r w:rsidRPr="00C319B9">
        <w:t>review</w:t>
      </w:r>
      <w:r>
        <w:t>,</w:t>
      </w:r>
      <w:r w:rsidRPr="00C319B9">
        <w:t xml:space="preserve"> staff noted </w:t>
      </w:r>
      <w:r>
        <w:t xml:space="preserve">that </w:t>
      </w:r>
      <w:r w:rsidRPr="00C319B9">
        <w:t xml:space="preserve">the Utility failed to include noticing costs for the four-year rate reduction. </w:t>
      </w:r>
      <w:r>
        <w:t xml:space="preserve">Using the noticing costs provided by the Utility, staff recommends increasing rate case expense by </w:t>
      </w:r>
      <w:r w:rsidRPr="00C319B9">
        <w:t>$1,004</w:t>
      </w:r>
      <w:r>
        <w:t xml:space="preserve"> to reflect the additional notice</w:t>
      </w:r>
      <w:r w:rsidRPr="00C319B9">
        <w:t xml:space="preserve">. </w:t>
      </w:r>
    </w:p>
    <w:p w:rsidR="008E6ADE" w:rsidRDefault="008E6ADE" w:rsidP="008E6ADE">
      <w:pPr>
        <w:pStyle w:val="First-LevelSubheading"/>
      </w:pPr>
      <w:r>
        <w:t>Travel</w:t>
      </w:r>
    </w:p>
    <w:p w:rsidR="008E6ADE" w:rsidRDefault="008E6ADE" w:rsidP="008E6ADE">
      <w:pPr>
        <w:pStyle w:val="BodyText"/>
      </w:pPr>
      <w:r>
        <w:t xml:space="preserve">HC’s initial </w:t>
      </w:r>
      <w:r w:rsidRPr="007370AE">
        <w:t xml:space="preserve">filing reflected estimated travel expenses of $450. In its update of actual travel expenses, the Utility reflected $400 associated with utility representatives attending the customer meeting and an additional estimate of $225 to attend the Commission Conference. At the time the estimate was provided to staff, the Commission Conference was scheduled to be held in traditional in-person format. After HC filed its estimate, the Commission Conference was changed to a teleconference format in response to COVID-19. As such, estimated costs associated with travel to attend the Commission Conference are no longer necessary. Staff recommends that estimated travel expenses associated with attending the Commission </w:t>
      </w:r>
      <w:r w:rsidRPr="007370AE">
        <w:lastRenderedPageBreak/>
        <w:t>Conference should be removed. Accordingly, staff recommends that rate case expense be reduced by $225</w:t>
      </w:r>
      <w:r>
        <w:t>.</w:t>
      </w:r>
    </w:p>
    <w:p w:rsidR="00D87EBA" w:rsidRDefault="00D87EBA" w:rsidP="00D87EBA">
      <w:pPr>
        <w:pStyle w:val="First-LevelSubheading"/>
      </w:pPr>
      <w:r>
        <w:t>Conclusion</w:t>
      </w:r>
    </w:p>
    <w:p w:rsidR="00D87EBA" w:rsidRDefault="00D87EBA" w:rsidP="00657304">
      <w:pPr>
        <w:pStyle w:val="BodyText"/>
        <w:spacing w:after="480"/>
      </w:pPr>
      <w:r>
        <w:t>Based upon the adjustment discussed above, staff recommends that HC’s revised rate case expense of $7,137 be increased by $</w:t>
      </w:r>
      <w:r w:rsidR="008E6ADE">
        <w:t>779 ($1,004 - $225)</w:t>
      </w:r>
      <w:r>
        <w:t xml:space="preserve"> to reflect staff’s adjustment, for a total of $</w:t>
      </w:r>
      <w:r w:rsidR="008E6ADE">
        <w:t>7,915</w:t>
      </w:r>
      <w:r>
        <w:t>. A breakdown of staff’s recommended rate case expense is as follows.</w:t>
      </w:r>
    </w:p>
    <w:p w:rsidR="00D87EBA" w:rsidRDefault="00D87EBA" w:rsidP="00D87EBA">
      <w:pPr>
        <w:pStyle w:val="TableNumber"/>
        <w:keepNext/>
      </w:pPr>
      <w:r>
        <w:t xml:space="preserve">Table </w:t>
      </w:r>
      <w:r w:rsidR="00194728">
        <w:fldChar w:fldCharType="begin"/>
      </w:r>
      <w:r w:rsidR="00194728">
        <w:instrText xml:space="preserve"> SEQ Issue \c </w:instrText>
      </w:r>
      <w:r w:rsidR="00194728">
        <w:fldChar w:fldCharType="separate"/>
      </w:r>
      <w:r w:rsidR="00414083">
        <w:rPr>
          <w:noProof/>
        </w:rPr>
        <w:t>13</w:t>
      </w:r>
      <w:r w:rsidR="00194728">
        <w:rPr>
          <w:noProof/>
        </w:rPr>
        <w:fldChar w:fldCharType="end"/>
      </w:r>
      <w:r>
        <w:t>-2</w:t>
      </w:r>
    </w:p>
    <w:p w:rsidR="00D87EBA" w:rsidRDefault="00D87EBA" w:rsidP="00D87EBA">
      <w:pPr>
        <w:pStyle w:val="TableTitle"/>
        <w:keepNext/>
        <w:tabs>
          <w:tab w:val="center" w:pos="4680"/>
          <w:tab w:val="left" w:pos="6720"/>
        </w:tabs>
        <w:jc w:val="left"/>
      </w:pPr>
      <w:r>
        <w:tab/>
        <w:t>Staff Recommended Rate Case Expense</w:t>
      </w:r>
    </w:p>
    <w:tbl>
      <w:tblPr>
        <w:tblStyle w:val="TableGrid"/>
        <w:tblW w:w="0" w:type="auto"/>
        <w:tblLook w:val="04A0" w:firstRow="1" w:lastRow="0" w:firstColumn="1" w:lastColumn="0" w:noHBand="0" w:noVBand="1"/>
      </w:tblPr>
      <w:tblGrid>
        <w:gridCol w:w="1915"/>
        <w:gridCol w:w="1915"/>
        <w:gridCol w:w="1915"/>
        <w:gridCol w:w="1915"/>
        <w:gridCol w:w="1916"/>
      </w:tblGrid>
      <w:tr w:rsidR="00D87EBA" w:rsidTr="00BF32E3">
        <w:tc>
          <w:tcPr>
            <w:tcW w:w="1915" w:type="dxa"/>
            <w:vAlign w:val="center"/>
          </w:tcPr>
          <w:p w:rsidR="00D87EBA" w:rsidRPr="00AF5698" w:rsidRDefault="00D87EBA" w:rsidP="00BF32E3">
            <w:pPr>
              <w:tabs>
                <w:tab w:val="left" w:pos="1410"/>
              </w:tabs>
              <w:jc w:val="center"/>
              <w:rPr>
                <w:b/>
              </w:rPr>
            </w:pPr>
            <w:r w:rsidRPr="00AF5698">
              <w:rPr>
                <w:b/>
              </w:rPr>
              <w:t>Description</w:t>
            </w:r>
          </w:p>
        </w:tc>
        <w:tc>
          <w:tcPr>
            <w:tcW w:w="1915" w:type="dxa"/>
            <w:vAlign w:val="center"/>
          </w:tcPr>
          <w:p w:rsidR="00D87EBA" w:rsidRPr="00AF5698" w:rsidRDefault="00D87EBA" w:rsidP="00BF32E3">
            <w:pPr>
              <w:jc w:val="center"/>
              <w:rPr>
                <w:b/>
              </w:rPr>
            </w:pPr>
            <w:r w:rsidRPr="00AF5698">
              <w:rPr>
                <w:b/>
              </w:rPr>
              <w:t>MFR Estimated</w:t>
            </w:r>
          </w:p>
        </w:tc>
        <w:tc>
          <w:tcPr>
            <w:tcW w:w="1915" w:type="dxa"/>
            <w:vAlign w:val="center"/>
          </w:tcPr>
          <w:p w:rsidR="00D87EBA" w:rsidRPr="00AF5698" w:rsidRDefault="00D87EBA" w:rsidP="00BF32E3">
            <w:pPr>
              <w:jc w:val="center"/>
              <w:rPr>
                <w:b/>
              </w:rPr>
            </w:pPr>
            <w:r w:rsidRPr="00AF5698">
              <w:rPr>
                <w:b/>
              </w:rPr>
              <w:t>Utility Revised Actual &amp; Estimated</w:t>
            </w:r>
          </w:p>
        </w:tc>
        <w:tc>
          <w:tcPr>
            <w:tcW w:w="1915" w:type="dxa"/>
            <w:vAlign w:val="center"/>
          </w:tcPr>
          <w:p w:rsidR="00D87EBA" w:rsidRPr="00AF5698" w:rsidRDefault="00D87EBA" w:rsidP="00BF32E3">
            <w:pPr>
              <w:jc w:val="center"/>
              <w:rPr>
                <w:b/>
              </w:rPr>
            </w:pPr>
            <w:r w:rsidRPr="00AF5698">
              <w:rPr>
                <w:b/>
              </w:rPr>
              <w:t>Staff Adjustment</w:t>
            </w:r>
          </w:p>
        </w:tc>
        <w:tc>
          <w:tcPr>
            <w:tcW w:w="1916" w:type="dxa"/>
            <w:vAlign w:val="center"/>
          </w:tcPr>
          <w:p w:rsidR="00D87EBA" w:rsidRPr="00AF5698" w:rsidRDefault="00D87EBA" w:rsidP="00BF32E3">
            <w:pPr>
              <w:jc w:val="center"/>
              <w:rPr>
                <w:b/>
              </w:rPr>
            </w:pPr>
            <w:r w:rsidRPr="00AF5698">
              <w:rPr>
                <w:b/>
              </w:rPr>
              <w:t>Recommended</w:t>
            </w:r>
          </w:p>
          <w:p w:rsidR="00D87EBA" w:rsidRPr="00AF5698" w:rsidRDefault="00D87EBA" w:rsidP="00BF32E3">
            <w:pPr>
              <w:jc w:val="center"/>
              <w:rPr>
                <w:b/>
              </w:rPr>
            </w:pPr>
            <w:r w:rsidRPr="00AF5698">
              <w:rPr>
                <w:b/>
              </w:rPr>
              <w:t>Total</w:t>
            </w:r>
          </w:p>
        </w:tc>
      </w:tr>
      <w:tr w:rsidR="00D87EBA" w:rsidTr="00BF32E3">
        <w:tc>
          <w:tcPr>
            <w:tcW w:w="1915" w:type="dxa"/>
          </w:tcPr>
          <w:p w:rsidR="00D87EBA" w:rsidRDefault="00D87EBA" w:rsidP="00BF32E3">
            <w:r>
              <w:t>Noticing</w:t>
            </w:r>
          </w:p>
        </w:tc>
        <w:tc>
          <w:tcPr>
            <w:tcW w:w="1915" w:type="dxa"/>
          </w:tcPr>
          <w:p w:rsidR="00D87EBA" w:rsidRPr="00A93DF9" w:rsidRDefault="00D87EBA" w:rsidP="00BF32E3">
            <w:pPr>
              <w:jc w:val="right"/>
            </w:pPr>
            <w:r w:rsidRPr="00A93DF9">
              <w:t>$1,995</w:t>
            </w:r>
          </w:p>
        </w:tc>
        <w:tc>
          <w:tcPr>
            <w:tcW w:w="1915" w:type="dxa"/>
          </w:tcPr>
          <w:p w:rsidR="00D87EBA" w:rsidRPr="00CE7440" w:rsidRDefault="00D87EBA" w:rsidP="00BF32E3">
            <w:pPr>
              <w:jc w:val="right"/>
            </w:pPr>
            <w:r w:rsidRPr="00CE7440">
              <w:t>$3,012</w:t>
            </w:r>
          </w:p>
        </w:tc>
        <w:tc>
          <w:tcPr>
            <w:tcW w:w="1915" w:type="dxa"/>
          </w:tcPr>
          <w:p w:rsidR="00D87EBA" w:rsidRDefault="00D87EBA" w:rsidP="00BF32E3">
            <w:pPr>
              <w:jc w:val="right"/>
            </w:pPr>
            <w:r>
              <w:t>$1,004</w:t>
            </w:r>
          </w:p>
        </w:tc>
        <w:tc>
          <w:tcPr>
            <w:tcW w:w="1916" w:type="dxa"/>
          </w:tcPr>
          <w:p w:rsidR="00D87EBA" w:rsidRDefault="00D87EBA" w:rsidP="00BF32E3">
            <w:pPr>
              <w:jc w:val="right"/>
            </w:pPr>
            <w:r>
              <w:t>$4,016</w:t>
            </w:r>
          </w:p>
        </w:tc>
      </w:tr>
      <w:tr w:rsidR="00D87EBA" w:rsidTr="00BF32E3">
        <w:tc>
          <w:tcPr>
            <w:tcW w:w="1915" w:type="dxa"/>
          </w:tcPr>
          <w:p w:rsidR="00D87EBA" w:rsidRDefault="00D87EBA" w:rsidP="00BF32E3">
            <w:r>
              <w:t>Travel</w:t>
            </w:r>
          </w:p>
        </w:tc>
        <w:tc>
          <w:tcPr>
            <w:tcW w:w="1915" w:type="dxa"/>
          </w:tcPr>
          <w:p w:rsidR="00D87EBA" w:rsidRPr="00A93DF9" w:rsidRDefault="00D87EBA" w:rsidP="00BF32E3">
            <w:pPr>
              <w:jc w:val="right"/>
            </w:pPr>
            <w:r w:rsidRPr="00A93DF9">
              <w:t>450</w:t>
            </w:r>
          </w:p>
        </w:tc>
        <w:tc>
          <w:tcPr>
            <w:tcW w:w="1915" w:type="dxa"/>
          </w:tcPr>
          <w:p w:rsidR="00D87EBA" w:rsidRPr="00CE7440" w:rsidRDefault="00D87EBA" w:rsidP="00BF32E3">
            <w:pPr>
              <w:jc w:val="right"/>
            </w:pPr>
            <w:r w:rsidRPr="00CE7440">
              <w:t>625</w:t>
            </w:r>
          </w:p>
        </w:tc>
        <w:tc>
          <w:tcPr>
            <w:tcW w:w="1915" w:type="dxa"/>
          </w:tcPr>
          <w:p w:rsidR="00D87EBA" w:rsidRDefault="00930162" w:rsidP="00BF32E3">
            <w:pPr>
              <w:jc w:val="right"/>
            </w:pPr>
            <w:r>
              <w:t>(225)</w:t>
            </w:r>
          </w:p>
        </w:tc>
        <w:tc>
          <w:tcPr>
            <w:tcW w:w="1916" w:type="dxa"/>
          </w:tcPr>
          <w:p w:rsidR="00D87EBA" w:rsidRDefault="00D87EBA" w:rsidP="00BF32E3">
            <w:pPr>
              <w:jc w:val="right"/>
            </w:pPr>
            <w:r>
              <w:t>$</w:t>
            </w:r>
            <w:r w:rsidR="00930162">
              <w:t>400</w:t>
            </w:r>
          </w:p>
        </w:tc>
      </w:tr>
      <w:tr w:rsidR="00D87EBA" w:rsidTr="00BF32E3">
        <w:tc>
          <w:tcPr>
            <w:tcW w:w="1915" w:type="dxa"/>
          </w:tcPr>
          <w:p w:rsidR="00D87EBA" w:rsidRDefault="00D87EBA" w:rsidP="00BF32E3">
            <w:r>
              <w:t>Filing Fee</w:t>
            </w:r>
          </w:p>
        </w:tc>
        <w:tc>
          <w:tcPr>
            <w:tcW w:w="1915" w:type="dxa"/>
          </w:tcPr>
          <w:p w:rsidR="00D87EBA" w:rsidRPr="00AF5698" w:rsidRDefault="00D87EBA" w:rsidP="00BF32E3">
            <w:pPr>
              <w:jc w:val="right"/>
              <w:rPr>
                <w:u w:val="single"/>
              </w:rPr>
            </w:pPr>
            <w:r w:rsidRPr="00AF5698">
              <w:rPr>
                <w:u w:val="single"/>
              </w:rPr>
              <w:t>3,500</w:t>
            </w:r>
          </w:p>
        </w:tc>
        <w:tc>
          <w:tcPr>
            <w:tcW w:w="1915" w:type="dxa"/>
          </w:tcPr>
          <w:p w:rsidR="00D87EBA" w:rsidRPr="00AF5698" w:rsidRDefault="00D87EBA" w:rsidP="00BF32E3">
            <w:pPr>
              <w:jc w:val="right"/>
              <w:rPr>
                <w:u w:val="single"/>
              </w:rPr>
            </w:pPr>
            <w:r w:rsidRPr="00AF5698">
              <w:rPr>
                <w:u w:val="single"/>
              </w:rPr>
              <w:t>3,500</w:t>
            </w:r>
          </w:p>
        </w:tc>
        <w:tc>
          <w:tcPr>
            <w:tcW w:w="1915" w:type="dxa"/>
          </w:tcPr>
          <w:p w:rsidR="00D87EBA" w:rsidRPr="00AF5698" w:rsidRDefault="00D87EBA" w:rsidP="00BF32E3">
            <w:pPr>
              <w:jc w:val="right"/>
              <w:rPr>
                <w:u w:val="single"/>
              </w:rPr>
            </w:pPr>
            <w:r w:rsidRPr="00AF5698">
              <w:rPr>
                <w:u w:val="single"/>
              </w:rPr>
              <w:t>0</w:t>
            </w:r>
          </w:p>
        </w:tc>
        <w:tc>
          <w:tcPr>
            <w:tcW w:w="1916" w:type="dxa"/>
          </w:tcPr>
          <w:p w:rsidR="00D87EBA" w:rsidRPr="00AF5698" w:rsidRDefault="00D87EBA" w:rsidP="00BF32E3">
            <w:pPr>
              <w:jc w:val="right"/>
              <w:rPr>
                <w:u w:val="single"/>
              </w:rPr>
            </w:pPr>
            <w:r w:rsidRPr="00AF5698">
              <w:rPr>
                <w:u w:val="single"/>
              </w:rPr>
              <w:t>$3,500</w:t>
            </w:r>
          </w:p>
        </w:tc>
      </w:tr>
      <w:tr w:rsidR="00D87EBA" w:rsidTr="00BF32E3">
        <w:tc>
          <w:tcPr>
            <w:tcW w:w="1915" w:type="dxa"/>
          </w:tcPr>
          <w:p w:rsidR="00D87EBA" w:rsidRPr="00AF5698" w:rsidRDefault="00D87EBA" w:rsidP="00BF32E3">
            <w:pPr>
              <w:rPr>
                <w:b/>
              </w:rPr>
            </w:pPr>
            <w:r>
              <w:t xml:space="preserve">   </w:t>
            </w:r>
            <w:r w:rsidRPr="00AF5698">
              <w:rPr>
                <w:b/>
              </w:rPr>
              <w:t>Total</w:t>
            </w:r>
          </w:p>
        </w:tc>
        <w:tc>
          <w:tcPr>
            <w:tcW w:w="1915" w:type="dxa"/>
          </w:tcPr>
          <w:p w:rsidR="00D87EBA" w:rsidRPr="00AF5698" w:rsidRDefault="00D87EBA" w:rsidP="00BF32E3">
            <w:pPr>
              <w:jc w:val="right"/>
              <w:rPr>
                <w:u w:val="double"/>
              </w:rPr>
            </w:pPr>
            <w:r w:rsidRPr="00AF5698">
              <w:rPr>
                <w:u w:val="double"/>
              </w:rPr>
              <w:t>$5,945</w:t>
            </w:r>
          </w:p>
        </w:tc>
        <w:tc>
          <w:tcPr>
            <w:tcW w:w="1915" w:type="dxa"/>
          </w:tcPr>
          <w:p w:rsidR="00D87EBA" w:rsidRPr="00AF5698" w:rsidRDefault="00D87EBA" w:rsidP="00BF32E3">
            <w:pPr>
              <w:jc w:val="right"/>
              <w:rPr>
                <w:u w:val="double"/>
              </w:rPr>
            </w:pPr>
            <w:r w:rsidRPr="00AF5698">
              <w:rPr>
                <w:u w:val="double"/>
              </w:rPr>
              <w:t>$7,137</w:t>
            </w:r>
          </w:p>
        </w:tc>
        <w:tc>
          <w:tcPr>
            <w:tcW w:w="1915" w:type="dxa"/>
          </w:tcPr>
          <w:p w:rsidR="00D87EBA" w:rsidRPr="00AF5698" w:rsidRDefault="00D87EBA" w:rsidP="00BF32E3">
            <w:pPr>
              <w:jc w:val="right"/>
              <w:rPr>
                <w:u w:val="double"/>
              </w:rPr>
            </w:pPr>
            <w:r w:rsidRPr="00AF5698">
              <w:rPr>
                <w:u w:val="double"/>
              </w:rPr>
              <w:t>$</w:t>
            </w:r>
            <w:r w:rsidR="00930162">
              <w:rPr>
                <w:u w:val="double"/>
              </w:rPr>
              <w:t>779</w:t>
            </w:r>
          </w:p>
        </w:tc>
        <w:tc>
          <w:tcPr>
            <w:tcW w:w="1916" w:type="dxa"/>
          </w:tcPr>
          <w:p w:rsidR="00D87EBA" w:rsidRPr="00AF5698" w:rsidRDefault="00D87EBA" w:rsidP="00BF32E3">
            <w:pPr>
              <w:jc w:val="right"/>
              <w:rPr>
                <w:u w:val="double"/>
              </w:rPr>
            </w:pPr>
            <w:r w:rsidRPr="00AF5698">
              <w:rPr>
                <w:u w:val="double"/>
              </w:rPr>
              <w:t>$</w:t>
            </w:r>
            <w:r w:rsidR="00930162">
              <w:rPr>
                <w:u w:val="double"/>
              </w:rPr>
              <w:t>7,915</w:t>
            </w:r>
          </w:p>
        </w:tc>
      </w:tr>
    </w:tbl>
    <w:p w:rsidR="00D87EBA" w:rsidRPr="00D87EBA" w:rsidRDefault="00D87EBA" w:rsidP="00D87EBA">
      <w:pPr>
        <w:pStyle w:val="TableSource"/>
        <w:rPr>
          <w:sz w:val="20"/>
          <w:szCs w:val="20"/>
        </w:rPr>
      </w:pPr>
      <w:r w:rsidRPr="00D87EBA">
        <w:rPr>
          <w:sz w:val="20"/>
          <w:szCs w:val="20"/>
        </w:rPr>
        <w:t>Source: MFR Schedule B-10 and responses to staff data requests</w:t>
      </w:r>
    </w:p>
    <w:p w:rsidR="00BB7B19" w:rsidRDefault="00D87EBA" w:rsidP="00D87EBA">
      <w:pPr>
        <w:pStyle w:val="BodyText"/>
      </w:pPr>
      <w:r w:rsidRPr="00C319B9">
        <w:t xml:space="preserve">In its MFRs, HC requested total rate case expense </w:t>
      </w:r>
      <w:r w:rsidR="00044654">
        <w:t>of $5,945. When amortized over four</w:t>
      </w:r>
      <w:r w:rsidRPr="00C319B9">
        <w:t xml:space="preserve"> years, this represents an annual expense of $1,486. The recommended total rate case expense of $</w:t>
      </w:r>
      <w:r w:rsidR="004E1644">
        <w:t>7,915</w:t>
      </w:r>
      <w:r w:rsidRPr="00C319B9">
        <w:t xml:space="preserve"> shou</w:t>
      </w:r>
      <w:r w:rsidR="008E79AD">
        <w:t xml:space="preserve">ld be amortized over four years, pursuant to Section 367.081(8), F.S., as the Utility did not request or justify a longer amortization period. </w:t>
      </w:r>
      <w:r w:rsidRPr="00C319B9">
        <w:t>This represents an annual expense of $</w:t>
      </w:r>
      <w:r w:rsidR="004E1644">
        <w:t>1,979</w:t>
      </w:r>
      <w:r w:rsidRPr="00C319B9">
        <w:t>. Based on the above, staff recommends that annual rate case expense be increased by $</w:t>
      </w:r>
      <w:r w:rsidR="004E1644">
        <w:t>493</w:t>
      </w:r>
      <w:r w:rsidRPr="00C319B9">
        <w:t xml:space="preserve"> ($</w:t>
      </w:r>
      <w:r w:rsidR="004E1644">
        <w:t>1,979</w:t>
      </w:r>
      <w:r>
        <w:t xml:space="preserve"> </w:t>
      </w:r>
      <w:r w:rsidRPr="00C319B9">
        <w:t>-</w:t>
      </w:r>
      <w:r>
        <w:t xml:space="preserve"> </w:t>
      </w:r>
      <w:r w:rsidRPr="00C319B9">
        <w:t xml:space="preserve">$1,486) compared to the original request in the </w:t>
      </w:r>
      <w:proofErr w:type="spellStart"/>
      <w:r w:rsidRPr="00C319B9">
        <w:t>MFRs</w:t>
      </w:r>
      <w:r>
        <w:t>.</w:t>
      </w:r>
      <w:proofErr w:type="spellEnd"/>
    </w:p>
    <w:p w:rsidR="00BB7B19" w:rsidRDefault="00BB7B19">
      <w:pPr>
        <w:pStyle w:val="IssueHeading"/>
        <w:rPr>
          <w:vanish/>
          <w:specVanish/>
        </w:rPr>
      </w:pPr>
      <w:r w:rsidRPr="004C3641">
        <w:rPr>
          <w:b w:val="0"/>
          <w:i w:val="0"/>
        </w:rPr>
        <w:br w:type="page"/>
      </w:r>
      <w:r w:rsidRPr="004C3641">
        <w:lastRenderedPageBreak/>
        <w:t xml:space="preserve">Issue </w:t>
      </w:r>
      <w:fldSimple w:instr=" SEQ Issue \* MERGEFORMAT ">
        <w:r w:rsidR="00414083">
          <w:rPr>
            <w:noProof/>
          </w:rPr>
          <w:t>14</w:t>
        </w:r>
      </w:fldSimple>
      <w:r w:rsidRPr="004C3641">
        <w:t>:</w:t>
      </w:r>
      <w:r>
        <w:fldChar w:fldCharType="begin"/>
      </w:r>
      <w:r>
        <w:instrText xml:space="preserve"> TC "</w:instrText>
      </w:r>
      <w:bookmarkStart w:id="32" w:name="_Toc38467946"/>
      <w:r w:rsidR="007C1369">
        <w:instrText xml:space="preserve">Issue </w:instrText>
      </w:r>
      <w:r>
        <w:fldChar w:fldCharType="begin"/>
      </w:r>
      <w:r>
        <w:instrText xml:space="preserve"> SEQ issue \c </w:instrText>
      </w:r>
      <w:r>
        <w:fldChar w:fldCharType="separate"/>
      </w:r>
      <w:r w:rsidR="00414083">
        <w:rPr>
          <w:noProof/>
        </w:rPr>
        <w:instrText>14</w:instrText>
      </w:r>
      <w:r>
        <w:fldChar w:fldCharType="end"/>
      </w:r>
      <w:r w:rsidR="007C1369">
        <w:instrText xml:space="preserve"> – Revenue Requirement</w:instrText>
      </w:r>
      <w:bookmarkEnd w:id="32"/>
      <w:r>
        <w:instrText xml:space="preserve">" \l 1 </w:instrText>
      </w:r>
      <w:r>
        <w:fldChar w:fldCharType="end"/>
      </w:r>
      <w:r>
        <w:t> </w:t>
      </w:r>
    </w:p>
    <w:p w:rsidR="00BB7B19" w:rsidRDefault="00BB7B19">
      <w:pPr>
        <w:pStyle w:val="BodyText"/>
      </w:pPr>
      <w:r>
        <w:t> </w:t>
      </w:r>
      <w:r w:rsidR="007F0331">
        <w:t>What is the a</w:t>
      </w:r>
      <w:r w:rsidR="007F0331" w:rsidRPr="00192E9C">
        <w:t>ppropriate revenue requirement for the test year ended June 30, 2019</w:t>
      </w:r>
      <w:r w:rsidR="007F0331">
        <w:t>?</w:t>
      </w:r>
    </w:p>
    <w:p w:rsidR="00BB7B19" w:rsidRPr="004C3641" w:rsidRDefault="00BB7B19">
      <w:pPr>
        <w:pStyle w:val="IssueSubsectionHeading"/>
        <w:rPr>
          <w:vanish/>
          <w:specVanish/>
        </w:rPr>
      </w:pPr>
      <w:r w:rsidRPr="004C3641">
        <w:t>Recommendation: </w:t>
      </w:r>
    </w:p>
    <w:p w:rsidR="007F0331" w:rsidRDefault="00BB7B19" w:rsidP="00440FB3">
      <w:pPr>
        <w:pStyle w:val="BodyText"/>
        <w:spacing w:after="480"/>
      </w:pPr>
      <w:r>
        <w:t> </w:t>
      </w:r>
      <w:r w:rsidR="007F0331" w:rsidRPr="00192E9C">
        <w:t>Staff recommends the following revenue requirement be approved</w:t>
      </w:r>
      <w:r w:rsidR="007F0331">
        <w:t>.</w:t>
      </w:r>
    </w:p>
    <w:tbl>
      <w:tblPr>
        <w:tblStyle w:val="TableGrid"/>
        <w:tblW w:w="0" w:type="auto"/>
        <w:jc w:val="center"/>
        <w:tblLook w:val="04A0" w:firstRow="1" w:lastRow="0" w:firstColumn="1" w:lastColumn="0" w:noHBand="0" w:noVBand="1"/>
      </w:tblPr>
      <w:tblGrid>
        <w:gridCol w:w="1836"/>
        <w:gridCol w:w="1854"/>
        <w:gridCol w:w="1890"/>
        <w:gridCol w:w="1620"/>
      </w:tblGrid>
      <w:tr w:rsidR="007F0331" w:rsidTr="00BF32E3">
        <w:trPr>
          <w:jc w:val="center"/>
        </w:trPr>
        <w:tc>
          <w:tcPr>
            <w:tcW w:w="1836" w:type="dxa"/>
            <w:vAlign w:val="bottom"/>
          </w:tcPr>
          <w:p w:rsidR="007F0331" w:rsidRPr="00192E9C" w:rsidRDefault="007F0331" w:rsidP="00BF32E3">
            <w:pPr>
              <w:jc w:val="center"/>
              <w:rPr>
                <w:b/>
              </w:rPr>
            </w:pPr>
            <w:r w:rsidRPr="00192E9C">
              <w:rPr>
                <w:b/>
              </w:rPr>
              <w:t>Test Year Revenue</w:t>
            </w:r>
          </w:p>
        </w:tc>
        <w:tc>
          <w:tcPr>
            <w:tcW w:w="1854" w:type="dxa"/>
            <w:vAlign w:val="bottom"/>
          </w:tcPr>
          <w:p w:rsidR="007F0331" w:rsidRPr="00192E9C" w:rsidRDefault="007F0331" w:rsidP="00BF32E3">
            <w:pPr>
              <w:jc w:val="center"/>
              <w:rPr>
                <w:b/>
              </w:rPr>
            </w:pPr>
            <w:r w:rsidRPr="00192E9C">
              <w:rPr>
                <w:b/>
              </w:rPr>
              <w:t>$ Increase</w:t>
            </w:r>
          </w:p>
        </w:tc>
        <w:tc>
          <w:tcPr>
            <w:tcW w:w="1890" w:type="dxa"/>
            <w:vAlign w:val="bottom"/>
          </w:tcPr>
          <w:p w:rsidR="007F0331" w:rsidRPr="00192E9C" w:rsidRDefault="007F0331" w:rsidP="00BF32E3">
            <w:pPr>
              <w:jc w:val="center"/>
              <w:rPr>
                <w:b/>
              </w:rPr>
            </w:pPr>
            <w:r w:rsidRPr="00192E9C">
              <w:rPr>
                <w:b/>
              </w:rPr>
              <w:t>Revenue Requirement</w:t>
            </w:r>
          </w:p>
        </w:tc>
        <w:tc>
          <w:tcPr>
            <w:tcW w:w="1620" w:type="dxa"/>
            <w:vAlign w:val="bottom"/>
          </w:tcPr>
          <w:p w:rsidR="007F0331" w:rsidRPr="00192E9C" w:rsidRDefault="007F0331" w:rsidP="00BF32E3">
            <w:pPr>
              <w:jc w:val="center"/>
              <w:rPr>
                <w:b/>
              </w:rPr>
            </w:pPr>
            <w:r w:rsidRPr="00192E9C">
              <w:rPr>
                <w:b/>
              </w:rPr>
              <w:t>% Increase</w:t>
            </w:r>
          </w:p>
        </w:tc>
      </w:tr>
      <w:tr w:rsidR="007F0331" w:rsidTr="00BF32E3">
        <w:trPr>
          <w:jc w:val="center"/>
        </w:trPr>
        <w:tc>
          <w:tcPr>
            <w:tcW w:w="1836" w:type="dxa"/>
            <w:vAlign w:val="bottom"/>
          </w:tcPr>
          <w:p w:rsidR="007F0331" w:rsidRPr="000501F6" w:rsidRDefault="007F0331" w:rsidP="00BF32E3">
            <w:pPr>
              <w:jc w:val="right"/>
            </w:pPr>
            <w:r w:rsidRPr="000501F6">
              <w:t xml:space="preserve">$561,027 </w:t>
            </w:r>
          </w:p>
        </w:tc>
        <w:tc>
          <w:tcPr>
            <w:tcW w:w="1854" w:type="dxa"/>
            <w:vAlign w:val="bottom"/>
          </w:tcPr>
          <w:p w:rsidR="007F0331" w:rsidRPr="000501F6" w:rsidRDefault="007F0331" w:rsidP="00BF32E3">
            <w:pPr>
              <w:jc w:val="right"/>
            </w:pPr>
            <w:r w:rsidRPr="000501F6">
              <w:t xml:space="preserve">$182,937 </w:t>
            </w:r>
          </w:p>
        </w:tc>
        <w:tc>
          <w:tcPr>
            <w:tcW w:w="1890" w:type="dxa"/>
            <w:vAlign w:val="bottom"/>
          </w:tcPr>
          <w:p w:rsidR="007F0331" w:rsidRPr="000501F6" w:rsidRDefault="007F0331" w:rsidP="00BF32E3">
            <w:pPr>
              <w:jc w:val="right"/>
            </w:pPr>
            <w:r w:rsidRPr="000501F6">
              <w:t xml:space="preserve">$743,964 </w:t>
            </w:r>
          </w:p>
        </w:tc>
        <w:tc>
          <w:tcPr>
            <w:tcW w:w="1620" w:type="dxa"/>
            <w:vAlign w:val="bottom"/>
          </w:tcPr>
          <w:p w:rsidR="007F0331" w:rsidRDefault="007F0331" w:rsidP="00BF32E3">
            <w:pPr>
              <w:jc w:val="right"/>
            </w:pPr>
            <w:r w:rsidRPr="000501F6">
              <w:t>32.61%</w:t>
            </w:r>
          </w:p>
        </w:tc>
      </w:tr>
    </w:tbl>
    <w:p w:rsidR="00440FB3" w:rsidRDefault="00440FB3" w:rsidP="00440FB3">
      <w:pPr>
        <w:pStyle w:val="BodyText"/>
        <w:spacing w:after="0"/>
      </w:pPr>
    </w:p>
    <w:p w:rsidR="00BB7B19" w:rsidRDefault="007F0331" w:rsidP="007F0331">
      <w:pPr>
        <w:pStyle w:val="BodyText"/>
      </w:pPr>
      <w:r>
        <w:t>(Thurmond)</w:t>
      </w:r>
      <w:r w:rsidR="00BB7B19">
        <w:t xml:space="preserve"> </w:t>
      </w:r>
    </w:p>
    <w:p w:rsidR="00BB7B19" w:rsidRPr="004C3641" w:rsidRDefault="00BB7B19">
      <w:pPr>
        <w:pStyle w:val="IssueSubsectionHeading"/>
        <w:rPr>
          <w:vanish/>
          <w:specVanish/>
        </w:rPr>
      </w:pPr>
      <w:r w:rsidRPr="004C3641">
        <w:t>Staff Analysis: </w:t>
      </w:r>
    </w:p>
    <w:p w:rsidR="00BB7B19" w:rsidRDefault="00BB7B19">
      <w:pPr>
        <w:pStyle w:val="BodyText"/>
      </w:pPr>
      <w:r>
        <w:t> </w:t>
      </w:r>
      <w:r w:rsidR="007F0331" w:rsidRPr="00192E9C">
        <w:t>In its filing, the Utility requested a revenue requirement to generate annual revenue of $743,964. This requested revenue requirement represents a revenue increase of $1</w:t>
      </w:r>
      <w:r w:rsidR="007F0331">
        <w:t>68,229</w:t>
      </w:r>
      <w:r w:rsidR="007F0331" w:rsidRPr="00192E9C">
        <w:t>, or approximately 29.57 percent</w:t>
      </w:r>
      <w:r w:rsidR="007F0331">
        <w:t>, over the test year revenues of $575,735 in HC’s initial filing</w:t>
      </w:r>
      <w:r w:rsidR="007F0331" w:rsidRPr="00192E9C">
        <w:t>. Consistent with recommendations concerning rate base, cost of capital, and operating income issues,</w:t>
      </w:r>
      <w:r w:rsidR="007F0331">
        <w:t xml:space="preserve"> the resulting revenue requirement is </w:t>
      </w:r>
      <w:r w:rsidR="00164887">
        <w:t>$775,366</w:t>
      </w:r>
      <w:r w:rsidR="007F0331" w:rsidRPr="00192E9C">
        <w:t xml:space="preserve">. </w:t>
      </w:r>
      <w:r w:rsidR="007F0331">
        <w:t>However, it is Commission practice to limit the revenue requirement to the total amount sought in a utility’s petition.</w:t>
      </w:r>
      <w:r w:rsidR="00C52495">
        <w:rPr>
          <w:rStyle w:val="FootnoteReference"/>
        </w:rPr>
        <w:footnoteReference w:id="23"/>
      </w:r>
      <w:r w:rsidR="00C52495">
        <w:t xml:space="preserve"> </w:t>
      </w:r>
      <w:r w:rsidR="007F0331">
        <w:t xml:space="preserve">Therefore, </w:t>
      </w:r>
      <w:r w:rsidR="007F0331" w:rsidRPr="00CE4D05">
        <w:t>staff recommends</w:t>
      </w:r>
      <w:r w:rsidR="007F0331">
        <w:t xml:space="preserve"> that</w:t>
      </w:r>
      <w:r w:rsidR="007F0331" w:rsidRPr="00CE4D05">
        <w:t xml:space="preserve"> the appropriate revenue requirement should be $743,964</w:t>
      </w:r>
      <w:r w:rsidR="007F0331">
        <w:t xml:space="preserve">. </w:t>
      </w:r>
      <w:r w:rsidR="007F0331" w:rsidRPr="00CE4D05">
        <w:t>The schedule for operating income is attached as Schedule No. 3-</w:t>
      </w:r>
      <w:proofErr w:type="gramStart"/>
      <w:r w:rsidR="007F0331" w:rsidRPr="00CE4D05">
        <w:t>A,</w:t>
      </w:r>
      <w:proofErr w:type="gramEnd"/>
      <w:r w:rsidR="007F0331" w:rsidRPr="00CE4D05">
        <w:t xml:space="preserve"> and the adjustments are shown on Schedule No. 3-B</w:t>
      </w:r>
      <w:r w:rsidR="007F0331">
        <w:t>.</w:t>
      </w:r>
    </w:p>
    <w:p w:rsidR="00BB7B19" w:rsidRDefault="00BB7B19">
      <w:pPr>
        <w:pStyle w:val="IssueHeading"/>
        <w:rPr>
          <w:vanish/>
          <w:specVanish/>
        </w:rPr>
      </w:pPr>
      <w:r w:rsidRPr="004C3641">
        <w:rPr>
          <w:b w:val="0"/>
          <w:i w:val="0"/>
        </w:rPr>
        <w:br w:type="page"/>
      </w:r>
      <w:r w:rsidRPr="004C3641">
        <w:lastRenderedPageBreak/>
        <w:t xml:space="preserve">Issue </w:t>
      </w:r>
      <w:fldSimple w:instr=" SEQ Issue \* MERGEFORMAT ">
        <w:r w:rsidR="00414083">
          <w:rPr>
            <w:noProof/>
          </w:rPr>
          <w:t>15</w:t>
        </w:r>
      </w:fldSimple>
      <w:r w:rsidRPr="004C3641">
        <w:t>:</w:t>
      </w:r>
      <w:r>
        <w:fldChar w:fldCharType="begin"/>
      </w:r>
      <w:r>
        <w:instrText xml:space="preserve"> TC "</w:instrText>
      </w:r>
      <w:bookmarkStart w:id="33" w:name="_Toc38467947"/>
      <w:r w:rsidR="007C1369">
        <w:instrText xml:space="preserve">Issue </w:instrText>
      </w:r>
      <w:r>
        <w:fldChar w:fldCharType="begin"/>
      </w:r>
      <w:r>
        <w:instrText xml:space="preserve"> SEQ issue \c </w:instrText>
      </w:r>
      <w:r>
        <w:fldChar w:fldCharType="separate"/>
      </w:r>
      <w:r w:rsidR="00414083">
        <w:rPr>
          <w:noProof/>
        </w:rPr>
        <w:instrText>15</w:instrText>
      </w:r>
      <w:r>
        <w:fldChar w:fldCharType="end"/>
      </w:r>
      <w:r w:rsidR="007C1369">
        <w:instrText xml:space="preserve"> –</w:instrText>
      </w:r>
      <w:r w:rsidR="008278A2">
        <w:instrText>Rate Structure and Rates</w:instrText>
      </w:r>
      <w:bookmarkEnd w:id="33"/>
      <w:r>
        <w:instrText xml:space="preserve">" \l 1 </w:instrText>
      </w:r>
      <w:r>
        <w:fldChar w:fldCharType="end"/>
      </w:r>
      <w:r>
        <w:t> </w:t>
      </w:r>
    </w:p>
    <w:p w:rsidR="00BB7B19" w:rsidRDefault="00BB7B19">
      <w:pPr>
        <w:pStyle w:val="BodyText"/>
      </w:pPr>
      <w:r>
        <w:t> </w:t>
      </w:r>
      <w:r w:rsidR="00934203">
        <w:t>What are</w:t>
      </w:r>
      <w:r w:rsidR="008278A2">
        <w:t xml:space="preserve"> the appropriate rate structure</w:t>
      </w:r>
      <w:r w:rsidR="00934203">
        <w:t>s</w:t>
      </w:r>
      <w:r w:rsidR="008278A2">
        <w:t xml:space="preserve"> and rates for HC Waterworks’ water system?</w:t>
      </w:r>
    </w:p>
    <w:p w:rsidR="00BB7B19" w:rsidRPr="004C3641" w:rsidRDefault="00BB7B19">
      <w:pPr>
        <w:pStyle w:val="IssueSubsectionHeading"/>
        <w:rPr>
          <w:vanish/>
          <w:specVanish/>
        </w:rPr>
      </w:pPr>
      <w:r w:rsidRPr="004C3641">
        <w:t>Recommendation: </w:t>
      </w:r>
    </w:p>
    <w:p w:rsidR="00BB7B19" w:rsidRDefault="00BB7B19">
      <w:pPr>
        <w:pStyle w:val="BodyText"/>
      </w:pPr>
      <w:r>
        <w:t> </w:t>
      </w:r>
      <w:r w:rsidR="008A5E77" w:rsidRPr="00C850C2">
        <w:t>The recomme</w:t>
      </w:r>
      <w:r w:rsidR="008A5E77">
        <w:t>nded rate structures and monthly</w:t>
      </w:r>
      <w:r w:rsidR="008A5E77" w:rsidRPr="00C850C2">
        <w:t xml:space="preserve"> water rates are sh</w:t>
      </w:r>
      <w:r w:rsidR="008A5E77">
        <w:t>own on Schedule No. 4</w:t>
      </w:r>
      <w:r w:rsidR="008A5E77" w:rsidRPr="00C850C2">
        <w:t>.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this notice.</w:t>
      </w:r>
      <w:r w:rsidR="008A5E77">
        <w:t xml:space="preserve"> (Bethea)</w:t>
      </w:r>
      <w:r>
        <w:t xml:space="preserve"> </w:t>
      </w:r>
    </w:p>
    <w:p w:rsidR="00BB7B19" w:rsidRPr="004C3641" w:rsidRDefault="00BB7B19">
      <w:pPr>
        <w:pStyle w:val="IssueSubsectionHeading"/>
        <w:rPr>
          <w:vanish/>
          <w:specVanish/>
        </w:rPr>
      </w:pPr>
      <w:r w:rsidRPr="004C3641">
        <w:t>Staff Analysis: </w:t>
      </w:r>
    </w:p>
    <w:p w:rsidR="008A5E77" w:rsidRDefault="00BB7B19" w:rsidP="008A5E77">
      <w:pPr>
        <w:pStyle w:val="BodyText"/>
      </w:pPr>
      <w:r>
        <w:t> </w:t>
      </w:r>
      <w:r w:rsidR="008A5E77">
        <w:t>The Utility is located in Highlands County within the SWFWMD. HC provides wa</w:t>
      </w:r>
      <w:r w:rsidR="00F80973">
        <w:t>ter service to approximately 949</w:t>
      </w:r>
      <w:r w:rsidR="008A5E77">
        <w:t xml:space="preserve"> residential and 9 general service customers.</w:t>
      </w:r>
      <w:r w:rsidR="008A5E77" w:rsidRPr="000C0B1B">
        <w:t xml:space="preserve"> </w:t>
      </w:r>
      <w:r w:rsidR="008A5E77">
        <w:t xml:space="preserve">One of the general service customers is </w:t>
      </w:r>
      <w:r w:rsidR="0057465F">
        <w:t>a</w:t>
      </w:r>
      <w:r w:rsidR="008A5E77">
        <w:t xml:space="preserve"> 189 unit RV Park. In addition, the Utility has one private fire protection customer. Staff determined that approximately 23 percent of the residential customer bills during the test year had zero gallons, indicating a seasonal customer base</w:t>
      </w:r>
      <w:r w:rsidR="008A5E77" w:rsidRPr="00FB3EC6">
        <w:t>.</w:t>
      </w:r>
      <w:r w:rsidR="008A5E77">
        <w:t xml:space="preserve"> </w:t>
      </w:r>
      <w:r w:rsidR="008A5E77" w:rsidRPr="00FB3EC6">
        <w:t>The average r</w:t>
      </w:r>
      <w:r w:rsidR="008A5E77">
        <w:t>esidential water demand is 2,483</w:t>
      </w:r>
      <w:r w:rsidR="008A5E77" w:rsidRPr="00C96A8A">
        <w:t xml:space="preserve"> </w:t>
      </w:r>
      <w:r w:rsidR="008A5E77" w:rsidRPr="00FB3EC6">
        <w:t>gallons per month. The average water demand excl</w:t>
      </w:r>
      <w:r w:rsidR="008A5E77">
        <w:t>uding zero gallon bills is 3,223 gallons</w:t>
      </w:r>
      <w:r w:rsidR="008A5E77" w:rsidRPr="00FB3EC6">
        <w:t xml:space="preserve"> per month. </w:t>
      </w:r>
      <w:r w:rsidR="008A5E77">
        <w:t xml:space="preserve">The Utility’s current water system rate structure for residential </w:t>
      </w:r>
      <w:r w:rsidR="00F80973">
        <w:t xml:space="preserve">customers </w:t>
      </w:r>
      <w:r w:rsidR="008A5E77">
        <w:t>consist</w:t>
      </w:r>
      <w:r w:rsidR="008A5E77" w:rsidRPr="00FC4A8B">
        <w:t>s</w:t>
      </w:r>
      <w:r w:rsidR="008A5E77">
        <w:t xml:space="preserve"> of a traditional base facility charge (BFC) with separate rate blocks for non-discretionary and discretionary usage. The rate blocks are: 1) 0-3,000 gallons and 2) all usage in excess of 3,000 gallons. General </w:t>
      </w:r>
      <w:proofErr w:type="gramStart"/>
      <w:r w:rsidR="008A5E77">
        <w:t>service</w:t>
      </w:r>
      <w:proofErr w:type="gramEnd"/>
      <w:r w:rsidR="008A5E77">
        <w:t xml:space="preserve"> customers are billed based on a BFC and uniform gall</w:t>
      </w:r>
      <w:r w:rsidR="00F80973">
        <w:t>onage charge. In addition, the U</w:t>
      </w:r>
      <w:r w:rsidR="008A5E77">
        <w:t xml:space="preserve">tility’s private fire protection services rates are based on one-twelfth of the Utility’s BFC for the respective meter size pursuant to Rule 25-30.465, F.A.C. </w:t>
      </w:r>
    </w:p>
    <w:p w:rsidR="008A5E77" w:rsidRDefault="008A5E77" w:rsidP="008A5E77">
      <w:pPr>
        <w:pStyle w:val="BodyText"/>
      </w:pPr>
      <w:r>
        <w:t>Staff performed an analysis of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rsidR="008A5E77" w:rsidRDefault="008A5E77" w:rsidP="008A5E77">
      <w:pPr>
        <w:jc w:val="both"/>
      </w:pPr>
      <w:r>
        <w:t xml:space="preserve">The Utility’s current rates allow for 47 percent of the revenues to be recovered through the BFC. Due to the customers’ low average monthly consumption and seasonal customer base, staff recommends 47 percent of the revenue requirement should continue to be recovered through the BFC in an effort to maintain revenue stability. The average </w:t>
      </w:r>
      <w:r w:rsidRPr="00D438E8">
        <w:t>pe</w:t>
      </w:r>
      <w:r>
        <w:t>ople</w:t>
      </w:r>
      <w:r w:rsidRPr="00D438E8">
        <w:t xml:space="preserve"> per household served by the </w:t>
      </w:r>
      <w:r>
        <w:t xml:space="preserve">water system is </w:t>
      </w:r>
      <w:r w:rsidR="00E732A4">
        <w:t xml:space="preserve">approximately </w:t>
      </w:r>
      <w:r>
        <w:t>2.5; therefore, based on the number of people per household, 50 gallons per day per person, and the number of days per month, the non-discretionary usage threshold</w:t>
      </w:r>
      <w:r w:rsidRPr="00D438E8">
        <w:t xml:space="preserve"> should be </w:t>
      </w:r>
      <w:r>
        <w:t>4</w:t>
      </w:r>
      <w:r w:rsidRPr="00D438E8">
        <w:t>,000 gallons</w:t>
      </w:r>
      <w:r>
        <w:t xml:space="preserve"> per month</w:t>
      </w:r>
      <w:r w:rsidRPr="00D438E8">
        <w:t>.</w:t>
      </w:r>
      <w:r>
        <w:rPr>
          <w:rStyle w:val="FootnoteReference"/>
        </w:rPr>
        <w:footnoteReference w:id="24"/>
      </w:r>
      <w:r>
        <w:t xml:space="preserve"> </w:t>
      </w:r>
      <w:r w:rsidRPr="0043068D">
        <w:t xml:space="preserve">This rate structure sends the appropriate pricing signals to customers using in excess of </w:t>
      </w:r>
      <w:r>
        <w:t>4</w:t>
      </w:r>
      <w:r w:rsidRPr="0043068D">
        <w:t xml:space="preserve">,000 gallons of water per month, which represents approximately </w:t>
      </w:r>
      <w:r>
        <w:t xml:space="preserve">22 </w:t>
      </w:r>
      <w:r w:rsidRPr="0043068D">
        <w:t>percent of the usage.</w:t>
      </w:r>
      <w:r>
        <w:t xml:space="preserve"> </w:t>
      </w:r>
      <w:r w:rsidRPr="0043068D">
        <w:t xml:space="preserve">Staff </w:t>
      </w:r>
      <w:r>
        <w:t>recommends a traditional BFC with separate rate blocks for non-discretionary and discretionary usage</w:t>
      </w:r>
      <w:r w:rsidRPr="00296DCF">
        <w:t xml:space="preserve"> </w:t>
      </w:r>
      <w:r>
        <w:t xml:space="preserve">for </w:t>
      </w:r>
      <w:r w:rsidRPr="0043068D">
        <w:t>residential water customers</w:t>
      </w:r>
      <w:r>
        <w:t xml:space="preserve">. The rate blocks are: 1) 0-4,000 gallons and 2) all usage in excess of 4,000 gallons. General </w:t>
      </w:r>
      <w:proofErr w:type="gramStart"/>
      <w:r>
        <w:t>service</w:t>
      </w:r>
      <w:proofErr w:type="gramEnd"/>
      <w:r>
        <w:t xml:space="preserve"> customers should be billed based on a BFC and uniform gallonage charge. In addition, the utility’s private fire protection services rates should be based on one-twelfth of the Utility’s BFC for the respective meter size</w:t>
      </w:r>
      <w:r w:rsidR="00C230E3">
        <w:t>,</w:t>
      </w:r>
      <w:r>
        <w:t xml:space="preserve"> pur</w:t>
      </w:r>
      <w:r w:rsidR="00C52495">
        <w:t>suant to Rule 25-30.465, F.A.C.</w:t>
      </w:r>
    </w:p>
    <w:p w:rsidR="008A5E77" w:rsidRDefault="008A5E77" w:rsidP="008A5E77">
      <w:pPr>
        <w:jc w:val="both"/>
      </w:pPr>
    </w:p>
    <w:p w:rsidR="008A5E77" w:rsidRDefault="008A5E77" w:rsidP="008A5E77">
      <w:pPr>
        <w:jc w:val="both"/>
      </w:pPr>
      <w:r>
        <w:t xml:space="preserve">Furthermore, in the last rate case, the Commission determined that the BFC for the RV </w:t>
      </w:r>
      <w:proofErr w:type="gramStart"/>
      <w:r>
        <w:t>park</w:t>
      </w:r>
      <w:proofErr w:type="gramEnd"/>
      <w:r>
        <w:t xml:space="preserve"> should be based on the demand the RV park places on the water system.</w:t>
      </w:r>
      <w:r>
        <w:rPr>
          <w:rStyle w:val="FootnoteReference"/>
        </w:rPr>
        <w:footnoteReference w:id="25"/>
      </w:r>
      <w:r w:rsidR="00557FB8">
        <w:t xml:space="preserve"> </w:t>
      </w:r>
      <w:r>
        <w:t xml:space="preserve">The water demand was 2,270,000 in the last rate case. During the test year, the RV </w:t>
      </w:r>
      <w:proofErr w:type="gramStart"/>
      <w:r w:rsidRPr="00FC4A8B">
        <w:t>park’s</w:t>
      </w:r>
      <w:proofErr w:type="gramEnd"/>
      <w:r w:rsidRPr="00FC4A8B">
        <w:t xml:space="preserve"> </w:t>
      </w:r>
      <w:r>
        <w:t>water demand was 3,778,000 gallons, which is an approximately 66 percent incr</w:t>
      </w:r>
      <w:r w:rsidR="00557FB8">
        <w:t xml:space="preserve">ease since the last rate case. </w:t>
      </w:r>
      <w:r>
        <w:t>Consistent with the methodology in the last rate ca</w:t>
      </w:r>
      <w:r w:rsidR="00B40ED7">
        <w:t xml:space="preserve">se, the water demand of the RV </w:t>
      </w:r>
      <w:proofErr w:type="gramStart"/>
      <w:r w:rsidR="00B40ED7">
        <w:t>p</w:t>
      </w:r>
      <w:r>
        <w:t>ark</w:t>
      </w:r>
      <w:proofErr w:type="gramEnd"/>
      <w:r>
        <w:t xml:space="preserve"> compared to the average residential water demand of 2,483 gallons per month represents approximately 127 ERCs (3,778,000/2,483/12). Thi</w:t>
      </w:r>
      <w:r w:rsidR="00B40ED7">
        <w:t xml:space="preserve">s change in ERCs allows the RV </w:t>
      </w:r>
      <w:proofErr w:type="gramStart"/>
      <w:r w:rsidR="00B40ED7">
        <w:t>p</w:t>
      </w:r>
      <w:r>
        <w:t>ark</w:t>
      </w:r>
      <w:proofErr w:type="gramEnd"/>
      <w:r>
        <w:t xml:space="preserve"> to pay its pro rata share of cost b</w:t>
      </w:r>
      <w:r w:rsidR="007E404F">
        <w:t>ased on the water demand that it</w:t>
      </w:r>
      <w:r>
        <w:t xml:space="preserve"> places on the system. Therefore, staff recommends a BFC based on 127 ERCs for the</w:t>
      </w:r>
      <w:r w:rsidR="003A2826">
        <w:t xml:space="preserve"> RV </w:t>
      </w:r>
      <w:proofErr w:type="gramStart"/>
      <w:r w:rsidR="00B40ED7">
        <w:t>p</w:t>
      </w:r>
      <w:r>
        <w:t>ark</w:t>
      </w:r>
      <w:proofErr w:type="gramEnd"/>
      <w:r>
        <w:t xml:space="preserve"> and a uniform gallonage charge.</w:t>
      </w:r>
    </w:p>
    <w:p w:rsidR="008A5E77" w:rsidRDefault="008A5E77" w:rsidP="008A5E77">
      <w:pPr>
        <w:jc w:val="both"/>
      </w:pPr>
    </w:p>
    <w:p w:rsidR="008A5E77" w:rsidRDefault="008A5E77" w:rsidP="008A5E77">
      <w:pPr>
        <w:jc w:val="both"/>
      </w:pPr>
      <w:r w:rsidRPr="00CF56EB">
        <w:t xml:space="preserve">In addition, </w:t>
      </w:r>
      <w:r>
        <w:t xml:space="preserve">based on a recommended revenue increase of approximately 33.2 percent, excluding miscellaneous revenues, the residential consumption can be expected to decline by 830,000 gallons resulting in anticipated </w:t>
      </w:r>
      <w:r w:rsidR="00580897">
        <w:t xml:space="preserve">repressed </w:t>
      </w:r>
      <w:r>
        <w:t>average residential dem</w:t>
      </w:r>
      <w:r w:rsidR="00557FB8">
        <w:t>and of 2,409 gallons per month.</w:t>
      </w:r>
      <w:r>
        <w:t xml:space="preserve"> Staff recommends a 3 percent reduction in total residential consumption and corresponding reductions of $1,155 for purchased power, $1,093 for chemicals, and $106 for RAFs to reflect the anticipated repr</w:t>
      </w:r>
      <w:r w:rsidR="0061132A">
        <w:t>ession, which results in a post-</w:t>
      </w:r>
      <w:r>
        <w:t>repression revenue requirement of $731,373</w:t>
      </w:r>
      <w:r w:rsidR="0075067C">
        <w:t>.</w:t>
      </w:r>
    </w:p>
    <w:p w:rsidR="0075067C" w:rsidRDefault="0075067C" w:rsidP="008A5E77">
      <w:pPr>
        <w:jc w:val="both"/>
      </w:pPr>
    </w:p>
    <w:p w:rsidR="00BB7B19" w:rsidRDefault="008A5E77" w:rsidP="008A5E77">
      <w:pPr>
        <w:pStyle w:val="BodyText"/>
      </w:pPr>
      <w:r w:rsidRPr="00C850C2">
        <w:t>The recomme</w:t>
      </w:r>
      <w:r>
        <w:t>nded rate structures and monthly</w:t>
      </w:r>
      <w:r w:rsidRPr="00C850C2">
        <w:t xml:space="preserve"> water rates are sh</w:t>
      </w:r>
      <w:r>
        <w:t>own on Schedule No. 4</w:t>
      </w:r>
      <w:r w:rsidRPr="00C850C2">
        <w:t>.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this notice.</w:t>
      </w:r>
    </w:p>
    <w:p w:rsidR="00BB7B19" w:rsidRDefault="00BB7B19">
      <w:pPr>
        <w:pStyle w:val="IssueHeading"/>
        <w:rPr>
          <w:vanish/>
          <w:specVanish/>
        </w:rPr>
      </w:pPr>
      <w:r w:rsidRPr="004C3641">
        <w:rPr>
          <w:b w:val="0"/>
          <w:i w:val="0"/>
        </w:rPr>
        <w:br w:type="page"/>
      </w:r>
      <w:r w:rsidRPr="004C3641">
        <w:lastRenderedPageBreak/>
        <w:t xml:space="preserve">Issue </w:t>
      </w:r>
      <w:fldSimple w:instr=" SEQ Issue \* MERGEFORMAT ">
        <w:r w:rsidR="00414083">
          <w:rPr>
            <w:noProof/>
          </w:rPr>
          <w:t>16</w:t>
        </w:r>
      </w:fldSimple>
      <w:r w:rsidRPr="004C3641">
        <w:t>:</w:t>
      </w:r>
      <w:r>
        <w:fldChar w:fldCharType="begin"/>
      </w:r>
      <w:r>
        <w:instrText xml:space="preserve"> TC "</w:instrText>
      </w:r>
      <w:bookmarkStart w:id="34" w:name="_Toc38467948"/>
      <w:r w:rsidR="007C1369">
        <w:instrText xml:space="preserve">Issue </w:instrText>
      </w:r>
      <w:r>
        <w:fldChar w:fldCharType="begin"/>
      </w:r>
      <w:r>
        <w:instrText xml:space="preserve"> SEQ issue \c </w:instrText>
      </w:r>
      <w:r>
        <w:fldChar w:fldCharType="separate"/>
      </w:r>
      <w:r w:rsidR="00414083">
        <w:rPr>
          <w:noProof/>
        </w:rPr>
        <w:instrText>16</w:instrText>
      </w:r>
      <w:r>
        <w:fldChar w:fldCharType="end"/>
      </w:r>
      <w:r w:rsidR="007C1369">
        <w:instrText xml:space="preserve"> – </w:instrText>
      </w:r>
      <w:r w:rsidR="00F14C31">
        <w:instrText>Customer Deposits</w:instrText>
      </w:r>
      <w:bookmarkEnd w:id="34"/>
      <w:r>
        <w:instrText xml:space="preserve">" \l 1 </w:instrText>
      </w:r>
      <w:r>
        <w:fldChar w:fldCharType="end"/>
      </w:r>
      <w:r>
        <w:t> </w:t>
      </w:r>
    </w:p>
    <w:p w:rsidR="00BB7B19" w:rsidRDefault="00BB7B19">
      <w:pPr>
        <w:pStyle w:val="BodyText"/>
      </w:pPr>
      <w:r>
        <w:t> </w:t>
      </w:r>
      <w:r w:rsidR="00F14C31">
        <w:t>What are the appropriate water initial customer deposits for HC Waterworks</w:t>
      </w:r>
      <w:r w:rsidR="00F14C31" w:rsidRPr="00023C2B">
        <w:t>?</w:t>
      </w:r>
    </w:p>
    <w:p w:rsidR="00BB7B19" w:rsidRPr="004C3641" w:rsidRDefault="00BB7B19">
      <w:pPr>
        <w:pStyle w:val="IssueSubsectionHeading"/>
        <w:rPr>
          <w:vanish/>
          <w:specVanish/>
        </w:rPr>
      </w:pPr>
      <w:r w:rsidRPr="004C3641">
        <w:t>Recommendation: </w:t>
      </w:r>
    </w:p>
    <w:p w:rsidR="00BB7B19" w:rsidRDefault="00BB7B19">
      <w:pPr>
        <w:pStyle w:val="BodyText"/>
      </w:pPr>
      <w:r>
        <w:t> </w:t>
      </w:r>
      <w:r w:rsidR="00F14C31" w:rsidRPr="00E42F48">
        <w:t xml:space="preserve">The appropriate initial customer deposits should be </w:t>
      </w:r>
      <w:r w:rsidR="00F14C31" w:rsidRPr="00220DF9">
        <w:t>$1</w:t>
      </w:r>
      <w:r w:rsidR="00F14C31">
        <w:t>08</w:t>
      </w:r>
      <w:r w:rsidR="00F14C31" w:rsidRPr="00E42F48">
        <w:t xml:space="preserve"> for the residential 5/8 inch x 3/4 inch meter size for water. The initial customer deposits for all other residential meter sizes and all general service meter sizes should be two times the average estimated bill for water. The approved initial customer deposits should be effective for connections made on or after the stamped approval date on the tariff sheets pursuant</w:t>
      </w:r>
      <w:r w:rsidR="00F14C31">
        <w:t xml:space="preserve"> to Rule 25-30.475, F.A.C. The U</w:t>
      </w:r>
      <w:r w:rsidR="00F14C31" w:rsidRPr="00E42F48">
        <w:t>tility should be required to collect the approved deposits until authorized to change them by the Commission in a subsequent proceeding.</w:t>
      </w:r>
      <w:r w:rsidR="00F14C31">
        <w:t xml:space="preserve"> (Bethea)</w:t>
      </w:r>
      <w:r>
        <w:t xml:space="preserve"> </w:t>
      </w:r>
    </w:p>
    <w:p w:rsidR="00BB7B19" w:rsidRPr="004C3641" w:rsidRDefault="00BB7B19">
      <w:pPr>
        <w:pStyle w:val="IssueSubsectionHeading"/>
        <w:rPr>
          <w:vanish/>
          <w:specVanish/>
        </w:rPr>
      </w:pPr>
      <w:r w:rsidRPr="004C3641">
        <w:t>Staff Analysis: </w:t>
      </w:r>
    </w:p>
    <w:p w:rsidR="00F14C31" w:rsidRDefault="00BB7B19" w:rsidP="00F14C31">
      <w:pPr>
        <w:jc w:val="both"/>
      </w:pPr>
      <w:r>
        <w:t> </w:t>
      </w:r>
      <w:r w:rsidR="00F14C31" w:rsidRPr="008E38AB">
        <w:t>Rule 25-30.311, F.A.C., provides the criteria for collecting, administering, and refunding customer deposits. Customer deposits are designed to minimize the exposu</w:t>
      </w:r>
      <w:r w:rsidR="00F14C31">
        <w:t>re of bad debt expense for the U</w:t>
      </w:r>
      <w:r w:rsidR="00F14C31" w:rsidRPr="008E38AB">
        <w:t>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00F14C31">
        <w:rPr>
          <w:rStyle w:val="FootnoteReference"/>
        </w:rPr>
        <w:footnoteReference w:id="26"/>
      </w:r>
      <w:r w:rsidR="00F14C31" w:rsidRPr="008E38AB">
        <w:t xml:space="preserve"> Currently, the </w:t>
      </w:r>
      <w:r w:rsidR="00F14C31">
        <w:t>U</w:t>
      </w:r>
      <w:r w:rsidR="00F14C31" w:rsidRPr="008E38AB">
        <w:t>tility has an initial customer deposit of $</w:t>
      </w:r>
      <w:r w:rsidR="00F14C31">
        <w:t>99</w:t>
      </w:r>
      <w:r w:rsidR="00F14C31" w:rsidRPr="00372C7D">
        <w:t xml:space="preserve"> </w:t>
      </w:r>
      <w:r w:rsidR="00F14C31" w:rsidRPr="00FC4A8B">
        <w:t>for</w:t>
      </w:r>
      <w:r w:rsidR="00F14C31">
        <w:t xml:space="preserve"> </w:t>
      </w:r>
      <w:r w:rsidR="00F14C31" w:rsidRPr="00E42F48">
        <w:t>the residential 5/8 inch x 3/4 inch meter size for water</w:t>
      </w:r>
      <w:r w:rsidR="00F14C31" w:rsidRPr="008E38AB">
        <w:t xml:space="preserve">. However, this amount does not cover two months’ average bills based on staff’s recommended rates. The </w:t>
      </w:r>
      <w:r w:rsidR="00F14C31">
        <w:t>U</w:t>
      </w:r>
      <w:r w:rsidR="00F14C31" w:rsidRPr="008E38AB">
        <w:t>tilit</w:t>
      </w:r>
      <w:r w:rsidR="00F14C31">
        <w:t xml:space="preserve">y’s </w:t>
      </w:r>
      <w:r w:rsidR="00F14C31" w:rsidRPr="008E38AB">
        <w:t>average monthly residential water usage</w:t>
      </w:r>
      <w:r w:rsidR="00F14C31">
        <w:t xml:space="preserve"> after repression is 2,409</w:t>
      </w:r>
      <w:r w:rsidR="00F14C31" w:rsidRPr="008E38AB">
        <w:t xml:space="preserve"> gallons per customer. Therefore, the average residential monthly bill based on staff’s recommended rates is approximately $</w:t>
      </w:r>
      <w:r w:rsidR="00F14C31">
        <w:t>54</w:t>
      </w:r>
      <w:r w:rsidR="00F14C31" w:rsidRPr="008E38AB">
        <w:t>.</w:t>
      </w:r>
    </w:p>
    <w:p w:rsidR="005D155F" w:rsidRDefault="005D155F" w:rsidP="00F14C31">
      <w:pPr>
        <w:jc w:val="both"/>
      </w:pPr>
    </w:p>
    <w:p w:rsidR="00BB7B19" w:rsidRDefault="00F14C31" w:rsidP="00F14C31">
      <w:pPr>
        <w:pStyle w:val="BodyText"/>
      </w:pPr>
      <w:r w:rsidRPr="00E42F48">
        <w:t xml:space="preserve">The appropriate initial customer deposits should be </w:t>
      </w:r>
      <w:r w:rsidRPr="00220DF9">
        <w:t>$108</w:t>
      </w:r>
      <w:r w:rsidRPr="00E42F48">
        <w:t xml:space="preserve"> for the residential 5/8 inch x 3/4 inch meter size for water. The initial customer deposits for all other residential meter sizes and all general service meter sizes should be two times the average estimated bill for water. The approved initial customer deposits should be effective for connections made on or after the stamped approval date on the tariff sheets pursuant</w:t>
      </w:r>
      <w:r>
        <w:t xml:space="preserve"> to Rule 25-30.475, F.A.C. The U</w:t>
      </w:r>
      <w:r w:rsidRPr="00E42F48">
        <w:t>tility should be required to collect the approved deposits until authorized to change them by the Commission in a subsequent proceeding.</w:t>
      </w:r>
    </w:p>
    <w:p w:rsidR="00BB7B19" w:rsidRDefault="00BB7B19">
      <w:pPr>
        <w:pStyle w:val="IssueHeading"/>
        <w:rPr>
          <w:vanish/>
          <w:specVanish/>
        </w:rPr>
      </w:pPr>
      <w:r w:rsidRPr="004C3641">
        <w:rPr>
          <w:b w:val="0"/>
          <w:i w:val="0"/>
        </w:rPr>
        <w:br w:type="page"/>
      </w:r>
      <w:r w:rsidRPr="004C3641">
        <w:lastRenderedPageBreak/>
        <w:t xml:space="preserve">Issue </w:t>
      </w:r>
      <w:fldSimple w:instr=" SEQ Issue \* MERGEFORMAT ">
        <w:r w:rsidR="00414083">
          <w:rPr>
            <w:noProof/>
          </w:rPr>
          <w:t>17</w:t>
        </w:r>
      </w:fldSimple>
      <w:r w:rsidRPr="004C3641">
        <w:t>:</w:t>
      </w:r>
      <w:r>
        <w:fldChar w:fldCharType="begin"/>
      </w:r>
      <w:r>
        <w:instrText xml:space="preserve"> TC "</w:instrText>
      </w:r>
      <w:bookmarkStart w:id="35" w:name="_Toc38467949"/>
      <w:r w:rsidR="007C1369">
        <w:instrText xml:space="preserve">Issue </w:instrText>
      </w:r>
      <w:r>
        <w:fldChar w:fldCharType="begin"/>
      </w:r>
      <w:r>
        <w:instrText xml:space="preserve"> SEQ issue \c </w:instrText>
      </w:r>
      <w:r>
        <w:fldChar w:fldCharType="separate"/>
      </w:r>
      <w:r w:rsidR="00414083">
        <w:rPr>
          <w:noProof/>
        </w:rPr>
        <w:instrText>17</w:instrText>
      </w:r>
      <w:r>
        <w:fldChar w:fldCharType="end"/>
      </w:r>
      <w:r w:rsidR="007C1369">
        <w:instrText xml:space="preserve"> – </w:instrText>
      </w:r>
      <w:r w:rsidR="005F49FD">
        <w:instrText xml:space="preserve">Rate </w:instrText>
      </w:r>
      <w:r w:rsidR="00D85B10">
        <w:instrText xml:space="preserve">Case Expense </w:instrText>
      </w:r>
      <w:r w:rsidR="005F49FD">
        <w:instrText>Reduction</w:instrText>
      </w:r>
      <w:bookmarkEnd w:id="35"/>
      <w:r>
        <w:instrText xml:space="preserve">" \l 1 </w:instrText>
      </w:r>
      <w:r>
        <w:fldChar w:fldCharType="end"/>
      </w:r>
      <w:r>
        <w:t> </w:t>
      </w:r>
    </w:p>
    <w:p w:rsidR="00BB7B19" w:rsidRDefault="00BB7B19">
      <w:pPr>
        <w:pStyle w:val="BodyText"/>
      </w:pPr>
      <w:r>
        <w:t> </w:t>
      </w:r>
      <w:r w:rsidR="008278A2">
        <w:t>What is the appropriate amount by which rates should be reduced to reflect the removal of the amortized rate case expense?</w:t>
      </w:r>
    </w:p>
    <w:p w:rsidR="00BB7B19" w:rsidRPr="004C3641" w:rsidRDefault="00BB7B19">
      <w:pPr>
        <w:pStyle w:val="IssueSubsectionHeading"/>
        <w:rPr>
          <w:vanish/>
          <w:specVanish/>
        </w:rPr>
      </w:pPr>
      <w:r w:rsidRPr="004C3641">
        <w:t>Recommendation: </w:t>
      </w:r>
    </w:p>
    <w:p w:rsidR="00BB7B19" w:rsidRDefault="00BB7B19">
      <w:pPr>
        <w:pStyle w:val="BodyText"/>
      </w:pPr>
      <w:r>
        <w:t> </w:t>
      </w:r>
      <w:r w:rsidR="00DB2CDD">
        <w:rPr>
          <w:color w:val="000000"/>
        </w:rPr>
        <w:t>The water rates should be reduced, as shown on Schedule No. 4, to remove the annual amortization of rate case expense grossed-up for RAFs. The decrease in rates should become effective immediately following the expiration of the rate case expense recovery period. HC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w:t>
      </w:r>
      <w:r w:rsidR="00580897">
        <w:rPr>
          <w:color w:val="000000"/>
        </w:rPr>
        <w:t>tized rate case expense. (Procedural Agency Action) (Bethea</w:t>
      </w:r>
      <w:r w:rsidR="00DB2CDD">
        <w:rPr>
          <w:color w:val="000000"/>
        </w:rPr>
        <w:t>, Thurmond)</w:t>
      </w:r>
      <w:r>
        <w:t xml:space="preserve"> </w:t>
      </w:r>
    </w:p>
    <w:p w:rsidR="00BB7B19" w:rsidRPr="004C3641" w:rsidRDefault="00BB7B19">
      <w:pPr>
        <w:pStyle w:val="IssueSubsectionHeading"/>
        <w:rPr>
          <w:vanish/>
          <w:specVanish/>
        </w:rPr>
      </w:pPr>
      <w:r w:rsidRPr="004C3641">
        <w:t>Staff Analysis: </w:t>
      </w:r>
    </w:p>
    <w:p w:rsidR="00BB7B19" w:rsidRDefault="00BB7B19">
      <w:pPr>
        <w:pStyle w:val="BodyText"/>
      </w:pPr>
      <w:r>
        <w:t> </w:t>
      </w:r>
      <w:r w:rsidR="00DB2CDD">
        <w:rPr>
          <w:color w:val="000000"/>
        </w:rPr>
        <w:t>The water rates should be reduced, as shown on Schedule No. 4, to remove the annual amortization of rate case expense grossed-up for RAFs. The decrease in rates should become effective immediately following the expiration of the rate case expense recovery period, pursuant</w:t>
      </w:r>
      <w:r w:rsidR="00580897">
        <w:rPr>
          <w:color w:val="000000"/>
        </w:rPr>
        <w:t xml:space="preserve"> to Section 367.081(8), F.S. </w:t>
      </w:r>
      <w:r w:rsidR="00DB2CDD">
        <w:rPr>
          <w:color w:val="000000"/>
        </w:rPr>
        <w:t>HC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w:t>
      </w:r>
    </w:p>
    <w:p w:rsidR="00790B78" w:rsidRDefault="00790B78">
      <w:pPr>
        <w:pStyle w:val="IssueHeading"/>
        <w:rPr>
          <w:vanish/>
          <w:specVanish/>
        </w:rPr>
      </w:pPr>
      <w:r w:rsidRPr="004C3641">
        <w:rPr>
          <w:b w:val="0"/>
          <w:i w:val="0"/>
        </w:rPr>
        <w:br w:type="page"/>
      </w:r>
      <w:r w:rsidRPr="004C3641">
        <w:lastRenderedPageBreak/>
        <w:t xml:space="preserve">Issue </w:t>
      </w:r>
      <w:fldSimple w:instr=" SEQ Issue \* MERGEFORMAT ">
        <w:r w:rsidR="00414083">
          <w:rPr>
            <w:noProof/>
          </w:rPr>
          <w:t>18</w:t>
        </w:r>
      </w:fldSimple>
      <w:r w:rsidRPr="004C3641">
        <w:t>:</w:t>
      </w:r>
      <w:r>
        <w:fldChar w:fldCharType="begin"/>
      </w:r>
      <w:r>
        <w:instrText xml:space="preserve"> TC "</w:instrText>
      </w:r>
      <w:bookmarkStart w:id="36" w:name="_Toc38467950"/>
      <w:r w:rsidR="00E834AD">
        <w:instrText xml:space="preserve">Issue </w:instrText>
      </w:r>
      <w:r>
        <w:fldChar w:fldCharType="begin"/>
      </w:r>
      <w:r>
        <w:instrText xml:space="preserve"> SEQ issue \c </w:instrText>
      </w:r>
      <w:r>
        <w:fldChar w:fldCharType="separate"/>
      </w:r>
      <w:r w:rsidR="00414083">
        <w:rPr>
          <w:noProof/>
        </w:rPr>
        <w:instrText>18</w:instrText>
      </w:r>
      <w:r>
        <w:fldChar w:fldCharType="end"/>
      </w:r>
      <w:r>
        <w:instrText xml:space="preserve"> – Interim Refund</w:instrText>
      </w:r>
      <w:bookmarkEnd w:id="36"/>
      <w:r>
        <w:tab/>
        <w:instrText xml:space="preserve">" \l 1 </w:instrText>
      </w:r>
      <w:r>
        <w:fldChar w:fldCharType="end"/>
      </w:r>
      <w:r>
        <w:t> </w:t>
      </w:r>
    </w:p>
    <w:p w:rsidR="00790B78" w:rsidRDefault="00790B78">
      <w:pPr>
        <w:pStyle w:val="BodyText"/>
      </w:pPr>
      <w:r>
        <w:t> </w:t>
      </w:r>
      <w:r>
        <w:rPr>
          <w:color w:val="000000"/>
        </w:rPr>
        <w:t>In determining whether any portion of the interim water revenue increase granted should be refunded, how should the refund be calculated, and what is the amount of the refund, if any?</w:t>
      </w:r>
    </w:p>
    <w:p w:rsidR="00790B78" w:rsidRPr="004C3641" w:rsidRDefault="00790B78">
      <w:pPr>
        <w:pStyle w:val="IssueSubsectionHeading"/>
        <w:rPr>
          <w:vanish/>
          <w:specVanish/>
        </w:rPr>
      </w:pPr>
      <w:r w:rsidRPr="004C3641">
        <w:t>Recommendation: </w:t>
      </w:r>
    </w:p>
    <w:p w:rsidR="00790B78" w:rsidRDefault="00790B78">
      <w:pPr>
        <w:pStyle w:val="BodyText"/>
      </w:pPr>
      <w:r>
        <w:t> </w:t>
      </w:r>
      <w:r w:rsidR="0064715A" w:rsidRPr="005A39F0">
        <w:t>The appropriate refund amount should be calculated using the same data used to establish final rates, excluding rate case expense and other items not in effects during the interim period. The revised revenue requirements for the interim collection period should be compared to the amount of interim revenues granted</w:t>
      </w:r>
      <w:r w:rsidR="0064715A">
        <w:t>. Based on this methodology, no refund is necessary</w:t>
      </w:r>
      <w:proofErr w:type="gramStart"/>
      <w:r w:rsidR="0064715A">
        <w:t>.</w:t>
      </w:r>
      <w:r w:rsidR="003960FA">
        <w:t>(</w:t>
      </w:r>
      <w:proofErr w:type="gramEnd"/>
      <w:r w:rsidR="003960FA">
        <w:t>Procedural Agency Action)</w:t>
      </w:r>
      <w:r w:rsidR="0064715A">
        <w:t xml:space="preserve"> (Thurmond</w:t>
      </w:r>
      <w:r w:rsidR="00971577">
        <w:t>)</w:t>
      </w:r>
      <w:r>
        <w:t xml:space="preserve"> </w:t>
      </w:r>
    </w:p>
    <w:p w:rsidR="00790B78" w:rsidRPr="004C3641" w:rsidRDefault="00790B78">
      <w:pPr>
        <w:pStyle w:val="IssueSubsectionHeading"/>
        <w:rPr>
          <w:vanish/>
          <w:specVanish/>
        </w:rPr>
      </w:pPr>
      <w:r w:rsidRPr="004C3641">
        <w:t>Staff Analysis: </w:t>
      </w:r>
    </w:p>
    <w:p w:rsidR="0064715A" w:rsidRDefault="00790B78" w:rsidP="0064715A">
      <w:pPr>
        <w:pStyle w:val="BodyText"/>
      </w:pPr>
      <w:r>
        <w:t> </w:t>
      </w:r>
      <w:r w:rsidR="0064715A">
        <w:t>The Commission authorized HC to collect interim water rates, subject to refund, pursuant to section 367.082, F.S. The approved interim revenue requirement of $636,075 represented an increase of $66,364 or 11.65 percent.</w:t>
      </w:r>
    </w:p>
    <w:p w:rsidR="0064715A" w:rsidRDefault="0064715A" w:rsidP="0064715A">
      <w:pPr>
        <w:pStyle w:val="BodyText"/>
      </w:pPr>
      <w:r>
        <w:t>According to Section 367.082, F.S., any refund should be calculated to reduce the rate of return of the Utility during the pendency of the proceeding to the same level within the range of the newly authorized rate of return. Adjustments made in the rate case test period that do not relate to the period that interim rates are in effect should be removed. Rate case expense is an example of an adjustment which is recovered only after final rates are established.</w:t>
      </w:r>
    </w:p>
    <w:p w:rsidR="0064715A" w:rsidRDefault="0064715A" w:rsidP="0064715A">
      <w:pPr>
        <w:pStyle w:val="BodyText"/>
      </w:pPr>
      <w:r>
        <w:t>In this proceeding, the test period for establishment of interim and final rates is the 12-month period ended June 30, 2019. HC’s approved interim rates did not include any provisions for pro forma or projected operating expenses or plant. The interim increase was designed to allow recovery of actual interest expense, and the lower limit of the last authorized range for equity earnings.</w:t>
      </w:r>
    </w:p>
    <w:p w:rsidR="00790B78" w:rsidRDefault="0064715A" w:rsidP="0064715A">
      <w:pPr>
        <w:pStyle w:val="BodyText"/>
      </w:pPr>
      <w:r>
        <w:t>To establish the proper refund amount, staff calculated adjusted interim period revenue requirements utilizing the same data used to establish final rates. Rate case expense was excluded because this item is prospective in nature and did not occur during the interim collection period. Using the principles discussed above, staff calculated an adjusted interim revenue requirement of $743,964. The adjusted interim revenue requirement of $743,964 is higher than the interim revenue requirement of $</w:t>
      </w:r>
      <w:r w:rsidRPr="00FF6526">
        <w:t>636,075</w:t>
      </w:r>
      <w:r>
        <w:t>, resulting in no refund.</w:t>
      </w:r>
    </w:p>
    <w:p w:rsidR="00BB7B19" w:rsidRDefault="00BB7B19">
      <w:pPr>
        <w:pStyle w:val="IssueHeading"/>
        <w:rPr>
          <w:vanish/>
          <w:specVanish/>
        </w:rPr>
      </w:pPr>
      <w:r w:rsidRPr="004C3641">
        <w:rPr>
          <w:b w:val="0"/>
          <w:i w:val="0"/>
        </w:rPr>
        <w:br w:type="page"/>
      </w:r>
      <w:r w:rsidRPr="004C3641">
        <w:lastRenderedPageBreak/>
        <w:t xml:space="preserve">Issue </w:t>
      </w:r>
      <w:fldSimple w:instr=" SEQ Issue \* MERGEFORMAT ">
        <w:r w:rsidR="00414083">
          <w:rPr>
            <w:noProof/>
          </w:rPr>
          <w:t>19</w:t>
        </w:r>
      </w:fldSimple>
      <w:r w:rsidRPr="004C3641">
        <w:t>:</w:t>
      </w:r>
      <w:r>
        <w:fldChar w:fldCharType="begin"/>
      </w:r>
      <w:r>
        <w:instrText xml:space="preserve"> TC "</w:instrText>
      </w:r>
      <w:bookmarkStart w:id="37" w:name="_Toc38467951"/>
      <w:r w:rsidR="007C1369">
        <w:instrText xml:space="preserve">Issue </w:instrText>
      </w:r>
      <w:r>
        <w:fldChar w:fldCharType="begin"/>
      </w:r>
      <w:r>
        <w:instrText xml:space="preserve"> SEQ issue \c </w:instrText>
      </w:r>
      <w:r>
        <w:fldChar w:fldCharType="separate"/>
      </w:r>
      <w:r w:rsidR="00414083">
        <w:rPr>
          <w:noProof/>
        </w:rPr>
        <w:instrText>19</w:instrText>
      </w:r>
      <w:r>
        <w:fldChar w:fldCharType="end"/>
      </w:r>
      <w:r w:rsidR="007C1369">
        <w:instrText xml:space="preserve"> – </w:instrText>
      </w:r>
      <w:r w:rsidR="008278A2">
        <w:instrText>Proof of Adjustments</w:instrText>
      </w:r>
      <w:bookmarkEnd w:id="37"/>
      <w:r>
        <w:instrText xml:space="preserve">" \l 1 </w:instrText>
      </w:r>
      <w:r>
        <w:fldChar w:fldCharType="end"/>
      </w:r>
      <w:r>
        <w:t> </w:t>
      </w:r>
    </w:p>
    <w:p w:rsidR="00BB7B19" w:rsidRPr="00E955E8" w:rsidRDefault="00BB7B19">
      <w:pPr>
        <w:pStyle w:val="BodyText"/>
      </w:pPr>
      <w:r>
        <w:t> </w:t>
      </w:r>
      <w:r w:rsidR="001D6425">
        <w:t> </w:t>
      </w:r>
      <w:r w:rsidR="003960FA" w:rsidRPr="00E955E8">
        <w:t>Should the Utility be required to notify, within 90 days of an effective order finalizing this docket, that it has adjusted its books for all the applicable National Association of Regulatory Commissioners Uniform System of Accounts (NARUC USOA) associated with the Commission approved adjustments?</w:t>
      </w:r>
    </w:p>
    <w:p w:rsidR="00BB7B19" w:rsidRPr="004C3641" w:rsidRDefault="00BB7B19">
      <w:pPr>
        <w:pStyle w:val="IssueSubsectionHeading"/>
        <w:rPr>
          <w:vanish/>
          <w:specVanish/>
        </w:rPr>
      </w:pPr>
      <w:r w:rsidRPr="004C3641">
        <w:t>Recommendation: </w:t>
      </w:r>
    </w:p>
    <w:p w:rsidR="00BB7B19" w:rsidRDefault="00BB7B19">
      <w:pPr>
        <w:pStyle w:val="BodyText"/>
      </w:pPr>
      <w:r>
        <w:t> </w:t>
      </w:r>
      <w:r w:rsidR="001D6425" w:rsidRPr="005A39F0">
        <w:t>Yes. The Utility should be required to notify the Commission, in writing, that it has adjusted its books in accordance with the Commission's decision. HC should submit a letter within 90 days of the final order in this docket, confirming that the adjustments to all the applicable NARUC USOA accounts have been made to the Utility’s books and records. In the event the Utility needs additional time to complete the adjustments, notice should be provided within seven days prior to deadline. Upon providing good cause, staff should be given administrative authority to grant an extension of up to 60 days</w:t>
      </w:r>
      <w:r w:rsidR="001D6425">
        <w:t>.</w:t>
      </w:r>
      <w:r w:rsidR="00E955E8">
        <w:t xml:space="preserve"> (Procedural Agency Action)</w:t>
      </w:r>
      <w:r w:rsidR="001D6425">
        <w:t xml:space="preserve"> (Thurmond)</w:t>
      </w:r>
      <w:r>
        <w:t xml:space="preserve"> </w:t>
      </w:r>
    </w:p>
    <w:p w:rsidR="00BB7B19" w:rsidRPr="004C3641" w:rsidRDefault="00BB7B19">
      <w:pPr>
        <w:pStyle w:val="IssueSubsectionHeading"/>
        <w:rPr>
          <w:vanish/>
          <w:specVanish/>
        </w:rPr>
      </w:pPr>
      <w:r w:rsidRPr="004C3641">
        <w:t>Staff Analysis: </w:t>
      </w:r>
    </w:p>
    <w:p w:rsidR="00BB7B19" w:rsidRDefault="00BB7B19">
      <w:pPr>
        <w:pStyle w:val="BodyText"/>
      </w:pPr>
      <w:r>
        <w:t> </w:t>
      </w:r>
      <w:r w:rsidR="001D6425" w:rsidRPr="005A39F0">
        <w:t>The Utility should be required to notify the Commission, in writing that it has adjusted its books in accordance with the Commission's decision. HC should submit a letter within 90 days of the final order in this docket, confirming that the adjustments to all the applicable NARUC USOA accounts have been made to the Utility’s books and records. In the event the Utility needs additional time to complete the adjustments, notice should be provided within seven days prior to deadline. Upon providing good cause, staff should be given administrative authority to grant an extension of up to 60 days</w:t>
      </w:r>
      <w:r w:rsidR="001D6425">
        <w:t>.</w:t>
      </w:r>
    </w:p>
    <w:p w:rsidR="00BB7B19" w:rsidRDefault="00BB7B19">
      <w:pPr>
        <w:pStyle w:val="IssueHeading"/>
        <w:rPr>
          <w:vanish/>
          <w:specVanish/>
        </w:rPr>
      </w:pPr>
      <w:r w:rsidRPr="004C3641">
        <w:rPr>
          <w:b w:val="0"/>
          <w:i w:val="0"/>
        </w:rPr>
        <w:br w:type="page"/>
      </w:r>
      <w:r w:rsidRPr="004C3641">
        <w:lastRenderedPageBreak/>
        <w:t xml:space="preserve">Issue </w:t>
      </w:r>
      <w:fldSimple w:instr=" SEQ Issue \* MERGEFORMAT ">
        <w:r w:rsidR="00414083">
          <w:rPr>
            <w:noProof/>
          </w:rPr>
          <w:t>20</w:t>
        </w:r>
      </w:fldSimple>
      <w:r w:rsidRPr="004C3641">
        <w:t>:</w:t>
      </w:r>
      <w:r>
        <w:fldChar w:fldCharType="begin"/>
      </w:r>
      <w:r>
        <w:instrText xml:space="preserve"> TC "</w:instrText>
      </w:r>
      <w:bookmarkStart w:id="38" w:name="_Toc38467952"/>
      <w:r w:rsidR="007C1369">
        <w:instrText xml:space="preserve">Issue </w:instrText>
      </w:r>
      <w:r>
        <w:fldChar w:fldCharType="begin"/>
      </w:r>
      <w:r>
        <w:instrText xml:space="preserve"> SEQ issue \c </w:instrText>
      </w:r>
      <w:r>
        <w:fldChar w:fldCharType="separate"/>
      </w:r>
      <w:r w:rsidR="00414083">
        <w:rPr>
          <w:noProof/>
        </w:rPr>
        <w:instrText>20</w:instrText>
      </w:r>
      <w:r>
        <w:fldChar w:fldCharType="end"/>
      </w:r>
      <w:r w:rsidR="007C1369">
        <w:instrText xml:space="preserve"> – Docket Closure</w:instrText>
      </w:r>
      <w:bookmarkEnd w:id="38"/>
      <w:r>
        <w:instrText xml:space="preserve">" \l 1 </w:instrText>
      </w:r>
      <w:r>
        <w:fldChar w:fldCharType="end"/>
      </w:r>
      <w:r>
        <w:t> </w:t>
      </w:r>
    </w:p>
    <w:p w:rsidR="00BB7B19" w:rsidRDefault="00BB7B19">
      <w:pPr>
        <w:pStyle w:val="BodyText"/>
      </w:pPr>
      <w:r>
        <w:t> Should this docket be closed?</w:t>
      </w:r>
    </w:p>
    <w:p w:rsidR="00BB7B19" w:rsidRPr="004C3641" w:rsidRDefault="00BB7B19">
      <w:pPr>
        <w:pStyle w:val="IssueSubsectionHeading"/>
        <w:rPr>
          <w:vanish/>
          <w:specVanish/>
        </w:rPr>
      </w:pPr>
      <w:r w:rsidRPr="004C3641">
        <w:t>Recommendation: </w:t>
      </w:r>
    </w:p>
    <w:p w:rsidR="00BB7B19" w:rsidRDefault="00BB7B19">
      <w:pPr>
        <w:pStyle w:val="BodyText"/>
      </w:pPr>
      <w:r>
        <w:t> </w:t>
      </w:r>
      <w:r w:rsidR="001A6FBE" w:rsidRPr="00AF2909">
        <w:t xml:space="preserve">No. If no person whose substantial interests are affected by the proposed agency action files a protest within 21 days of the issuance of the </w:t>
      </w:r>
      <w:r w:rsidR="001A6FBE">
        <w:t>Proposed Agency Action O</w:t>
      </w:r>
      <w:r w:rsidR="001A6FBE" w:rsidRPr="00AF2909">
        <w:t xml:space="preserve">rder, a </w:t>
      </w:r>
      <w:r w:rsidR="001A6FBE">
        <w:t>C</w:t>
      </w:r>
      <w:r w:rsidR="001A6FBE" w:rsidRPr="00AF2909">
        <w:t xml:space="preserve">onsummating </w:t>
      </w:r>
      <w:r w:rsidR="001A6FBE">
        <w:t>O</w:t>
      </w:r>
      <w:r w:rsidR="001A6FBE" w:rsidRPr="00AF2909">
        <w:t xml:space="preserve">rder should be issued. The docket should remain open for staff’s verification that the revised tariff sheets and customer notice have been filed by the </w:t>
      </w:r>
      <w:r w:rsidR="001A6FBE">
        <w:t>U</w:t>
      </w:r>
      <w:r w:rsidR="001A6FBE" w:rsidRPr="00AF2909">
        <w:t>tility and approved by staff</w:t>
      </w:r>
      <w:r w:rsidR="001A6FBE">
        <w:t>, and the Utility has provided staff with proof that the adjustments for all applicable NARUC USOA accounts have been made.</w:t>
      </w:r>
      <w:r w:rsidR="001A6FBE" w:rsidRPr="00AF2909">
        <w:t xml:space="preserve"> Once these actions are complete, this docket should be closed administratively.</w:t>
      </w:r>
      <w:r w:rsidR="001A6FBE">
        <w:t xml:space="preserve"> (Schrader)</w:t>
      </w:r>
      <w:r>
        <w:t xml:space="preserve"> </w:t>
      </w:r>
    </w:p>
    <w:p w:rsidR="00BB7B19" w:rsidRPr="004C3641" w:rsidRDefault="00BB7B19">
      <w:pPr>
        <w:pStyle w:val="IssueSubsectionHeading"/>
        <w:rPr>
          <w:vanish/>
          <w:specVanish/>
        </w:rPr>
      </w:pPr>
      <w:r w:rsidRPr="004C3641">
        <w:t>Staff Analysis: </w:t>
      </w:r>
    </w:p>
    <w:p w:rsidR="00BB7B19" w:rsidRDefault="00BB7B19">
      <w:pPr>
        <w:pStyle w:val="BodyText"/>
      </w:pPr>
      <w:r>
        <w:t> </w:t>
      </w:r>
      <w:r w:rsidR="001A6FBE" w:rsidRPr="00AF2909">
        <w:t xml:space="preserve">If no person whose substantial interests are affected by the proposed agency action files a protest within 21 days of the issuance of the </w:t>
      </w:r>
      <w:r w:rsidR="001A6FBE">
        <w:t>Proposed Agency Action O</w:t>
      </w:r>
      <w:r w:rsidR="001A6FBE" w:rsidRPr="00AF2909">
        <w:t xml:space="preserve">rder, a </w:t>
      </w:r>
      <w:r w:rsidR="001A6FBE">
        <w:t>C</w:t>
      </w:r>
      <w:r w:rsidR="001A6FBE" w:rsidRPr="00AF2909">
        <w:t xml:space="preserve">onsummating </w:t>
      </w:r>
      <w:r w:rsidR="001A6FBE">
        <w:t>O</w:t>
      </w:r>
      <w:r w:rsidR="001A6FBE" w:rsidRPr="00AF2909">
        <w:t>rder should be issued. The docket should remain open for staff’s verification that the revised tariff sheets and customer notice have been filed by th</w:t>
      </w:r>
      <w:r w:rsidR="001A6FBE">
        <w:t>e Utility and approved by staff, and the Utility has provided staff with proof that the adjustments for all applicable NARUC USOA accounts have been made.</w:t>
      </w:r>
      <w:r w:rsidR="001A6FBE" w:rsidRPr="00AF2909">
        <w:t xml:space="preserve"> Once these actions are complete, this docket should be closed administratively.</w:t>
      </w:r>
    </w:p>
    <w:p w:rsidR="001A6FBE" w:rsidRDefault="001A6FBE">
      <w:pPr>
        <w:pStyle w:val="BodyText"/>
      </w:pPr>
    </w:p>
    <w:p w:rsidR="001A6FBE" w:rsidRDefault="001A6FBE">
      <w:pPr>
        <w:pStyle w:val="BodyText"/>
      </w:pPr>
    </w:p>
    <w:p w:rsidR="00AE2B27" w:rsidRDefault="00AE2B27" w:rsidP="00E275D8">
      <w:pPr>
        <w:pStyle w:val="BodyText"/>
        <w:sectPr w:rsidR="00AE2B27"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pPr>
    </w:p>
    <w:p w:rsidR="0006580B" w:rsidRDefault="0006580B" w:rsidP="0006580B">
      <w:pPr>
        <w:pStyle w:val="BodyText"/>
        <w:jc w:val="center"/>
      </w:pPr>
      <w:r>
        <w:lastRenderedPageBreak/>
        <w:fldChar w:fldCharType="begin"/>
      </w:r>
      <w:r>
        <w:instrText xml:space="preserve"> TC "</w:instrText>
      </w:r>
      <w:bookmarkStart w:id="39" w:name="_Toc24969906"/>
      <w:bookmarkStart w:id="40" w:name="_Toc25305769"/>
      <w:r>
        <w:tab/>
      </w:r>
      <w:bookmarkStart w:id="41" w:name="_Toc38467953"/>
      <w:r>
        <w:instrText>Schedule No. 1-A</w:instrText>
      </w:r>
      <w:bookmarkEnd w:id="39"/>
      <w:r>
        <w:instrText xml:space="preserve"> – Water Rate Base</w:instrText>
      </w:r>
      <w:bookmarkEnd w:id="40"/>
      <w:bookmarkEnd w:id="41"/>
      <w:r>
        <w:instrText xml:space="preserve">" \l 1 </w:instrText>
      </w:r>
      <w:r>
        <w:fldChar w:fldCharType="end"/>
      </w:r>
    </w:p>
    <w:tbl>
      <w:tblPr>
        <w:tblW w:w="10154" w:type="dxa"/>
        <w:tblInd w:w="113" w:type="dxa"/>
        <w:tblLook w:val="04A0" w:firstRow="1" w:lastRow="0" w:firstColumn="1" w:lastColumn="0" w:noHBand="0" w:noVBand="1"/>
      </w:tblPr>
      <w:tblGrid>
        <w:gridCol w:w="416"/>
        <w:gridCol w:w="3896"/>
        <w:gridCol w:w="1150"/>
        <w:gridCol w:w="1236"/>
        <w:gridCol w:w="1150"/>
        <w:gridCol w:w="966"/>
        <w:gridCol w:w="1340"/>
      </w:tblGrid>
      <w:tr w:rsidR="00E34A71" w:rsidTr="00E34A71">
        <w:trPr>
          <w:trHeight w:val="270"/>
        </w:trPr>
        <w:tc>
          <w:tcPr>
            <w:tcW w:w="416" w:type="dxa"/>
            <w:tcBorders>
              <w:top w:val="single" w:sz="4" w:space="0" w:color="auto"/>
              <w:left w:val="single" w:sz="4" w:space="0" w:color="auto"/>
              <w:bottom w:val="nil"/>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3896" w:type="dxa"/>
            <w:tcBorders>
              <w:top w:val="single" w:sz="4" w:space="0" w:color="auto"/>
              <w:left w:val="nil"/>
              <w:bottom w:val="nil"/>
              <w:right w:val="nil"/>
            </w:tcBorders>
            <w:shd w:val="clear" w:color="000000" w:fill="FFFFFF"/>
            <w:noWrap/>
            <w:vAlign w:val="bottom"/>
            <w:hideMark/>
          </w:tcPr>
          <w:p w:rsidR="00E34A71" w:rsidRDefault="00E34A71" w:rsidP="00120875">
            <w:pPr>
              <w:rPr>
                <w:b/>
                <w:bCs/>
                <w:sz w:val="20"/>
                <w:szCs w:val="20"/>
              </w:rPr>
            </w:pPr>
            <w:r>
              <w:rPr>
                <w:b/>
                <w:bCs/>
                <w:sz w:val="20"/>
                <w:szCs w:val="20"/>
              </w:rPr>
              <w:t>HC Waterworks</w:t>
            </w:r>
          </w:p>
        </w:tc>
        <w:tc>
          <w:tcPr>
            <w:tcW w:w="1150" w:type="dxa"/>
            <w:tcBorders>
              <w:top w:val="single" w:sz="4" w:space="0" w:color="auto"/>
              <w:left w:val="nil"/>
              <w:bottom w:val="nil"/>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1236" w:type="dxa"/>
            <w:tcBorders>
              <w:top w:val="single" w:sz="4" w:space="0" w:color="auto"/>
              <w:left w:val="nil"/>
              <w:bottom w:val="nil"/>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1150" w:type="dxa"/>
            <w:tcBorders>
              <w:top w:val="single" w:sz="4" w:space="0" w:color="auto"/>
              <w:left w:val="nil"/>
              <w:bottom w:val="nil"/>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2306" w:type="dxa"/>
            <w:gridSpan w:val="2"/>
            <w:tcBorders>
              <w:top w:val="single" w:sz="4" w:space="0" w:color="auto"/>
              <w:left w:val="nil"/>
              <w:bottom w:val="nil"/>
              <w:right w:val="single" w:sz="4" w:space="0" w:color="000000"/>
            </w:tcBorders>
            <w:shd w:val="clear" w:color="000000" w:fill="FFFFFF"/>
            <w:noWrap/>
            <w:vAlign w:val="bottom"/>
            <w:hideMark/>
          </w:tcPr>
          <w:p w:rsidR="00E34A71" w:rsidRDefault="00E34A71" w:rsidP="00120875">
            <w:pPr>
              <w:jc w:val="right"/>
              <w:rPr>
                <w:b/>
                <w:bCs/>
                <w:sz w:val="20"/>
                <w:szCs w:val="20"/>
              </w:rPr>
            </w:pPr>
            <w:r>
              <w:rPr>
                <w:b/>
                <w:bCs/>
                <w:sz w:val="20"/>
                <w:szCs w:val="20"/>
              </w:rPr>
              <w:t>Schedule No. 1-A</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3896" w:type="dxa"/>
            <w:tcBorders>
              <w:top w:val="nil"/>
              <w:left w:val="nil"/>
              <w:bottom w:val="nil"/>
              <w:right w:val="nil"/>
            </w:tcBorders>
            <w:shd w:val="clear" w:color="000000" w:fill="FFFFFF"/>
            <w:noWrap/>
            <w:vAlign w:val="bottom"/>
            <w:hideMark/>
          </w:tcPr>
          <w:p w:rsidR="00E34A71" w:rsidRDefault="00E34A71" w:rsidP="00120875">
            <w:pPr>
              <w:rPr>
                <w:b/>
                <w:bCs/>
                <w:sz w:val="20"/>
                <w:szCs w:val="20"/>
              </w:rPr>
            </w:pPr>
            <w:r>
              <w:rPr>
                <w:b/>
                <w:bCs/>
                <w:sz w:val="20"/>
                <w:szCs w:val="20"/>
              </w:rPr>
              <w:t>Schedule of Water Rate Base</w:t>
            </w:r>
          </w:p>
        </w:tc>
        <w:tc>
          <w:tcPr>
            <w:tcW w:w="1150" w:type="dxa"/>
            <w:tcBorders>
              <w:top w:val="nil"/>
              <w:left w:val="nil"/>
              <w:bottom w:val="nil"/>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1236" w:type="dxa"/>
            <w:tcBorders>
              <w:top w:val="nil"/>
              <w:left w:val="nil"/>
              <w:bottom w:val="nil"/>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3456" w:type="dxa"/>
            <w:gridSpan w:val="3"/>
            <w:tcBorders>
              <w:top w:val="nil"/>
              <w:left w:val="nil"/>
              <w:bottom w:val="nil"/>
              <w:right w:val="single" w:sz="4" w:space="0" w:color="000000"/>
            </w:tcBorders>
            <w:shd w:val="clear" w:color="000000" w:fill="FFFFFF"/>
            <w:noWrap/>
            <w:vAlign w:val="bottom"/>
            <w:hideMark/>
          </w:tcPr>
          <w:p w:rsidR="00E34A71" w:rsidRPr="00D12D83" w:rsidRDefault="00E34A71" w:rsidP="00120875">
            <w:pPr>
              <w:jc w:val="right"/>
              <w:rPr>
                <w:color w:val="000000"/>
                <w:sz w:val="20"/>
                <w:szCs w:val="20"/>
              </w:rPr>
            </w:pPr>
            <w:r>
              <w:rPr>
                <w:b/>
                <w:bCs/>
                <w:sz w:val="20"/>
                <w:szCs w:val="20"/>
              </w:rPr>
              <w:t>Docket No. 20190166-WS</w:t>
            </w:r>
          </w:p>
        </w:tc>
      </w:tr>
      <w:tr w:rsidR="00E34A71" w:rsidTr="00E34A71">
        <w:trPr>
          <w:trHeight w:val="270"/>
        </w:trPr>
        <w:tc>
          <w:tcPr>
            <w:tcW w:w="416" w:type="dxa"/>
            <w:tcBorders>
              <w:top w:val="nil"/>
              <w:left w:val="single" w:sz="4" w:space="0" w:color="auto"/>
              <w:bottom w:val="single" w:sz="4" w:space="0" w:color="auto"/>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3896" w:type="dxa"/>
            <w:tcBorders>
              <w:top w:val="nil"/>
              <w:left w:val="nil"/>
              <w:bottom w:val="single" w:sz="4" w:space="0" w:color="auto"/>
              <w:right w:val="nil"/>
            </w:tcBorders>
            <w:shd w:val="clear" w:color="000000" w:fill="FFFFFF"/>
            <w:noWrap/>
            <w:vAlign w:val="bottom"/>
            <w:hideMark/>
          </w:tcPr>
          <w:p w:rsidR="00E34A71" w:rsidRDefault="00E34A71" w:rsidP="00120875">
            <w:pPr>
              <w:rPr>
                <w:b/>
                <w:bCs/>
                <w:sz w:val="20"/>
                <w:szCs w:val="20"/>
              </w:rPr>
            </w:pPr>
            <w:r>
              <w:rPr>
                <w:b/>
                <w:bCs/>
                <w:sz w:val="20"/>
                <w:szCs w:val="20"/>
              </w:rPr>
              <w:t>Test Year Ended 06/30/19</w:t>
            </w:r>
          </w:p>
        </w:tc>
        <w:tc>
          <w:tcPr>
            <w:tcW w:w="1150" w:type="dxa"/>
            <w:tcBorders>
              <w:top w:val="nil"/>
              <w:left w:val="nil"/>
              <w:bottom w:val="single" w:sz="4" w:space="0" w:color="auto"/>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1236" w:type="dxa"/>
            <w:tcBorders>
              <w:top w:val="nil"/>
              <w:left w:val="nil"/>
              <w:bottom w:val="single" w:sz="4" w:space="0" w:color="auto"/>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1150" w:type="dxa"/>
            <w:tcBorders>
              <w:top w:val="nil"/>
              <w:left w:val="nil"/>
              <w:bottom w:val="single" w:sz="4" w:space="0" w:color="auto"/>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966" w:type="dxa"/>
            <w:tcBorders>
              <w:top w:val="nil"/>
              <w:left w:val="nil"/>
              <w:bottom w:val="single" w:sz="4" w:space="0" w:color="auto"/>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E34A71" w:rsidRDefault="00E34A71" w:rsidP="00120875">
            <w:pPr>
              <w:rPr>
                <w:sz w:val="20"/>
                <w:szCs w:val="20"/>
              </w:rPr>
            </w:pPr>
            <w:r>
              <w:rPr>
                <w:sz w:val="20"/>
                <w:szCs w:val="20"/>
              </w:rPr>
              <w:t> </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3896" w:type="dxa"/>
            <w:tcBorders>
              <w:top w:val="nil"/>
              <w:left w:val="nil"/>
              <w:bottom w:val="nil"/>
              <w:right w:val="nil"/>
            </w:tcBorders>
            <w:shd w:val="clear" w:color="000000" w:fill="FFFFFF"/>
            <w:noWrap/>
            <w:vAlign w:val="bottom"/>
            <w:hideMark/>
          </w:tcPr>
          <w:p w:rsidR="00E34A71" w:rsidRDefault="00E34A71" w:rsidP="00120875">
            <w:pPr>
              <w:rPr>
                <w:b/>
                <w:bCs/>
                <w:sz w:val="20"/>
                <w:szCs w:val="20"/>
              </w:rPr>
            </w:pPr>
            <w:r>
              <w:rPr>
                <w:b/>
                <w:bCs/>
                <w:sz w:val="20"/>
                <w:szCs w:val="20"/>
              </w:rPr>
              <w:t> </w:t>
            </w:r>
          </w:p>
        </w:tc>
        <w:tc>
          <w:tcPr>
            <w:tcW w:w="1150" w:type="dxa"/>
            <w:tcBorders>
              <w:top w:val="nil"/>
              <w:left w:val="nil"/>
              <w:bottom w:val="nil"/>
              <w:right w:val="nil"/>
            </w:tcBorders>
            <w:shd w:val="clear" w:color="000000" w:fill="FFFFFF"/>
            <w:noWrap/>
            <w:vAlign w:val="bottom"/>
            <w:hideMark/>
          </w:tcPr>
          <w:p w:rsidR="00E34A71" w:rsidRDefault="00E34A71" w:rsidP="00120875">
            <w:pPr>
              <w:jc w:val="center"/>
              <w:rPr>
                <w:b/>
                <w:bCs/>
                <w:sz w:val="20"/>
                <w:szCs w:val="20"/>
              </w:rPr>
            </w:pPr>
            <w:r>
              <w:rPr>
                <w:b/>
                <w:bCs/>
                <w:sz w:val="20"/>
                <w:szCs w:val="20"/>
              </w:rPr>
              <w:t>Test Year</w:t>
            </w:r>
          </w:p>
        </w:tc>
        <w:tc>
          <w:tcPr>
            <w:tcW w:w="1236" w:type="dxa"/>
            <w:tcBorders>
              <w:top w:val="nil"/>
              <w:left w:val="nil"/>
              <w:bottom w:val="nil"/>
              <w:right w:val="nil"/>
            </w:tcBorders>
            <w:shd w:val="clear" w:color="000000" w:fill="FFFFFF"/>
            <w:noWrap/>
            <w:vAlign w:val="bottom"/>
            <w:hideMark/>
          </w:tcPr>
          <w:p w:rsidR="00E34A71" w:rsidRDefault="00E34A71" w:rsidP="00120875">
            <w:pPr>
              <w:jc w:val="center"/>
              <w:rPr>
                <w:b/>
                <w:bCs/>
                <w:sz w:val="20"/>
                <w:szCs w:val="20"/>
              </w:rPr>
            </w:pPr>
            <w:r>
              <w:rPr>
                <w:b/>
                <w:bCs/>
                <w:sz w:val="20"/>
                <w:szCs w:val="20"/>
              </w:rPr>
              <w:t>Utility</w:t>
            </w:r>
          </w:p>
        </w:tc>
        <w:tc>
          <w:tcPr>
            <w:tcW w:w="1150" w:type="dxa"/>
            <w:tcBorders>
              <w:top w:val="nil"/>
              <w:left w:val="nil"/>
              <w:bottom w:val="nil"/>
              <w:right w:val="nil"/>
            </w:tcBorders>
            <w:shd w:val="clear" w:color="000000" w:fill="FFFFFF"/>
            <w:noWrap/>
            <w:vAlign w:val="bottom"/>
            <w:hideMark/>
          </w:tcPr>
          <w:p w:rsidR="00E34A71" w:rsidRDefault="00E34A71" w:rsidP="00120875">
            <w:pPr>
              <w:jc w:val="center"/>
              <w:rPr>
                <w:b/>
                <w:bCs/>
                <w:sz w:val="20"/>
                <w:szCs w:val="20"/>
              </w:rPr>
            </w:pPr>
            <w:r>
              <w:rPr>
                <w:b/>
                <w:bCs/>
                <w:sz w:val="20"/>
                <w:szCs w:val="20"/>
              </w:rPr>
              <w:t>Adjusted</w:t>
            </w:r>
          </w:p>
        </w:tc>
        <w:tc>
          <w:tcPr>
            <w:tcW w:w="966" w:type="dxa"/>
            <w:tcBorders>
              <w:top w:val="nil"/>
              <w:left w:val="nil"/>
              <w:bottom w:val="nil"/>
              <w:right w:val="nil"/>
            </w:tcBorders>
            <w:shd w:val="clear" w:color="000000" w:fill="FFFFFF"/>
            <w:noWrap/>
            <w:vAlign w:val="bottom"/>
            <w:hideMark/>
          </w:tcPr>
          <w:p w:rsidR="00E34A71" w:rsidRDefault="00E34A71" w:rsidP="00120875">
            <w:pPr>
              <w:jc w:val="center"/>
              <w:rPr>
                <w:b/>
                <w:bCs/>
                <w:sz w:val="20"/>
                <w:szCs w:val="20"/>
              </w:rPr>
            </w:pPr>
            <w:r>
              <w:rPr>
                <w:b/>
                <w:bCs/>
                <w:sz w:val="20"/>
                <w:szCs w:val="20"/>
              </w:rPr>
              <w:t>Staff</w:t>
            </w:r>
          </w:p>
        </w:tc>
        <w:tc>
          <w:tcPr>
            <w:tcW w:w="1340" w:type="dxa"/>
            <w:tcBorders>
              <w:top w:val="nil"/>
              <w:left w:val="nil"/>
              <w:bottom w:val="nil"/>
              <w:right w:val="single" w:sz="4" w:space="0" w:color="auto"/>
            </w:tcBorders>
            <w:shd w:val="clear" w:color="000000" w:fill="FFFFFF"/>
            <w:noWrap/>
            <w:vAlign w:val="bottom"/>
            <w:hideMark/>
          </w:tcPr>
          <w:p w:rsidR="00E34A71" w:rsidRDefault="00E34A71" w:rsidP="00120875">
            <w:pPr>
              <w:jc w:val="center"/>
              <w:rPr>
                <w:b/>
                <w:bCs/>
                <w:sz w:val="20"/>
                <w:szCs w:val="20"/>
              </w:rPr>
            </w:pPr>
            <w:r>
              <w:rPr>
                <w:b/>
                <w:bCs/>
                <w:sz w:val="20"/>
                <w:szCs w:val="20"/>
              </w:rPr>
              <w:t>Staff</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3896" w:type="dxa"/>
            <w:tcBorders>
              <w:top w:val="nil"/>
              <w:left w:val="nil"/>
              <w:bottom w:val="nil"/>
              <w:right w:val="nil"/>
            </w:tcBorders>
            <w:shd w:val="clear" w:color="000000" w:fill="FFFFFF"/>
            <w:noWrap/>
            <w:vAlign w:val="bottom"/>
            <w:hideMark/>
          </w:tcPr>
          <w:p w:rsidR="00E34A71" w:rsidRDefault="00E34A71" w:rsidP="00120875">
            <w:pPr>
              <w:rPr>
                <w:b/>
                <w:bCs/>
                <w:sz w:val="20"/>
                <w:szCs w:val="20"/>
              </w:rPr>
            </w:pPr>
            <w:r>
              <w:rPr>
                <w:b/>
                <w:bCs/>
                <w:sz w:val="20"/>
                <w:szCs w:val="20"/>
              </w:rPr>
              <w:t> </w:t>
            </w:r>
          </w:p>
        </w:tc>
        <w:tc>
          <w:tcPr>
            <w:tcW w:w="1150" w:type="dxa"/>
            <w:tcBorders>
              <w:top w:val="nil"/>
              <w:left w:val="nil"/>
              <w:bottom w:val="nil"/>
              <w:right w:val="nil"/>
            </w:tcBorders>
            <w:shd w:val="clear" w:color="000000" w:fill="FFFFFF"/>
            <w:noWrap/>
            <w:vAlign w:val="bottom"/>
            <w:hideMark/>
          </w:tcPr>
          <w:p w:rsidR="00E34A71" w:rsidRDefault="00E34A71" w:rsidP="00120875">
            <w:pPr>
              <w:jc w:val="center"/>
              <w:rPr>
                <w:b/>
                <w:bCs/>
                <w:sz w:val="20"/>
                <w:szCs w:val="20"/>
              </w:rPr>
            </w:pPr>
            <w:r>
              <w:rPr>
                <w:b/>
                <w:bCs/>
                <w:sz w:val="20"/>
                <w:szCs w:val="20"/>
              </w:rPr>
              <w:t>Per</w:t>
            </w:r>
          </w:p>
        </w:tc>
        <w:tc>
          <w:tcPr>
            <w:tcW w:w="1236" w:type="dxa"/>
            <w:tcBorders>
              <w:top w:val="nil"/>
              <w:left w:val="nil"/>
              <w:bottom w:val="nil"/>
              <w:right w:val="nil"/>
            </w:tcBorders>
            <w:shd w:val="clear" w:color="000000" w:fill="FFFFFF"/>
            <w:noWrap/>
            <w:vAlign w:val="bottom"/>
            <w:hideMark/>
          </w:tcPr>
          <w:p w:rsidR="00E34A71" w:rsidRDefault="00E34A71" w:rsidP="00120875">
            <w:pPr>
              <w:jc w:val="center"/>
              <w:rPr>
                <w:b/>
                <w:bCs/>
                <w:sz w:val="20"/>
                <w:szCs w:val="20"/>
              </w:rPr>
            </w:pPr>
            <w:r>
              <w:rPr>
                <w:b/>
                <w:bCs/>
                <w:sz w:val="20"/>
                <w:szCs w:val="20"/>
              </w:rPr>
              <w:t>Adjust-</w:t>
            </w:r>
          </w:p>
        </w:tc>
        <w:tc>
          <w:tcPr>
            <w:tcW w:w="1150" w:type="dxa"/>
            <w:tcBorders>
              <w:top w:val="nil"/>
              <w:left w:val="nil"/>
              <w:bottom w:val="nil"/>
              <w:right w:val="nil"/>
            </w:tcBorders>
            <w:shd w:val="clear" w:color="000000" w:fill="FFFFFF"/>
            <w:noWrap/>
            <w:vAlign w:val="bottom"/>
            <w:hideMark/>
          </w:tcPr>
          <w:p w:rsidR="00E34A71" w:rsidRDefault="00E34A71" w:rsidP="00120875">
            <w:pPr>
              <w:jc w:val="center"/>
              <w:rPr>
                <w:b/>
                <w:bCs/>
                <w:sz w:val="20"/>
                <w:szCs w:val="20"/>
              </w:rPr>
            </w:pPr>
            <w:r>
              <w:rPr>
                <w:b/>
                <w:bCs/>
                <w:sz w:val="20"/>
                <w:szCs w:val="20"/>
              </w:rPr>
              <w:t>Test Year</w:t>
            </w:r>
          </w:p>
        </w:tc>
        <w:tc>
          <w:tcPr>
            <w:tcW w:w="966" w:type="dxa"/>
            <w:tcBorders>
              <w:top w:val="nil"/>
              <w:left w:val="nil"/>
              <w:bottom w:val="nil"/>
              <w:right w:val="nil"/>
            </w:tcBorders>
            <w:shd w:val="clear" w:color="000000" w:fill="FFFFFF"/>
            <w:noWrap/>
            <w:vAlign w:val="bottom"/>
            <w:hideMark/>
          </w:tcPr>
          <w:p w:rsidR="00E34A71" w:rsidRDefault="00E34A71" w:rsidP="00120875">
            <w:pPr>
              <w:jc w:val="center"/>
              <w:rPr>
                <w:b/>
                <w:bCs/>
                <w:sz w:val="20"/>
                <w:szCs w:val="20"/>
              </w:rPr>
            </w:pPr>
            <w:r>
              <w:rPr>
                <w:b/>
                <w:bCs/>
                <w:sz w:val="20"/>
                <w:szCs w:val="20"/>
              </w:rPr>
              <w:t>Adjust-</w:t>
            </w:r>
          </w:p>
        </w:tc>
        <w:tc>
          <w:tcPr>
            <w:tcW w:w="1340" w:type="dxa"/>
            <w:tcBorders>
              <w:top w:val="nil"/>
              <w:left w:val="nil"/>
              <w:bottom w:val="nil"/>
              <w:right w:val="single" w:sz="4" w:space="0" w:color="auto"/>
            </w:tcBorders>
            <w:shd w:val="clear" w:color="000000" w:fill="FFFFFF"/>
            <w:noWrap/>
            <w:vAlign w:val="bottom"/>
            <w:hideMark/>
          </w:tcPr>
          <w:p w:rsidR="00E34A71" w:rsidRDefault="00E34A71" w:rsidP="00120875">
            <w:pPr>
              <w:jc w:val="center"/>
              <w:rPr>
                <w:b/>
                <w:bCs/>
                <w:sz w:val="20"/>
                <w:szCs w:val="20"/>
              </w:rPr>
            </w:pPr>
            <w:r>
              <w:rPr>
                <w:b/>
                <w:bCs/>
                <w:sz w:val="20"/>
                <w:szCs w:val="20"/>
              </w:rPr>
              <w:t>Adjusted</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3896" w:type="dxa"/>
            <w:tcBorders>
              <w:top w:val="nil"/>
              <w:left w:val="nil"/>
              <w:bottom w:val="nil"/>
              <w:right w:val="nil"/>
            </w:tcBorders>
            <w:shd w:val="clear" w:color="000000" w:fill="FFFFFF"/>
            <w:noWrap/>
            <w:vAlign w:val="bottom"/>
            <w:hideMark/>
          </w:tcPr>
          <w:p w:rsidR="00E34A71" w:rsidRDefault="00E34A71" w:rsidP="00120875">
            <w:pPr>
              <w:jc w:val="center"/>
              <w:rPr>
                <w:b/>
                <w:bCs/>
                <w:sz w:val="20"/>
                <w:szCs w:val="20"/>
              </w:rPr>
            </w:pPr>
            <w:r>
              <w:rPr>
                <w:b/>
                <w:bCs/>
                <w:sz w:val="20"/>
                <w:szCs w:val="20"/>
              </w:rPr>
              <w:t>Description</w:t>
            </w:r>
          </w:p>
        </w:tc>
        <w:tc>
          <w:tcPr>
            <w:tcW w:w="1150" w:type="dxa"/>
            <w:tcBorders>
              <w:top w:val="nil"/>
              <w:left w:val="nil"/>
              <w:bottom w:val="nil"/>
              <w:right w:val="nil"/>
            </w:tcBorders>
            <w:shd w:val="clear" w:color="000000" w:fill="FFFFFF"/>
            <w:noWrap/>
            <w:vAlign w:val="bottom"/>
            <w:hideMark/>
          </w:tcPr>
          <w:p w:rsidR="00E34A71" w:rsidRDefault="00E34A71" w:rsidP="00120875">
            <w:pPr>
              <w:jc w:val="center"/>
              <w:rPr>
                <w:b/>
                <w:bCs/>
                <w:sz w:val="20"/>
                <w:szCs w:val="20"/>
              </w:rPr>
            </w:pPr>
            <w:r>
              <w:rPr>
                <w:b/>
                <w:bCs/>
                <w:sz w:val="20"/>
                <w:szCs w:val="20"/>
              </w:rPr>
              <w:t>Utility</w:t>
            </w:r>
          </w:p>
        </w:tc>
        <w:tc>
          <w:tcPr>
            <w:tcW w:w="1236" w:type="dxa"/>
            <w:tcBorders>
              <w:top w:val="nil"/>
              <w:left w:val="nil"/>
              <w:bottom w:val="nil"/>
              <w:right w:val="nil"/>
            </w:tcBorders>
            <w:shd w:val="clear" w:color="000000" w:fill="FFFFFF"/>
            <w:noWrap/>
            <w:vAlign w:val="bottom"/>
            <w:hideMark/>
          </w:tcPr>
          <w:p w:rsidR="00E34A71" w:rsidRDefault="00E34A71" w:rsidP="00120875">
            <w:pPr>
              <w:jc w:val="center"/>
              <w:rPr>
                <w:b/>
                <w:bCs/>
                <w:sz w:val="20"/>
                <w:szCs w:val="20"/>
              </w:rPr>
            </w:pPr>
            <w:proofErr w:type="spellStart"/>
            <w:r>
              <w:rPr>
                <w:b/>
                <w:bCs/>
                <w:sz w:val="20"/>
                <w:szCs w:val="20"/>
              </w:rPr>
              <w:t>ments</w:t>
            </w:r>
            <w:proofErr w:type="spellEnd"/>
          </w:p>
        </w:tc>
        <w:tc>
          <w:tcPr>
            <w:tcW w:w="1150" w:type="dxa"/>
            <w:tcBorders>
              <w:top w:val="nil"/>
              <w:left w:val="nil"/>
              <w:bottom w:val="nil"/>
              <w:right w:val="nil"/>
            </w:tcBorders>
            <w:shd w:val="clear" w:color="000000" w:fill="FFFFFF"/>
            <w:noWrap/>
            <w:vAlign w:val="bottom"/>
            <w:hideMark/>
          </w:tcPr>
          <w:p w:rsidR="00E34A71" w:rsidRDefault="00E34A71" w:rsidP="00120875">
            <w:pPr>
              <w:jc w:val="center"/>
              <w:rPr>
                <w:b/>
                <w:bCs/>
                <w:sz w:val="20"/>
                <w:szCs w:val="20"/>
              </w:rPr>
            </w:pPr>
            <w:r>
              <w:rPr>
                <w:b/>
                <w:bCs/>
                <w:sz w:val="20"/>
                <w:szCs w:val="20"/>
              </w:rPr>
              <w:t>Per Utility</w:t>
            </w:r>
          </w:p>
        </w:tc>
        <w:tc>
          <w:tcPr>
            <w:tcW w:w="966" w:type="dxa"/>
            <w:tcBorders>
              <w:top w:val="nil"/>
              <w:left w:val="nil"/>
              <w:bottom w:val="nil"/>
              <w:right w:val="nil"/>
            </w:tcBorders>
            <w:shd w:val="clear" w:color="000000" w:fill="FFFFFF"/>
            <w:noWrap/>
            <w:vAlign w:val="bottom"/>
            <w:hideMark/>
          </w:tcPr>
          <w:p w:rsidR="00E34A71" w:rsidRDefault="00E34A71" w:rsidP="00120875">
            <w:pPr>
              <w:jc w:val="center"/>
              <w:rPr>
                <w:b/>
                <w:bCs/>
                <w:sz w:val="20"/>
                <w:szCs w:val="20"/>
              </w:rPr>
            </w:pPr>
            <w:proofErr w:type="spellStart"/>
            <w:r>
              <w:rPr>
                <w:b/>
                <w:bCs/>
                <w:sz w:val="20"/>
                <w:szCs w:val="20"/>
              </w:rPr>
              <w:t>ments</w:t>
            </w:r>
            <w:proofErr w:type="spellEnd"/>
          </w:p>
        </w:tc>
        <w:tc>
          <w:tcPr>
            <w:tcW w:w="1340" w:type="dxa"/>
            <w:tcBorders>
              <w:top w:val="nil"/>
              <w:left w:val="nil"/>
              <w:bottom w:val="nil"/>
              <w:right w:val="single" w:sz="4" w:space="0" w:color="auto"/>
            </w:tcBorders>
            <w:shd w:val="clear" w:color="000000" w:fill="FFFFFF"/>
            <w:noWrap/>
            <w:vAlign w:val="bottom"/>
            <w:hideMark/>
          </w:tcPr>
          <w:p w:rsidR="00E34A71" w:rsidRDefault="00E34A71" w:rsidP="00120875">
            <w:pPr>
              <w:jc w:val="center"/>
              <w:rPr>
                <w:b/>
                <w:bCs/>
                <w:sz w:val="20"/>
                <w:szCs w:val="20"/>
              </w:rPr>
            </w:pPr>
            <w:r>
              <w:rPr>
                <w:b/>
                <w:bCs/>
                <w:sz w:val="20"/>
                <w:szCs w:val="20"/>
              </w:rPr>
              <w:t>Test Year</w:t>
            </w:r>
          </w:p>
        </w:tc>
      </w:tr>
      <w:tr w:rsidR="00E34A71" w:rsidTr="00E34A71">
        <w:trPr>
          <w:trHeight w:val="270"/>
        </w:trPr>
        <w:tc>
          <w:tcPr>
            <w:tcW w:w="416" w:type="dxa"/>
            <w:tcBorders>
              <w:top w:val="single" w:sz="4" w:space="0" w:color="000000"/>
              <w:left w:val="single" w:sz="4" w:space="0" w:color="auto"/>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3896" w:type="dxa"/>
            <w:tcBorders>
              <w:top w:val="single" w:sz="4" w:space="0" w:color="000000"/>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150" w:type="dxa"/>
            <w:tcBorders>
              <w:top w:val="single" w:sz="4" w:space="0" w:color="000000"/>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236" w:type="dxa"/>
            <w:tcBorders>
              <w:top w:val="single" w:sz="4" w:space="0" w:color="000000"/>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150" w:type="dxa"/>
            <w:tcBorders>
              <w:top w:val="single" w:sz="4" w:space="0" w:color="000000"/>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966" w:type="dxa"/>
            <w:tcBorders>
              <w:top w:val="single" w:sz="4" w:space="0" w:color="000000"/>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340" w:type="dxa"/>
            <w:tcBorders>
              <w:top w:val="single" w:sz="4" w:space="0" w:color="000000"/>
              <w:left w:val="nil"/>
              <w:bottom w:val="nil"/>
              <w:right w:val="single" w:sz="4" w:space="0" w:color="auto"/>
            </w:tcBorders>
            <w:shd w:val="clear" w:color="000000" w:fill="FFFFFF"/>
            <w:noWrap/>
            <w:vAlign w:val="bottom"/>
            <w:hideMark/>
          </w:tcPr>
          <w:p w:rsidR="00E34A71" w:rsidRDefault="00E34A71" w:rsidP="00120875">
            <w:pPr>
              <w:rPr>
                <w:sz w:val="20"/>
                <w:szCs w:val="20"/>
              </w:rPr>
            </w:pPr>
            <w:r>
              <w:rPr>
                <w:sz w:val="20"/>
                <w:szCs w:val="20"/>
              </w:rPr>
              <w:t> </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jc w:val="center"/>
              <w:rPr>
                <w:sz w:val="20"/>
                <w:szCs w:val="20"/>
              </w:rPr>
            </w:pPr>
            <w:r>
              <w:rPr>
                <w:sz w:val="20"/>
                <w:szCs w:val="20"/>
              </w:rPr>
              <w:t>1</w:t>
            </w:r>
          </w:p>
        </w:tc>
        <w:tc>
          <w:tcPr>
            <w:tcW w:w="389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Plant in Service</w:t>
            </w:r>
          </w:p>
        </w:tc>
        <w:tc>
          <w:tcPr>
            <w:tcW w:w="1150"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 xml:space="preserve">$4,654,511 </w:t>
            </w:r>
          </w:p>
        </w:tc>
        <w:tc>
          <w:tcPr>
            <w:tcW w:w="1236"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 xml:space="preserve">$525,970 </w:t>
            </w:r>
          </w:p>
        </w:tc>
        <w:tc>
          <w:tcPr>
            <w:tcW w:w="1150"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 xml:space="preserve">$5,180,481 </w:t>
            </w:r>
          </w:p>
        </w:tc>
        <w:tc>
          <w:tcPr>
            <w:tcW w:w="966"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 xml:space="preserve">$80,254 </w:t>
            </w:r>
          </w:p>
        </w:tc>
        <w:tc>
          <w:tcPr>
            <w:tcW w:w="1340" w:type="dxa"/>
            <w:tcBorders>
              <w:top w:val="nil"/>
              <w:left w:val="nil"/>
              <w:bottom w:val="nil"/>
              <w:right w:val="single" w:sz="4" w:space="0" w:color="auto"/>
            </w:tcBorders>
            <w:shd w:val="clear" w:color="000000" w:fill="FFFFFF"/>
            <w:noWrap/>
            <w:vAlign w:val="bottom"/>
            <w:hideMark/>
          </w:tcPr>
          <w:p w:rsidR="00E34A71" w:rsidRDefault="00E34A71" w:rsidP="00120875">
            <w:pPr>
              <w:jc w:val="right"/>
              <w:rPr>
                <w:sz w:val="20"/>
                <w:szCs w:val="20"/>
              </w:rPr>
            </w:pPr>
            <w:r>
              <w:rPr>
                <w:sz w:val="20"/>
                <w:szCs w:val="20"/>
              </w:rPr>
              <w:t xml:space="preserve">$5,260,735 </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jc w:val="center"/>
              <w:rPr>
                <w:sz w:val="20"/>
                <w:szCs w:val="20"/>
              </w:rPr>
            </w:pPr>
            <w:r>
              <w:rPr>
                <w:sz w:val="20"/>
                <w:szCs w:val="20"/>
              </w:rPr>
              <w:t> </w:t>
            </w:r>
          </w:p>
        </w:tc>
        <w:tc>
          <w:tcPr>
            <w:tcW w:w="3896" w:type="dxa"/>
            <w:tcBorders>
              <w:top w:val="nil"/>
              <w:left w:val="nil"/>
              <w:bottom w:val="nil"/>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1150"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23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150"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96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340" w:type="dxa"/>
            <w:tcBorders>
              <w:top w:val="nil"/>
              <w:left w:val="nil"/>
              <w:bottom w:val="nil"/>
              <w:right w:val="single" w:sz="4" w:space="0" w:color="auto"/>
            </w:tcBorders>
            <w:shd w:val="clear" w:color="000000" w:fill="FFFFFF"/>
            <w:noWrap/>
            <w:vAlign w:val="bottom"/>
            <w:hideMark/>
          </w:tcPr>
          <w:p w:rsidR="00E34A71" w:rsidRDefault="00E34A71" w:rsidP="00120875">
            <w:pPr>
              <w:rPr>
                <w:sz w:val="20"/>
                <w:szCs w:val="20"/>
              </w:rPr>
            </w:pPr>
            <w:r>
              <w:rPr>
                <w:sz w:val="20"/>
                <w:szCs w:val="20"/>
              </w:rPr>
              <w:t> </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jc w:val="center"/>
              <w:rPr>
                <w:sz w:val="20"/>
                <w:szCs w:val="20"/>
              </w:rPr>
            </w:pPr>
            <w:r>
              <w:rPr>
                <w:sz w:val="20"/>
                <w:szCs w:val="20"/>
              </w:rPr>
              <w:t>2</w:t>
            </w:r>
          </w:p>
        </w:tc>
        <w:tc>
          <w:tcPr>
            <w:tcW w:w="389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Land and Land Rights</w:t>
            </w:r>
          </w:p>
        </w:tc>
        <w:tc>
          <w:tcPr>
            <w:tcW w:w="1150"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 xml:space="preserve">25,450 </w:t>
            </w:r>
          </w:p>
        </w:tc>
        <w:tc>
          <w:tcPr>
            <w:tcW w:w="1236"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 xml:space="preserve">0 </w:t>
            </w:r>
          </w:p>
        </w:tc>
        <w:tc>
          <w:tcPr>
            <w:tcW w:w="1150"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 xml:space="preserve">25,450 </w:t>
            </w:r>
          </w:p>
        </w:tc>
        <w:tc>
          <w:tcPr>
            <w:tcW w:w="966"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 xml:space="preserve">0 </w:t>
            </w:r>
          </w:p>
        </w:tc>
        <w:tc>
          <w:tcPr>
            <w:tcW w:w="1340" w:type="dxa"/>
            <w:tcBorders>
              <w:top w:val="nil"/>
              <w:left w:val="nil"/>
              <w:bottom w:val="nil"/>
              <w:right w:val="single" w:sz="4" w:space="0" w:color="auto"/>
            </w:tcBorders>
            <w:shd w:val="clear" w:color="000000" w:fill="FFFFFF"/>
            <w:noWrap/>
            <w:vAlign w:val="bottom"/>
            <w:hideMark/>
          </w:tcPr>
          <w:p w:rsidR="00E34A71" w:rsidRDefault="00E34A71" w:rsidP="00120875">
            <w:pPr>
              <w:jc w:val="right"/>
              <w:rPr>
                <w:sz w:val="20"/>
                <w:szCs w:val="20"/>
              </w:rPr>
            </w:pPr>
            <w:r>
              <w:rPr>
                <w:sz w:val="20"/>
                <w:szCs w:val="20"/>
              </w:rPr>
              <w:t xml:space="preserve">25,450 </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jc w:val="center"/>
              <w:rPr>
                <w:sz w:val="20"/>
                <w:szCs w:val="20"/>
              </w:rPr>
            </w:pPr>
            <w:r>
              <w:rPr>
                <w:sz w:val="20"/>
                <w:szCs w:val="20"/>
              </w:rPr>
              <w:t> </w:t>
            </w:r>
          </w:p>
        </w:tc>
        <w:tc>
          <w:tcPr>
            <w:tcW w:w="3896" w:type="dxa"/>
            <w:tcBorders>
              <w:top w:val="nil"/>
              <w:left w:val="nil"/>
              <w:bottom w:val="nil"/>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1150"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23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150"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96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340" w:type="dxa"/>
            <w:tcBorders>
              <w:top w:val="nil"/>
              <w:left w:val="nil"/>
              <w:bottom w:val="nil"/>
              <w:right w:val="single" w:sz="4" w:space="0" w:color="auto"/>
            </w:tcBorders>
            <w:shd w:val="clear" w:color="000000" w:fill="FFFFFF"/>
            <w:noWrap/>
            <w:vAlign w:val="bottom"/>
            <w:hideMark/>
          </w:tcPr>
          <w:p w:rsidR="00E34A71" w:rsidRDefault="00E34A71" w:rsidP="00120875">
            <w:pPr>
              <w:rPr>
                <w:sz w:val="20"/>
                <w:szCs w:val="20"/>
              </w:rPr>
            </w:pPr>
            <w:r>
              <w:rPr>
                <w:sz w:val="20"/>
                <w:szCs w:val="20"/>
              </w:rPr>
              <w:t> </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jc w:val="center"/>
              <w:rPr>
                <w:sz w:val="20"/>
                <w:szCs w:val="20"/>
              </w:rPr>
            </w:pPr>
            <w:r>
              <w:rPr>
                <w:sz w:val="20"/>
                <w:szCs w:val="20"/>
              </w:rPr>
              <w:t>3</w:t>
            </w:r>
          </w:p>
        </w:tc>
        <w:tc>
          <w:tcPr>
            <w:tcW w:w="389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Less: Non-used and Useful Components</w:t>
            </w:r>
          </w:p>
        </w:tc>
        <w:tc>
          <w:tcPr>
            <w:tcW w:w="1150"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 xml:space="preserve">0 </w:t>
            </w:r>
          </w:p>
        </w:tc>
        <w:tc>
          <w:tcPr>
            <w:tcW w:w="1236"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(107,752)</w:t>
            </w:r>
          </w:p>
        </w:tc>
        <w:tc>
          <w:tcPr>
            <w:tcW w:w="1150"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(107,752)</w:t>
            </w:r>
          </w:p>
        </w:tc>
        <w:tc>
          <w:tcPr>
            <w:tcW w:w="966"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 xml:space="preserve">30,098 </w:t>
            </w:r>
          </w:p>
        </w:tc>
        <w:tc>
          <w:tcPr>
            <w:tcW w:w="1340" w:type="dxa"/>
            <w:tcBorders>
              <w:top w:val="nil"/>
              <w:left w:val="nil"/>
              <w:bottom w:val="nil"/>
              <w:right w:val="single" w:sz="4" w:space="0" w:color="auto"/>
            </w:tcBorders>
            <w:shd w:val="clear" w:color="000000" w:fill="FFFFFF"/>
            <w:noWrap/>
            <w:vAlign w:val="bottom"/>
            <w:hideMark/>
          </w:tcPr>
          <w:p w:rsidR="00E34A71" w:rsidRDefault="00E34A71" w:rsidP="00120875">
            <w:pPr>
              <w:jc w:val="right"/>
              <w:rPr>
                <w:sz w:val="20"/>
                <w:szCs w:val="20"/>
              </w:rPr>
            </w:pPr>
            <w:r>
              <w:rPr>
                <w:sz w:val="20"/>
                <w:szCs w:val="20"/>
              </w:rPr>
              <w:t>(77,654)</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jc w:val="center"/>
              <w:rPr>
                <w:sz w:val="20"/>
                <w:szCs w:val="20"/>
              </w:rPr>
            </w:pPr>
            <w:r>
              <w:rPr>
                <w:sz w:val="20"/>
                <w:szCs w:val="20"/>
              </w:rPr>
              <w:t> </w:t>
            </w:r>
          </w:p>
        </w:tc>
        <w:tc>
          <w:tcPr>
            <w:tcW w:w="3896" w:type="dxa"/>
            <w:tcBorders>
              <w:top w:val="nil"/>
              <w:left w:val="nil"/>
              <w:bottom w:val="nil"/>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1150"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23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150"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96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340" w:type="dxa"/>
            <w:tcBorders>
              <w:top w:val="nil"/>
              <w:left w:val="nil"/>
              <w:bottom w:val="nil"/>
              <w:right w:val="single" w:sz="4" w:space="0" w:color="auto"/>
            </w:tcBorders>
            <w:shd w:val="clear" w:color="000000" w:fill="FFFFFF"/>
            <w:noWrap/>
            <w:vAlign w:val="bottom"/>
            <w:hideMark/>
          </w:tcPr>
          <w:p w:rsidR="00E34A71" w:rsidRDefault="00E34A71" w:rsidP="00120875">
            <w:pPr>
              <w:rPr>
                <w:sz w:val="20"/>
                <w:szCs w:val="20"/>
              </w:rPr>
            </w:pPr>
            <w:r>
              <w:rPr>
                <w:sz w:val="20"/>
                <w:szCs w:val="20"/>
              </w:rPr>
              <w:t> </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jc w:val="center"/>
              <w:rPr>
                <w:sz w:val="20"/>
                <w:szCs w:val="20"/>
              </w:rPr>
            </w:pPr>
            <w:r>
              <w:rPr>
                <w:sz w:val="20"/>
                <w:szCs w:val="20"/>
              </w:rPr>
              <w:t>4</w:t>
            </w:r>
          </w:p>
        </w:tc>
        <w:tc>
          <w:tcPr>
            <w:tcW w:w="389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xml:space="preserve">Less: Accumulated Depreciation </w:t>
            </w:r>
          </w:p>
        </w:tc>
        <w:tc>
          <w:tcPr>
            <w:tcW w:w="1150"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(1,358,277)</w:t>
            </w:r>
          </w:p>
        </w:tc>
        <w:tc>
          <w:tcPr>
            <w:tcW w:w="1236"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(11,449)</w:t>
            </w:r>
          </w:p>
        </w:tc>
        <w:tc>
          <w:tcPr>
            <w:tcW w:w="1150"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(1,369,726)</w:t>
            </w:r>
          </w:p>
        </w:tc>
        <w:tc>
          <w:tcPr>
            <w:tcW w:w="966"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(5,303)</w:t>
            </w:r>
          </w:p>
        </w:tc>
        <w:tc>
          <w:tcPr>
            <w:tcW w:w="1340" w:type="dxa"/>
            <w:tcBorders>
              <w:top w:val="nil"/>
              <w:left w:val="nil"/>
              <w:bottom w:val="nil"/>
              <w:right w:val="single" w:sz="4" w:space="0" w:color="auto"/>
            </w:tcBorders>
            <w:shd w:val="clear" w:color="000000" w:fill="FFFFFF"/>
            <w:noWrap/>
            <w:vAlign w:val="bottom"/>
            <w:hideMark/>
          </w:tcPr>
          <w:p w:rsidR="00E34A71" w:rsidRDefault="00E34A71" w:rsidP="00120875">
            <w:pPr>
              <w:jc w:val="right"/>
              <w:rPr>
                <w:sz w:val="20"/>
                <w:szCs w:val="20"/>
              </w:rPr>
            </w:pPr>
            <w:r>
              <w:rPr>
                <w:sz w:val="20"/>
                <w:szCs w:val="20"/>
              </w:rPr>
              <w:t>(1,375,029)</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jc w:val="center"/>
              <w:rPr>
                <w:sz w:val="20"/>
                <w:szCs w:val="20"/>
              </w:rPr>
            </w:pPr>
            <w:r>
              <w:rPr>
                <w:sz w:val="20"/>
                <w:szCs w:val="20"/>
              </w:rPr>
              <w:t> </w:t>
            </w:r>
          </w:p>
        </w:tc>
        <w:tc>
          <w:tcPr>
            <w:tcW w:w="3896" w:type="dxa"/>
            <w:tcBorders>
              <w:top w:val="nil"/>
              <w:left w:val="nil"/>
              <w:bottom w:val="nil"/>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1150"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23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150"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96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340" w:type="dxa"/>
            <w:tcBorders>
              <w:top w:val="nil"/>
              <w:left w:val="nil"/>
              <w:bottom w:val="nil"/>
              <w:right w:val="single" w:sz="4" w:space="0" w:color="auto"/>
            </w:tcBorders>
            <w:shd w:val="clear" w:color="000000" w:fill="FFFFFF"/>
            <w:noWrap/>
            <w:vAlign w:val="bottom"/>
            <w:hideMark/>
          </w:tcPr>
          <w:p w:rsidR="00E34A71" w:rsidRDefault="00E34A71" w:rsidP="00120875">
            <w:pPr>
              <w:rPr>
                <w:sz w:val="20"/>
                <w:szCs w:val="20"/>
              </w:rPr>
            </w:pPr>
            <w:r>
              <w:rPr>
                <w:sz w:val="20"/>
                <w:szCs w:val="20"/>
              </w:rPr>
              <w:t> </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jc w:val="center"/>
              <w:rPr>
                <w:sz w:val="20"/>
                <w:szCs w:val="20"/>
              </w:rPr>
            </w:pPr>
            <w:r>
              <w:rPr>
                <w:sz w:val="20"/>
                <w:szCs w:val="20"/>
              </w:rPr>
              <w:t>5</w:t>
            </w:r>
          </w:p>
        </w:tc>
        <w:tc>
          <w:tcPr>
            <w:tcW w:w="389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Less: CIAC</w:t>
            </w:r>
          </w:p>
        </w:tc>
        <w:tc>
          <w:tcPr>
            <w:tcW w:w="1150"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(915,715)</w:t>
            </w:r>
          </w:p>
        </w:tc>
        <w:tc>
          <w:tcPr>
            <w:tcW w:w="1236"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 xml:space="preserve">0 </w:t>
            </w:r>
          </w:p>
        </w:tc>
        <w:tc>
          <w:tcPr>
            <w:tcW w:w="1150"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(915,715)</w:t>
            </w:r>
          </w:p>
        </w:tc>
        <w:tc>
          <w:tcPr>
            <w:tcW w:w="966"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 xml:space="preserve">0 </w:t>
            </w:r>
          </w:p>
        </w:tc>
        <w:tc>
          <w:tcPr>
            <w:tcW w:w="1340" w:type="dxa"/>
            <w:tcBorders>
              <w:top w:val="nil"/>
              <w:left w:val="nil"/>
              <w:bottom w:val="nil"/>
              <w:right w:val="single" w:sz="4" w:space="0" w:color="auto"/>
            </w:tcBorders>
            <w:shd w:val="clear" w:color="000000" w:fill="FFFFFF"/>
            <w:noWrap/>
            <w:vAlign w:val="bottom"/>
            <w:hideMark/>
          </w:tcPr>
          <w:p w:rsidR="00E34A71" w:rsidRDefault="00E34A71" w:rsidP="00120875">
            <w:pPr>
              <w:jc w:val="right"/>
              <w:rPr>
                <w:sz w:val="20"/>
                <w:szCs w:val="20"/>
              </w:rPr>
            </w:pPr>
            <w:r>
              <w:rPr>
                <w:sz w:val="20"/>
                <w:szCs w:val="20"/>
              </w:rPr>
              <w:t>(915,715)</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jc w:val="center"/>
              <w:rPr>
                <w:sz w:val="20"/>
                <w:szCs w:val="20"/>
              </w:rPr>
            </w:pPr>
            <w:r>
              <w:rPr>
                <w:sz w:val="20"/>
                <w:szCs w:val="20"/>
              </w:rPr>
              <w:t> </w:t>
            </w:r>
          </w:p>
        </w:tc>
        <w:tc>
          <w:tcPr>
            <w:tcW w:w="3896" w:type="dxa"/>
            <w:tcBorders>
              <w:top w:val="nil"/>
              <w:left w:val="nil"/>
              <w:bottom w:val="nil"/>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1150"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23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150"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96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340" w:type="dxa"/>
            <w:tcBorders>
              <w:top w:val="nil"/>
              <w:left w:val="nil"/>
              <w:bottom w:val="nil"/>
              <w:right w:val="single" w:sz="4" w:space="0" w:color="auto"/>
            </w:tcBorders>
            <w:shd w:val="clear" w:color="000000" w:fill="FFFFFF"/>
            <w:noWrap/>
            <w:vAlign w:val="bottom"/>
            <w:hideMark/>
          </w:tcPr>
          <w:p w:rsidR="00E34A71" w:rsidRDefault="00E34A71" w:rsidP="00120875">
            <w:pPr>
              <w:rPr>
                <w:sz w:val="20"/>
                <w:szCs w:val="20"/>
              </w:rPr>
            </w:pPr>
            <w:r>
              <w:rPr>
                <w:sz w:val="20"/>
                <w:szCs w:val="20"/>
              </w:rPr>
              <w:t> </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jc w:val="center"/>
              <w:rPr>
                <w:sz w:val="20"/>
                <w:szCs w:val="20"/>
              </w:rPr>
            </w:pPr>
            <w:r>
              <w:rPr>
                <w:sz w:val="20"/>
                <w:szCs w:val="20"/>
              </w:rPr>
              <w:t>6</w:t>
            </w:r>
          </w:p>
        </w:tc>
        <w:tc>
          <w:tcPr>
            <w:tcW w:w="389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Accumulated Amortization of CIAC</w:t>
            </w:r>
          </w:p>
        </w:tc>
        <w:tc>
          <w:tcPr>
            <w:tcW w:w="1150"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 xml:space="preserve">623,602 </w:t>
            </w:r>
          </w:p>
        </w:tc>
        <w:tc>
          <w:tcPr>
            <w:tcW w:w="1236"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 xml:space="preserve">0 </w:t>
            </w:r>
          </w:p>
        </w:tc>
        <w:tc>
          <w:tcPr>
            <w:tcW w:w="1150"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 xml:space="preserve">623,602 </w:t>
            </w:r>
          </w:p>
        </w:tc>
        <w:tc>
          <w:tcPr>
            <w:tcW w:w="966"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 xml:space="preserve">0 </w:t>
            </w:r>
          </w:p>
        </w:tc>
        <w:tc>
          <w:tcPr>
            <w:tcW w:w="1340" w:type="dxa"/>
            <w:tcBorders>
              <w:top w:val="nil"/>
              <w:left w:val="nil"/>
              <w:bottom w:val="nil"/>
              <w:right w:val="single" w:sz="4" w:space="0" w:color="auto"/>
            </w:tcBorders>
            <w:shd w:val="clear" w:color="000000" w:fill="FFFFFF"/>
            <w:noWrap/>
            <w:vAlign w:val="bottom"/>
            <w:hideMark/>
          </w:tcPr>
          <w:p w:rsidR="00E34A71" w:rsidRDefault="00E34A71" w:rsidP="00120875">
            <w:pPr>
              <w:jc w:val="right"/>
              <w:rPr>
                <w:sz w:val="20"/>
                <w:szCs w:val="20"/>
              </w:rPr>
            </w:pPr>
            <w:r>
              <w:rPr>
                <w:sz w:val="20"/>
                <w:szCs w:val="20"/>
              </w:rPr>
              <w:t xml:space="preserve">623,602 </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jc w:val="center"/>
              <w:rPr>
                <w:sz w:val="20"/>
                <w:szCs w:val="20"/>
              </w:rPr>
            </w:pPr>
            <w:r>
              <w:rPr>
                <w:sz w:val="20"/>
                <w:szCs w:val="20"/>
              </w:rPr>
              <w:t> </w:t>
            </w:r>
          </w:p>
        </w:tc>
        <w:tc>
          <w:tcPr>
            <w:tcW w:w="3896" w:type="dxa"/>
            <w:tcBorders>
              <w:top w:val="nil"/>
              <w:left w:val="nil"/>
              <w:bottom w:val="nil"/>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1150"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23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150"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96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340" w:type="dxa"/>
            <w:tcBorders>
              <w:top w:val="nil"/>
              <w:left w:val="nil"/>
              <w:bottom w:val="nil"/>
              <w:right w:val="single" w:sz="4" w:space="0" w:color="auto"/>
            </w:tcBorders>
            <w:shd w:val="clear" w:color="000000" w:fill="FFFFFF"/>
            <w:noWrap/>
            <w:vAlign w:val="bottom"/>
            <w:hideMark/>
          </w:tcPr>
          <w:p w:rsidR="00E34A71" w:rsidRDefault="00E34A71" w:rsidP="00120875">
            <w:pPr>
              <w:rPr>
                <w:sz w:val="20"/>
                <w:szCs w:val="20"/>
              </w:rPr>
            </w:pPr>
            <w:r>
              <w:rPr>
                <w:sz w:val="20"/>
                <w:szCs w:val="20"/>
              </w:rPr>
              <w:t> </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jc w:val="center"/>
              <w:rPr>
                <w:sz w:val="20"/>
                <w:szCs w:val="20"/>
              </w:rPr>
            </w:pPr>
            <w:r>
              <w:rPr>
                <w:sz w:val="20"/>
                <w:szCs w:val="20"/>
              </w:rPr>
              <w:t>7</w:t>
            </w:r>
          </w:p>
        </w:tc>
        <w:tc>
          <w:tcPr>
            <w:tcW w:w="389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Acquisition Adjustments</w:t>
            </w:r>
          </w:p>
        </w:tc>
        <w:tc>
          <w:tcPr>
            <w:tcW w:w="1150"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(809,041)</w:t>
            </w:r>
          </w:p>
        </w:tc>
        <w:tc>
          <w:tcPr>
            <w:tcW w:w="1236"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 xml:space="preserve">0 </w:t>
            </w:r>
          </w:p>
        </w:tc>
        <w:tc>
          <w:tcPr>
            <w:tcW w:w="1150"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(809,041)</w:t>
            </w:r>
          </w:p>
        </w:tc>
        <w:tc>
          <w:tcPr>
            <w:tcW w:w="966"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 xml:space="preserve">0 </w:t>
            </w:r>
          </w:p>
        </w:tc>
        <w:tc>
          <w:tcPr>
            <w:tcW w:w="1340" w:type="dxa"/>
            <w:tcBorders>
              <w:top w:val="nil"/>
              <w:left w:val="nil"/>
              <w:bottom w:val="nil"/>
              <w:right w:val="single" w:sz="4" w:space="0" w:color="auto"/>
            </w:tcBorders>
            <w:shd w:val="clear" w:color="000000" w:fill="FFFFFF"/>
            <w:noWrap/>
            <w:vAlign w:val="bottom"/>
            <w:hideMark/>
          </w:tcPr>
          <w:p w:rsidR="00E34A71" w:rsidRDefault="00E34A71" w:rsidP="00120875">
            <w:pPr>
              <w:jc w:val="right"/>
              <w:rPr>
                <w:sz w:val="20"/>
                <w:szCs w:val="20"/>
              </w:rPr>
            </w:pPr>
            <w:r>
              <w:rPr>
                <w:sz w:val="20"/>
                <w:szCs w:val="20"/>
              </w:rPr>
              <w:t>(809,041)</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jc w:val="center"/>
              <w:rPr>
                <w:sz w:val="20"/>
                <w:szCs w:val="20"/>
              </w:rPr>
            </w:pPr>
            <w:r>
              <w:rPr>
                <w:sz w:val="20"/>
                <w:szCs w:val="20"/>
              </w:rPr>
              <w:t> </w:t>
            </w:r>
          </w:p>
        </w:tc>
        <w:tc>
          <w:tcPr>
            <w:tcW w:w="3896" w:type="dxa"/>
            <w:tcBorders>
              <w:top w:val="nil"/>
              <w:left w:val="nil"/>
              <w:bottom w:val="nil"/>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1150"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23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150"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96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340" w:type="dxa"/>
            <w:tcBorders>
              <w:top w:val="nil"/>
              <w:left w:val="nil"/>
              <w:bottom w:val="nil"/>
              <w:right w:val="single" w:sz="4" w:space="0" w:color="auto"/>
            </w:tcBorders>
            <w:shd w:val="clear" w:color="000000" w:fill="FFFFFF"/>
            <w:noWrap/>
            <w:vAlign w:val="bottom"/>
            <w:hideMark/>
          </w:tcPr>
          <w:p w:rsidR="00E34A71" w:rsidRDefault="00E34A71" w:rsidP="00120875">
            <w:pPr>
              <w:rPr>
                <w:sz w:val="20"/>
                <w:szCs w:val="20"/>
              </w:rPr>
            </w:pPr>
            <w:r>
              <w:rPr>
                <w:sz w:val="20"/>
                <w:szCs w:val="20"/>
              </w:rPr>
              <w:t> </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jc w:val="center"/>
              <w:rPr>
                <w:sz w:val="20"/>
                <w:szCs w:val="20"/>
              </w:rPr>
            </w:pPr>
            <w:r>
              <w:rPr>
                <w:sz w:val="20"/>
                <w:szCs w:val="20"/>
              </w:rPr>
              <w:t>8</w:t>
            </w:r>
          </w:p>
        </w:tc>
        <w:tc>
          <w:tcPr>
            <w:tcW w:w="389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xml:space="preserve">Less: </w:t>
            </w:r>
            <w:proofErr w:type="spellStart"/>
            <w:r>
              <w:rPr>
                <w:sz w:val="20"/>
                <w:szCs w:val="20"/>
              </w:rPr>
              <w:t>Accum</w:t>
            </w:r>
            <w:proofErr w:type="spellEnd"/>
            <w:r>
              <w:rPr>
                <w:sz w:val="20"/>
                <w:szCs w:val="20"/>
              </w:rPr>
              <w:t xml:space="preserve">. Amort. Of </w:t>
            </w:r>
            <w:proofErr w:type="spellStart"/>
            <w:r>
              <w:rPr>
                <w:sz w:val="20"/>
                <w:szCs w:val="20"/>
              </w:rPr>
              <w:t>Acq</w:t>
            </w:r>
            <w:proofErr w:type="spellEnd"/>
            <w:r>
              <w:rPr>
                <w:sz w:val="20"/>
                <w:szCs w:val="20"/>
              </w:rPr>
              <w:t xml:space="preserve">. Adjustments </w:t>
            </w:r>
          </w:p>
        </w:tc>
        <w:tc>
          <w:tcPr>
            <w:tcW w:w="1150"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 xml:space="preserve">334,500 </w:t>
            </w:r>
          </w:p>
        </w:tc>
        <w:tc>
          <w:tcPr>
            <w:tcW w:w="1236"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 xml:space="preserve">0 </w:t>
            </w:r>
          </w:p>
        </w:tc>
        <w:tc>
          <w:tcPr>
            <w:tcW w:w="1150"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 xml:space="preserve">334,500 </w:t>
            </w:r>
          </w:p>
        </w:tc>
        <w:tc>
          <w:tcPr>
            <w:tcW w:w="966" w:type="dxa"/>
            <w:tcBorders>
              <w:top w:val="nil"/>
              <w:left w:val="nil"/>
              <w:bottom w:val="nil"/>
              <w:right w:val="nil"/>
            </w:tcBorders>
            <w:shd w:val="clear" w:color="000000" w:fill="FFFFFF"/>
            <w:noWrap/>
            <w:vAlign w:val="bottom"/>
            <w:hideMark/>
          </w:tcPr>
          <w:p w:rsidR="00E34A71" w:rsidRDefault="00E34A71" w:rsidP="00120875">
            <w:pPr>
              <w:jc w:val="right"/>
              <w:rPr>
                <w:sz w:val="20"/>
                <w:szCs w:val="20"/>
              </w:rPr>
            </w:pPr>
            <w:r>
              <w:rPr>
                <w:sz w:val="20"/>
                <w:szCs w:val="20"/>
              </w:rPr>
              <w:t xml:space="preserve">0 </w:t>
            </w:r>
          </w:p>
        </w:tc>
        <w:tc>
          <w:tcPr>
            <w:tcW w:w="1340" w:type="dxa"/>
            <w:tcBorders>
              <w:top w:val="nil"/>
              <w:left w:val="nil"/>
              <w:bottom w:val="nil"/>
              <w:right w:val="single" w:sz="4" w:space="0" w:color="auto"/>
            </w:tcBorders>
            <w:shd w:val="clear" w:color="000000" w:fill="FFFFFF"/>
            <w:noWrap/>
            <w:vAlign w:val="bottom"/>
            <w:hideMark/>
          </w:tcPr>
          <w:p w:rsidR="00E34A71" w:rsidRDefault="00E34A71" w:rsidP="00120875">
            <w:pPr>
              <w:jc w:val="right"/>
              <w:rPr>
                <w:sz w:val="20"/>
                <w:szCs w:val="20"/>
              </w:rPr>
            </w:pPr>
            <w:r>
              <w:rPr>
                <w:sz w:val="20"/>
                <w:szCs w:val="20"/>
              </w:rPr>
              <w:t xml:space="preserve">334,500 </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jc w:val="center"/>
              <w:rPr>
                <w:sz w:val="20"/>
                <w:szCs w:val="20"/>
              </w:rPr>
            </w:pPr>
            <w:r>
              <w:rPr>
                <w:sz w:val="20"/>
                <w:szCs w:val="20"/>
              </w:rPr>
              <w:t> </w:t>
            </w:r>
          </w:p>
        </w:tc>
        <w:tc>
          <w:tcPr>
            <w:tcW w:w="389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150" w:type="dxa"/>
            <w:tcBorders>
              <w:top w:val="nil"/>
              <w:left w:val="nil"/>
              <w:bottom w:val="nil"/>
              <w:right w:val="nil"/>
            </w:tcBorders>
            <w:shd w:val="clear" w:color="000000" w:fill="FFFFFF"/>
            <w:noWrap/>
            <w:vAlign w:val="bottom"/>
            <w:hideMark/>
          </w:tcPr>
          <w:p w:rsidR="00E34A71" w:rsidRDefault="00E34A71" w:rsidP="00120875">
            <w:pPr>
              <w:rPr>
                <w:color w:val="FFFFFF"/>
                <w:sz w:val="20"/>
                <w:szCs w:val="20"/>
              </w:rPr>
            </w:pPr>
            <w:r>
              <w:rPr>
                <w:color w:val="FFFFFF"/>
                <w:sz w:val="20"/>
                <w:szCs w:val="20"/>
              </w:rPr>
              <w:t> </w:t>
            </w:r>
          </w:p>
        </w:tc>
        <w:tc>
          <w:tcPr>
            <w:tcW w:w="123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150"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96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1340" w:type="dxa"/>
            <w:tcBorders>
              <w:top w:val="nil"/>
              <w:left w:val="nil"/>
              <w:bottom w:val="nil"/>
              <w:right w:val="single" w:sz="4" w:space="0" w:color="auto"/>
            </w:tcBorders>
            <w:shd w:val="clear" w:color="000000" w:fill="FFFFFF"/>
            <w:noWrap/>
            <w:vAlign w:val="bottom"/>
            <w:hideMark/>
          </w:tcPr>
          <w:p w:rsidR="00E34A71" w:rsidRDefault="00E34A71" w:rsidP="00120875">
            <w:pPr>
              <w:rPr>
                <w:sz w:val="20"/>
                <w:szCs w:val="20"/>
              </w:rPr>
            </w:pPr>
            <w:r>
              <w:rPr>
                <w:sz w:val="20"/>
                <w:szCs w:val="20"/>
              </w:rPr>
              <w:t> </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jc w:val="center"/>
              <w:rPr>
                <w:sz w:val="20"/>
                <w:szCs w:val="20"/>
              </w:rPr>
            </w:pPr>
            <w:r>
              <w:rPr>
                <w:sz w:val="20"/>
                <w:szCs w:val="20"/>
              </w:rPr>
              <w:t>9</w:t>
            </w:r>
          </w:p>
        </w:tc>
        <w:tc>
          <w:tcPr>
            <w:tcW w:w="3896" w:type="dxa"/>
            <w:tcBorders>
              <w:top w:val="nil"/>
              <w:left w:val="nil"/>
              <w:bottom w:val="nil"/>
              <w:right w:val="nil"/>
            </w:tcBorders>
            <w:shd w:val="clear" w:color="000000" w:fill="FFFFFF"/>
            <w:noWrap/>
            <w:vAlign w:val="bottom"/>
            <w:hideMark/>
          </w:tcPr>
          <w:p w:rsidR="00E34A71" w:rsidRDefault="00E34A71" w:rsidP="00120875">
            <w:pPr>
              <w:rPr>
                <w:sz w:val="20"/>
                <w:szCs w:val="20"/>
              </w:rPr>
            </w:pPr>
            <w:r>
              <w:rPr>
                <w:sz w:val="20"/>
                <w:szCs w:val="20"/>
              </w:rPr>
              <w:t>Working Capital Allowance</w:t>
            </w:r>
          </w:p>
        </w:tc>
        <w:tc>
          <w:tcPr>
            <w:tcW w:w="1150" w:type="dxa"/>
            <w:tcBorders>
              <w:top w:val="nil"/>
              <w:left w:val="nil"/>
              <w:bottom w:val="nil"/>
              <w:right w:val="nil"/>
            </w:tcBorders>
            <w:shd w:val="clear" w:color="000000" w:fill="FFFFFF"/>
            <w:noWrap/>
            <w:vAlign w:val="bottom"/>
            <w:hideMark/>
          </w:tcPr>
          <w:p w:rsidR="00E34A71" w:rsidRPr="0059480F" w:rsidRDefault="00E34A71" w:rsidP="00120875">
            <w:pPr>
              <w:jc w:val="right"/>
              <w:rPr>
                <w:sz w:val="20"/>
                <w:szCs w:val="20"/>
                <w:u w:val="single"/>
              </w:rPr>
            </w:pPr>
            <w:r w:rsidRPr="0059480F">
              <w:rPr>
                <w:sz w:val="20"/>
                <w:szCs w:val="20"/>
                <w:u w:val="single"/>
              </w:rPr>
              <w:t xml:space="preserve">0 </w:t>
            </w:r>
          </w:p>
        </w:tc>
        <w:tc>
          <w:tcPr>
            <w:tcW w:w="1236" w:type="dxa"/>
            <w:tcBorders>
              <w:top w:val="nil"/>
              <w:left w:val="nil"/>
              <w:bottom w:val="nil"/>
              <w:right w:val="nil"/>
            </w:tcBorders>
            <w:shd w:val="clear" w:color="000000" w:fill="FFFFFF"/>
            <w:noWrap/>
            <w:vAlign w:val="bottom"/>
            <w:hideMark/>
          </w:tcPr>
          <w:p w:rsidR="00E34A71" w:rsidRPr="0059480F" w:rsidRDefault="00E34A71" w:rsidP="00120875">
            <w:pPr>
              <w:jc w:val="right"/>
              <w:rPr>
                <w:sz w:val="20"/>
                <w:szCs w:val="20"/>
                <w:u w:val="single"/>
              </w:rPr>
            </w:pPr>
            <w:r w:rsidRPr="0059480F">
              <w:rPr>
                <w:sz w:val="20"/>
                <w:szCs w:val="20"/>
                <w:u w:val="single"/>
              </w:rPr>
              <w:t xml:space="preserve">48,299 </w:t>
            </w:r>
          </w:p>
        </w:tc>
        <w:tc>
          <w:tcPr>
            <w:tcW w:w="1150" w:type="dxa"/>
            <w:tcBorders>
              <w:top w:val="nil"/>
              <w:left w:val="nil"/>
              <w:bottom w:val="nil"/>
              <w:right w:val="nil"/>
            </w:tcBorders>
            <w:shd w:val="clear" w:color="000000" w:fill="FFFFFF"/>
            <w:noWrap/>
            <w:vAlign w:val="bottom"/>
            <w:hideMark/>
          </w:tcPr>
          <w:p w:rsidR="00E34A71" w:rsidRPr="0059480F" w:rsidRDefault="00E34A71" w:rsidP="00120875">
            <w:pPr>
              <w:jc w:val="right"/>
              <w:rPr>
                <w:sz w:val="20"/>
                <w:szCs w:val="20"/>
                <w:u w:val="single"/>
              </w:rPr>
            </w:pPr>
            <w:r w:rsidRPr="0059480F">
              <w:rPr>
                <w:sz w:val="20"/>
                <w:szCs w:val="20"/>
                <w:u w:val="single"/>
              </w:rPr>
              <w:t xml:space="preserve">48,299 </w:t>
            </w:r>
          </w:p>
        </w:tc>
        <w:tc>
          <w:tcPr>
            <w:tcW w:w="966" w:type="dxa"/>
            <w:tcBorders>
              <w:top w:val="nil"/>
              <w:left w:val="nil"/>
              <w:bottom w:val="nil"/>
              <w:right w:val="nil"/>
            </w:tcBorders>
            <w:shd w:val="clear" w:color="000000" w:fill="FFFFFF"/>
            <w:noWrap/>
            <w:vAlign w:val="bottom"/>
            <w:hideMark/>
          </w:tcPr>
          <w:p w:rsidR="00E34A71" w:rsidRPr="0059480F" w:rsidRDefault="00E34A71" w:rsidP="00120875">
            <w:pPr>
              <w:jc w:val="right"/>
              <w:rPr>
                <w:sz w:val="20"/>
                <w:szCs w:val="20"/>
                <w:u w:val="single"/>
              </w:rPr>
            </w:pPr>
            <w:r w:rsidRPr="0059480F">
              <w:rPr>
                <w:sz w:val="20"/>
                <w:szCs w:val="20"/>
                <w:u w:val="single"/>
              </w:rPr>
              <w:t xml:space="preserve">1,586 </w:t>
            </w:r>
          </w:p>
        </w:tc>
        <w:tc>
          <w:tcPr>
            <w:tcW w:w="1340" w:type="dxa"/>
            <w:tcBorders>
              <w:top w:val="nil"/>
              <w:left w:val="nil"/>
              <w:bottom w:val="nil"/>
              <w:right w:val="single" w:sz="4" w:space="0" w:color="auto"/>
            </w:tcBorders>
            <w:shd w:val="clear" w:color="000000" w:fill="FFFFFF"/>
            <w:noWrap/>
            <w:vAlign w:val="bottom"/>
            <w:hideMark/>
          </w:tcPr>
          <w:p w:rsidR="00E34A71" w:rsidRPr="0059480F" w:rsidRDefault="00E34A71" w:rsidP="00120875">
            <w:pPr>
              <w:jc w:val="right"/>
              <w:rPr>
                <w:sz w:val="20"/>
                <w:szCs w:val="20"/>
                <w:u w:val="single"/>
              </w:rPr>
            </w:pPr>
            <w:r w:rsidRPr="0059480F">
              <w:rPr>
                <w:sz w:val="20"/>
                <w:szCs w:val="20"/>
                <w:u w:val="single"/>
              </w:rPr>
              <w:t xml:space="preserve">49,885 </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rPr>
                <w:sz w:val="20"/>
                <w:szCs w:val="20"/>
              </w:rPr>
            </w:pPr>
            <w:r>
              <w:rPr>
                <w:sz w:val="20"/>
                <w:szCs w:val="20"/>
              </w:rPr>
              <w:t> </w:t>
            </w:r>
          </w:p>
        </w:tc>
        <w:tc>
          <w:tcPr>
            <w:tcW w:w="3896" w:type="dxa"/>
            <w:tcBorders>
              <w:top w:val="nil"/>
              <w:left w:val="nil"/>
              <w:bottom w:val="nil"/>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1150" w:type="dxa"/>
            <w:tcBorders>
              <w:top w:val="nil"/>
              <w:left w:val="nil"/>
              <w:bottom w:val="nil"/>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1236" w:type="dxa"/>
            <w:tcBorders>
              <w:top w:val="nil"/>
              <w:left w:val="nil"/>
              <w:bottom w:val="nil"/>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1150" w:type="dxa"/>
            <w:tcBorders>
              <w:top w:val="nil"/>
              <w:left w:val="nil"/>
              <w:bottom w:val="nil"/>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966" w:type="dxa"/>
            <w:tcBorders>
              <w:top w:val="nil"/>
              <w:left w:val="nil"/>
              <w:bottom w:val="nil"/>
              <w:right w:val="nil"/>
            </w:tcBorders>
            <w:shd w:val="clear" w:color="000000" w:fill="FFFFFF"/>
            <w:noWrap/>
            <w:vAlign w:val="bottom"/>
            <w:hideMark/>
          </w:tcPr>
          <w:p w:rsidR="00E34A71" w:rsidRDefault="00E34A71" w:rsidP="00120875">
            <w:pPr>
              <w:rPr>
                <w:color w:val="000000"/>
                <w:sz w:val="20"/>
                <w:szCs w:val="20"/>
              </w:rPr>
            </w:pPr>
            <w:r>
              <w:rPr>
                <w:color w:val="000000"/>
                <w:sz w:val="20"/>
                <w:szCs w:val="20"/>
              </w:rPr>
              <w:t> </w:t>
            </w:r>
          </w:p>
        </w:tc>
        <w:tc>
          <w:tcPr>
            <w:tcW w:w="1340" w:type="dxa"/>
            <w:tcBorders>
              <w:top w:val="nil"/>
              <w:left w:val="nil"/>
              <w:bottom w:val="nil"/>
              <w:right w:val="single" w:sz="4" w:space="0" w:color="auto"/>
            </w:tcBorders>
            <w:shd w:val="clear" w:color="000000" w:fill="FFFFFF"/>
            <w:noWrap/>
            <w:vAlign w:val="bottom"/>
            <w:hideMark/>
          </w:tcPr>
          <w:p w:rsidR="00E34A71" w:rsidRDefault="00E34A71" w:rsidP="00120875">
            <w:pPr>
              <w:rPr>
                <w:sz w:val="20"/>
                <w:szCs w:val="20"/>
              </w:rPr>
            </w:pPr>
            <w:r>
              <w:rPr>
                <w:sz w:val="20"/>
                <w:szCs w:val="20"/>
              </w:rPr>
              <w:t> </w:t>
            </w:r>
          </w:p>
        </w:tc>
      </w:tr>
      <w:tr w:rsidR="00E34A71" w:rsidTr="00E34A71">
        <w:trPr>
          <w:trHeight w:val="270"/>
        </w:trPr>
        <w:tc>
          <w:tcPr>
            <w:tcW w:w="416" w:type="dxa"/>
            <w:tcBorders>
              <w:top w:val="nil"/>
              <w:left w:val="single" w:sz="4" w:space="0" w:color="auto"/>
              <w:bottom w:val="nil"/>
              <w:right w:val="nil"/>
            </w:tcBorders>
            <w:shd w:val="clear" w:color="000000" w:fill="FFFFFF"/>
            <w:noWrap/>
            <w:vAlign w:val="bottom"/>
            <w:hideMark/>
          </w:tcPr>
          <w:p w:rsidR="00E34A71" w:rsidRDefault="00E34A71" w:rsidP="00120875">
            <w:pPr>
              <w:jc w:val="right"/>
              <w:rPr>
                <w:sz w:val="20"/>
                <w:szCs w:val="20"/>
              </w:rPr>
            </w:pPr>
            <w:r>
              <w:rPr>
                <w:sz w:val="20"/>
                <w:szCs w:val="20"/>
              </w:rPr>
              <w:t>10</w:t>
            </w:r>
          </w:p>
        </w:tc>
        <w:tc>
          <w:tcPr>
            <w:tcW w:w="3896" w:type="dxa"/>
            <w:tcBorders>
              <w:top w:val="nil"/>
              <w:left w:val="nil"/>
              <w:bottom w:val="nil"/>
              <w:right w:val="nil"/>
            </w:tcBorders>
            <w:shd w:val="clear" w:color="000000" w:fill="FFFFFF"/>
            <w:noWrap/>
            <w:vAlign w:val="bottom"/>
            <w:hideMark/>
          </w:tcPr>
          <w:p w:rsidR="00E34A71" w:rsidRDefault="00E34A71" w:rsidP="00120875">
            <w:pPr>
              <w:rPr>
                <w:b/>
                <w:bCs/>
                <w:sz w:val="20"/>
                <w:szCs w:val="20"/>
              </w:rPr>
            </w:pPr>
            <w:r>
              <w:rPr>
                <w:b/>
                <w:bCs/>
                <w:sz w:val="20"/>
                <w:szCs w:val="20"/>
              </w:rPr>
              <w:t>Rate Base</w:t>
            </w:r>
          </w:p>
        </w:tc>
        <w:tc>
          <w:tcPr>
            <w:tcW w:w="1150" w:type="dxa"/>
            <w:tcBorders>
              <w:top w:val="nil"/>
              <w:left w:val="nil"/>
              <w:bottom w:val="nil"/>
              <w:right w:val="nil"/>
            </w:tcBorders>
            <w:shd w:val="clear" w:color="000000" w:fill="FFFFFF"/>
            <w:noWrap/>
            <w:vAlign w:val="bottom"/>
            <w:hideMark/>
          </w:tcPr>
          <w:p w:rsidR="00E34A71" w:rsidRDefault="00E34A71" w:rsidP="00120875">
            <w:pPr>
              <w:jc w:val="right"/>
              <w:rPr>
                <w:sz w:val="20"/>
                <w:szCs w:val="20"/>
                <w:u w:val="double"/>
              </w:rPr>
            </w:pPr>
            <w:r>
              <w:rPr>
                <w:sz w:val="20"/>
                <w:szCs w:val="20"/>
                <w:u w:val="double"/>
              </w:rPr>
              <w:t xml:space="preserve">$2,555,030 </w:t>
            </w:r>
          </w:p>
        </w:tc>
        <w:tc>
          <w:tcPr>
            <w:tcW w:w="1236" w:type="dxa"/>
            <w:tcBorders>
              <w:top w:val="nil"/>
              <w:left w:val="nil"/>
              <w:bottom w:val="nil"/>
              <w:right w:val="nil"/>
            </w:tcBorders>
            <w:shd w:val="clear" w:color="000000" w:fill="FFFFFF"/>
            <w:noWrap/>
            <w:vAlign w:val="bottom"/>
            <w:hideMark/>
          </w:tcPr>
          <w:p w:rsidR="00E34A71" w:rsidRDefault="00E34A71" w:rsidP="00120875">
            <w:pPr>
              <w:jc w:val="right"/>
              <w:rPr>
                <w:sz w:val="20"/>
                <w:szCs w:val="20"/>
                <w:u w:val="double"/>
              </w:rPr>
            </w:pPr>
            <w:r>
              <w:rPr>
                <w:sz w:val="20"/>
                <w:szCs w:val="20"/>
                <w:u w:val="double"/>
              </w:rPr>
              <w:t xml:space="preserve">$455,068 </w:t>
            </w:r>
          </w:p>
        </w:tc>
        <w:tc>
          <w:tcPr>
            <w:tcW w:w="1150" w:type="dxa"/>
            <w:tcBorders>
              <w:top w:val="nil"/>
              <w:left w:val="nil"/>
              <w:bottom w:val="nil"/>
              <w:right w:val="nil"/>
            </w:tcBorders>
            <w:shd w:val="clear" w:color="000000" w:fill="FFFFFF"/>
            <w:noWrap/>
            <w:vAlign w:val="bottom"/>
            <w:hideMark/>
          </w:tcPr>
          <w:p w:rsidR="00E34A71" w:rsidRDefault="00E34A71" w:rsidP="00120875">
            <w:pPr>
              <w:jc w:val="right"/>
              <w:rPr>
                <w:sz w:val="20"/>
                <w:szCs w:val="20"/>
                <w:u w:val="double"/>
              </w:rPr>
            </w:pPr>
            <w:r>
              <w:rPr>
                <w:sz w:val="20"/>
                <w:szCs w:val="20"/>
                <w:u w:val="double"/>
              </w:rPr>
              <w:t xml:space="preserve">$3,010,098 </w:t>
            </w:r>
          </w:p>
        </w:tc>
        <w:tc>
          <w:tcPr>
            <w:tcW w:w="966" w:type="dxa"/>
            <w:tcBorders>
              <w:top w:val="nil"/>
              <w:left w:val="nil"/>
              <w:bottom w:val="nil"/>
              <w:right w:val="nil"/>
            </w:tcBorders>
            <w:shd w:val="clear" w:color="000000" w:fill="FFFFFF"/>
            <w:noWrap/>
            <w:vAlign w:val="bottom"/>
            <w:hideMark/>
          </w:tcPr>
          <w:p w:rsidR="00E34A71" w:rsidRDefault="00E34A71" w:rsidP="00120875">
            <w:pPr>
              <w:jc w:val="right"/>
              <w:rPr>
                <w:sz w:val="20"/>
                <w:szCs w:val="20"/>
                <w:u w:val="double"/>
              </w:rPr>
            </w:pPr>
            <w:r>
              <w:rPr>
                <w:sz w:val="20"/>
                <w:szCs w:val="20"/>
                <w:u w:val="double"/>
              </w:rPr>
              <w:t xml:space="preserve">$106,636 </w:t>
            </w:r>
          </w:p>
        </w:tc>
        <w:tc>
          <w:tcPr>
            <w:tcW w:w="1340" w:type="dxa"/>
            <w:tcBorders>
              <w:top w:val="nil"/>
              <w:left w:val="nil"/>
              <w:bottom w:val="nil"/>
              <w:right w:val="single" w:sz="4" w:space="0" w:color="auto"/>
            </w:tcBorders>
            <w:shd w:val="clear" w:color="000000" w:fill="FFFFFF"/>
            <w:noWrap/>
            <w:vAlign w:val="bottom"/>
            <w:hideMark/>
          </w:tcPr>
          <w:p w:rsidR="00E34A71" w:rsidRDefault="00E34A71" w:rsidP="00120875">
            <w:pPr>
              <w:jc w:val="right"/>
              <w:rPr>
                <w:sz w:val="20"/>
                <w:szCs w:val="20"/>
                <w:u w:val="double"/>
              </w:rPr>
            </w:pPr>
            <w:r>
              <w:rPr>
                <w:sz w:val="20"/>
                <w:szCs w:val="20"/>
                <w:u w:val="double"/>
              </w:rPr>
              <w:t xml:space="preserve">$3,116,734 </w:t>
            </w:r>
          </w:p>
        </w:tc>
      </w:tr>
      <w:tr w:rsidR="00E34A71" w:rsidTr="00E34A71">
        <w:trPr>
          <w:trHeight w:val="270"/>
        </w:trPr>
        <w:tc>
          <w:tcPr>
            <w:tcW w:w="416" w:type="dxa"/>
            <w:tcBorders>
              <w:top w:val="nil"/>
              <w:left w:val="single" w:sz="4" w:space="0" w:color="auto"/>
              <w:bottom w:val="single" w:sz="4" w:space="0" w:color="auto"/>
              <w:right w:val="nil"/>
            </w:tcBorders>
            <w:shd w:val="clear" w:color="000000" w:fill="FFFFFF"/>
            <w:noWrap/>
            <w:vAlign w:val="bottom"/>
          </w:tcPr>
          <w:p w:rsidR="00E34A71" w:rsidRDefault="00E34A71" w:rsidP="00120875">
            <w:pPr>
              <w:rPr>
                <w:sz w:val="20"/>
                <w:szCs w:val="20"/>
                <w:u w:val="single"/>
              </w:rPr>
            </w:pPr>
          </w:p>
        </w:tc>
        <w:tc>
          <w:tcPr>
            <w:tcW w:w="3896" w:type="dxa"/>
            <w:tcBorders>
              <w:top w:val="nil"/>
              <w:left w:val="nil"/>
              <w:bottom w:val="single" w:sz="4" w:space="0" w:color="auto"/>
              <w:right w:val="nil"/>
            </w:tcBorders>
            <w:shd w:val="clear" w:color="000000" w:fill="FFFFFF"/>
            <w:noWrap/>
            <w:vAlign w:val="bottom"/>
          </w:tcPr>
          <w:p w:rsidR="00E34A71" w:rsidRDefault="00E34A71" w:rsidP="00120875">
            <w:pPr>
              <w:rPr>
                <w:sz w:val="20"/>
                <w:szCs w:val="20"/>
                <w:u w:val="single"/>
              </w:rPr>
            </w:pPr>
          </w:p>
        </w:tc>
        <w:tc>
          <w:tcPr>
            <w:tcW w:w="1150" w:type="dxa"/>
            <w:tcBorders>
              <w:top w:val="nil"/>
              <w:left w:val="nil"/>
              <w:bottom w:val="single" w:sz="4" w:space="0" w:color="auto"/>
              <w:right w:val="nil"/>
            </w:tcBorders>
            <w:shd w:val="clear" w:color="000000" w:fill="FFFFFF"/>
            <w:noWrap/>
            <w:vAlign w:val="bottom"/>
          </w:tcPr>
          <w:p w:rsidR="00E34A71" w:rsidRDefault="00E34A71" w:rsidP="00120875">
            <w:pPr>
              <w:rPr>
                <w:sz w:val="20"/>
                <w:szCs w:val="20"/>
                <w:u w:val="single"/>
              </w:rPr>
            </w:pPr>
          </w:p>
        </w:tc>
        <w:tc>
          <w:tcPr>
            <w:tcW w:w="1236" w:type="dxa"/>
            <w:tcBorders>
              <w:top w:val="nil"/>
              <w:left w:val="nil"/>
              <w:bottom w:val="single" w:sz="4" w:space="0" w:color="auto"/>
              <w:right w:val="nil"/>
            </w:tcBorders>
            <w:shd w:val="clear" w:color="000000" w:fill="FFFFFF"/>
            <w:noWrap/>
            <w:vAlign w:val="bottom"/>
          </w:tcPr>
          <w:p w:rsidR="00E34A71" w:rsidRDefault="00E34A71" w:rsidP="00120875">
            <w:pPr>
              <w:rPr>
                <w:sz w:val="20"/>
                <w:szCs w:val="20"/>
                <w:u w:val="single"/>
              </w:rPr>
            </w:pPr>
          </w:p>
        </w:tc>
        <w:tc>
          <w:tcPr>
            <w:tcW w:w="1150" w:type="dxa"/>
            <w:tcBorders>
              <w:top w:val="nil"/>
              <w:left w:val="nil"/>
              <w:bottom w:val="single" w:sz="4" w:space="0" w:color="auto"/>
              <w:right w:val="nil"/>
            </w:tcBorders>
            <w:shd w:val="clear" w:color="000000" w:fill="FFFFFF"/>
            <w:noWrap/>
            <w:vAlign w:val="bottom"/>
          </w:tcPr>
          <w:p w:rsidR="00E34A71" w:rsidRDefault="00E34A71" w:rsidP="00120875">
            <w:pPr>
              <w:rPr>
                <w:sz w:val="20"/>
                <w:szCs w:val="20"/>
                <w:u w:val="single"/>
              </w:rPr>
            </w:pPr>
          </w:p>
        </w:tc>
        <w:tc>
          <w:tcPr>
            <w:tcW w:w="966" w:type="dxa"/>
            <w:tcBorders>
              <w:top w:val="nil"/>
              <w:left w:val="nil"/>
              <w:bottom w:val="single" w:sz="4" w:space="0" w:color="auto"/>
              <w:right w:val="nil"/>
            </w:tcBorders>
            <w:shd w:val="clear" w:color="000000" w:fill="FFFFFF"/>
            <w:noWrap/>
            <w:vAlign w:val="bottom"/>
          </w:tcPr>
          <w:p w:rsidR="00E34A71" w:rsidRDefault="00E34A71" w:rsidP="00120875">
            <w:pPr>
              <w:rPr>
                <w:sz w:val="20"/>
                <w:szCs w:val="20"/>
                <w:u w:val="single"/>
              </w:rPr>
            </w:pPr>
          </w:p>
        </w:tc>
        <w:tc>
          <w:tcPr>
            <w:tcW w:w="1340" w:type="dxa"/>
            <w:tcBorders>
              <w:top w:val="nil"/>
              <w:left w:val="nil"/>
              <w:bottom w:val="single" w:sz="4" w:space="0" w:color="auto"/>
              <w:right w:val="single" w:sz="4" w:space="0" w:color="auto"/>
            </w:tcBorders>
            <w:shd w:val="clear" w:color="000000" w:fill="FFFFFF"/>
            <w:noWrap/>
            <w:vAlign w:val="bottom"/>
          </w:tcPr>
          <w:p w:rsidR="00E34A71" w:rsidRDefault="00E34A71" w:rsidP="00120875">
            <w:pPr>
              <w:rPr>
                <w:sz w:val="20"/>
                <w:szCs w:val="20"/>
                <w:u w:val="single"/>
              </w:rPr>
            </w:pPr>
          </w:p>
        </w:tc>
      </w:tr>
    </w:tbl>
    <w:p w:rsidR="00E34A71" w:rsidRDefault="00E34A71" w:rsidP="00E34A71">
      <w:pPr>
        <w:pStyle w:val="BodyText"/>
        <w:rPr>
          <w:noProof/>
        </w:rPr>
      </w:pPr>
    </w:p>
    <w:p w:rsidR="0006580B" w:rsidRDefault="0006580B" w:rsidP="00E275D8">
      <w:pPr>
        <w:pStyle w:val="BodyText"/>
      </w:pPr>
    </w:p>
    <w:p w:rsidR="0006580B" w:rsidRDefault="0006580B" w:rsidP="00E275D8">
      <w:pPr>
        <w:pStyle w:val="BodyText"/>
        <w:sectPr w:rsidR="0006580B" w:rsidSect="0068481F">
          <w:headerReference w:type="default" r:id="rId17"/>
          <w:footerReference w:type="default" r:id="rId18"/>
          <w:pgSz w:w="12240" w:h="15840" w:code="1"/>
          <w:pgMar w:top="1584" w:right="1440" w:bottom="1440" w:left="1440" w:header="720" w:footer="720" w:gutter="0"/>
          <w:cols w:space="720"/>
          <w:formProt w:val="0"/>
          <w:docGrid w:linePitch="360"/>
        </w:sectPr>
      </w:pPr>
    </w:p>
    <w:p w:rsidR="0006580B" w:rsidRDefault="0006580B" w:rsidP="0006580B">
      <w:pPr>
        <w:pStyle w:val="BodyText"/>
        <w:jc w:val="center"/>
      </w:pPr>
      <w:r>
        <w:lastRenderedPageBreak/>
        <w:fldChar w:fldCharType="begin"/>
      </w:r>
      <w:r>
        <w:instrText xml:space="preserve"> TC "</w:instrText>
      </w:r>
      <w:bookmarkStart w:id="42" w:name="_Toc24969907"/>
      <w:bookmarkStart w:id="43" w:name="_Toc35842863"/>
      <w:r>
        <w:tab/>
      </w:r>
      <w:bookmarkStart w:id="44" w:name="_Toc38467954"/>
      <w:r>
        <w:instrText>Schedule No. 1-B</w:instrText>
      </w:r>
      <w:bookmarkEnd w:id="42"/>
      <w:r>
        <w:instrText xml:space="preserve"> – Adjustments to Rate Base</w:instrText>
      </w:r>
      <w:bookmarkEnd w:id="43"/>
      <w:bookmarkEnd w:id="44"/>
      <w:r>
        <w:instrText xml:space="preserve">" \l 1 </w:instrText>
      </w:r>
      <w:r>
        <w:fldChar w:fldCharType="end"/>
      </w:r>
    </w:p>
    <w:tbl>
      <w:tblPr>
        <w:tblW w:w="7532" w:type="dxa"/>
        <w:jc w:val="center"/>
        <w:tblLook w:val="04A0" w:firstRow="1" w:lastRow="0" w:firstColumn="1" w:lastColumn="0" w:noHBand="0" w:noVBand="1"/>
      </w:tblPr>
      <w:tblGrid>
        <w:gridCol w:w="348"/>
        <w:gridCol w:w="4916"/>
        <w:gridCol w:w="266"/>
        <w:gridCol w:w="2090"/>
        <w:gridCol w:w="266"/>
      </w:tblGrid>
      <w:tr w:rsidR="009F71FC" w:rsidTr="00BF32E3">
        <w:trPr>
          <w:trHeight w:val="255"/>
          <w:jc w:val="center"/>
        </w:trPr>
        <w:tc>
          <w:tcPr>
            <w:tcW w:w="348" w:type="dxa"/>
            <w:tcBorders>
              <w:top w:val="single" w:sz="4" w:space="0" w:color="auto"/>
              <w:left w:val="single" w:sz="4" w:space="0" w:color="auto"/>
              <w:bottom w:val="nil"/>
              <w:right w:val="nil"/>
            </w:tcBorders>
            <w:shd w:val="clear" w:color="000000" w:fill="FFFFFF"/>
            <w:noWrap/>
            <w:vAlign w:val="bottom"/>
            <w:hideMark/>
          </w:tcPr>
          <w:p w:rsidR="009F71FC" w:rsidRDefault="009F71FC" w:rsidP="00BF32E3">
            <w:pPr>
              <w:rPr>
                <w:sz w:val="20"/>
                <w:szCs w:val="20"/>
              </w:rPr>
            </w:pPr>
            <w:bookmarkStart w:id="45" w:name="RANGE!B5:D29"/>
            <w:r>
              <w:rPr>
                <w:sz w:val="20"/>
                <w:szCs w:val="20"/>
              </w:rPr>
              <w:t> </w:t>
            </w:r>
            <w:bookmarkEnd w:id="45"/>
          </w:p>
        </w:tc>
        <w:tc>
          <w:tcPr>
            <w:tcW w:w="4916" w:type="dxa"/>
            <w:tcBorders>
              <w:top w:val="single" w:sz="4" w:space="0" w:color="auto"/>
              <w:left w:val="nil"/>
              <w:bottom w:val="nil"/>
              <w:right w:val="nil"/>
            </w:tcBorders>
            <w:shd w:val="clear" w:color="000000" w:fill="FFFFFF"/>
            <w:noWrap/>
            <w:vAlign w:val="bottom"/>
            <w:hideMark/>
          </w:tcPr>
          <w:p w:rsidR="009F71FC" w:rsidRDefault="009F71FC" w:rsidP="00BF32E3">
            <w:pPr>
              <w:rPr>
                <w:b/>
                <w:bCs/>
                <w:sz w:val="20"/>
                <w:szCs w:val="20"/>
              </w:rPr>
            </w:pPr>
            <w:r>
              <w:rPr>
                <w:b/>
                <w:bCs/>
                <w:sz w:val="20"/>
                <w:szCs w:val="20"/>
              </w:rPr>
              <w:t>HC Waterworks</w:t>
            </w:r>
          </w:p>
        </w:tc>
        <w:tc>
          <w:tcPr>
            <w:tcW w:w="2268" w:type="dxa"/>
            <w:gridSpan w:val="3"/>
            <w:tcBorders>
              <w:top w:val="single" w:sz="4" w:space="0" w:color="auto"/>
              <w:left w:val="nil"/>
              <w:bottom w:val="nil"/>
              <w:right w:val="single" w:sz="4" w:space="0" w:color="000000"/>
            </w:tcBorders>
            <w:shd w:val="clear" w:color="000000" w:fill="FFFFFF"/>
            <w:noWrap/>
            <w:vAlign w:val="bottom"/>
            <w:hideMark/>
          </w:tcPr>
          <w:p w:rsidR="009F71FC" w:rsidRDefault="0004176B" w:rsidP="00BF32E3">
            <w:pPr>
              <w:jc w:val="right"/>
              <w:rPr>
                <w:b/>
                <w:bCs/>
                <w:sz w:val="20"/>
                <w:szCs w:val="20"/>
              </w:rPr>
            </w:pPr>
            <w:r w:rsidRPr="0004176B">
              <w:rPr>
                <w:b/>
                <w:bCs/>
                <w:sz w:val="20"/>
                <w:szCs w:val="20"/>
              </w:rPr>
              <w:t>Schedule No. 1-</w:t>
            </w:r>
            <w:r>
              <w:rPr>
                <w:b/>
                <w:bCs/>
                <w:sz w:val="20"/>
                <w:szCs w:val="20"/>
              </w:rPr>
              <w:t>B</w:t>
            </w:r>
          </w:p>
        </w:tc>
      </w:tr>
      <w:tr w:rsidR="009F71FC" w:rsidTr="00BF32E3">
        <w:trPr>
          <w:trHeight w:val="255"/>
          <w:jc w:val="center"/>
        </w:trPr>
        <w:tc>
          <w:tcPr>
            <w:tcW w:w="348" w:type="dxa"/>
            <w:tcBorders>
              <w:top w:val="nil"/>
              <w:left w:val="single" w:sz="4" w:space="0" w:color="auto"/>
              <w:bottom w:val="nil"/>
              <w:right w:val="nil"/>
            </w:tcBorders>
            <w:shd w:val="clear" w:color="000000" w:fill="FFFFFF"/>
            <w:noWrap/>
            <w:vAlign w:val="bottom"/>
            <w:hideMark/>
          </w:tcPr>
          <w:p w:rsidR="009F71FC" w:rsidRDefault="009F71FC" w:rsidP="00BF32E3">
            <w:pPr>
              <w:rPr>
                <w:sz w:val="20"/>
                <w:szCs w:val="20"/>
              </w:rPr>
            </w:pPr>
            <w:r>
              <w:rPr>
                <w:sz w:val="20"/>
                <w:szCs w:val="20"/>
              </w:rPr>
              <w:t> </w:t>
            </w:r>
          </w:p>
        </w:tc>
        <w:tc>
          <w:tcPr>
            <w:tcW w:w="4916" w:type="dxa"/>
            <w:tcBorders>
              <w:top w:val="nil"/>
              <w:left w:val="nil"/>
              <w:bottom w:val="nil"/>
              <w:right w:val="nil"/>
            </w:tcBorders>
            <w:shd w:val="clear" w:color="000000" w:fill="FFFFFF"/>
            <w:noWrap/>
            <w:vAlign w:val="bottom"/>
            <w:hideMark/>
          </w:tcPr>
          <w:p w:rsidR="009F71FC" w:rsidRDefault="009F71FC" w:rsidP="00BF32E3">
            <w:pPr>
              <w:rPr>
                <w:b/>
                <w:bCs/>
                <w:sz w:val="20"/>
                <w:szCs w:val="20"/>
              </w:rPr>
            </w:pPr>
            <w:r>
              <w:rPr>
                <w:b/>
                <w:bCs/>
                <w:sz w:val="20"/>
                <w:szCs w:val="20"/>
              </w:rPr>
              <w:t>Adjustments to Rate Base</w:t>
            </w:r>
          </w:p>
        </w:tc>
        <w:tc>
          <w:tcPr>
            <w:tcW w:w="2268" w:type="dxa"/>
            <w:gridSpan w:val="3"/>
            <w:tcBorders>
              <w:top w:val="nil"/>
              <w:left w:val="nil"/>
              <w:bottom w:val="nil"/>
              <w:right w:val="single" w:sz="4" w:space="0" w:color="000000"/>
            </w:tcBorders>
            <w:shd w:val="clear" w:color="000000" w:fill="FFFFFF"/>
            <w:noWrap/>
            <w:vAlign w:val="bottom"/>
            <w:hideMark/>
          </w:tcPr>
          <w:p w:rsidR="009F71FC" w:rsidRDefault="009F71FC" w:rsidP="00BF32E3">
            <w:pPr>
              <w:jc w:val="right"/>
              <w:rPr>
                <w:b/>
                <w:bCs/>
                <w:sz w:val="20"/>
                <w:szCs w:val="20"/>
              </w:rPr>
            </w:pPr>
            <w:r>
              <w:rPr>
                <w:b/>
                <w:bCs/>
                <w:sz w:val="20"/>
                <w:szCs w:val="20"/>
              </w:rPr>
              <w:t>Docket No. 20190166-WS</w:t>
            </w:r>
          </w:p>
        </w:tc>
      </w:tr>
      <w:tr w:rsidR="009F71FC" w:rsidTr="00BF32E3">
        <w:trPr>
          <w:trHeight w:val="255"/>
          <w:jc w:val="center"/>
        </w:trPr>
        <w:tc>
          <w:tcPr>
            <w:tcW w:w="348" w:type="dxa"/>
            <w:tcBorders>
              <w:top w:val="nil"/>
              <w:left w:val="single" w:sz="4" w:space="0" w:color="auto"/>
              <w:bottom w:val="nil"/>
              <w:right w:val="nil"/>
            </w:tcBorders>
            <w:shd w:val="clear" w:color="000000" w:fill="FFFFFF"/>
            <w:noWrap/>
            <w:vAlign w:val="bottom"/>
            <w:hideMark/>
          </w:tcPr>
          <w:p w:rsidR="009F71FC" w:rsidRDefault="009F71FC" w:rsidP="00BF32E3">
            <w:pPr>
              <w:rPr>
                <w:sz w:val="20"/>
                <w:szCs w:val="20"/>
              </w:rPr>
            </w:pPr>
            <w:r>
              <w:rPr>
                <w:sz w:val="20"/>
                <w:szCs w:val="20"/>
              </w:rPr>
              <w:t> </w:t>
            </w:r>
          </w:p>
        </w:tc>
        <w:tc>
          <w:tcPr>
            <w:tcW w:w="4916" w:type="dxa"/>
            <w:tcBorders>
              <w:top w:val="nil"/>
              <w:left w:val="nil"/>
              <w:bottom w:val="nil"/>
              <w:right w:val="nil"/>
            </w:tcBorders>
            <w:shd w:val="clear" w:color="000000" w:fill="FFFFFF"/>
            <w:noWrap/>
            <w:vAlign w:val="bottom"/>
            <w:hideMark/>
          </w:tcPr>
          <w:p w:rsidR="009F71FC" w:rsidRDefault="009F71FC" w:rsidP="00BF32E3">
            <w:pPr>
              <w:rPr>
                <w:b/>
                <w:bCs/>
                <w:sz w:val="20"/>
                <w:szCs w:val="20"/>
              </w:rPr>
            </w:pPr>
            <w:r>
              <w:rPr>
                <w:b/>
                <w:bCs/>
                <w:sz w:val="20"/>
                <w:szCs w:val="20"/>
              </w:rPr>
              <w:t>Test Year Ended 06/30/19</w:t>
            </w:r>
          </w:p>
        </w:tc>
        <w:tc>
          <w:tcPr>
            <w:tcW w:w="85" w:type="dxa"/>
            <w:tcBorders>
              <w:top w:val="nil"/>
              <w:left w:val="nil"/>
              <w:bottom w:val="nil"/>
              <w:right w:val="nil"/>
            </w:tcBorders>
            <w:shd w:val="clear" w:color="000000" w:fill="FFFFFF"/>
            <w:noWrap/>
            <w:vAlign w:val="bottom"/>
            <w:hideMark/>
          </w:tcPr>
          <w:p w:rsidR="009F71FC" w:rsidRDefault="009F71FC" w:rsidP="00BF32E3">
            <w:pPr>
              <w:jc w:val="right"/>
              <w:rPr>
                <w:b/>
                <w:bCs/>
                <w:sz w:val="20"/>
                <w:szCs w:val="20"/>
              </w:rPr>
            </w:pPr>
            <w:r>
              <w:rPr>
                <w:b/>
                <w:bCs/>
                <w:sz w:val="20"/>
                <w:szCs w:val="20"/>
              </w:rPr>
              <w:t> </w:t>
            </w:r>
          </w:p>
        </w:tc>
        <w:tc>
          <w:tcPr>
            <w:tcW w:w="2090"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 </w:t>
            </w:r>
          </w:p>
        </w:tc>
        <w:tc>
          <w:tcPr>
            <w:tcW w:w="93" w:type="dxa"/>
            <w:tcBorders>
              <w:top w:val="nil"/>
              <w:left w:val="nil"/>
              <w:bottom w:val="nil"/>
              <w:right w:val="single" w:sz="4" w:space="0" w:color="auto"/>
            </w:tcBorders>
            <w:shd w:val="clear" w:color="auto" w:fill="auto"/>
            <w:noWrap/>
            <w:vAlign w:val="bottom"/>
            <w:hideMark/>
          </w:tcPr>
          <w:p w:rsidR="009F71FC" w:rsidRDefault="009F71FC" w:rsidP="00BF32E3">
            <w:pPr>
              <w:rPr>
                <w:sz w:val="20"/>
                <w:szCs w:val="20"/>
              </w:rPr>
            </w:pPr>
            <w:r>
              <w:rPr>
                <w:sz w:val="20"/>
                <w:szCs w:val="20"/>
              </w:rPr>
              <w:t> </w:t>
            </w:r>
          </w:p>
        </w:tc>
      </w:tr>
      <w:tr w:rsidR="009F71FC" w:rsidTr="00BF32E3">
        <w:trPr>
          <w:trHeight w:val="255"/>
          <w:jc w:val="center"/>
        </w:trPr>
        <w:tc>
          <w:tcPr>
            <w:tcW w:w="348" w:type="dxa"/>
            <w:tcBorders>
              <w:top w:val="single" w:sz="4" w:space="0" w:color="auto"/>
              <w:left w:val="single" w:sz="4" w:space="0" w:color="auto"/>
              <w:bottom w:val="nil"/>
              <w:right w:val="nil"/>
            </w:tcBorders>
            <w:shd w:val="clear" w:color="000000" w:fill="FFFFFF"/>
            <w:noWrap/>
            <w:vAlign w:val="bottom"/>
            <w:hideMark/>
          </w:tcPr>
          <w:p w:rsidR="009F71FC" w:rsidRDefault="009F71FC" w:rsidP="00BF32E3">
            <w:pPr>
              <w:rPr>
                <w:sz w:val="20"/>
                <w:szCs w:val="20"/>
              </w:rPr>
            </w:pPr>
            <w:r>
              <w:rPr>
                <w:sz w:val="20"/>
                <w:szCs w:val="20"/>
              </w:rPr>
              <w:t> </w:t>
            </w:r>
          </w:p>
        </w:tc>
        <w:tc>
          <w:tcPr>
            <w:tcW w:w="4916" w:type="dxa"/>
            <w:tcBorders>
              <w:top w:val="single" w:sz="4" w:space="0" w:color="auto"/>
              <w:left w:val="nil"/>
              <w:bottom w:val="nil"/>
              <w:right w:val="nil"/>
            </w:tcBorders>
            <w:shd w:val="clear" w:color="000000" w:fill="FFFFFF"/>
            <w:noWrap/>
            <w:vAlign w:val="bottom"/>
            <w:hideMark/>
          </w:tcPr>
          <w:p w:rsidR="009F71FC" w:rsidRDefault="009F71FC" w:rsidP="00BF32E3">
            <w:pPr>
              <w:rPr>
                <w:sz w:val="20"/>
                <w:szCs w:val="20"/>
              </w:rPr>
            </w:pPr>
            <w:r>
              <w:rPr>
                <w:sz w:val="20"/>
                <w:szCs w:val="20"/>
              </w:rPr>
              <w:t> </w:t>
            </w:r>
          </w:p>
        </w:tc>
        <w:tc>
          <w:tcPr>
            <w:tcW w:w="85" w:type="dxa"/>
            <w:tcBorders>
              <w:top w:val="single" w:sz="4" w:space="0" w:color="auto"/>
              <w:left w:val="nil"/>
              <w:bottom w:val="nil"/>
              <w:right w:val="nil"/>
            </w:tcBorders>
            <w:shd w:val="clear" w:color="000000" w:fill="FFFFFF"/>
            <w:noWrap/>
            <w:vAlign w:val="bottom"/>
            <w:hideMark/>
          </w:tcPr>
          <w:p w:rsidR="009F71FC" w:rsidRDefault="009F71FC" w:rsidP="00BF32E3">
            <w:pPr>
              <w:rPr>
                <w:sz w:val="20"/>
                <w:szCs w:val="20"/>
              </w:rPr>
            </w:pPr>
            <w:r>
              <w:rPr>
                <w:sz w:val="20"/>
                <w:szCs w:val="20"/>
              </w:rPr>
              <w:t> </w:t>
            </w:r>
          </w:p>
        </w:tc>
        <w:tc>
          <w:tcPr>
            <w:tcW w:w="2090" w:type="dxa"/>
            <w:tcBorders>
              <w:top w:val="single" w:sz="4" w:space="0" w:color="auto"/>
              <w:left w:val="nil"/>
              <w:bottom w:val="nil"/>
              <w:right w:val="nil"/>
            </w:tcBorders>
            <w:shd w:val="clear" w:color="000000" w:fill="FFFFFF"/>
            <w:noWrap/>
            <w:vAlign w:val="bottom"/>
            <w:hideMark/>
          </w:tcPr>
          <w:p w:rsidR="009F71FC" w:rsidRDefault="009F71FC" w:rsidP="00BF32E3">
            <w:pPr>
              <w:rPr>
                <w:sz w:val="20"/>
                <w:szCs w:val="20"/>
              </w:rPr>
            </w:pPr>
            <w:r>
              <w:rPr>
                <w:sz w:val="20"/>
                <w:szCs w:val="20"/>
              </w:rPr>
              <w:t> </w:t>
            </w:r>
          </w:p>
        </w:tc>
        <w:tc>
          <w:tcPr>
            <w:tcW w:w="93" w:type="dxa"/>
            <w:tcBorders>
              <w:top w:val="single" w:sz="4" w:space="0" w:color="auto"/>
              <w:left w:val="nil"/>
              <w:bottom w:val="nil"/>
              <w:right w:val="single" w:sz="4" w:space="0" w:color="auto"/>
            </w:tcBorders>
            <w:shd w:val="clear" w:color="000000" w:fill="FFFFFF"/>
            <w:noWrap/>
            <w:vAlign w:val="bottom"/>
            <w:hideMark/>
          </w:tcPr>
          <w:p w:rsidR="009F71FC" w:rsidRDefault="009F71FC" w:rsidP="00BF32E3">
            <w:pPr>
              <w:rPr>
                <w:sz w:val="20"/>
                <w:szCs w:val="20"/>
              </w:rPr>
            </w:pPr>
            <w:r>
              <w:rPr>
                <w:sz w:val="20"/>
                <w:szCs w:val="20"/>
              </w:rPr>
              <w:t> </w:t>
            </w:r>
          </w:p>
        </w:tc>
      </w:tr>
      <w:tr w:rsidR="009F71FC" w:rsidTr="00BF32E3">
        <w:trPr>
          <w:trHeight w:val="255"/>
          <w:jc w:val="center"/>
        </w:trPr>
        <w:tc>
          <w:tcPr>
            <w:tcW w:w="348" w:type="dxa"/>
            <w:tcBorders>
              <w:top w:val="nil"/>
              <w:left w:val="single" w:sz="4" w:space="0" w:color="auto"/>
              <w:bottom w:val="nil"/>
              <w:right w:val="nil"/>
            </w:tcBorders>
            <w:shd w:val="clear" w:color="000000" w:fill="FFFFFF"/>
            <w:noWrap/>
            <w:vAlign w:val="bottom"/>
            <w:hideMark/>
          </w:tcPr>
          <w:p w:rsidR="009F71FC" w:rsidRDefault="009F71FC" w:rsidP="00BF32E3">
            <w:pPr>
              <w:rPr>
                <w:sz w:val="20"/>
                <w:szCs w:val="20"/>
              </w:rPr>
            </w:pPr>
            <w:r>
              <w:rPr>
                <w:sz w:val="20"/>
                <w:szCs w:val="20"/>
              </w:rPr>
              <w:t> </w:t>
            </w:r>
          </w:p>
        </w:tc>
        <w:tc>
          <w:tcPr>
            <w:tcW w:w="4916" w:type="dxa"/>
            <w:tcBorders>
              <w:top w:val="nil"/>
              <w:left w:val="nil"/>
              <w:bottom w:val="nil"/>
              <w:right w:val="nil"/>
            </w:tcBorders>
            <w:shd w:val="clear" w:color="000000" w:fill="FFFFFF"/>
            <w:noWrap/>
            <w:vAlign w:val="bottom"/>
            <w:hideMark/>
          </w:tcPr>
          <w:p w:rsidR="009F71FC" w:rsidRDefault="009F71FC" w:rsidP="00BF32E3">
            <w:pPr>
              <w:rPr>
                <w:b/>
                <w:bCs/>
                <w:sz w:val="20"/>
                <w:szCs w:val="20"/>
              </w:rPr>
            </w:pPr>
            <w:r>
              <w:rPr>
                <w:b/>
                <w:bCs/>
                <w:sz w:val="20"/>
                <w:szCs w:val="20"/>
              </w:rPr>
              <w:t>Explanation</w:t>
            </w:r>
          </w:p>
        </w:tc>
        <w:tc>
          <w:tcPr>
            <w:tcW w:w="85" w:type="dxa"/>
            <w:tcBorders>
              <w:top w:val="nil"/>
              <w:left w:val="nil"/>
              <w:bottom w:val="nil"/>
              <w:right w:val="nil"/>
            </w:tcBorders>
            <w:shd w:val="clear" w:color="000000" w:fill="FFFFFF"/>
            <w:noWrap/>
            <w:vAlign w:val="bottom"/>
            <w:hideMark/>
          </w:tcPr>
          <w:p w:rsidR="009F71FC" w:rsidRDefault="009F71FC" w:rsidP="00BF32E3">
            <w:pPr>
              <w:rPr>
                <w:b/>
                <w:bCs/>
                <w:sz w:val="20"/>
                <w:szCs w:val="20"/>
              </w:rPr>
            </w:pPr>
            <w:r>
              <w:rPr>
                <w:b/>
                <w:bCs/>
                <w:sz w:val="20"/>
                <w:szCs w:val="20"/>
              </w:rPr>
              <w:t> </w:t>
            </w:r>
          </w:p>
        </w:tc>
        <w:tc>
          <w:tcPr>
            <w:tcW w:w="2090" w:type="dxa"/>
            <w:tcBorders>
              <w:top w:val="nil"/>
              <w:left w:val="nil"/>
              <w:bottom w:val="nil"/>
              <w:right w:val="nil"/>
            </w:tcBorders>
            <w:shd w:val="clear" w:color="000000" w:fill="FFFFFF"/>
            <w:noWrap/>
            <w:vAlign w:val="bottom"/>
            <w:hideMark/>
          </w:tcPr>
          <w:p w:rsidR="009F71FC" w:rsidRDefault="009F71FC" w:rsidP="00BF32E3">
            <w:pPr>
              <w:jc w:val="center"/>
              <w:rPr>
                <w:b/>
                <w:bCs/>
                <w:sz w:val="20"/>
                <w:szCs w:val="20"/>
              </w:rPr>
            </w:pPr>
            <w:r>
              <w:rPr>
                <w:b/>
                <w:bCs/>
                <w:sz w:val="20"/>
                <w:szCs w:val="20"/>
              </w:rPr>
              <w:t>Water</w:t>
            </w:r>
          </w:p>
        </w:tc>
        <w:tc>
          <w:tcPr>
            <w:tcW w:w="93" w:type="dxa"/>
            <w:tcBorders>
              <w:top w:val="nil"/>
              <w:left w:val="nil"/>
              <w:bottom w:val="nil"/>
              <w:right w:val="single" w:sz="4" w:space="0" w:color="auto"/>
            </w:tcBorders>
            <w:shd w:val="clear" w:color="000000" w:fill="FFFFFF"/>
            <w:noWrap/>
            <w:vAlign w:val="bottom"/>
            <w:hideMark/>
          </w:tcPr>
          <w:p w:rsidR="009F71FC" w:rsidRDefault="009F71FC" w:rsidP="00BF32E3">
            <w:pPr>
              <w:jc w:val="center"/>
              <w:rPr>
                <w:b/>
                <w:bCs/>
                <w:sz w:val="20"/>
                <w:szCs w:val="20"/>
              </w:rPr>
            </w:pPr>
            <w:r>
              <w:rPr>
                <w:b/>
                <w:bCs/>
                <w:sz w:val="20"/>
                <w:szCs w:val="20"/>
              </w:rPr>
              <w:t> </w:t>
            </w:r>
          </w:p>
        </w:tc>
      </w:tr>
      <w:tr w:rsidR="009F71FC" w:rsidTr="00BF32E3">
        <w:trPr>
          <w:trHeight w:val="255"/>
          <w:jc w:val="center"/>
        </w:trPr>
        <w:tc>
          <w:tcPr>
            <w:tcW w:w="348" w:type="dxa"/>
            <w:tcBorders>
              <w:top w:val="nil"/>
              <w:left w:val="single" w:sz="4" w:space="0" w:color="auto"/>
              <w:bottom w:val="single" w:sz="4" w:space="0" w:color="auto"/>
              <w:right w:val="nil"/>
            </w:tcBorders>
            <w:shd w:val="clear" w:color="000000" w:fill="FFFFFF"/>
            <w:noWrap/>
            <w:vAlign w:val="bottom"/>
            <w:hideMark/>
          </w:tcPr>
          <w:p w:rsidR="009F71FC" w:rsidRDefault="009F71FC" w:rsidP="00BF32E3">
            <w:pPr>
              <w:rPr>
                <w:sz w:val="20"/>
                <w:szCs w:val="20"/>
              </w:rPr>
            </w:pPr>
            <w:r>
              <w:rPr>
                <w:sz w:val="20"/>
                <w:szCs w:val="20"/>
              </w:rPr>
              <w:t> </w:t>
            </w:r>
          </w:p>
        </w:tc>
        <w:tc>
          <w:tcPr>
            <w:tcW w:w="4916" w:type="dxa"/>
            <w:tcBorders>
              <w:top w:val="nil"/>
              <w:left w:val="nil"/>
              <w:bottom w:val="single" w:sz="4" w:space="0" w:color="auto"/>
              <w:right w:val="nil"/>
            </w:tcBorders>
            <w:shd w:val="clear" w:color="000000" w:fill="FFFFFF"/>
            <w:noWrap/>
            <w:vAlign w:val="bottom"/>
            <w:hideMark/>
          </w:tcPr>
          <w:p w:rsidR="009F71FC" w:rsidRDefault="009F71FC" w:rsidP="00BF32E3">
            <w:pPr>
              <w:rPr>
                <w:sz w:val="20"/>
                <w:szCs w:val="20"/>
              </w:rPr>
            </w:pPr>
            <w:r>
              <w:rPr>
                <w:sz w:val="20"/>
                <w:szCs w:val="20"/>
              </w:rPr>
              <w:t> </w:t>
            </w:r>
          </w:p>
        </w:tc>
        <w:tc>
          <w:tcPr>
            <w:tcW w:w="85" w:type="dxa"/>
            <w:tcBorders>
              <w:top w:val="nil"/>
              <w:left w:val="nil"/>
              <w:bottom w:val="single" w:sz="4" w:space="0" w:color="auto"/>
              <w:right w:val="nil"/>
            </w:tcBorders>
            <w:shd w:val="clear" w:color="000000" w:fill="FFFFFF"/>
            <w:noWrap/>
            <w:vAlign w:val="bottom"/>
            <w:hideMark/>
          </w:tcPr>
          <w:p w:rsidR="009F71FC" w:rsidRDefault="009F71FC" w:rsidP="00BF32E3">
            <w:pPr>
              <w:rPr>
                <w:sz w:val="20"/>
                <w:szCs w:val="20"/>
              </w:rPr>
            </w:pPr>
            <w:r>
              <w:rPr>
                <w:sz w:val="20"/>
                <w:szCs w:val="20"/>
              </w:rPr>
              <w:t> </w:t>
            </w:r>
          </w:p>
        </w:tc>
        <w:tc>
          <w:tcPr>
            <w:tcW w:w="2090" w:type="dxa"/>
            <w:tcBorders>
              <w:top w:val="nil"/>
              <w:left w:val="nil"/>
              <w:bottom w:val="single" w:sz="4" w:space="0" w:color="auto"/>
              <w:right w:val="nil"/>
            </w:tcBorders>
            <w:shd w:val="clear" w:color="000000" w:fill="FFFFFF"/>
            <w:noWrap/>
            <w:vAlign w:val="bottom"/>
            <w:hideMark/>
          </w:tcPr>
          <w:p w:rsidR="009F71FC" w:rsidRDefault="009F71FC" w:rsidP="00BF32E3">
            <w:pPr>
              <w:rPr>
                <w:sz w:val="20"/>
                <w:szCs w:val="20"/>
              </w:rPr>
            </w:pPr>
            <w:r>
              <w:rPr>
                <w:sz w:val="20"/>
                <w:szCs w:val="20"/>
              </w:rPr>
              <w:t> </w:t>
            </w:r>
          </w:p>
        </w:tc>
        <w:tc>
          <w:tcPr>
            <w:tcW w:w="93" w:type="dxa"/>
            <w:tcBorders>
              <w:top w:val="nil"/>
              <w:left w:val="nil"/>
              <w:bottom w:val="single" w:sz="4" w:space="0" w:color="auto"/>
              <w:right w:val="single" w:sz="4" w:space="0" w:color="auto"/>
            </w:tcBorders>
            <w:shd w:val="clear" w:color="000000" w:fill="FFFFFF"/>
            <w:noWrap/>
            <w:vAlign w:val="bottom"/>
            <w:hideMark/>
          </w:tcPr>
          <w:p w:rsidR="009F71FC" w:rsidRDefault="009F71FC" w:rsidP="00BF32E3">
            <w:pPr>
              <w:rPr>
                <w:sz w:val="20"/>
                <w:szCs w:val="20"/>
              </w:rPr>
            </w:pPr>
            <w:r>
              <w:rPr>
                <w:sz w:val="20"/>
                <w:szCs w:val="20"/>
              </w:rPr>
              <w:t> </w:t>
            </w:r>
          </w:p>
        </w:tc>
      </w:tr>
      <w:tr w:rsidR="009F71FC" w:rsidTr="00BF32E3">
        <w:trPr>
          <w:trHeight w:val="255"/>
          <w:jc w:val="center"/>
        </w:trPr>
        <w:tc>
          <w:tcPr>
            <w:tcW w:w="348" w:type="dxa"/>
            <w:tcBorders>
              <w:top w:val="nil"/>
              <w:left w:val="single" w:sz="4" w:space="0" w:color="auto"/>
              <w:bottom w:val="nil"/>
              <w:right w:val="nil"/>
            </w:tcBorders>
            <w:shd w:val="clear" w:color="000000" w:fill="FFFFFF"/>
            <w:noWrap/>
            <w:vAlign w:val="bottom"/>
            <w:hideMark/>
          </w:tcPr>
          <w:p w:rsidR="009F71FC" w:rsidRDefault="009F71FC" w:rsidP="00BF32E3">
            <w:pPr>
              <w:jc w:val="center"/>
              <w:rPr>
                <w:sz w:val="20"/>
                <w:szCs w:val="20"/>
              </w:rPr>
            </w:pPr>
            <w:r>
              <w:rPr>
                <w:sz w:val="20"/>
                <w:szCs w:val="20"/>
              </w:rPr>
              <w:t> </w:t>
            </w:r>
          </w:p>
        </w:tc>
        <w:tc>
          <w:tcPr>
            <w:tcW w:w="4916"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 </w:t>
            </w:r>
          </w:p>
        </w:tc>
        <w:tc>
          <w:tcPr>
            <w:tcW w:w="85" w:type="dxa"/>
            <w:tcBorders>
              <w:top w:val="nil"/>
              <w:left w:val="nil"/>
              <w:bottom w:val="nil"/>
              <w:right w:val="nil"/>
            </w:tcBorders>
            <w:shd w:val="clear" w:color="000000" w:fill="FFFFFF"/>
            <w:noWrap/>
            <w:vAlign w:val="bottom"/>
            <w:hideMark/>
          </w:tcPr>
          <w:p w:rsidR="009F71FC" w:rsidRDefault="009F71FC" w:rsidP="00BF32E3">
            <w:pPr>
              <w:rPr>
                <w:color w:val="000000"/>
                <w:sz w:val="20"/>
                <w:szCs w:val="20"/>
              </w:rPr>
            </w:pPr>
            <w:r>
              <w:rPr>
                <w:color w:val="000000"/>
                <w:sz w:val="20"/>
                <w:szCs w:val="20"/>
              </w:rPr>
              <w:t> </w:t>
            </w:r>
          </w:p>
        </w:tc>
        <w:tc>
          <w:tcPr>
            <w:tcW w:w="2090"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 </w:t>
            </w:r>
          </w:p>
        </w:tc>
        <w:tc>
          <w:tcPr>
            <w:tcW w:w="93" w:type="dxa"/>
            <w:tcBorders>
              <w:top w:val="nil"/>
              <w:left w:val="nil"/>
              <w:bottom w:val="nil"/>
              <w:right w:val="single" w:sz="4" w:space="0" w:color="auto"/>
            </w:tcBorders>
            <w:shd w:val="clear" w:color="auto" w:fill="auto"/>
            <w:noWrap/>
            <w:vAlign w:val="bottom"/>
            <w:hideMark/>
          </w:tcPr>
          <w:p w:rsidR="009F71FC" w:rsidRDefault="009F71FC" w:rsidP="00BF32E3">
            <w:pPr>
              <w:rPr>
                <w:sz w:val="20"/>
                <w:szCs w:val="20"/>
              </w:rPr>
            </w:pPr>
            <w:r>
              <w:rPr>
                <w:sz w:val="20"/>
                <w:szCs w:val="20"/>
              </w:rPr>
              <w:t> </w:t>
            </w:r>
          </w:p>
        </w:tc>
      </w:tr>
      <w:tr w:rsidR="009F71FC" w:rsidTr="00BF32E3">
        <w:trPr>
          <w:trHeight w:val="255"/>
          <w:jc w:val="center"/>
        </w:trPr>
        <w:tc>
          <w:tcPr>
            <w:tcW w:w="348" w:type="dxa"/>
            <w:tcBorders>
              <w:top w:val="nil"/>
              <w:left w:val="single" w:sz="4" w:space="0" w:color="auto"/>
              <w:bottom w:val="nil"/>
              <w:right w:val="nil"/>
            </w:tcBorders>
            <w:shd w:val="clear" w:color="000000" w:fill="FFFFFF"/>
            <w:noWrap/>
            <w:vAlign w:val="bottom"/>
            <w:hideMark/>
          </w:tcPr>
          <w:p w:rsidR="009F71FC" w:rsidRDefault="009F71FC" w:rsidP="00BF32E3">
            <w:pPr>
              <w:jc w:val="center"/>
              <w:rPr>
                <w:sz w:val="20"/>
                <w:szCs w:val="20"/>
              </w:rPr>
            </w:pPr>
            <w:r>
              <w:rPr>
                <w:sz w:val="20"/>
                <w:szCs w:val="20"/>
              </w:rPr>
              <w:t> </w:t>
            </w:r>
          </w:p>
        </w:tc>
        <w:tc>
          <w:tcPr>
            <w:tcW w:w="4916" w:type="dxa"/>
            <w:tcBorders>
              <w:top w:val="nil"/>
              <w:left w:val="nil"/>
              <w:bottom w:val="nil"/>
              <w:right w:val="nil"/>
            </w:tcBorders>
            <w:shd w:val="clear" w:color="000000" w:fill="FFFFFF"/>
            <w:noWrap/>
            <w:vAlign w:val="bottom"/>
            <w:hideMark/>
          </w:tcPr>
          <w:p w:rsidR="009F71FC" w:rsidRDefault="009F71FC" w:rsidP="00BF32E3">
            <w:pPr>
              <w:rPr>
                <w:sz w:val="20"/>
                <w:szCs w:val="20"/>
                <w:u w:val="single"/>
              </w:rPr>
            </w:pPr>
            <w:r>
              <w:rPr>
                <w:sz w:val="20"/>
                <w:szCs w:val="20"/>
                <w:u w:val="single"/>
              </w:rPr>
              <w:t>Plant In Service</w:t>
            </w:r>
          </w:p>
        </w:tc>
        <w:tc>
          <w:tcPr>
            <w:tcW w:w="85" w:type="dxa"/>
            <w:tcBorders>
              <w:top w:val="nil"/>
              <w:left w:val="nil"/>
              <w:bottom w:val="nil"/>
              <w:right w:val="nil"/>
            </w:tcBorders>
            <w:shd w:val="clear" w:color="000000" w:fill="FFFFFF"/>
            <w:noWrap/>
            <w:vAlign w:val="bottom"/>
            <w:hideMark/>
          </w:tcPr>
          <w:p w:rsidR="009F71FC" w:rsidRDefault="009F71FC" w:rsidP="00BF32E3">
            <w:pPr>
              <w:rPr>
                <w:color w:val="000000"/>
                <w:sz w:val="20"/>
                <w:szCs w:val="20"/>
              </w:rPr>
            </w:pPr>
            <w:r>
              <w:rPr>
                <w:color w:val="000000"/>
                <w:sz w:val="20"/>
                <w:szCs w:val="20"/>
              </w:rPr>
              <w:t> </w:t>
            </w:r>
          </w:p>
        </w:tc>
        <w:tc>
          <w:tcPr>
            <w:tcW w:w="2090"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 </w:t>
            </w:r>
          </w:p>
        </w:tc>
        <w:tc>
          <w:tcPr>
            <w:tcW w:w="93" w:type="dxa"/>
            <w:tcBorders>
              <w:top w:val="nil"/>
              <w:left w:val="nil"/>
              <w:bottom w:val="nil"/>
              <w:right w:val="single" w:sz="4" w:space="0" w:color="auto"/>
            </w:tcBorders>
            <w:shd w:val="clear" w:color="auto" w:fill="auto"/>
            <w:noWrap/>
            <w:vAlign w:val="bottom"/>
            <w:hideMark/>
          </w:tcPr>
          <w:p w:rsidR="009F71FC" w:rsidRDefault="009F71FC" w:rsidP="00BF32E3">
            <w:pPr>
              <w:rPr>
                <w:sz w:val="20"/>
                <w:szCs w:val="20"/>
              </w:rPr>
            </w:pPr>
            <w:r>
              <w:rPr>
                <w:sz w:val="20"/>
                <w:szCs w:val="20"/>
              </w:rPr>
              <w:t> </w:t>
            </w:r>
          </w:p>
        </w:tc>
      </w:tr>
      <w:tr w:rsidR="009F71FC" w:rsidTr="00BF32E3">
        <w:trPr>
          <w:trHeight w:val="255"/>
          <w:jc w:val="center"/>
        </w:trPr>
        <w:tc>
          <w:tcPr>
            <w:tcW w:w="348" w:type="dxa"/>
            <w:tcBorders>
              <w:top w:val="nil"/>
              <w:left w:val="single" w:sz="4" w:space="0" w:color="auto"/>
              <w:bottom w:val="nil"/>
              <w:right w:val="nil"/>
            </w:tcBorders>
            <w:shd w:val="clear" w:color="000000" w:fill="FFFFFF"/>
            <w:noWrap/>
            <w:vAlign w:val="bottom"/>
            <w:hideMark/>
          </w:tcPr>
          <w:p w:rsidR="009F71FC" w:rsidRDefault="009F71FC" w:rsidP="00BF32E3">
            <w:pPr>
              <w:jc w:val="center"/>
              <w:rPr>
                <w:sz w:val="20"/>
                <w:szCs w:val="20"/>
              </w:rPr>
            </w:pPr>
            <w:r>
              <w:rPr>
                <w:sz w:val="20"/>
                <w:szCs w:val="20"/>
              </w:rPr>
              <w:t>1</w:t>
            </w:r>
          </w:p>
        </w:tc>
        <w:tc>
          <w:tcPr>
            <w:tcW w:w="4916"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Per Audit.</w:t>
            </w:r>
          </w:p>
        </w:tc>
        <w:tc>
          <w:tcPr>
            <w:tcW w:w="85" w:type="dxa"/>
            <w:tcBorders>
              <w:top w:val="nil"/>
              <w:left w:val="nil"/>
              <w:bottom w:val="nil"/>
              <w:right w:val="nil"/>
            </w:tcBorders>
            <w:shd w:val="clear" w:color="000000" w:fill="FFFFFF"/>
            <w:noWrap/>
            <w:vAlign w:val="bottom"/>
            <w:hideMark/>
          </w:tcPr>
          <w:p w:rsidR="009F71FC" w:rsidRDefault="009F71FC" w:rsidP="00BF32E3">
            <w:pPr>
              <w:rPr>
                <w:color w:val="000000"/>
                <w:sz w:val="20"/>
                <w:szCs w:val="20"/>
              </w:rPr>
            </w:pPr>
            <w:r>
              <w:rPr>
                <w:color w:val="000000"/>
                <w:sz w:val="20"/>
                <w:szCs w:val="20"/>
              </w:rPr>
              <w:t> </w:t>
            </w:r>
          </w:p>
        </w:tc>
        <w:tc>
          <w:tcPr>
            <w:tcW w:w="2090" w:type="dxa"/>
            <w:tcBorders>
              <w:top w:val="nil"/>
              <w:left w:val="nil"/>
              <w:bottom w:val="nil"/>
              <w:right w:val="nil"/>
            </w:tcBorders>
            <w:shd w:val="clear" w:color="000000" w:fill="FFFFFF"/>
            <w:noWrap/>
            <w:vAlign w:val="bottom"/>
            <w:hideMark/>
          </w:tcPr>
          <w:p w:rsidR="009F71FC" w:rsidRDefault="009F71FC" w:rsidP="00BF32E3">
            <w:pPr>
              <w:jc w:val="right"/>
              <w:rPr>
                <w:sz w:val="20"/>
                <w:szCs w:val="20"/>
              </w:rPr>
            </w:pPr>
            <w:r>
              <w:rPr>
                <w:sz w:val="20"/>
                <w:szCs w:val="20"/>
              </w:rPr>
              <w:t>($7,383)</w:t>
            </w:r>
          </w:p>
        </w:tc>
        <w:tc>
          <w:tcPr>
            <w:tcW w:w="93" w:type="dxa"/>
            <w:tcBorders>
              <w:top w:val="nil"/>
              <w:left w:val="nil"/>
              <w:bottom w:val="nil"/>
              <w:right w:val="single" w:sz="4" w:space="0" w:color="auto"/>
            </w:tcBorders>
            <w:shd w:val="clear" w:color="auto" w:fill="auto"/>
            <w:noWrap/>
            <w:vAlign w:val="bottom"/>
            <w:hideMark/>
          </w:tcPr>
          <w:p w:rsidR="009F71FC" w:rsidRDefault="009F71FC" w:rsidP="00BF32E3">
            <w:pPr>
              <w:rPr>
                <w:sz w:val="20"/>
                <w:szCs w:val="20"/>
              </w:rPr>
            </w:pPr>
            <w:r>
              <w:rPr>
                <w:sz w:val="20"/>
                <w:szCs w:val="20"/>
              </w:rPr>
              <w:t> </w:t>
            </w:r>
          </w:p>
        </w:tc>
      </w:tr>
      <w:tr w:rsidR="009F71FC" w:rsidTr="00BF32E3">
        <w:trPr>
          <w:trHeight w:val="255"/>
          <w:jc w:val="center"/>
        </w:trPr>
        <w:tc>
          <w:tcPr>
            <w:tcW w:w="348" w:type="dxa"/>
            <w:tcBorders>
              <w:top w:val="nil"/>
              <w:left w:val="single" w:sz="4" w:space="0" w:color="auto"/>
              <w:bottom w:val="nil"/>
              <w:right w:val="nil"/>
            </w:tcBorders>
            <w:shd w:val="clear" w:color="000000" w:fill="FFFFFF"/>
            <w:noWrap/>
            <w:vAlign w:val="bottom"/>
            <w:hideMark/>
          </w:tcPr>
          <w:p w:rsidR="009F71FC" w:rsidRDefault="009F71FC" w:rsidP="00BF32E3">
            <w:pPr>
              <w:jc w:val="center"/>
              <w:rPr>
                <w:sz w:val="20"/>
                <w:szCs w:val="20"/>
              </w:rPr>
            </w:pPr>
            <w:r>
              <w:rPr>
                <w:sz w:val="20"/>
                <w:szCs w:val="20"/>
              </w:rPr>
              <w:t>2</w:t>
            </w:r>
          </w:p>
        </w:tc>
        <w:tc>
          <w:tcPr>
            <w:tcW w:w="4916"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To reflect test year adjustments to plant additions.</w:t>
            </w:r>
          </w:p>
        </w:tc>
        <w:tc>
          <w:tcPr>
            <w:tcW w:w="85" w:type="dxa"/>
            <w:tcBorders>
              <w:top w:val="nil"/>
              <w:left w:val="nil"/>
              <w:bottom w:val="nil"/>
              <w:right w:val="nil"/>
            </w:tcBorders>
            <w:shd w:val="clear" w:color="000000" w:fill="FFFFFF"/>
            <w:noWrap/>
            <w:vAlign w:val="bottom"/>
            <w:hideMark/>
          </w:tcPr>
          <w:p w:rsidR="009F71FC" w:rsidRDefault="009F71FC" w:rsidP="00BF32E3">
            <w:pPr>
              <w:rPr>
                <w:color w:val="000000"/>
                <w:sz w:val="20"/>
                <w:szCs w:val="20"/>
              </w:rPr>
            </w:pPr>
            <w:r>
              <w:rPr>
                <w:color w:val="000000"/>
                <w:sz w:val="20"/>
                <w:szCs w:val="20"/>
              </w:rPr>
              <w:t> </w:t>
            </w:r>
          </w:p>
        </w:tc>
        <w:tc>
          <w:tcPr>
            <w:tcW w:w="2090" w:type="dxa"/>
            <w:tcBorders>
              <w:top w:val="nil"/>
              <w:left w:val="nil"/>
              <w:bottom w:val="nil"/>
              <w:right w:val="nil"/>
            </w:tcBorders>
            <w:shd w:val="clear" w:color="000000" w:fill="FFFFFF"/>
            <w:noWrap/>
            <w:vAlign w:val="bottom"/>
            <w:hideMark/>
          </w:tcPr>
          <w:p w:rsidR="009F71FC" w:rsidRDefault="009F71FC" w:rsidP="00BF32E3">
            <w:pPr>
              <w:jc w:val="right"/>
              <w:rPr>
                <w:sz w:val="20"/>
                <w:szCs w:val="20"/>
              </w:rPr>
            </w:pPr>
            <w:r>
              <w:rPr>
                <w:sz w:val="20"/>
                <w:szCs w:val="20"/>
              </w:rPr>
              <w:t xml:space="preserve">             31,138 </w:t>
            </w:r>
          </w:p>
        </w:tc>
        <w:tc>
          <w:tcPr>
            <w:tcW w:w="93" w:type="dxa"/>
            <w:tcBorders>
              <w:top w:val="nil"/>
              <w:left w:val="nil"/>
              <w:bottom w:val="nil"/>
              <w:right w:val="single" w:sz="4" w:space="0" w:color="auto"/>
            </w:tcBorders>
            <w:shd w:val="clear" w:color="auto" w:fill="auto"/>
            <w:noWrap/>
            <w:vAlign w:val="bottom"/>
            <w:hideMark/>
          </w:tcPr>
          <w:p w:rsidR="009F71FC" w:rsidRDefault="009F71FC" w:rsidP="00BF32E3">
            <w:pPr>
              <w:rPr>
                <w:sz w:val="20"/>
                <w:szCs w:val="20"/>
              </w:rPr>
            </w:pPr>
            <w:r>
              <w:rPr>
                <w:sz w:val="20"/>
                <w:szCs w:val="20"/>
              </w:rPr>
              <w:t> </w:t>
            </w:r>
          </w:p>
        </w:tc>
      </w:tr>
      <w:tr w:rsidR="009F71FC" w:rsidTr="00BF32E3">
        <w:trPr>
          <w:trHeight w:val="300"/>
          <w:jc w:val="center"/>
        </w:trPr>
        <w:tc>
          <w:tcPr>
            <w:tcW w:w="348" w:type="dxa"/>
            <w:tcBorders>
              <w:top w:val="nil"/>
              <w:left w:val="single" w:sz="4" w:space="0" w:color="auto"/>
              <w:bottom w:val="nil"/>
              <w:right w:val="nil"/>
            </w:tcBorders>
            <w:shd w:val="clear" w:color="000000" w:fill="FFFFFF"/>
            <w:noWrap/>
            <w:vAlign w:val="bottom"/>
            <w:hideMark/>
          </w:tcPr>
          <w:p w:rsidR="009F71FC" w:rsidRDefault="009F71FC" w:rsidP="00BF32E3">
            <w:pPr>
              <w:jc w:val="center"/>
              <w:rPr>
                <w:sz w:val="20"/>
                <w:szCs w:val="20"/>
              </w:rPr>
            </w:pPr>
            <w:r>
              <w:rPr>
                <w:sz w:val="20"/>
                <w:szCs w:val="20"/>
              </w:rPr>
              <w:t>3</w:t>
            </w:r>
          </w:p>
        </w:tc>
        <w:tc>
          <w:tcPr>
            <w:tcW w:w="4916"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 xml:space="preserve">To reflect pro </w:t>
            </w:r>
            <w:proofErr w:type="gramStart"/>
            <w:r>
              <w:rPr>
                <w:sz w:val="20"/>
                <w:szCs w:val="20"/>
              </w:rPr>
              <w:t>forma  plant</w:t>
            </w:r>
            <w:proofErr w:type="gramEnd"/>
            <w:r>
              <w:rPr>
                <w:sz w:val="20"/>
                <w:szCs w:val="20"/>
              </w:rPr>
              <w:t xml:space="preserve"> additions.</w:t>
            </w:r>
          </w:p>
        </w:tc>
        <w:tc>
          <w:tcPr>
            <w:tcW w:w="85" w:type="dxa"/>
            <w:tcBorders>
              <w:top w:val="nil"/>
              <w:left w:val="nil"/>
              <w:bottom w:val="nil"/>
              <w:right w:val="nil"/>
            </w:tcBorders>
            <w:shd w:val="clear" w:color="000000" w:fill="FFFFFF"/>
            <w:noWrap/>
            <w:vAlign w:val="bottom"/>
            <w:hideMark/>
          </w:tcPr>
          <w:p w:rsidR="009F71FC" w:rsidRDefault="009F71FC" w:rsidP="00BF32E3">
            <w:pPr>
              <w:rPr>
                <w:color w:val="000000"/>
                <w:sz w:val="20"/>
                <w:szCs w:val="20"/>
              </w:rPr>
            </w:pPr>
            <w:r>
              <w:rPr>
                <w:color w:val="000000"/>
                <w:sz w:val="20"/>
                <w:szCs w:val="20"/>
              </w:rPr>
              <w:t> </w:t>
            </w:r>
          </w:p>
        </w:tc>
        <w:tc>
          <w:tcPr>
            <w:tcW w:w="2090" w:type="dxa"/>
            <w:tcBorders>
              <w:top w:val="nil"/>
              <w:left w:val="nil"/>
              <w:bottom w:val="nil"/>
              <w:right w:val="nil"/>
            </w:tcBorders>
            <w:shd w:val="clear" w:color="000000" w:fill="FFFFFF"/>
            <w:noWrap/>
            <w:vAlign w:val="bottom"/>
            <w:hideMark/>
          </w:tcPr>
          <w:p w:rsidR="009F71FC" w:rsidRDefault="00DF5A22" w:rsidP="00BF32E3">
            <w:pPr>
              <w:jc w:val="right"/>
              <w:rPr>
                <w:sz w:val="20"/>
                <w:szCs w:val="20"/>
                <w:u w:val="single"/>
              </w:rPr>
            </w:pPr>
            <w:r>
              <w:rPr>
                <w:sz w:val="20"/>
                <w:szCs w:val="20"/>
                <w:u w:val="single"/>
              </w:rPr>
              <w:t xml:space="preserve">56,499 </w:t>
            </w:r>
            <w:r w:rsidR="009F71FC">
              <w:rPr>
                <w:sz w:val="20"/>
                <w:szCs w:val="20"/>
                <w:u w:val="single"/>
              </w:rPr>
              <w:t xml:space="preserve"> </w:t>
            </w:r>
          </w:p>
        </w:tc>
        <w:tc>
          <w:tcPr>
            <w:tcW w:w="93" w:type="dxa"/>
            <w:tcBorders>
              <w:top w:val="nil"/>
              <w:left w:val="nil"/>
              <w:bottom w:val="nil"/>
              <w:right w:val="single" w:sz="4" w:space="0" w:color="auto"/>
            </w:tcBorders>
            <w:shd w:val="clear" w:color="auto" w:fill="auto"/>
            <w:noWrap/>
            <w:vAlign w:val="bottom"/>
            <w:hideMark/>
          </w:tcPr>
          <w:p w:rsidR="009F71FC" w:rsidRDefault="009F71FC" w:rsidP="00BF32E3">
            <w:pPr>
              <w:rPr>
                <w:sz w:val="20"/>
                <w:szCs w:val="20"/>
              </w:rPr>
            </w:pPr>
            <w:r>
              <w:rPr>
                <w:sz w:val="20"/>
                <w:szCs w:val="20"/>
              </w:rPr>
              <w:t> </w:t>
            </w:r>
          </w:p>
        </w:tc>
      </w:tr>
      <w:tr w:rsidR="009F71FC" w:rsidTr="00BF32E3">
        <w:trPr>
          <w:trHeight w:val="255"/>
          <w:jc w:val="center"/>
        </w:trPr>
        <w:tc>
          <w:tcPr>
            <w:tcW w:w="348" w:type="dxa"/>
            <w:tcBorders>
              <w:top w:val="nil"/>
              <w:left w:val="single" w:sz="4" w:space="0" w:color="auto"/>
              <w:bottom w:val="nil"/>
              <w:right w:val="nil"/>
            </w:tcBorders>
            <w:shd w:val="clear" w:color="000000" w:fill="FFFFFF"/>
            <w:noWrap/>
            <w:vAlign w:val="bottom"/>
            <w:hideMark/>
          </w:tcPr>
          <w:p w:rsidR="009F71FC" w:rsidRDefault="009F71FC" w:rsidP="00BF32E3">
            <w:pPr>
              <w:jc w:val="center"/>
              <w:rPr>
                <w:sz w:val="20"/>
                <w:szCs w:val="20"/>
              </w:rPr>
            </w:pPr>
            <w:r>
              <w:rPr>
                <w:sz w:val="20"/>
                <w:szCs w:val="20"/>
              </w:rPr>
              <w:t> </w:t>
            </w:r>
          </w:p>
        </w:tc>
        <w:tc>
          <w:tcPr>
            <w:tcW w:w="4916"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 xml:space="preserve">    Total</w:t>
            </w:r>
          </w:p>
        </w:tc>
        <w:tc>
          <w:tcPr>
            <w:tcW w:w="85" w:type="dxa"/>
            <w:tcBorders>
              <w:top w:val="nil"/>
              <w:left w:val="nil"/>
              <w:bottom w:val="nil"/>
              <w:right w:val="nil"/>
            </w:tcBorders>
            <w:shd w:val="clear" w:color="000000" w:fill="FFFFFF"/>
            <w:noWrap/>
            <w:vAlign w:val="bottom"/>
            <w:hideMark/>
          </w:tcPr>
          <w:p w:rsidR="009F71FC" w:rsidRDefault="009F71FC" w:rsidP="00BF32E3">
            <w:pPr>
              <w:rPr>
                <w:color w:val="000000"/>
                <w:sz w:val="20"/>
                <w:szCs w:val="20"/>
              </w:rPr>
            </w:pPr>
            <w:r>
              <w:rPr>
                <w:color w:val="000000"/>
                <w:sz w:val="20"/>
                <w:szCs w:val="20"/>
              </w:rPr>
              <w:t> </w:t>
            </w:r>
          </w:p>
        </w:tc>
        <w:tc>
          <w:tcPr>
            <w:tcW w:w="2090" w:type="dxa"/>
            <w:tcBorders>
              <w:top w:val="nil"/>
              <w:left w:val="nil"/>
              <w:bottom w:val="nil"/>
              <w:right w:val="nil"/>
            </w:tcBorders>
            <w:shd w:val="clear" w:color="000000" w:fill="FFFFFF"/>
            <w:noWrap/>
            <w:vAlign w:val="bottom"/>
            <w:hideMark/>
          </w:tcPr>
          <w:p w:rsidR="009F71FC" w:rsidRDefault="009F71FC" w:rsidP="00BF32E3">
            <w:pPr>
              <w:jc w:val="right"/>
              <w:rPr>
                <w:sz w:val="20"/>
                <w:szCs w:val="20"/>
                <w:u w:val="double"/>
              </w:rPr>
            </w:pPr>
            <w:r>
              <w:rPr>
                <w:sz w:val="20"/>
                <w:szCs w:val="20"/>
                <w:u w:val="double"/>
              </w:rPr>
              <w:t xml:space="preserve">$80,254 </w:t>
            </w:r>
          </w:p>
        </w:tc>
        <w:tc>
          <w:tcPr>
            <w:tcW w:w="93" w:type="dxa"/>
            <w:tcBorders>
              <w:top w:val="nil"/>
              <w:left w:val="nil"/>
              <w:bottom w:val="nil"/>
              <w:right w:val="single" w:sz="4" w:space="0" w:color="auto"/>
            </w:tcBorders>
            <w:shd w:val="clear" w:color="auto" w:fill="auto"/>
            <w:noWrap/>
            <w:vAlign w:val="bottom"/>
            <w:hideMark/>
          </w:tcPr>
          <w:p w:rsidR="009F71FC" w:rsidRDefault="009F71FC" w:rsidP="00BF32E3">
            <w:pPr>
              <w:rPr>
                <w:sz w:val="20"/>
                <w:szCs w:val="20"/>
              </w:rPr>
            </w:pPr>
            <w:r>
              <w:rPr>
                <w:sz w:val="20"/>
                <w:szCs w:val="20"/>
              </w:rPr>
              <w:t> </w:t>
            </w:r>
          </w:p>
        </w:tc>
      </w:tr>
      <w:tr w:rsidR="009F71FC" w:rsidTr="00BF32E3">
        <w:trPr>
          <w:trHeight w:val="255"/>
          <w:jc w:val="center"/>
        </w:trPr>
        <w:tc>
          <w:tcPr>
            <w:tcW w:w="348" w:type="dxa"/>
            <w:tcBorders>
              <w:top w:val="nil"/>
              <w:left w:val="single" w:sz="4" w:space="0" w:color="auto"/>
              <w:bottom w:val="nil"/>
              <w:right w:val="nil"/>
            </w:tcBorders>
            <w:shd w:val="clear" w:color="000000" w:fill="FFFFFF"/>
            <w:noWrap/>
            <w:vAlign w:val="bottom"/>
            <w:hideMark/>
          </w:tcPr>
          <w:p w:rsidR="009F71FC" w:rsidRDefault="009F71FC" w:rsidP="00BF32E3">
            <w:pPr>
              <w:jc w:val="center"/>
              <w:rPr>
                <w:sz w:val="20"/>
                <w:szCs w:val="20"/>
              </w:rPr>
            </w:pPr>
            <w:r>
              <w:rPr>
                <w:sz w:val="20"/>
                <w:szCs w:val="20"/>
              </w:rPr>
              <w:t> </w:t>
            </w:r>
          </w:p>
        </w:tc>
        <w:tc>
          <w:tcPr>
            <w:tcW w:w="4916"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 </w:t>
            </w:r>
          </w:p>
        </w:tc>
        <w:tc>
          <w:tcPr>
            <w:tcW w:w="85" w:type="dxa"/>
            <w:tcBorders>
              <w:top w:val="nil"/>
              <w:left w:val="nil"/>
              <w:bottom w:val="nil"/>
              <w:right w:val="nil"/>
            </w:tcBorders>
            <w:shd w:val="clear" w:color="000000" w:fill="FFFFFF"/>
            <w:noWrap/>
            <w:vAlign w:val="bottom"/>
            <w:hideMark/>
          </w:tcPr>
          <w:p w:rsidR="009F71FC" w:rsidRDefault="009F71FC" w:rsidP="00BF32E3">
            <w:pPr>
              <w:rPr>
                <w:color w:val="000000"/>
                <w:sz w:val="20"/>
                <w:szCs w:val="20"/>
              </w:rPr>
            </w:pPr>
            <w:r>
              <w:rPr>
                <w:color w:val="000000"/>
                <w:sz w:val="20"/>
                <w:szCs w:val="20"/>
              </w:rPr>
              <w:t> </w:t>
            </w:r>
          </w:p>
        </w:tc>
        <w:tc>
          <w:tcPr>
            <w:tcW w:w="2090"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 </w:t>
            </w:r>
          </w:p>
        </w:tc>
        <w:tc>
          <w:tcPr>
            <w:tcW w:w="93" w:type="dxa"/>
            <w:tcBorders>
              <w:top w:val="nil"/>
              <w:left w:val="nil"/>
              <w:bottom w:val="nil"/>
              <w:right w:val="single" w:sz="4" w:space="0" w:color="auto"/>
            </w:tcBorders>
            <w:shd w:val="clear" w:color="auto" w:fill="auto"/>
            <w:noWrap/>
            <w:vAlign w:val="bottom"/>
            <w:hideMark/>
          </w:tcPr>
          <w:p w:rsidR="009F71FC" w:rsidRDefault="009F71FC" w:rsidP="00BF32E3">
            <w:pPr>
              <w:rPr>
                <w:sz w:val="20"/>
                <w:szCs w:val="20"/>
              </w:rPr>
            </w:pPr>
            <w:r>
              <w:rPr>
                <w:sz w:val="20"/>
                <w:szCs w:val="20"/>
              </w:rPr>
              <w:t> </w:t>
            </w:r>
          </w:p>
        </w:tc>
      </w:tr>
      <w:tr w:rsidR="009F71FC" w:rsidTr="00BF32E3">
        <w:trPr>
          <w:trHeight w:val="255"/>
          <w:jc w:val="center"/>
        </w:trPr>
        <w:tc>
          <w:tcPr>
            <w:tcW w:w="348" w:type="dxa"/>
            <w:tcBorders>
              <w:top w:val="nil"/>
              <w:left w:val="single" w:sz="4" w:space="0" w:color="auto"/>
              <w:bottom w:val="nil"/>
              <w:right w:val="nil"/>
            </w:tcBorders>
            <w:shd w:val="clear" w:color="000000" w:fill="FFFFFF"/>
            <w:noWrap/>
            <w:vAlign w:val="bottom"/>
            <w:hideMark/>
          </w:tcPr>
          <w:p w:rsidR="009F71FC" w:rsidRDefault="009F71FC" w:rsidP="00BF32E3">
            <w:pPr>
              <w:jc w:val="center"/>
              <w:rPr>
                <w:sz w:val="20"/>
                <w:szCs w:val="20"/>
              </w:rPr>
            </w:pPr>
            <w:r>
              <w:rPr>
                <w:sz w:val="20"/>
                <w:szCs w:val="20"/>
              </w:rPr>
              <w:t> </w:t>
            </w:r>
          </w:p>
        </w:tc>
        <w:tc>
          <w:tcPr>
            <w:tcW w:w="4916" w:type="dxa"/>
            <w:tcBorders>
              <w:top w:val="nil"/>
              <w:left w:val="nil"/>
              <w:bottom w:val="nil"/>
              <w:right w:val="nil"/>
            </w:tcBorders>
            <w:shd w:val="clear" w:color="000000" w:fill="FFFFFF"/>
            <w:noWrap/>
            <w:vAlign w:val="bottom"/>
            <w:hideMark/>
          </w:tcPr>
          <w:p w:rsidR="009F71FC" w:rsidRDefault="009F71FC" w:rsidP="00BF32E3">
            <w:pPr>
              <w:rPr>
                <w:sz w:val="20"/>
                <w:szCs w:val="20"/>
                <w:u w:val="single"/>
              </w:rPr>
            </w:pPr>
            <w:r>
              <w:rPr>
                <w:sz w:val="20"/>
                <w:szCs w:val="20"/>
                <w:u w:val="single"/>
              </w:rPr>
              <w:t>Non-used and Useful</w:t>
            </w:r>
          </w:p>
        </w:tc>
        <w:tc>
          <w:tcPr>
            <w:tcW w:w="85" w:type="dxa"/>
            <w:tcBorders>
              <w:top w:val="nil"/>
              <w:left w:val="nil"/>
              <w:bottom w:val="nil"/>
              <w:right w:val="nil"/>
            </w:tcBorders>
            <w:shd w:val="clear" w:color="000000" w:fill="FFFFFF"/>
            <w:noWrap/>
            <w:vAlign w:val="bottom"/>
            <w:hideMark/>
          </w:tcPr>
          <w:p w:rsidR="009F71FC" w:rsidRDefault="009F71FC" w:rsidP="00BF32E3">
            <w:pPr>
              <w:rPr>
                <w:color w:val="000000"/>
                <w:sz w:val="20"/>
                <w:szCs w:val="20"/>
              </w:rPr>
            </w:pPr>
            <w:r>
              <w:rPr>
                <w:color w:val="000000"/>
                <w:sz w:val="20"/>
                <w:szCs w:val="20"/>
              </w:rPr>
              <w:t> </w:t>
            </w:r>
          </w:p>
        </w:tc>
        <w:tc>
          <w:tcPr>
            <w:tcW w:w="2090"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 </w:t>
            </w:r>
          </w:p>
        </w:tc>
        <w:tc>
          <w:tcPr>
            <w:tcW w:w="93" w:type="dxa"/>
            <w:tcBorders>
              <w:top w:val="nil"/>
              <w:left w:val="nil"/>
              <w:bottom w:val="nil"/>
              <w:right w:val="single" w:sz="4" w:space="0" w:color="auto"/>
            </w:tcBorders>
            <w:shd w:val="clear" w:color="auto" w:fill="auto"/>
            <w:noWrap/>
            <w:vAlign w:val="bottom"/>
            <w:hideMark/>
          </w:tcPr>
          <w:p w:rsidR="009F71FC" w:rsidRDefault="009F71FC" w:rsidP="00BF32E3">
            <w:pPr>
              <w:rPr>
                <w:sz w:val="20"/>
                <w:szCs w:val="20"/>
              </w:rPr>
            </w:pPr>
            <w:r>
              <w:rPr>
                <w:sz w:val="20"/>
                <w:szCs w:val="20"/>
              </w:rPr>
              <w:t> </w:t>
            </w:r>
          </w:p>
        </w:tc>
      </w:tr>
      <w:tr w:rsidR="009F71FC" w:rsidTr="00BF32E3">
        <w:trPr>
          <w:trHeight w:val="255"/>
          <w:jc w:val="center"/>
        </w:trPr>
        <w:tc>
          <w:tcPr>
            <w:tcW w:w="348" w:type="dxa"/>
            <w:tcBorders>
              <w:top w:val="nil"/>
              <w:left w:val="single" w:sz="4" w:space="0" w:color="auto"/>
              <w:bottom w:val="nil"/>
              <w:right w:val="nil"/>
            </w:tcBorders>
            <w:shd w:val="clear" w:color="000000" w:fill="FFFFFF"/>
            <w:noWrap/>
            <w:vAlign w:val="bottom"/>
            <w:hideMark/>
          </w:tcPr>
          <w:p w:rsidR="009F71FC" w:rsidRDefault="009F71FC" w:rsidP="00BF32E3">
            <w:pPr>
              <w:jc w:val="center"/>
              <w:rPr>
                <w:sz w:val="20"/>
                <w:szCs w:val="20"/>
              </w:rPr>
            </w:pPr>
            <w:r>
              <w:rPr>
                <w:sz w:val="20"/>
                <w:szCs w:val="20"/>
              </w:rPr>
              <w:t> </w:t>
            </w:r>
          </w:p>
        </w:tc>
        <w:tc>
          <w:tcPr>
            <w:tcW w:w="4916"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To reflect net non-used and useful adjustment.</w:t>
            </w:r>
          </w:p>
        </w:tc>
        <w:tc>
          <w:tcPr>
            <w:tcW w:w="85" w:type="dxa"/>
            <w:tcBorders>
              <w:top w:val="nil"/>
              <w:left w:val="nil"/>
              <w:bottom w:val="nil"/>
              <w:right w:val="nil"/>
            </w:tcBorders>
            <w:shd w:val="clear" w:color="000000" w:fill="FFFFFF"/>
            <w:noWrap/>
            <w:vAlign w:val="bottom"/>
            <w:hideMark/>
          </w:tcPr>
          <w:p w:rsidR="009F71FC" w:rsidRDefault="009F71FC" w:rsidP="00BF32E3">
            <w:pPr>
              <w:rPr>
                <w:color w:val="000000"/>
                <w:sz w:val="20"/>
                <w:szCs w:val="20"/>
              </w:rPr>
            </w:pPr>
            <w:r>
              <w:rPr>
                <w:color w:val="000000"/>
                <w:sz w:val="20"/>
                <w:szCs w:val="20"/>
              </w:rPr>
              <w:t> </w:t>
            </w:r>
          </w:p>
        </w:tc>
        <w:tc>
          <w:tcPr>
            <w:tcW w:w="2090" w:type="dxa"/>
            <w:tcBorders>
              <w:top w:val="nil"/>
              <w:left w:val="nil"/>
              <w:bottom w:val="nil"/>
              <w:right w:val="nil"/>
            </w:tcBorders>
            <w:shd w:val="clear" w:color="000000" w:fill="FFFFFF"/>
            <w:noWrap/>
            <w:vAlign w:val="bottom"/>
            <w:hideMark/>
          </w:tcPr>
          <w:p w:rsidR="009F71FC" w:rsidRDefault="009F71FC" w:rsidP="00BF32E3">
            <w:pPr>
              <w:jc w:val="right"/>
              <w:rPr>
                <w:sz w:val="20"/>
                <w:szCs w:val="20"/>
                <w:u w:val="double"/>
              </w:rPr>
            </w:pPr>
            <w:r>
              <w:rPr>
                <w:sz w:val="20"/>
                <w:szCs w:val="20"/>
                <w:u w:val="double"/>
              </w:rPr>
              <w:t xml:space="preserve">$30,098 </w:t>
            </w:r>
          </w:p>
        </w:tc>
        <w:tc>
          <w:tcPr>
            <w:tcW w:w="93" w:type="dxa"/>
            <w:tcBorders>
              <w:top w:val="nil"/>
              <w:left w:val="nil"/>
              <w:bottom w:val="nil"/>
              <w:right w:val="single" w:sz="4" w:space="0" w:color="auto"/>
            </w:tcBorders>
            <w:shd w:val="clear" w:color="auto" w:fill="auto"/>
            <w:noWrap/>
            <w:vAlign w:val="bottom"/>
            <w:hideMark/>
          </w:tcPr>
          <w:p w:rsidR="009F71FC" w:rsidRDefault="009F71FC" w:rsidP="00BF32E3">
            <w:pPr>
              <w:rPr>
                <w:sz w:val="20"/>
                <w:szCs w:val="20"/>
              </w:rPr>
            </w:pPr>
            <w:r>
              <w:rPr>
                <w:sz w:val="20"/>
                <w:szCs w:val="20"/>
              </w:rPr>
              <w:t> </w:t>
            </w:r>
          </w:p>
        </w:tc>
      </w:tr>
      <w:tr w:rsidR="009F71FC" w:rsidTr="00BF32E3">
        <w:trPr>
          <w:trHeight w:val="255"/>
          <w:jc w:val="center"/>
        </w:trPr>
        <w:tc>
          <w:tcPr>
            <w:tcW w:w="348" w:type="dxa"/>
            <w:tcBorders>
              <w:top w:val="nil"/>
              <w:left w:val="single" w:sz="4" w:space="0" w:color="auto"/>
              <w:bottom w:val="nil"/>
              <w:right w:val="nil"/>
            </w:tcBorders>
            <w:shd w:val="clear" w:color="000000" w:fill="FFFFFF"/>
            <w:noWrap/>
            <w:vAlign w:val="bottom"/>
            <w:hideMark/>
          </w:tcPr>
          <w:p w:rsidR="009F71FC" w:rsidRDefault="009F71FC" w:rsidP="00BF32E3">
            <w:pPr>
              <w:jc w:val="center"/>
              <w:rPr>
                <w:sz w:val="20"/>
                <w:szCs w:val="20"/>
              </w:rPr>
            </w:pPr>
            <w:r>
              <w:rPr>
                <w:sz w:val="20"/>
                <w:szCs w:val="20"/>
              </w:rPr>
              <w:t> </w:t>
            </w:r>
          </w:p>
        </w:tc>
        <w:tc>
          <w:tcPr>
            <w:tcW w:w="4916"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 </w:t>
            </w:r>
          </w:p>
        </w:tc>
        <w:tc>
          <w:tcPr>
            <w:tcW w:w="85" w:type="dxa"/>
            <w:tcBorders>
              <w:top w:val="nil"/>
              <w:left w:val="nil"/>
              <w:bottom w:val="nil"/>
              <w:right w:val="nil"/>
            </w:tcBorders>
            <w:shd w:val="clear" w:color="000000" w:fill="FFFFFF"/>
            <w:noWrap/>
            <w:vAlign w:val="bottom"/>
            <w:hideMark/>
          </w:tcPr>
          <w:p w:rsidR="009F71FC" w:rsidRDefault="009F71FC" w:rsidP="00BF32E3">
            <w:pPr>
              <w:rPr>
                <w:color w:val="000000"/>
                <w:sz w:val="20"/>
                <w:szCs w:val="20"/>
              </w:rPr>
            </w:pPr>
            <w:r>
              <w:rPr>
                <w:color w:val="000000"/>
                <w:sz w:val="20"/>
                <w:szCs w:val="20"/>
              </w:rPr>
              <w:t> </w:t>
            </w:r>
          </w:p>
        </w:tc>
        <w:tc>
          <w:tcPr>
            <w:tcW w:w="2090"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 </w:t>
            </w:r>
          </w:p>
        </w:tc>
        <w:tc>
          <w:tcPr>
            <w:tcW w:w="93" w:type="dxa"/>
            <w:tcBorders>
              <w:top w:val="nil"/>
              <w:left w:val="nil"/>
              <w:bottom w:val="nil"/>
              <w:right w:val="single" w:sz="4" w:space="0" w:color="auto"/>
            </w:tcBorders>
            <w:shd w:val="clear" w:color="auto" w:fill="auto"/>
            <w:noWrap/>
            <w:vAlign w:val="bottom"/>
            <w:hideMark/>
          </w:tcPr>
          <w:p w:rsidR="009F71FC" w:rsidRDefault="009F71FC" w:rsidP="00BF32E3">
            <w:pPr>
              <w:rPr>
                <w:sz w:val="20"/>
                <w:szCs w:val="20"/>
              </w:rPr>
            </w:pPr>
            <w:r>
              <w:rPr>
                <w:sz w:val="20"/>
                <w:szCs w:val="20"/>
              </w:rPr>
              <w:t> </w:t>
            </w:r>
          </w:p>
        </w:tc>
      </w:tr>
      <w:tr w:rsidR="009F71FC" w:rsidTr="00BF32E3">
        <w:trPr>
          <w:trHeight w:val="255"/>
          <w:jc w:val="center"/>
        </w:trPr>
        <w:tc>
          <w:tcPr>
            <w:tcW w:w="348" w:type="dxa"/>
            <w:tcBorders>
              <w:top w:val="nil"/>
              <w:left w:val="single" w:sz="4" w:space="0" w:color="auto"/>
              <w:bottom w:val="nil"/>
              <w:right w:val="nil"/>
            </w:tcBorders>
            <w:shd w:val="clear" w:color="000000" w:fill="FFFFFF"/>
            <w:noWrap/>
            <w:vAlign w:val="bottom"/>
            <w:hideMark/>
          </w:tcPr>
          <w:p w:rsidR="009F71FC" w:rsidRDefault="009F71FC" w:rsidP="00BF32E3">
            <w:pPr>
              <w:jc w:val="center"/>
              <w:rPr>
                <w:sz w:val="20"/>
                <w:szCs w:val="20"/>
              </w:rPr>
            </w:pPr>
            <w:r>
              <w:rPr>
                <w:sz w:val="20"/>
                <w:szCs w:val="20"/>
              </w:rPr>
              <w:t> </w:t>
            </w:r>
          </w:p>
        </w:tc>
        <w:tc>
          <w:tcPr>
            <w:tcW w:w="4916" w:type="dxa"/>
            <w:tcBorders>
              <w:top w:val="nil"/>
              <w:left w:val="nil"/>
              <w:bottom w:val="nil"/>
              <w:right w:val="nil"/>
            </w:tcBorders>
            <w:shd w:val="clear" w:color="000000" w:fill="FFFFFF"/>
            <w:noWrap/>
            <w:vAlign w:val="bottom"/>
            <w:hideMark/>
          </w:tcPr>
          <w:p w:rsidR="009F71FC" w:rsidRDefault="009F71FC" w:rsidP="00BF32E3">
            <w:pPr>
              <w:rPr>
                <w:sz w:val="20"/>
                <w:szCs w:val="20"/>
                <w:u w:val="single"/>
              </w:rPr>
            </w:pPr>
            <w:r>
              <w:rPr>
                <w:sz w:val="20"/>
                <w:szCs w:val="20"/>
                <w:u w:val="single"/>
              </w:rPr>
              <w:t>Accumulated Depreciation</w:t>
            </w:r>
          </w:p>
        </w:tc>
        <w:tc>
          <w:tcPr>
            <w:tcW w:w="85" w:type="dxa"/>
            <w:tcBorders>
              <w:top w:val="nil"/>
              <w:left w:val="nil"/>
              <w:bottom w:val="nil"/>
              <w:right w:val="nil"/>
            </w:tcBorders>
            <w:shd w:val="clear" w:color="000000" w:fill="FFFFFF"/>
            <w:noWrap/>
            <w:vAlign w:val="bottom"/>
            <w:hideMark/>
          </w:tcPr>
          <w:p w:rsidR="009F71FC" w:rsidRDefault="009F71FC" w:rsidP="00BF32E3">
            <w:pPr>
              <w:rPr>
                <w:color w:val="000000"/>
                <w:sz w:val="20"/>
                <w:szCs w:val="20"/>
              </w:rPr>
            </w:pPr>
            <w:r>
              <w:rPr>
                <w:color w:val="000000"/>
                <w:sz w:val="20"/>
                <w:szCs w:val="20"/>
              </w:rPr>
              <w:t> </w:t>
            </w:r>
          </w:p>
        </w:tc>
        <w:tc>
          <w:tcPr>
            <w:tcW w:w="2090"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 </w:t>
            </w:r>
          </w:p>
        </w:tc>
        <w:tc>
          <w:tcPr>
            <w:tcW w:w="93" w:type="dxa"/>
            <w:tcBorders>
              <w:top w:val="nil"/>
              <w:left w:val="nil"/>
              <w:bottom w:val="nil"/>
              <w:right w:val="single" w:sz="4" w:space="0" w:color="auto"/>
            </w:tcBorders>
            <w:shd w:val="clear" w:color="auto" w:fill="auto"/>
            <w:noWrap/>
            <w:vAlign w:val="bottom"/>
            <w:hideMark/>
          </w:tcPr>
          <w:p w:rsidR="009F71FC" w:rsidRDefault="009F71FC" w:rsidP="00BF32E3">
            <w:pPr>
              <w:rPr>
                <w:sz w:val="20"/>
                <w:szCs w:val="20"/>
              </w:rPr>
            </w:pPr>
            <w:r>
              <w:rPr>
                <w:sz w:val="20"/>
                <w:szCs w:val="20"/>
              </w:rPr>
              <w:t> </w:t>
            </w:r>
          </w:p>
        </w:tc>
      </w:tr>
      <w:tr w:rsidR="009F71FC" w:rsidTr="00BF32E3">
        <w:trPr>
          <w:trHeight w:val="255"/>
          <w:jc w:val="center"/>
        </w:trPr>
        <w:tc>
          <w:tcPr>
            <w:tcW w:w="348" w:type="dxa"/>
            <w:tcBorders>
              <w:top w:val="nil"/>
              <w:left w:val="single" w:sz="4" w:space="0" w:color="auto"/>
              <w:bottom w:val="nil"/>
              <w:right w:val="nil"/>
            </w:tcBorders>
            <w:shd w:val="clear" w:color="000000" w:fill="FFFFFF"/>
            <w:noWrap/>
            <w:vAlign w:val="bottom"/>
            <w:hideMark/>
          </w:tcPr>
          <w:p w:rsidR="009F71FC" w:rsidRDefault="009F71FC" w:rsidP="00BF32E3">
            <w:pPr>
              <w:jc w:val="center"/>
              <w:rPr>
                <w:sz w:val="20"/>
                <w:szCs w:val="20"/>
              </w:rPr>
            </w:pPr>
            <w:r>
              <w:rPr>
                <w:sz w:val="20"/>
                <w:szCs w:val="20"/>
              </w:rPr>
              <w:t>1</w:t>
            </w:r>
          </w:p>
        </w:tc>
        <w:tc>
          <w:tcPr>
            <w:tcW w:w="4916"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Per Audit</w:t>
            </w:r>
          </w:p>
        </w:tc>
        <w:tc>
          <w:tcPr>
            <w:tcW w:w="85" w:type="dxa"/>
            <w:tcBorders>
              <w:top w:val="nil"/>
              <w:left w:val="nil"/>
              <w:bottom w:val="nil"/>
              <w:right w:val="nil"/>
            </w:tcBorders>
            <w:shd w:val="clear" w:color="000000" w:fill="FFFFFF"/>
            <w:noWrap/>
            <w:vAlign w:val="bottom"/>
            <w:hideMark/>
          </w:tcPr>
          <w:p w:rsidR="009F71FC" w:rsidRDefault="009F71FC" w:rsidP="00BF32E3">
            <w:pPr>
              <w:rPr>
                <w:color w:val="000000"/>
                <w:sz w:val="20"/>
                <w:szCs w:val="20"/>
              </w:rPr>
            </w:pPr>
            <w:r>
              <w:rPr>
                <w:color w:val="000000"/>
                <w:sz w:val="20"/>
                <w:szCs w:val="20"/>
              </w:rPr>
              <w:t> </w:t>
            </w:r>
          </w:p>
        </w:tc>
        <w:tc>
          <w:tcPr>
            <w:tcW w:w="2090" w:type="dxa"/>
            <w:tcBorders>
              <w:top w:val="nil"/>
              <w:left w:val="nil"/>
              <w:bottom w:val="nil"/>
              <w:right w:val="nil"/>
            </w:tcBorders>
            <w:shd w:val="clear" w:color="000000" w:fill="FFFFFF"/>
            <w:noWrap/>
            <w:vAlign w:val="bottom"/>
            <w:hideMark/>
          </w:tcPr>
          <w:p w:rsidR="009F71FC" w:rsidRDefault="009F71FC" w:rsidP="00BF32E3">
            <w:pPr>
              <w:jc w:val="right"/>
              <w:rPr>
                <w:sz w:val="20"/>
                <w:szCs w:val="20"/>
              </w:rPr>
            </w:pPr>
            <w:r>
              <w:rPr>
                <w:sz w:val="20"/>
                <w:szCs w:val="20"/>
              </w:rPr>
              <w:t xml:space="preserve">$1,021 </w:t>
            </w:r>
          </w:p>
        </w:tc>
        <w:tc>
          <w:tcPr>
            <w:tcW w:w="93" w:type="dxa"/>
            <w:tcBorders>
              <w:top w:val="nil"/>
              <w:left w:val="nil"/>
              <w:bottom w:val="nil"/>
              <w:right w:val="single" w:sz="4" w:space="0" w:color="auto"/>
            </w:tcBorders>
            <w:shd w:val="clear" w:color="auto" w:fill="auto"/>
            <w:noWrap/>
            <w:vAlign w:val="bottom"/>
            <w:hideMark/>
          </w:tcPr>
          <w:p w:rsidR="009F71FC" w:rsidRDefault="009F71FC" w:rsidP="00BF32E3">
            <w:pPr>
              <w:rPr>
                <w:sz w:val="20"/>
                <w:szCs w:val="20"/>
              </w:rPr>
            </w:pPr>
            <w:r>
              <w:rPr>
                <w:sz w:val="20"/>
                <w:szCs w:val="20"/>
              </w:rPr>
              <w:t> </w:t>
            </w:r>
          </w:p>
        </w:tc>
      </w:tr>
      <w:tr w:rsidR="009F71FC" w:rsidTr="00BF32E3">
        <w:trPr>
          <w:trHeight w:val="255"/>
          <w:jc w:val="center"/>
        </w:trPr>
        <w:tc>
          <w:tcPr>
            <w:tcW w:w="348" w:type="dxa"/>
            <w:tcBorders>
              <w:top w:val="nil"/>
              <w:left w:val="single" w:sz="4" w:space="0" w:color="auto"/>
              <w:bottom w:val="nil"/>
              <w:right w:val="nil"/>
            </w:tcBorders>
            <w:shd w:val="clear" w:color="000000" w:fill="FFFFFF"/>
            <w:noWrap/>
            <w:vAlign w:val="bottom"/>
            <w:hideMark/>
          </w:tcPr>
          <w:p w:rsidR="009F71FC" w:rsidRDefault="009F71FC" w:rsidP="00BF32E3">
            <w:pPr>
              <w:jc w:val="center"/>
              <w:rPr>
                <w:sz w:val="20"/>
                <w:szCs w:val="20"/>
              </w:rPr>
            </w:pPr>
            <w:r>
              <w:rPr>
                <w:sz w:val="20"/>
                <w:szCs w:val="20"/>
              </w:rPr>
              <w:t>2</w:t>
            </w:r>
          </w:p>
        </w:tc>
        <w:tc>
          <w:tcPr>
            <w:tcW w:w="4916"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To reflect test year adjustments to plant additions.</w:t>
            </w:r>
          </w:p>
        </w:tc>
        <w:tc>
          <w:tcPr>
            <w:tcW w:w="85" w:type="dxa"/>
            <w:tcBorders>
              <w:top w:val="nil"/>
              <w:left w:val="nil"/>
              <w:bottom w:val="nil"/>
              <w:right w:val="nil"/>
            </w:tcBorders>
            <w:shd w:val="clear" w:color="000000" w:fill="FFFFFF"/>
            <w:noWrap/>
            <w:vAlign w:val="bottom"/>
            <w:hideMark/>
          </w:tcPr>
          <w:p w:rsidR="009F71FC" w:rsidRDefault="009F71FC" w:rsidP="00BF32E3">
            <w:pPr>
              <w:rPr>
                <w:color w:val="000000"/>
                <w:sz w:val="20"/>
                <w:szCs w:val="20"/>
              </w:rPr>
            </w:pPr>
            <w:r>
              <w:rPr>
                <w:color w:val="000000"/>
                <w:sz w:val="20"/>
                <w:szCs w:val="20"/>
              </w:rPr>
              <w:t> </w:t>
            </w:r>
          </w:p>
        </w:tc>
        <w:tc>
          <w:tcPr>
            <w:tcW w:w="2090" w:type="dxa"/>
            <w:tcBorders>
              <w:top w:val="nil"/>
              <w:left w:val="nil"/>
              <w:bottom w:val="nil"/>
              <w:right w:val="nil"/>
            </w:tcBorders>
            <w:shd w:val="clear" w:color="000000" w:fill="FFFFFF"/>
            <w:noWrap/>
            <w:vAlign w:val="bottom"/>
            <w:hideMark/>
          </w:tcPr>
          <w:p w:rsidR="009F71FC" w:rsidRDefault="009F71FC" w:rsidP="00BF32E3">
            <w:pPr>
              <w:jc w:val="right"/>
              <w:rPr>
                <w:sz w:val="20"/>
                <w:szCs w:val="20"/>
              </w:rPr>
            </w:pPr>
            <w:r>
              <w:rPr>
                <w:sz w:val="20"/>
                <w:szCs w:val="20"/>
              </w:rPr>
              <w:t xml:space="preserve">                    67 </w:t>
            </w:r>
          </w:p>
        </w:tc>
        <w:tc>
          <w:tcPr>
            <w:tcW w:w="93" w:type="dxa"/>
            <w:tcBorders>
              <w:top w:val="nil"/>
              <w:left w:val="nil"/>
              <w:bottom w:val="nil"/>
              <w:right w:val="single" w:sz="4" w:space="0" w:color="auto"/>
            </w:tcBorders>
            <w:shd w:val="clear" w:color="auto" w:fill="auto"/>
            <w:noWrap/>
            <w:vAlign w:val="bottom"/>
            <w:hideMark/>
          </w:tcPr>
          <w:p w:rsidR="009F71FC" w:rsidRDefault="009F71FC" w:rsidP="00BF32E3">
            <w:pPr>
              <w:rPr>
                <w:sz w:val="20"/>
                <w:szCs w:val="20"/>
              </w:rPr>
            </w:pPr>
            <w:r>
              <w:rPr>
                <w:sz w:val="20"/>
                <w:szCs w:val="20"/>
              </w:rPr>
              <w:t> </w:t>
            </w:r>
          </w:p>
        </w:tc>
      </w:tr>
      <w:tr w:rsidR="009F71FC" w:rsidTr="00BF32E3">
        <w:trPr>
          <w:trHeight w:val="255"/>
          <w:jc w:val="center"/>
        </w:trPr>
        <w:tc>
          <w:tcPr>
            <w:tcW w:w="348" w:type="dxa"/>
            <w:tcBorders>
              <w:top w:val="nil"/>
              <w:left w:val="single" w:sz="4" w:space="0" w:color="auto"/>
              <w:bottom w:val="nil"/>
              <w:right w:val="nil"/>
            </w:tcBorders>
            <w:shd w:val="clear" w:color="000000" w:fill="FFFFFF"/>
            <w:noWrap/>
            <w:vAlign w:val="bottom"/>
            <w:hideMark/>
          </w:tcPr>
          <w:p w:rsidR="009F71FC" w:rsidRDefault="009F71FC" w:rsidP="00BF32E3">
            <w:pPr>
              <w:jc w:val="center"/>
              <w:rPr>
                <w:sz w:val="20"/>
                <w:szCs w:val="20"/>
              </w:rPr>
            </w:pPr>
            <w:r>
              <w:rPr>
                <w:sz w:val="20"/>
                <w:szCs w:val="20"/>
              </w:rPr>
              <w:t>3</w:t>
            </w:r>
          </w:p>
        </w:tc>
        <w:tc>
          <w:tcPr>
            <w:tcW w:w="4916" w:type="dxa"/>
            <w:tcBorders>
              <w:top w:val="nil"/>
              <w:left w:val="nil"/>
              <w:bottom w:val="nil"/>
              <w:right w:val="nil"/>
            </w:tcBorders>
            <w:shd w:val="clear" w:color="000000" w:fill="FFFFFF"/>
            <w:noWrap/>
            <w:vAlign w:val="bottom"/>
            <w:hideMark/>
          </w:tcPr>
          <w:p w:rsidR="009F71FC" w:rsidRDefault="009F71FC" w:rsidP="00BF32E3">
            <w:pPr>
              <w:rPr>
                <w:color w:val="000000"/>
                <w:sz w:val="20"/>
                <w:szCs w:val="20"/>
              </w:rPr>
            </w:pPr>
            <w:r>
              <w:rPr>
                <w:color w:val="000000"/>
                <w:sz w:val="20"/>
                <w:szCs w:val="20"/>
              </w:rPr>
              <w:t>To remove account with no plant balance.</w:t>
            </w:r>
          </w:p>
        </w:tc>
        <w:tc>
          <w:tcPr>
            <w:tcW w:w="85" w:type="dxa"/>
            <w:tcBorders>
              <w:top w:val="nil"/>
              <w:left w:val="nil"/>
              <w:bottom w:val="nil"/>
              <w:right w:val="nil"/>
            </w:tcBorders>
            <w:shd w:val="clear" w:color="000000" w:fill="FFFFFF"/>
            <w:noWrap/>
            <w:vAlign w:val="bottom"/>
            <w:hideMark/>
          </w:tcPr>
          <w:p w:rsidR="009F71FC" w:rsidRDefault="009F71FC" w:rsidP="00BF32E3">
            <w:pPr>
              <w:rPr>
                <w:color w:val="000000"/>
                <w:sz w:val="20"/>
                <w:szCs w:val="20"/>
              </w:rPr>
            </w:pPr>
            <w:r>
              <w:rPr>
                <w:color w:val="000000"/>
                <w:sz w:val="20"/>
                <w:szCs w:val="20"/>
              </w:rPr>
              <w:t> </w:t>
            </w:r>
          </w:p>
        </w:tc>
        <w:tc>
          <w:tcPr>
            <w:tcW w:w="2090" w:type="dxa"/>
            <w:tcBorders>
              <w:top w:val="nil"/>
              <w:left w:val="nil"/>
              <w:right w:val="nil"/>
            </w:tcBorders>
            <w:shd w:val="clear" w:color="000000" w:fill="FFFFFF"/>
            <w:noWrap/>
            <w:vAlign w:val="bottom"/>
            <w:hideMark/>
          </w:tcPr>
          <w:p w:rsidR="009F71FC" w:rsidRDefault="009F71FC" w:rsidP="00BF32E3">
            <w:pPr>
              <w:jc w:val="right"/>
              <w:rPr>
                <w:sz w:val="20"/>
                <w:szCs w:val="20"/>
              </w:rPr>
            </w:pPr>
            <w:r>
              <w:rPr>
                <w:sz w:val="20"/>
                <w:szCs w:val="20"/>
              </w:rPr>
              <w:t xml:space="preserve">               7,640 </w:t>
            </w:r>
          </w:p>
        </w:tc>
        <w:tc>
          <w:tcPr>
            <w:tcW w:w="93" w:type="dxa"/>
            <w:tcBorders>
              <w:top w:val="nil"/>
              <w:left w:val="nil"/>
              <w:bottom w:val="nil"/>
              <w:right w:val="single" w:sz="4" w:space="0" w:color="auto"/>
            </w:tcBorders>
            <w:shd w:val="clear" w:color="auto" w:fill="auto"/>
            <w:noWrap/>
            <w:vAlign w:val="bottom"/>
            <w:hideMark/>
          </w:tcPr>
          <w:p w:rsidR="009F71FC" w:rsidRDefault="009F71FC" w:rsidP="00BF32E3">
            <w:pPr>
              <w:rPr>
                <w:sz w:val="20"/>
                <w:szCs w:val="20"/>
              </w:rPr>
            </w:pPr>
            <w:r>
              <w:rPr>
                <w:sz w:val="20"/>
                <w:szCs w:val="20"/>
              </w:rPr>
              <w:t> </w:t>
            </w:r>
          </w:p>
        </w:tc>
      </w:tr>
      <w:tr w:rsidR="009F71FC" w:rsidTr="00BF32E3">
        <w:trPr>
          <w:trHeight w:val="300"/>
          <w:jc w:val="center"/>
        </w:trPr>
        <w:tc>
          <w:tcPr>
            <w:tcW w:w="348" w:type="dxa"/>
            <w:tcBorders>
              <w:top w:val="nil"/>
              <w:left w:val="single" w:sz="4" w:space="0" w:color="auto"/>
              <w:bottom w:val="nil"/>
              <w:right w:val="nil"/>
            </w:tcBorders>
            <w:shd w:val="clear" w:color="000000" w:fill="FFFFFF"/>
            <w:noWrap/>
            <w:vAlign w:val="bottom"/>
            <w:hideMark/>
          </w:tcPr>
          <w:p w:rsidR="009F71FC" w:rsidRDefault="009F71FC" w:rsidP="00BF32E3">
            <w:pPr>
              <w:jc w:val="center"/>
              <w:rPr>
                <w:sz w:val="20"/>
                <w:szCs w:val="20"/>
              </w:rPr>
            </w:pPr>
            <w:r>
              <w:rPr>
                <w:sz w:val="20"/>
                <w:szCs w:val="20"/>
              </w:rPr>
              <w:t>4</w:t>
            </w:r>
          </w:p>
        </w:tc>
        <w:tc>
          <w:tcPr>
            <w:tcW w:w="4916"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To reflect pro forma plant additions.</w:t>
            </w:r>
          </w:p>
        </w:tc>
        <w:tc>
          <w:tcPr>
            <w:tcW w:w="85" w:type="dxa"/>
            <w:tcBorders>
              <w:top w:val="nil"/>
              <w:left w:val="nil"/>
              <w:bottom w:val="nil"/>
              <w:right w:val="nil"/>
            </w:tcBorders>
            <w:shd w:val="clear" w:color="000000" w:fill="FFFFFF"/>
            <w:noWrap/>
            <w:vAlign w:val="bottom"/>
            <w:hideMark/>
          </w:tcPr>
          <w:p w:rsidR="009F71FC" w:rsidRDefault="009F71FC" w:rsidP="00BF32E3">
            <w:pPr>
              <w:rPr>
                <w:color w:val="000000"/>
                <w:sz w:val="20"/>
                <w:szCs w:val="20"/>
              </w:rPr>
            </w:pPr>
            <w:r>
              <w:rPr>
                <w:color w:val="000000"/>
                <w:sz w:val="20"/>
                <w:szCs w:val="20"/>
              </w:rPr>
              <w:t> </w:t>
            </w:r>
          </w:p>
        </w:tc>
        <w:tc>
          <w:tcPr>
            <w:tcW w:w="2090" w:type="dxa"/>
            <w:tcBorders>
              <w:left w:val="nil"/>
              <w:right w:val="nil"/>
            </w:tcBorders>
            <w:shd w:val="clear" w:color="000000" w:fill="FFFFFF"/>
            <w:noWrap/>
            <w:vAlign w:val="bottom"/>
            <w:hideMark/>
          </w:tcPr>
          <w:p w:rsidR="009F71FC" w:rsidRDefault="00DF5A22" w:rsidP="00BF32E3">
            <w:pPr>
              <w:jc w:val="right"/>
              <w:rPr>
                <w:sz w:val="20"/>
                <w:szCs w:val="20"/>
                <w:u w:val="single"/>
              </w:rPr>
            </w:pPr>
            <w:r>
              <w:rPr>
                <w:sz w:val="20"/>
                <w:szCs w:val="20"/>
                <w:u w:val="single"/>
              </w:rPr>
              <w:t>(</w:t>
            </w:r>
            <w:r w:rsidRPr="0059480F">
              <w:rPr>
                <w:sz w:val="20"/>
                <w:szCs w:val="20"/>
                <w:u w:val="single"/>
              </w:rPr>
              <w:t>14,030)</w:t>
            </w:r>
          </w:p>
        </w:tc>
        <w:tc>
          <w:tcPr>
            <w:tcW w:w="93" w:type="dxa"/>
            <w:tcBorders>
              <w:top w:val="nil"/>
              <w:left w:val="nil"/>
              <w:bottom w:val="nil"/>
              <w:right w:val="single" w:sz="4" w:space="0" w:color="auto"/>
            </w:tcBorders>
            <w:shd w:val="clear" w:color="auto" w:fill="auto"/>
            <w:noWrap/>
            <w:vAlign w:val="bottom"/>
            <w:hideMark/>
          </w:tcPr>
          <w:p w:rsidR="009F71FC" w:rsidRDefault="009F71FC" w:rsidP="00BF32E3">
            <w:pPr>
              <w:rPr>
                <w:sz w:val="20"/>
                <w:szCs w:val="20"/>
              </w:rPr>
            </w:pPr>
            <w:r>
              <w:rPr>
                <w:sz w:val="20"/>
                <w:szCs w:val="20"/>
              </w:rPr>
              <w:t> </w:t>
            </w:r>
          </w:p>
        </w:tc>
      </w:tr>
      <w:tr w:rsidR="009F71FC" w:rsidTr="00BF32E3">
        <w:trPr>
          <w:trHeight w:val="255"/>
          <w:jc w:val="center"/>
        </w:trPr>
        <w:tc>
          <w:tcPr>
            <w:tcW w:w="348" w:type="dxa"/>
            <w:tcBorders>
              <w:top w:val="nil"/>
              <w:left w:val="single" w:sz="4" w:space="0" w:color="auto"/>
              <w:bottom w:val="nil"/>
              <w:right w:val="nil"/>
            </w:tcBorders>
            <w:shd w:val="clear" w:color="000000" w:fill="FFFFFF"/>
            <w:noWrap/>
            <w:vAlign w:val="bottom"/>
            <w:hideMark/>
          </w:tcPr>
          <w:p w:rsidR="009F71FC" w:rsidRDefault="009F71FC" w:rsidP="00BF32E3">
            <w:pPr>
              <w:jc w:val="center"/>
              <w:rPr>
                <w:sz w:val="20"/>
                <w:szCs w:val="20"/>
              </w:rPr>
            </w:pPr>
            <w:r>
              <w:rPr>
                <w:sz w:val="20"/>
                <w:szCs w:val="20"/>
              </w:rPr>
              <w:t> </w:t>
            </w:r>
          </w:p>
        </w:tc>
        <w:tc>
          <w:tcPr>
            <w:tcW w:w="4916"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 xml:space="preserve">    Total</w:t>
            </w:r>
          </w:p>
        </w:tc>
        <w:tc>
          <w:tcPr>
            <w:tcW w:w="85" w:type="dxa"/>
            <w:tcBorders>
              <w:top w:val="nil"/>
              <w:left w:val="nil"/>
              <w:bottom w:val="nil"/>
              <w:right w:val="nil"/>
            </w:tcBorders>
            <w:shd w:val="clear" w:color="000000" w:fill="FFFFFF"/>
            <w:noWrap/>
            <w:vAlign w:val="bottom"/>
            <w:hideMark/>
          </w:tcPr>
          <w:p w:rsidR="009F71FC" w:rsidRDefault="009F71FC" w:rsidP="00BF32E3">
            <w:pPr>
              <w:rPr>
                <w:color w:val="000000"/>
                <w:sz w:val="20"/>
                <w:szCs w:val="20"/>
              </w:rPr>
            </w:pPr>
            <w:r>
              <w:rPr>
                <w:color w:val="000000"/>
                <w:sz w:val="20"/>
                <w:szCs w:val="20"/>
              </w:rPr>
              <w:t> </w:t>
            </w:r>
          </w:p>
        </w:tc>
        <w:tc>
          <w:tcPr>
            <w:tcW w:w="2090" w:type="dxa"/>
            <w:tcBorders>
              <w:left w:val="nil"/>
              <w:bottom w:val="nil"/>
              <w:right w:val="nil"/>
            </w:tcBorders>
            <w:shd w:val="clear" w:color="000000" w:fill="FFFFFF"/>
            <w:noWrap/>
            <w:vAlign w:val="bottom"/>
            <w:hideMark/>
          </w:tcPr>
          <w:p w:rsidR="009F71FC" w:rsidRDefault="009F71FC" w:rsidP="00BF32E3">
            <w:pPr>
              <w:jc w:val="right"/>
              <w:rPr>
                <w:sz w:val="20"/>
                <w:szCs w:val="20"/>
                <w:u w:val="double"/>
              </w:rPr>
            </w:pPr>
            <w:r>
              <w:rPr>
                <w:sz w:val="20"/>
                <w:szCs w:val="20"/>
                <w:u w:val="double"/>
              </w:rPr>
              <w:t>($5,303)</w:t>
            </w:r>
          </w:p>
        </w:tc>
        <w:tc>
          <w:tcPr>
            <w:tcW w:w="93" w:type="dxa"/>
            <w:tcBorders>
              <w:top w:val="nil"/>
              <w:left w:val="nil"/>
              <w:bottom w:val="nil"/>
              <w:right w:val="single" w:sz="4" w:space="0" w:color="auto"/>
            </w:tcBorders>
            <w:shd w:val="clear" w:color="auto" w:fill="auto"/>
            <w:noWrap/>
            <w:vAlign w:val="bottom"/>
            <w:hideMark/>
          </w:tcPr>
          <w:p w:rsidR="009F71FC" w:rsidRDefault="009F71FC" w:rsidP="00BF32E3">
            <w:pPr>
              <w:rPr>
                <w:sz w:val="20"/>
                <w:szCs w:val="20"/>
              </w:rPr>
            </w:pPr>
            <w:r>
              <w:rPr>
                <w:sz w:val="20"/>
                <w:szCs w:val="20"/>
              </w:rPr>
              <w:t> </w:t>
            </w:r>
          </w:p>
        </w:tc>
      </w:tr>
      <w:tr w:rsidR="009F71FC" w:rsidTr="00BF32E3">
        <w:trPr>
          <w:trHeight w:val="255"/>
          <w:jc w:val="center"/>
        </w:trPr>
        <w:tc>
          <w:tcPr>
            <w:tcW w:w="348" w:type="dxa"/>
            <w:tcBorders>
              <w:top w:val="nil"/>
              <w:left w:val="single" w:sz="4" w:space="0" w:color="auto"/>
              <w:bottom w:val="nil"/>
              <w:right w:val="nil"/>
            </w:tcBorders>
            <w:shd w:val="clear" w:color="000000" w:fill="FFFFFF"/>
            <w:noWrap/>
            <w:vAlign w:val="bottom"/>
            <w:hideMark/>
          </w:tcPr>
          <w:p w:rsidR="009F71FC" w:rsidRDefault="009F71FC" w:rsidP="00BF32E3">
            <w:pPr>
              <w:jc w:val="center"/>
              <w:rPr>
                <w:sz w:val="20"/>
                <w:szCs w:val="20"/>
              </w:rPr>
            </w:pPr>
            <w:r>
              <w:rPr>
                <w:sz w:val="20"/>
                <w:szCs w:val="20"/>
              </w:rPr>
              <w:t> </w:t>
            </w:r>
          </w:p>
        </w:tc>
        <w:tc>
          <w:tcPr>
            <w:tcW w:w="4916"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 </w:t>
            </w:r>
          </w:p>
        </w:tc>
        <w:tc>
          <w:tcPr>
            <w:tcW w:w="85" w:type="dxa"/>
            <w:tcBorders>
              <w:top w:val="nil"/>
              <w:left w:val="nil"/>
              <w:bottom w:val="nil"/>
              <w:right w:val="nil"/>
            </w:tcBorders>
            <w:shd w:val="clear" w:color="000000" w:fill="FFFFFF"/>
            <w:noWrap/>
            <w:vAlign w:val="bottom"/>
            <w:hideMark/>
          </w:tcPr>
          <w:p w:rsidR="009F71FC" w:rsidRDefault="009F71FC" w:rsidP="00BF32E3">
            <w:pPr>
              <w:rPr>
                <w:color w:val="000000"/>
                <w:sz w:val="20"/>
                <w:szCs w:val="20"/>
              </w:rPr>
            </w:pPr>
            <w:r>
              <w:rPr>
                <w:color w:val="000000"/>
                <w:sz w:val="20"/>
                <w:szCs w:val="20"/>
              </w:rPr>
              <w:t> </w:t>
            </w:r>
          </w:p>
        </w:tc>
        <w:tc>
          <w:tcPr>
            <w:tcW w:w="2090"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 </w:t>
            </w:r>
          </w:p>
        </w:tc>
        <w:tc>
          <w:tcPr>
            <w:tcW w:w="93" w:type="dxa"/>
            <w:tcBorders>
              <w:top w:val="nil"/>
              <w:left w:val="nil"/>
              <w:bottom w:val="nil"/>
              <w:right w:val="single" w:sz="4" w:space="0" w:color="auto"/>
            </w:tcBorders>
            <w:shd w:val="clear" w:color="auto" w:fill="auto"/>
            <w:noWrap/>
            <w:vAlign w:val="bottom"/>
            <w:hideMark/>
          </w:tcPr>
          <w:p w:rsidR="009F71FC" w:rsidRDefault="009F71FC" w:rsidP="00BF32E3">
            <w:pPr>
              <w:rPr>
                <w:sz w:val="20"/>
                <w:szCs w:val="20"/>
              </w:rPr>
            </w:pPr>
            <w:r>
              <w:rPr>
                <w:sz w:val="20"/>
                <w:szCs w:val="20"/>
              </w:rPr>
              <w:t> </w:t>
            </w:r>
          </w:p>
        </w:tc>
      </w:tr>
      <w:tr w:rsidR="009F71FC" w:rsidTr="00BF32E3">
        <w:trPr>
          <w:trHeight w:val="255"/>
          <w:jc w:val="center"/>
        </w:trPr>
        <w:tc>
          <w:tcPr>
            <w:tcW w:w="348" w:type="dxa"/>
            <w:tcBorders>
              <w:top w:val="nil"/>
              <w:left w:val="single" w:sz="4" w:space="0" w:color="auto"/>
              <w:bottom w:val="nil"/>
              <w:right w:val="nil"/>
            </w:tcBorders>
            <w:shd w:val="clear" w:color="000000" w:fill="FFFFFF"/>
            <w:noWrap/>
            <w:vAlign w:val="bottom"/>
            <w:hideMark/>
          </w:tcPr>
          <w:p w:rsidR="009F71FC" w:rsidRDefault="009F71FC" w:rsidP="00BF32E3">
            <w:pPr>
              <w:jc w:val="center"/>
              <w:rPr>
                <w:sz w:val="20"/>
                <w:szCs w:val="20"/>
              </w:rPr>
            </w:pPr>
            <w:r>
              <w:rPr>
                <w:sz w:val="20"/>
                <w:szCs w:val="20"/>
              </w:rPr>
              <w:t> </w:t>
            </w:r>
          </w:p>
        </w:tc>
        <w:tc>
          <w:tcPr>
            <w:tcW w:w="4916" w:type="dxa"/>
            <w:tcBorders>
              <w:top w:val="nil"/>
              <w:left w:val="nil"/>
              <w:bottom w:val="nil"/>
              <w:right w:val="nil"/>
            </w:tcBorders>
            <w:shd w:val="clear" w:color="000000" w:fill="FFFFFF"/>
            <w:noWrap/>
            <w:vAlign w:val="bottom"/>
            <w:hideMark/>
          </w:tcPr>
          <w:p w:rsidR="009F71FC" w:rsidRDefault="009F71FC" w:rsidP="00BF32E3">
            <w:pPr>
              <w:rPr>
                <w:sz w:val="20"/>
                <w:szCs w:val="20"/>
                <w:u w:val="single"/>
              </w:rPr>
            </w:pPr>
            <w:r>
              <w:rPr>
                <w:sz w:val="20"/>
                <w:szCs w:val="20"/>
                <w:u w:val="single"/>
              </w:rPr>
              <w:t>Working Capital</w:t>
            </w:r>
          </w:p>
        </w:tc>
        <w:tc>
          <w:tcPr>
            <w:tcW w:w="85" w:type="dxa"/>
            <w:tcBorders>
              <w:top w:val="nil"/>
              <w:left w:val="nil"/>
              <w:bottom w:val="nil"/>
              <w:right w:val="nil"/>
            </w:tcBorders>
            <w:shd w:val="clear" w:color="000000" w:fill="FFFFFF"/>
            <w:noWrap/>
            <w:vAlign w:val="bottom"/>
            <w:hideMark/>
          </w:tcPr>
          <w:p w:rsidR="009F71FC" w:rsidRDefault="009F71FC" w:rsidP="00BF32E3">
            <w:pPr>
              <w:rPr>
                <w:color w:val="000000"/>
                <w:sz w:val="20"/>
                <w:szCs w:val="20"/>
              </w:rPr>
            </w:pPr>
            <w:r>
              <w:rPr>
                <w:color w:val="000000"/>
                <w:sz w:val="20"/>
                <w:szCs w:val="20"/>
              </w:rPr>
              <w:t> </w:t>
            </w:r>
          </w:p>
        </w:tc>
        <w:tc>
          <w:tcPr>
            <w:tcW w:w="2090"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 </w:t>
            </w:r>
          </w:p>
        </w:tc>
        <w:tc>
          <w:tcPr>
            <w:tcW w:w="93" w:type="dxa"/>
            <w:tcBorders>
              <w:top w:val="nil"/>
              <w:left w:val="nil"/>
              <w:bottom w:val="nil"/>
              <w:right w:val="single" w:sz="4" w:space="0" w:color="auto"/>
            </w:tcBorders>
            <w:shd w:val="clear" w:color="auto" w:fill="auto"/>
            <w:noWrap/>
            <w:vAlign w:val="bottom"/>
            <w:hideMark/>
          </w:tcPr>
          <w:p w:rsidR="009F71FC" w:rsidRDefault="009F71FC" w:rsidP="00BF32E3">
            <w:pPr>
              <w:rPr>
                <w:sz w:val="20"/>
                <w:szCs w:val="20"/>
              </w:rPr>
            </w:pPr>
            <w:r>
              <w:rPr>
                <w:sz w:val="20"/>
                <w:szCs w:val="20"/>
              </w:rPr>
              <w:t> </w:t>
            </w:r>
          </w:p>
        </w:tc>
      </w:tr>
      <w:tr w:rsidR="009F71FC" w:rsidTr="00BF32E3">
        <w:trPr>
          <w:trHeight w:val="255"/>
          <w:jc w:val="center"/>
        </w:trPr>
        <w:tc>
          <w:tcPr>
            <w:tcW w:w="348" w:type="dxa"/>
            <w:tcBorders>
              <w:top w:val="nil"/>
              <w:left w:val="single" w:sz="4" w:space="0" w:color="auto"/>
              <w:bottom w:val="nil"/>
              <w:right w:val="nil"/>
            </w:tcBorders>
            <w:shd w:val="clear" w:color="000000" w:fill="FFFFFF"/>
            <w:noWrap/>
            <w:vAlign w:val="bottom"/>
            <w:hideMark/>
          </w:tcPr>
          <w:p w:rsidR="009F71FC" w:rsidRDefault="009F71FC" w:rsidP="00BF32E3">
            <w:pPr>
              <w:jc w:val="center"/>
              <w:rPr>
                <w:sz w:val="20"/>
                <w:szCs w:val="20"/>
              </w:rPr>
            </w:pPr>
            <w:r>
              <w:rPr>
                <w:sz w:val="20"/>
                <w:szCs w:val="20"/>
              </w:rPr>
              <w:t> </w:t>
            </w:r>
          </w:p>
        </w:tc>
        <w:tc>
          <w:tcPr>
            <w:tcW w:w="4916" w:type="dxa"/>
            <w:tcBorders>
              <w:top w:val="nil"/>
              <w:left w:val="nil"/>
              <w:bottom w:val="nil"/>
              <w:right w:val="nil"/>
            </w:tcBorders>
            <w:shd w:val="clear" w:color="000000" w:fill="FFFFFF"/>
            <w:noWrap/>
            <w:vAlign w:val="bottom"/>
            <w:hideMark/>
          </w:tcPr>
          <w:p w:rsidR="009F71FC" w:rsidRDefault="009F71FC" w:rsidP="00BF32E3">
            <w:pPr>
              <w:rPr>
                <w:sz w:val="20"/>
                <w:szCs w:val="20"/>
              </w:rPr>
            </w:pPr>
            <w:r>
              <w:rPr>
                <w:sz w:val="20"/>
                <w:szCs w:val="20"/>
              </w:rPr>
              <w:t> </w:t>
            </w:r>
            <w:r w:rsidR="00DF5A22">
              <w:rPr>
                <w:sz w:val="20"/>
                <w:szCs w:val="20"/>
              </w:rPr>
              <w:t>To reflect the appropriate amount of working capital.</w:t>
            </w:r>
          </w:p>
        </w:tc>
        <w:tc>
          <w:tcPr>
            <w:tcW w:w="85" w:type="dxa"/>
            <w:tcBorders>
              <w:top w:val="nil"/>
              <w:left w:val="nil"/>
              <w:bottom w:val="nil"/>
              <w:right w:val="nil"/>
            </w:tcBorders>
            <w:shd w:val="clear" w:color="000000" w:fill="FFFFFF"/>
            <w:noWrap/>
            <w:vAlign w:val="bottom"/>
            <w:hideMark/>
          </w:tcPr>
          <w:p w:rsidR="009F71FC" w:rsidRDefault="009F71FC" w:rsidP="00BF32E3">
            <w:pPr>
              <w:rPr>
                <w:color w:val="000000"/>
                <w:sz w:val="20"/>
                <w:szCs w:val="20"/>
              </w:rPr>
            </w:pPr>
            <w:r>
              <w:rPr>
                <w:color w:val="000000"/>
                <w:sz w:val="20"/>
                <w:szCs w:val="20"/>
              </w:rPr>
              <w:t> </w:t>
            </w:r>
          </w:p>
        </w:tc>
        <w:tc>
          <w:tcPr>
            <w:tcW w:w="2090" w:type="dxa"/>
            <w:tcBorders>
              <w:top w:val="nil"/>
              <w:left w:val="nil"/>
              <w:bottom w:val="nil"/>
              <w:right w:val="nil"/>
            </w:tcBorders>
            <w:shd w:val="clear" w:color="000000" w:fill="FFFFFF"/>
            <w:noWrap/>
            <w:vAlign w:val="bottom"/>
            <w:hideMark/>
          </w:tcPr>
          <w:p w:rsidR="009F71FC" w:rsidRDefault="009F71FC" w:rsidP="00BF32E3">
            <w:pPr>
              <w:jc w:val="right"/>
              <w:rPr>
                <w:sz w:val="20"/>
                <w:szCs w:val="20"/>
                <w:u w:val="double"/>
              </w:rPr>
            </w:pPr>
            <w:r>
              <w:rPr>
                <w:sz w:val="20"/>
                <w:szCs w:val="20"/>
                <w:u w:val="double"/>
              </w:rPr>
              <w:t xml:space="preserve">$1,586 </w:t>
            </w:r>
          </w:p>
        </w:tc>
        <w:tc>
          <w:tcPr>
            <w:tcW w:w="93" w:type="dxa"/>
            <w:tcBorders>
              <w:top w:val="nil"/>
              <w:left w:val="nil"/>
              <w:bottom w:val="nil"/>
              <w:right w:val="single" w:sz="4" w:space="0" w:color="auto"/>
            </w:tcBorders>
            <w:shd w:val="clear" w:color="auto" w:fill="auto"/>
            <w:noWrap/>
            <w:vAlign w:val="bottom"/>
            <w:hideMark/>
          </w:tcPr>
          <w:p w:rsidR="009F71FC" w:rsidRDefault="009F71FC" w:rsidP="00BF32E3">
            <w:pPr>
              <w:rPr>
                <w:sz w:val="20"/>
                <w:szCs w:val="20"/>
              </w:rPr>
            </w:pPr>
            <w:r>
              <w:rPr>
                <w:sz w:val="20"/>
                <w:szCs w:val="20"/>
              </w:rPr>
              <w:t> </w:t>
            </w:r>
          </w:p>
        </w:tc>
      </w:tr>
      <w:tr w:rsidR="009F71FC" w:rsidTr="00BF32E3">
        <w:trPr>
          <w:trHeight w:val="255"/>
          <w:jc w:val="center"/>
        </w:trPr>
        <w:tc>
          <w:tcPr>
            <w:tcW w:w="348" w:type="dxa"/>
            <w:tcBorders>
              <w:top w:val="nil"/>
              <w:left w:val="single" w:sz="4" w:space="0" w:color="auto"/>
              <w:bottom w:val="single" w:sz="4" w:space="0" w:color="auto"/>
              <w:right w:val="nil"/>
            </w:tcBorders>
            <w:shd w:val="clear" w:color="000000" w:fill="FFFFFF"/>
            <w:noWrap/>
            <w:vAlign w:val="bottom"/>
            <w:hideMark/>
          </w:tcPr>
          <w:p w:rsidR="009F71FC" w:rsidRDefault="009F71FC" w:rsidP="00BF32E3">
            <w:pPr>
              <w:jc w:val="center"/>
              <w:rPr>
                <w:sz w:val="20"/>
                <w:szCs w:val="20"/>
              </w:rPr>
            </w:pPr>
            <w:r>
              <w:rPr>
                <w:sz w:val="20"/>
                <w:szCs w:val="20"/>
              </w:rPr>
              <w:t> </w:t>
            </w:r>
          </w:p>
        </w:tc>
        <w:tc>
          <w:tcPr>
            <w:tcW w:w="4916" w:type="dxa"/>
            <w:tcBorders>
              <w:top w:val="nil"/>
              <w:left w:val="nil"/>
              <w:bottom w:val="single" w:sz="4" w:space="0" w:color="auto"/>
              <w:right w:val="nil"/>
            </w:tcBorders>
            <w:shd w:val="clear" w:color="000000" w:fill="FFFFFF"/>
            <w:noWrap/>
            <w:vAlign w:val="bottom"/>
            <w:hideMark/>
          </w:tcPr>
          <w:p w:rsidR="009F71FC" w:rsidRDefault="009F71FC" w:rsidP="00BF32E3">
            <w:pPr>
              <w:rPr>
                <w:sz w:val="20"/>
                <w:szCs w:val="20"/>
              </w:rPr>
            </w:pPr>
            <w:r>
              <w:rPr>
                <w:sz w:val="20"/>
                <w:szCs w:val="20"/>
              </w:rPr>
              <w:t> </w:t>
            </w:r>
          </w:p>
        </w:tc>
        <w:tc>
          <w:tcPr>
            <w:tcW w:w="85" w:type="dxa"/>
            <w:tcBorders>
              <w:top w:val="nil"/>
              <w:left w:val="nil"/>
              <w:bottom w:val="single" w:sz="4" w:space="0" w:color="auto"/>
              <w:right w:val="nil"/>
            </w:tcBorders>
            <w:shd w:val="clear" w:color="000000" w:fill="FFFFFF"/>
            <w:noWrap/>
            <w:vAlign w:val="bottom"/>
            <w:hideMark/>
          </w:tcPr>
          <w:p w:rsidR="009F71FC" w:rsidRDefault="009F71FC" w:rsidP="00BF32E3">
            <w:pPr>
              <w:rPr>
                <w:sz w:val="20"/>
                <w:szCs w:val="20"/>
              </w:rPr>
            </w:pPr>
            <w:r>
              <w:rPr>
                <w:sz w:val="20"/>
                <w:szCs w:val="20"/>
              </w:rPr>
              <w:t> </w:t>
            </w:r>
          </w:p>
        </w:tc>
        <w:tc>
          <w:tcPr>
            <w:tcW w:w="2090" w:type="dxa"/>
            <w:tcBorders>
              <w:top w:val="nil"/>
              <w:left w:val="nil"/>
              <w:bottom w:val="single" w:sz="4" w:space="0" w:color="auto"/>
              <w:right w:val="nil"/>
            </w:tcBorders>
            <w:shd w:val="clear" w:color="000000" w:fill="FFFFFF"/>
            <w:noWrap/>
            <w:vAlign w:val="bottom"/>
            <w:hideMark/>
          </w:tcPr>
          <w:p w:rsidR="009F71FC" w:rsidRDefault="009F71FC" w:rsidP="00BF32E3">
            <w:pPr>
              <w:rPr>
                <w:sz w:val="20"/>
                <w:szCs w:val="20"/>
              </w:rPr>
            </w:pPr>
            <w:r>
              <w:rPr>
                <w:sz w:val="20"/>
                <w:szCs w:val="20"/>
              </w:rPr>
              <w:t> </w:t>
            </w:r>
          </w:p>
        </w:tc>
        <w:tc>
          <w:tcPr>
            <w:tcW w:w="93" w:type="dxa"/>
            <w:tcBorders>
              <w:top w:val="nil"/>
              <w:left w:val="nil"/>
              <w:bottom w:val="single" w:sz="4" w:space="0" w:color="auto"/>
              <w:right w:val="single" w:sz="4" w:space="0" w:color="auto"/>
            </w:tcBorders>
            <w:shd w:val="clear" w:color="auto" w:fill="auto"/>
            <w:noWrap/>
            <w:vAlign w:val="bottom"/>
            <w:hideMark/>
          </w:tcPr>
          <w:p w:rsidR="009F71FC" w:rsidRDefault="009F71FC" w:rsidP="00BF32E3">
            <w:pPr>
              <w:rPr>
                <w:sz w:val="20"/>
                <w:szCs w:val="20"/>
              </w:rPr>
            </w:pPr>
            <w:r>
              <w:rPr>
                <w:sz w:val="20"/>
                <w:szCs w:val="20"/>
              </w:rPr>
              <w:t> </w:t>
            </w:r>
          </w:p>
        </w:tc>
      </w:tr>
    </w:tbl>
    <w:p w:rsidR="00087D35" w:rsidRDefault="00087D35" w:rsidP="0006580B">
      <w:pPr>
        <w:pStyle w:val="BodyText"/>
        <w:jc w:val="center"/>
        <w:rPr>
          <w:noProof/>
        </w:rPr>
      </w:pPr>
    </w:p>
    <w:p w:rsidR="0006580B" w:rsidRDefault="0006580B" w:rsidP="00E275D8">
      <w:pPr>
        <w:pStyle w:val="BodyText"/>
      </w:pPr>
    </w:p>
    <w:p w:rsidR="0006580B" w:rsidRDefault="0006580B" w:rsidP="00E275D8">
      <w:pPr>
        <w:pStyle w:val="BodyText"/>
        <w:sectPr w:rsidR="0006580B" w:rsidSect="0068481F">
          <w:headerReference w:type="default" r:id="rId19"/>
          <w:footerReference w:type="default" r:id="rId20"/>
          <w:pgSz w:w="12240" w:h="15840" w:code="1"/>
          <w:pgMar w:top="1584" w:right="1440" w:bottom="1440" w:left="1440" w:header="720" w:footer="720" w:gutter="0"/>
          <w:cols w:space="720"/>
          <w:formProt w:val="0"/>
          <w:docGrid w:linePitch="360"/>
        </w:sectPr>
      </w:pPr>
    </w:p>
    <w:p w:rsidR="00052707" w:rsidRDefault="0006580B" w:rsidP="003C18F7">
      <w:pPr>
        <w:pStyle w:val="BodyText"/>
        <w:jc w:val="center"/>
      </w:pPr>
      <w:r>
        <w:lastRenderedPageBreak/>
        <w:fldChar w:fldCharType="begin"/>
      </w:r>
      <w:r>
        <w:instrText xml:space="preserve"> TC "</w:instrText>
      </w:r>
      <w:bookmarkStart w:id="46" w:name="_Toc24969908"/>
      <w:bookmarkStart w:id="47" w:name="_Toc35842864"/>
      <w:r>
        <w:tab/>
      </w:r>
      <w:bookmarkStart w:id="48" w:name="_Toc38467955"/>
      <w:r>
        <w:instrText>Schedule No. 2</w:instrText>
      </w:r>
      <w:bookmarkEnd w:id="46"/>
      <w:r>
        <w:instrText xml:space="preserve"> – Capital Structure 13-Month Average</w:instrText>
      </w:r>
      <w:bookmarkEnd w:id="47"/>
      <w:bookmarkEnd w:id="48"/>
      <w:r>
        <w:instrText xml:space="preserve">" \l 1 </w:instrText>
      </w:r>
      <w:r>
        <w:fldChar w:fldCharType="end"/>
      </w:r>
    </w:p>
    <w:tbl>
      <w:tblPr>
        <w:tblW w:w="13044" w:type="dxa"/>
        <w:jc w:val="center"/>
        <w:tblLook w:val="04A0" w:firstRow="1" w:lastRow="0" w:firstColumn="1" w:lastColumn="0" w:noHBand="0" w:noVBand="1"/>
      </w:tblPr>
      <w:tblGrid>
        <w:gridCol w:w="1234"/>
        <w:gridCol w:w="1964"/>
        <w:gridCol w:w="1310"/>
        <w:gridCol w:w="983"/>
        <w:gridCol w:w="1310"/>
        <w:gridCol w:w="1237"/>
        <w:gridCol w:w="1497"/>
        <w:gridCol w:w="1045"/>
        <w:gridCol w:w="1076"/>
        <w:gridCol w:w="1116"/>
        <w:gridCol w:w="272"/>
      </w:tblGrid>
      <w:tr w:rsidR="003C18F7" w:rsidTr="001C2CEC">
        <w:trPr>
          <w:trHeight w:val="665"/>
          <w:jc w:val="center"/>
        </w:trPr>
        <w:tc>
          <w:tcPr>
            <w:tcW w:w="9535" w:type="dxa"/>
            <w:gridSpan w:val="7"/>
            <w:tcBorders>
              <w:top w:val="single" w:sz="4" w:space="0" w:color="auto"/>
              <w:left w:val="single" w:sz="4" w:space="0" w:color="auto"/>
              <w:bottom w:val="nil"/>
              <w:right w:val="nil"/>
            </w:tcBorders>
            <w:shd w:val="clear" w:color="000000" w:fill="FFFFFF"/>
            <w:noWrap/>
            <w:vAlign w:val="bottom"/>
          </w:tcPr>
          <w:p w:rsidR="003C18F7" w:rsidRPr="005C4D77" w:rsidRDefault="003C18F7" w:rsidP="001C2CEC">
            <w:pPr>
              <w:rPr>
                <w:b/>
                <w:bCs/>
                <w:sz w:val="20"/>
                <w:szCs w:val="20"/>
              </w:rPr>
            </w:pPr>
            <w:r w:rsidRPr="005C4D77">
              <w:rPr>
                <w:b/>
                <w:bCs/>
                <w:sz w:val="20"/>
                <w:szCs w:val="20"/>
              </w:rPr>
              <w:t>HC Waterworks</w:t>
            </w:r>
          </w:p>
          <w:p w:rsidR="003C18F7" w:rsidRPr="005C4D77" w:rsidRDefault="003C18F7" w:rsidP="001C2CEC">
            <w:pPr>
              <w:rPr>
                <w:b/>
                <w:bCs/>
                <w:sz w:val="20"/>
                <w:szCs w:val="20"/>
              </w:rPr>
            </w:pPr>
            <w:r w:rsidRPr="005C4D77">
              <w:rPr>
                <w:b/>
                <w:bCs/>
                <w:sz w:val="20"/>
                <w:szCs w:val="20"/>
              </w:rPr>
              <w:t>Capital Structure-Simple Average</w:t>
            </w:r>
          </w:p>
          <w:p w:rsidR="003C18F7" w:rsidRDefault="003C18F7" w:rsidP="001C2CEC">
            <w:pPr>
              <w:rPr>
                <w:rFonts w:ascii="Arial" w:hAnsi="Arial" w:cs="Arial"/>
                <w:b/>
                <w:bCs/>
                <w:sz w:val="20"/>
                <w:szCs w:val="20"/>
              </w:rPr>
            </w:pPr>
            <w:r w:rsidRPr="005C4D77">
              <w:rPr>
                <w:b/>
                <w:bCs/>
                <w:sz w:val="20"/>
                <w:szCs w:val="20"/>
              </w:rPr>
              <w:t>Test Year Ended 06/30/19</w:t>
            </w:r>
          </w:p>
        </w:tc>
        <w:tc>
          <w:tcPr>
            <w:tcW w:w="3509" w:type="dxa"/>
            <w:gridSpan w:val="4"/>
            <w:tcBorders>
              <w:top w:val="single" w:sz="4" w:space="0" w:color="auto"/>
              <w:left w:val="nil"/>
              <w:bottom w:val="nil"/>
              <w:right w:val="single" w:sz="4" w:space="0" w:color="auto"/>
            </w:tcBorders>
            <w:shd w:val="clear" w:color="000000" w:fill="FFFFFF"/>
            <w:noWrap/>
            <w:vAlign w:val="bottom"/>
          </w:tcPr>
          <w:p w:rsidR="003C18F7" w:rsidRPr="005C4D77" w:rsidRDefault="003C18F7" w:rsidP="001C2CEC">
            <w:pPr>
              <w:jc w:val="right"/>
              <w:rPr>
                <w:b/>
                <w:bCs/>
                <w:sz w:val="20"/>
                <w:szCs w:val="20"/>
              </w:rPr>
            </w:pPr>
            <w:r>
              <w:rPr>
                <w:b/>
                <w:bCs/>
                <w:sz w:val="20"/>
                <w:szCs w:val="20"/>
              </w:rPr>
              <w:t>Schedule No. 2</w:t>
            </w:r>
          </w:p>
          <w:p w:rsidR="003C18F7" w:rsidRPr="005C4D77" w:rsidRDefault="003C18F7" w:rsidP="001C2CEC">
            <w:pPr>
              <w:jc w:val="right"/>
              <w:rPr>
                <w:b/>
                <w:bCs/>
                <w:sz w:val="20"/>
                <w:szCs w:val="20"/>
              </w:rPr>
            </w:pPr>
            <w:r w:rsidRPr="005C4D77">
              <w:rPr>
                <w:b/>
                <w:bCs/>
                <w:sz w:val="20"/>
                <w:szCs w:val="20"/>
              </w:rPr>
              <w:t>Docket No. 20190166-WS</w:t>
            </w:r>
          </w:p>
          <w:p w:rsidR="003C18F7" w:rsidRDefault="003C18F7" w:rsidP="001C2CEC">
            <w:pPr>
              <w:rPr>
                <w:rFonts w:ascii="Arial" w:hAnsi="Arial" w:cs="Arial"/>
                <w:b/>
                <w:bCs/>
                <w:sz w:val="20"/>
                <w:szCs w:val="20"/>
              </w:rPr>
            </w:pPr>
          </w:p>
        </w:tc>
      </w:tr>
      <w:tr w:rsidR="003C18F7" w:rsidTr="001C2CEC">
        <w:trPr>
          <w:trHeight w:val="258"/>
          <w:jc w:val="center"/>
        </w:trPr>
        <w:tc>
          <w:tcPr>
            <w:tcW w:w="1234" w:type="dxa"/>
            <w:tcBorders>
              <w:top w:val="single" w:sz="4" w:space="0" w:color="auto"/>
              <w:left w:val="single" w:sz="4" w:space="0" w:color="auto"/>
              <w:bottom w:val="nil"/>
              <w:right w:val="nil"/>
            </w:tcBorders>
            <w:shd w:val="clear" w:color="000000" w:fill="FFFFFF"/>
            <w:noWrap/>
            <w:vAlign w:val="bottom"/>
            <w:hideMark/>
          </w:tcPr>
          <w:p w:rsidR="003C18F7" w:rsidRDefault="003C18F7" w:rsidP="001C2CEC">
            <w:pPr>
              <w:rPr>
                <w:rFonts w:ascii="Arial" w:hAnsi="Arial" w:cs="Arial"/>
                <w:b/>
                <w:bCs/>
                <w:sz w:val="20"/>
                <w:szCs w:val="20"/>
              </w:rPr>
            </w:pPr>
            <w:r>
              <w:rPr>
                <w:rFonts w:ascii="Arial" w:hAnsi="Arial" w:cs="Arial"/>
                <w:b/>
                <w:bCs/>
                <w:sz w:val="20"/>
                <w:szCs w:val="20"/>
              </w:rPr>
              <w:t> </w:t>
            </w:r>
          </w:p>
        </w:tc>
        <w:tc>
          <w:tcPr>
            <w:tcW w:w="1964" w:type="dxa"/>
            <w:tcBorders>
              <w:top w:val="single" w:sz="4" w:space="0" w:color="auto"/>
              <w:left w:val="nil"/>
              <w:bottom w:val="nil"/>
              <w:right w:val="nil"/>
            </w:tcBorders>
            <w:shd w:val="clear" w:color="000000" w:fill="FFFFFF"/>
            <w:noWrap/>
            <w:vAlign w:val="bottom"/>
            <w:hideMark/>
          </w:tcPr>
          <w:p w:rsidR="003C18F7" w:rsidRDefault="003C18F7" w:rsidP="001C2CEC">
            <w:pPr>
              <w:rPr>
                <w:rFonts w:ascii="Arial" w:hAnsi="Arial" w:cs="Arial"/>
                <w:b/>
                <w:bCs/>
                <w:sz w:val="20"/>
                <w:szCs w:val="20"/>
              </w:rPr>
            </w:pPr>
            <w:r>
              <w:rPr>
                <w:rFonts w:ascii="Arial" w:hAnsi="Arial" w:cs="Arial"/>
                <w:b/>
                <w:bCs/>
                <w:sz w:val="20"/>
                <w:szCs w:val="20"/>
              </w:rPr>
              <w:t> </w:t>
            </w:r>
          </w:p>
        </w:tc>
        <w:tc>
          <w:tcPr>
            <w:tcW w:w="1310" w:type="dxa"/>
            <w:tcBorders>
              <w:top w:val="single" w:sz="4" w:space="0" w:color="auto"/>
              <w:left w:val="nil"/>
              <w:bottom w:val="nil"/>
              <w:right w:val="nil"/>
            </w:tcBorders>
            <w:shd w:val="clear" w:color="000000" w:fill="FFFFFF"/>
            <w:noWrap/>
            <w:vAlign w:val="bottom"/>
            <w:hideMark/>
          </w:tcPr>
          <w:p w:rsidR="003C18F7" w:rsidRDefault="003C18F7" w:rsidP="001C2CEC">
            <w:pPr>
              <w:rPr>
                <w:rFonts w:ascii="Arial" w:hAnsi="Arial" w:cs="Arial"/>
                <w:b/>
                <w:bCs/>
                <w:sz w:val="20"/>
                <w:szCs w:val="20"/>
              </w:rPr>
            </w:pPr>
            <w:r>
              <w:rPr>
                <w:rFonts w:ascii="Arial" w:hAnsi="Arial" w:cs="Arial"/>
                <w:b/>
                <w:bCs/>
                <w:sz w:val="20"/>
                <w:szCs w:val="20"/>
              </w:rPr>
              <w:t> </w:t>
            </w:r>
          </w:p>
        </w:tc>
        <w:tc>
          <w:tcPr>
            <w:tcW w:w="983" w:type="dxa"/>
            <w:tcBorders>
              <w:top w:val="single" w:sz="4" w:space="0" w:color="auto"/>
              <w:left w:val="nil"/>
              <w:bottom w:val="nil"/>
              <w:right w:val="nil"/>
            </w:tcBorders>
            <w:shd w:val="clear" w:color="000000" w:fill="FFFFFF"/>
            <w:noWrap/>
            <w:vAlign w:val="bottom"/>
            <w:hideMark/>
          </w:tcPr>
          <w:p w:rsidR="003C18F7" w:rsidRDefault="003C18F7" w:rsidP="001C2CEC">
            <w:pPr>
              <w:jc w:val="center"/>
              <w:rPr>
                <w:rFonts w:ascii="Arial" w:hAnsi="Arial" w:cs="Arial"/>
                <w:b/>
                <w:bCs/>
                <w:sz w:val="20"/>
                <w:szCs w:val="20"/>
              </w:rPr>
            </w:pPr>
            <w:r>
              <w:rPr>
                <w:rFonts w:ascii="Arial" w:hAnsi="Arial" w:cs="Arial"/>
                <w:b/>
                <w:bCs/>
                <w:sz w:val="20"/>
                <w:szCs w:val="20"/>
              </w:rPr>
              <w:t>Specific</w:t>
            </w:r>
          </w:p>
        </w:tc>
        <w:tc>
          <w:tcPr>
            <w:tcW w:w="1310" w:type="dxa"/>
            <w:tcBorders>
              <w:top w:val="single" w:sz="4" w:space="0" w:color="auto"/>
              <w:left w:val="nil"/>
              <w:bottom w:val="nil"/>
              <w:right w:val="nil"/>
            </w:tcBorders>
            <w:shd w:val="clear" w:color="000000" w:fill="FFFFFF"/>
            <w:noWrap/>
            <w:vAlign w:val="bottom"/>
            <w:hideMark/>
          </w:tcPr>
          <w:p w:rsidR="003C18F7" w:rsidRDefault="003C18F7" w:rsidP="001C2CEC">
            <w:pPr>
              <w:jc w:val="center"/>
              <w:rPr>
                <w:rFonts w:ascii="Arial" w:hAnsi="Arial" w:cs="Arial"/>
                <w:b/>
                <w:bCs/>
                <w:sz w:val="20"/>
                <w:szCs w:val="20"/>
              </w:rPr>
            </w:pPr>
            <w:r>
              <w:rPr>
                <w:rFonts w:ascii="Arial" w:hAnsi="Arial" w:cs="Arial"/>
                <w:b/>
                <w:bCs/>
                <w:sz w:val="20"/>
                <w:szCs w:val="20"/>
              </w:rPr>
              <w:t>Subtotal</w:t>
            </w:r>
          </w:p>
        </w:tc>
        <w:tc>
          <w:tcPr>
            <w:tcW w:w="1237" w:type="dxa"/>
            <w:tcBorders>
              <w:top w:val="single" w:sz="4" w:space="0" w:color="auto"/>
              <w:left w:val="nil"/>
              <w:bottom w:val="nil"/>
              <w:right w:val="nil"/>
            </w:tcBorders>
            <w:shd w:val="clear" w:color="000000" w:fill="FFFFFF"/>
            <w:noWrap/>
            <w:vAlign w:val="bottom"/>
            <w:hideMark/>
          </w:tcPr>
          <w:p w:rsidR="003C18F7" w:rsidRDefault="003C18F7" w:rsidP="001C2CEC">
            <w:pPr>
              <w:jc w:val="center"/>
              <w:rPr>
                <w:rFonts w:ascii="Arial" w:hAnsi="Arial" w:cs="Arial"/>
                <w:b/>
                <w:bCs/>
                <w:sz w:val="20"/>
                <w:szCs w:val="20"/>
              </w:rPr>
            </w:pPr>
            <w:proofErr w:type="spellStart"/>
            <w:r>
              <w:rPr>
                <w:rFonts w:ascii="Arial" w:hAnsi="Arial" w:cs="Arial"/>
                <w:b/>
                <w:bCs/>
                <w:sz w:val="20"/>
                <w:szCs w:val="20"/>
              </w:rPr>
              <w:t>Prorata</w:t>
            </w:r>
            <w:proofErr w:type="spellEnd"/>
          </w:p>
        </w:tc>
        <w:tc>
          <w:tcPr>
            <w:tcW w:w="1497" w:type="dxa"/>
            <w:tcBorders>
              <w:top w:val="single" w:sz="4" w:space="0" w:color="auto"/>
              <w:left w:val="nil"/>
              <w:bottom w:val="nil"/>
              <w:right w:val="nil"/>
            </w:tcBorders>
            <w:shd w:val="clear" w:color="000000" w:fill="FFFFFF"/>
            <w:noWrap/>
            <w:vAlign w:val="bottom"/>
            <w:hideMark/>
          </w:tcPr>
          <w:p w:rsidR="003C18F7" w:rsidRDefault="003C18F7" w:rsidP="001C2CEC">
            <w:pPr>
              <w:jc w:val="center"/>
              <w:rPr>
                <w:rFonts w:ascii="Arial" w:hAnsi="Arial" w:cs="Arial"/>
                <w:b/>
                <w:bCs/>
                <w:sz w:val="20"/>
                <w:szCs w:val="20"/>
              </w:rPr>
            </w:pPr>
            <w:r>
              <w:rPr>
                <w:rFonts w:ascii="Arial" w:hAnsi="Arial" w:cs="Arial"/>
                <w:b/>
                <w:bCs/>
                <w:sz w:val="20"/>
                <w:szCs w:val="20"/>
              </w:rPr>
              <w:t>Capital</w:t>
            </w:r>
          </w:p>
        </w:tc>
        <w:tc>
          <w:tcPr>
            <w:tcW w:w="1045" w:type="dxa"/>
            <w:tcBorders>
              <w:top w:val="single" w:sz="4" w:space="0" w:color="auto"/>
              <w:left w:val="nil"/>
              <w:bottom w:val="nil"/>
              <w:right w:val="nil"/>
            </w:tcBorders>
            <w:shd w:val="clear" w:color="000000" w:fill="FFFFFF"/>
            <w:noWrap/>
            <w:vAlign w:val="bottom"/>
            <w:hideMark/>
          </w:tcPr>
          <w:p w:rsidR="003C18F7" w:rsidRDefault="003C18F7" w:rsidP="001C2CEC">
            <w:pPr>
              <w:rPr>
                <w:rFonts w:ascii="Arial" w:hAnsi="Arial" w:cs="Arial"/>
                <w:b/>
                <w:bCs/>
                <w:sz w:val="20"/>
                <w:szCs w:val="20"/>
              </w:rPr>
            </w:pPr>
            <w:r>
              <w:rPr>
                <w:rFonts w:ascii="Arial" w:hAnsi="Arial" w:cs="Arial"/>
                <w:b/>
                <w:bCs/>
                <w:sz w:val="20"/>
                <w:szCs w:val="20"/>
              </w:rPr>
              <w:t> </w:t>
            </w:r>
          </w:p>
        </w:tc>
        <w:tc>
          <w:tcPr>
            <w:tcW w:w="1076" w:type="dxa"/>
            <w:tcBorders>
              <w:top w:val="single" w:sz="4" w:space="0" w:color="auto"/>
              <w:left w:val="nil"/>
              <w:bottom w:val="nil"/>
              <w:right w:val="nil"/>
            </w:tcBorders>
            <w:shd w:val="clear" w:color="000000" w:fill="FFFFFF"/>
            <w:noWrap/>
            <w:vAlign w:val="bottom"/>
            <w:hideMark/>
          </w:tcPr>
          <w:p w:rsidR="003C18F7" w:rsidRDefault="003C18F7" w:rsidP="001C2CEC">
            <w:pPr>
              <w:rPr>
                <w:rFonts w:ascii="Arial" w:hAnsi="Arial" w:cs="Arial"/>
                <w:b/>
                <w:bCs/>
                <w:sz w:val="20"/>
                <w:szCs w:val="20"/>
              </w:rPr>
            </w:pPr>
            <w:r>
              <w:rPr>
                <w:rFonts w:ascii="Arial" w:hAnsi="Arial" w:cs="Arial"/>
                <w:b/>
                <w:bCs/>
                <w:sz w:val="20"/>
                <w:szCs w:val="20"/>
              </w:rPr>
              <w:t> </w:t>
            </w:r>
          </w:p>
        </w:tc>
        <w:tc>
          <w:tcPr>
            <w:tcW w:w="1116" w:type="dxa"/>
            <w:tcBorders>
              <w:top w:val="single" w:sz="4" w:space="0" w:color="auto"/>
              <w:left w:val="nil"/>
              <w:bottom w:val="nil"/>
              <w:right w:val="nil"/>
            </w:tcBorders>
            <w:shd w:val="clear" w:color="000000" w:fill="FFFFFF"/>
            <w:noWrap/>
            <w:vAlign w:val="bottom"/>
            <w:hideMark/>
          </w:tcPr>
          <w:p w:rsidR="003C18F7" w:rsidRDefault="003C18F7" w:rsidP="001C2CEC">
            <w:pPr>
              <w:rPr>
                <w:rFonts w:ascii="Arial" w:hAnsi="Arial" w:cs="Arial"/>
                <w:b/>
                <w:bCs/>
                <w:sz w:val="20"/>
                <w:szCs w:val="20"/>
              </w:rPr>
            </w:pPr>
            <w:r>
              <w:rPr>
                <w:rFonts w:ascii="Arial" w:hAnsi="Arial" w:cs="Arial"/>
                <w:b/>
                <w:bCs/>
                <w:sz w:val="20"/>
                <w:szCs w:val="20"/>
              </w:rPr>
              <w:t> </w:t>
            </w:r>
          </w:p>
        </w:tc>
        <w:tc>
          <w:tcPr>
            <w:tcW w:w="272" w:type="dxa"/>
            <w:tcBorders>
              <w:top w:val="single" w:sz="4" w:space="0" w:color="auto"/>
              <w:left w:val="nil"/>
              <w:bottom w:val="nil"/>
              <w:right w:val="single" w:sz="4" w:space="0" w:color="auto"/>
            </w:tcBorders>
            <w:shd w:val="clear" w:color="000000" w:fill="FFFFFF"/>
            <w:noWrap/>
            <w:vAlign w:val="bottom"/>
            <w:hideMark/>
          </w:tcPr>
          <w:p w:rsidR="003C18F7" w:rsidRDefault="003C18F7" w:rsidP="001C2CEC">
            <w:pPr>
              <w:rPr>
                <w:rFonts w:ascii="Arial" w:hAnsi="Arial" w:cs="Arial"/>
                <w:b/>
                <w:bCs/>
                <w:sz w:val="20"/>
                <w:szCs w:val="20"/>
              </w:rPr>
            </w:pPr>
            <w:r>
              <w:rPr>
                <w:rFonts w:ascii="Arial" w:hAnsi="Arial" w:cs="Arial"/>
                <w:b/>
                <w:bCs/>
                <w:sz w:val="20"/>
                <w:szCs w:val="20"/>
              </w:rPr>
              <w:t> </w:t>
            </w:r>
          </w:p>
        </w:tc>
      </w:tr>
      <w:tr w:rsidR="003C18F7" w:rsidTr="001C2CEC">
        <w:trPr>
          <w:trHeight w:val="258"/>
          <w:jc w:val="center"/>
        </w:trPr>
        <w:tc>
          <w:tcPr>
            <w:tcW w:w="1234" w:type="dxa"/>
            <w:tcBorders>
              <w:top w:val="nil"/>
              <w:left w:val="single" w:sz="4" w:space="0" w:color="auto"/>
              <w:bottom w:val="nil"/>
              <w:right w:val="nil"/>
            </w:tcBorders>
            <w:shd w:val="clear" w:color="000000" w:fill="FFFFFF"/>
            <w:noWrap/>
            <w:vAlign w:val="bottom"/>
            <w:hideMark/>
          </w:tcPr>
          <w:p w:rsidR="003C18F7" w:rsidRDefault="003C18F7" w:rsidP="001C2CEC">
            <w:pPr>
              <w:rPr>
                <w:rFonts w:ascii="Arial" w:hAnsi="Arial" w:cs="Arial"/>
                <w:b/>
                <w:bCs/>
                <w:sz w:val="20"/>
                <w:szCs w:val="20"/>
              </w:rPr>
            </w:pPr>
            <w:r>
              <w:rPr>
                <w:rFonts w:ascii="Arial" w:hAnsi="Arial" w:cs="Arial"/>
                <w:b/>
                <w:bCs/>
                <w:sz w:val="20"/>
                <w:szCs w:val="20"/>
              </w:rPr>
              <w:t> </w:t>
            </w:r>
          </w:p>
        </w:tc>
        <w:tc>
          <w:tcPr>
            <w:tcW w:w="1964"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b/>
                <w:bCs/>
                <w:sz w:val="20"/>
                <w:szCs w:val="20"/>
              </w:rPr>
            </w:pPr>
            <w:r>
              <w:rPr>
                <w:rFonts w:ascii="Arial" w:hAnsi="Arial" w:cs="Arial"/>
                <w:b/>
                <w:bCs/>
                <w:sz w:val="20"/>
                <w:szCs w:val="20"/>
              </w:rPr>
              <w:t> </w:t>
            </w:r>
          </w:p>
        </w:tc>
        <w:tc>
          <w:tcPr>
            <w:tcW w:w="1310" w:type="dxa"/>
            <w:tcBorders>
              <w:top w:val="nil"/>
              <w:left w:val="nil"/>
              <w:bottom w:val="nil"/>
              <w:right w:val="nil"/>
            </w:tcBorders>
            <w:shd w:val="clear" w:color="000000" w:fill="FFFFFF"/>
            <w:noWrap/>
            <w:vAlign w:val="bottom"/>
            <w:hideMark/>
          </w:tcPr>
          <w:p w:rsidR="003C18F7" w:rsidRDefault="003C18F7" w:rsidP="001C2CEC">
            <w:pPr>
              <w:jc w:val="center"/>
              <w:rPr>
                <w:rFonts w:ascii="Arial" w:hAnsi="Arial" w:cs="Arial"/>
                <w:b/>
                <w:bCs/>
                <w:sz w:val="20"/>
                <w:szCs w:val="20"/>
              </w:rPr>
            </w:pPr>
            <w:r>
              <w:rPr>
                <w:rFonts w:ascii="Arial" w:hAnsi="Arial" w:cs="Arial"/>
                <w:b/>
                <w:bCs/>
                <w:sz w:val="20"/>
                <w:szCs w:val="20"/>
              </w:rPr>
              <w:t>Total</w:t>
            </w:r>
          </w:p>
        </w:tc>
        <w:tc>
          <w:tcPr>
            <w:tcW w:w="983" w:type="dxa"/>
            <w:tcBorders>
              <w:top w:val="nil"/>
              <w:left w:val="nil"/>
              <w:bottom w:val="nil"/>
              <w:right w:val="nil"/>
            </w:tcBorders>
            <w:shd w:val="clear" w:color="000000" w:fill="FFFFFF"/>
            <w:noWrap/>
            <w:vAlign w:val="bottom"/>
            <w:hideMark/>
          </w:tcPr>
          <w:p w:rsidR="003C18F7" w:rsidRDefault="003C18F7" w:rsidP="001C2CEC">
            <w:pPr>
              <w:jc w:val="center"/>
              <w:rPr>
                <w:rFonts w:ascii="Arial" w:hAnsi="Arial" w:cs="Arial"/>
                <w:b/>
                <w:bCs/>
                <w:sz w:val="20"/>
                <w:szCs w:val="20"/>
              </w:rPr>
            </w:pPr>
            <w:r>
              <w:rPr>
                <w:rFonts w:ascii="Arial" w:hAnsi="Arial" w:cs="Arial"/>
                <w:b/>
                <w:bCs/>
                <w:sz w:val="20"/>
                <w:szCs w:val="20"/>
              </w:rPr>
              <w:t>Adjust-</w:t>
            </w:r>
          </w:p>
        </w:tc>
        <w:tc>
          <w:tcPr>
            <w:tcW w:w="1310" w:type="dxa"/>
            <w:tcBorders>
              <w:top w:val="nil"/>
              <w:left w:val="nil"/>
              <w:bottom w:val="nil"/>
              <w:right w:val="nil"/>
            </w:tcBorders>
            <w:shd w:val="clear" w:color="000000" w:fill="FFFFFF"/>
            <w:noWrap/>
            <w:vAlign w:val="bottom"/>
            <w:hideMark/>
          </w:tcPr>
          <w:p w:rsidR="003C18F7" w:rsidRDefault="003C18F7" w:rsidP="001C2CEC">
            <w:pPr>
              <w:jc w:val="center"/>
              <w:rPr>
                <w:rFonts w:ascii="Arial" w:hAnsi="Arial" w:cs="Arial"/>
                <w:b/>
                <w:bCs/>
                <w:sz w:val="20"/>
                <w:szCs w:val="20"/>
              </w:rPr>
            </w:pPr>
            <w:r>
              <w:rPr>
                <w:rFonts w:ascii="Arial" w:hAnsi="Arial" w:cs="Arial"/>
                <w:b/>
                <w:bCs/>
                <w:sz w:val="20"/>
                <w:szCs w:val="20"/>
              </w:rPr>
              <w:t>Adjusted</w:t>
            </w:r>
          </w:p>
        </w:tc>
        <w:tc>
          <w:tcPr>
            <w:tcW w:w="1237" w:type="dxa"/>
            <w:tcBorders>
              <w:top w:val="nil"/>
              <w:left w:val="nil"/>
              <w:bottom w:val="nil"/>
              <w:right w:val="nil"/>
            </w:tcBorders>
            <w:shd w:val="clear" w:color="000000" w:fill="FFFFFF"/>
            <w:noWrap/>
            <w:vAlign w:val="bottom"/>
            <w:hideMark/>
          </w:tcPr>
          <w:p w:rsidR="003C18F7" w:rsidRDefault="003C18F7" w:rsidP="001C2CEC">
            <w:pPr>
              <w:jc w:val="center"/>
              <w:rPr>
                <w:rFonts w:ascii="Arial" w:hAnsi="Arial" w:cs="Arial"/>
                <w:b/>
                <w:bCs/>
                <w:sz w:val="20"/>
                <w:szCs w:val="20"/>
              </w:rPr>
            </w:pPr>
            <w:r>
              <w:rPr>
                <w:rFonts w:ascii="Arial" w:hAnsi="Arial" w:cs="Arial"/>
                <w:b/>
                <w:bCs/>
                <w:sz w:val="20"/>
                <w:szCs w:val="20"/>
              </w:rPr>
              <w:t>Adjust-</w:t>
            </w:r>
          </w:p>
        </w:tc>
        <w:tc>
          <w:tcPr>
            <w:tcW w:w="1497" w:type="dxa"/>
            <w:tcBorders>
              <w:top w:val="nil"/>
              <w:left w:val="nil"/>
              <w:bottom w:val="nil"/>
              <w:right w:val="nil"/>
            </w:tcBorders>
            <w:shd w:val="clear" w:color="000000" w:fill="FFFFFF"/>
            <w:noWrap/>
            <w:vAlign w:val="bottom"/>
            <w:hideMark/>
          </w:tcPr>
          <w:p w:rsidR="003C18F7" w:rsidRDefault="003C18F7" w:rsidP="001C2CEC">
            <w:pPr>
              <w:jc w:val="center"/>
              <w:rPr>
                <w:rFonts w:ascii="Arial" w:hAnsi="Arial" w:cs="Arial"/>
                <w:b/>
                <w:bCs/>
                <w:sz w:val="20"/>
                <w:szCs w:val="20"/>
              </w:rPr>
            </w:pPr>
            <w:r>
              <w:rPr>
                <w:rFonts w:ascii="Arial" w:hAnsi="Arial" w:cs="Arial"/>
                <w:b/>
                <w:bCs/>
                <w:sz w:val="20"/>
                <w:szCs w:val="20"/>
              </w:rPr>
              <w:t>Reconciled</w:t>
            </w:r>
          </w:p>
        </w:tc>
        <w:tc>
          <w:tcPr>
            <w:tcW w:w="1045"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b/>
                <w:bCs/>
                <w:sz w:val="20"/>
                <w:szCs w:val="20"/>
              </w:rPr>
            </w:pPr>
            <w:r>
              <w:rPr>
                <w:rFonts w:ascii="Arial" w:hAnsi="Arial" w:cs="Arial"/>
                <w:b/>
                <w:bCs/>
                <w:sz w:val="20"/>
                <w:szCs w:val="20"/>
              </w:rPr>
              <w:t> </w:t>
            </w:r>
          </w:p>
        </w:tc>
        <w:tc>
          <w:tcPr>
            <w:tcW w:w="1076" w:type="dxa"/>
            <w:tcBorders>
              <w:top w:val="nil"/>
              <w:left w:val="nil"/>
              <w:bottom w:val="nil"/>
              <w:right w:val="nil"/>
            </w:tcBorders>
            <w:shd w:val="clear" w:color="000000" w:fill="FFFFFF"/>
            <w:noWrap/>
            <w:vAlign w:val="bottom"/>
            <w:hideMark/>
          </w:tcPr>
          <w:p w:rsidR="003C18F7" w:rsidRDefault="003C18F7" w:rsidP="001C2CEC">
            <w:pPr>
              <w:jc w:val="center"/>
              <w:rPr>
                <w:rFonts w:ascii="Arial" w:hAnsi="Arial" w:cs="Arial"/>
                <w:b/>
                <w:bCs/>
                <w:sz w:val="20"/>
                <w:szCs w:val="20"/>
              </w:rPr>
            </w:pPr>
            <w:r>
              <w:rPr>
                <w:rFonts w:ascii="Arial" w:hAnsi="Arial" w:cs="Arial"/>
                <w:b/>
                <w:bCs/>
                <w:sz w:val="20"/>
                <w:szCs w:val="20"/>
              </w:rPr>
              <w:t>Cost</w:t>
            </w:r>
          </w:p>
        </w:tc>
        <w:tc>
          <w:tcPr>
            <w:tcW w:w="1116" w:type="dxa"/>
            <w:tcBorders>
              <w:top w:val="nil"/>
              <w:left w:val="nil"/>
              <w:bottom w:val="nil"/>
              <w:right w:val="nil"/>
            </w:tcBorders>
            <w:shd w:val="clear" w:color="000000" w:fill="FFFFFF"/>
            <w:noWrap/>
            <w:vAlign w:val="bottom"/>
            <w:hideMark/>
          </w:tcPr>
          <w:p w:rsidR="003C18F7" w:rsidRDefault="003C18F7" w:rsidP="001C2CEC">
            <w:pPr>
              <w:jc w:val="center"/>
              <w:rPr>
                <w:rFonts w:ascii="Arial" w:hAnsi="Arial" w:cs="Arial"/>
                <w:b/>
                <w:bCs/>
                <w:sz w:val="20"/>
                <w:szCs w:val="20"/>
              </w:rPr>
            </w:pPr>
            <w:r>
              <w:rPr>
                <w:rFonts w:ascii="Arial" w:hAnsi="Arial" w:cs="Arial"/>
                <w:b/>
                <w:bCs/>
                <w:sz w:val="20"/>
                <w:szCs w:val="20"/>
              </w:rPr>
              <w:t>Weighted</w:t>
            </w:r>
          </w:p>
        </w:tc>
        <w:tc>
          <w:tcPr>
            <w:tcW w:w="272" w:type="dxa"/>
            <w:tcBorders>
              <w:top w:val="nil"/>
              <w:left w:val="nil"/>
              <w:bottom w:val="nil"/>
              <w:right w:val="single" w:sz="4" w:space="0" w:color="auto"/>
            </w:tcBorders>
            <w:shd w:val="clear" w:color="000000" w:fill="FFFFFF"/>
            <w:noWrap/>
            <w:vAlign w:val="bottom"/>
            <w:hideMark/>
          </w:tcPr>
          <w:p w:rsidR="003C18F7" w:rsidRDefault="003C18F7" w:rsidP="001C2CEC">
            <w:pPr>
              <w:rPr>
                <w:rFonts w:ascii="Arial" w:hAnsi="Arial" w:cs="Arial"/>
                <w:b/>
                <w:bCs/>
                <w:sz w:val="20"/>
                <w:szCs w:val="20"/>
              </w:rPr>
            </w:pPr>
            <w:r>
              <w:rPr>
                <w:rFonts w:ascii="Arial" w:hAnsi="Arial" w:cs="Arial"/>
                <w:b/>
                <w:bCs/>
                <w:sz w:val="20"/>
                <w:szCs w:val="20"/>
              </w:rPr>
              <w:t> </w:t>
            </w:r>
          </w:p>
        </w:tc>
      </w:tr>
      <w:tr w:rsidR="003C18F7" w:rsidTr="001C2CEC">
        <w:trPr>
          <w:trHeight w:val="258"/>
          <w:jc w:val="center"/>
        </w:trPr>
        <w:tc>
          <w:tcPr>
            <w:tcW w:w="1234" w:type="dxa"/>
            <w:tcBorders>
              <w:top w:val="nil"/>
              <w:left w:val="single" w:sz="4" w:space="0" w:color="auto"/>
              <w:bottom w:val="single" w:sz="4" w:space="0" w:color="auto"/>
              <w:right w:val="nil"/>
            </w:tcBorders>
            <w:shd w:val="clear" w:color="000000" w:fill="FFFFFF"/>
            <w:noWrap/>
            <w:vAlign w:val="bottom"/>
            <w:hideMark/>
          </w:tcPr>
          <w:p w:rsidR="003C18F7" w:rsidRDefault="003C18F7" w:rsidP="001C2CEC">
            <w:pPr>
              <w:rPr>
                <w:rFonts w:ascii="Arial" w:hAnsi="Arial" w:cs="Arial"/>
                <w:b/>
                <w:bCs/>
                <w:sz w:val="20"/>
                <w:szCs w:val="20"/>
              </w:rPr>
            </w:pPr>
            <w:r>
              <w:rPr>
                <w:rFonts w:ascii="Arial" w:hAnsi="Arial" w:cs="Arial"/>
                <w:b/>
                <w:bCs/>
                <w:sz w:val="20"/>
                <w:szCs w:val="20"/>
              </w:rPr>
              <w:t> </w:t>
            </w:r>
          </w:p>
        </w:tc>
        <w:tc>
          <w:tcPr>
            <w:tcW w:w="1964" w:type="dxa"/>
            <w:tcBorders>
              <w:top w:val="nil"/>
              <w:left w:val="nil"/>
              <w:bottom w:val="single" w:sz="4" w:space="0" w:color="auto"/>
              <w:right w:val="nil"/>
            </w:tcBorders>
            <w:shd w:val="clear" w:color="000000" w:fill="FFFFFF"/>
            <w:noWrap/>
            <w:vAlign w:val="bottom"/>
            <w:hideMark/>
          </w:tcPr>
          <w:p w:rsidR="003C18F7" w:rsidRDefault="003C18F7" w:rsidP="001C2CEC">
            <w:pPr>
              <w:jc w:val="center"/>
              <w:rPr>
                <w:rFonts w:ascii="Arial" w:hAnsi="Arial" w:cs="Arial"/>
                <w:b/>
                <w:bCs/>
                <w:sz w:val="20"/>
                <w:szCs w:val="20"/>
              </w:rPr>
            </w:pPr>
            <w:r>
              <w:rPr>
                <w:rFonts w:ascii="Arial" w:hAnsi="Arial" w:cs="Arial"/>
                <w:b/>
                <w:bCs/>
                <w:sz w:val="20"/>
                <w:szCs w:val="20"/>
              </w:rPr>
              <w:t>Description</w:t>
            </w:r>
          </w:p>
        </w:tc>
        <w:tc>
          <w:tcPr>
            <w:tcW w:w="1310" w:type="dxa"/>
            <w:tcBorders>
              <w:top w:val="nil"/>
              <w:left w:val="nil"/>
              <w:bottom w:val="single" w:sz="4" w:space="0" w:color="auto"/>
              <w:right w:val="nil"/>
            </w:tcBorders>
            <w:shd w:val="clear" w:color="000000" w:fill="FFFFFF"/>
            <w:noWrap/>
            <w:vAlign w:val="bottom"/>
            <w:hideMark/>
          </w:tcPr>
          <w:p w:rsidR="003C18F7" w:rsidRDefault="003C18F7" w:rsidP="001C2CEC">
            <w:pPr>
              <w:jc w:val="center"/>
              <w:rPr>
                <w:rFonts w:ascii="Arial" w:hAnsi="Arial" w:cs="Arial"/>
                <w:b/>
                <w:bCs/>
                <w:sz w:val="20"/>
                <w:szCs w:val="20"/>
              </w:rPr>
            </w:pPr>
            <w:r>
              <w:rPr>
                <w:rFonts w:ascii="Arial" w:hAnsi="Arial" w:cs="Arial"/>
                <w:b/>
                <w:bCs/>
                <w:sz w:val="20"/>
                <w:szCs w:val="20"/>
              </w:rPr>
              <w:t>Capital</w:t>
            </w:r>
          </w:p>
        </w:tc>
        <w:tc>
          <w:tcPr>
            <w:tcW w:w="983" w:type="dxa"/>
            <w:tcBorders>
              <w:top w:val="nil"/>
              <w:left w:val="nil"/>
              <w:bottom w:val="single" w:sz="4" w:space="0" w:color="auto"/>
              <w:right w:val="nil"/>
            </w:tcBorders>
            <w:shd w:val="clear" w:color="000000" w:fill="FFFFFF"/>
            <w:noWrap/>
            <w:vAlign w:val="bottom"/>
            <w:hideMark/>
          </w:tcPr>
          <w:p w:rsidR="003C18F7" w:rsidRDefault="003C18F7" w:rsidP="001C2CEC">
            <w:pPr>
              <w:jc w:val="center"/>
              <w:rPr>
                <w:rFonts w:ascii="Arial" w:hAnsi="Arial" w:cs="Arial"/>
                <w:b/>
                <w:bCs/>
                <w:sz w:val="20"/>
                <w:szCs w:val="20"/>
              </w:rPr>
            </w:pPr>
            <w:proofErr w:type="spellStart"/>
            <w:r>
              <w:rPr>
                <w:rFonts w:ascii="Arial" w:hAnsi="Arial" w:cs="Arial"/>
                <w:b/>
                <w:bCs/>
                <w:sz w:val="20"/>
                <w:szCs w:val="20"/>
              </w:rPr>
              <w:t>ments</w:t>
            </w:r>
            <w:proofErr w:type="spellEnd"/>
          </w:p>
        </w:tc>
        <w:tc>
          <w:tcPr>
            <w:tcW w:w="1310" w:type="dxa"/>
            <w:tcBorders>
              <w:top w:val="nil"/>
              <w:left w:val="nil"/>
              <w:bottom w:val="single" w:sz="4" w:space="0" w:color="auto"/>
              <w:right w:val="nil"/>
            </w:tcBorders>
            <w:shd w:val="clear" w:color="000000" w:fill="FFFFFF"/>
            <w:noWrap/>
            <w:vAlign w:val="bottom"/>
            <w:hideMark/>
          </w:tcPr>
          <w:p w:rsidR="003C18F7" w:rsidRDefault="003C18F7" w:rsidP="001C2CEC">
            <w:pPr>
              <w:jc w:val="center"/>
              <w:rPr>
                <w:rFonts w:ascii="Arial" w:hAnsi="Arial" w:cs="Arial"/>
                <w:b/>
                <w:bCs/>
                <w:sz w:val="20"/>
                <w:szCs w:val="20"/>
              </w:rPr>
            </w:pPr>
            <w:r>
              <w:rPr>
                <w:rFonts w:ascii="Arial" w:hAnsi="Arial" w:cs="Arial"/>
                <w:b/>
                <w:bCs/>
                <w:sz w:val="20"/>
                <w:szCs w:val="20"/>
              </w:rPr>
              <w:t>Capital</w:t>
            </w:r>
          </w:p>
        </w:tc>
        <w:tc>
          <w:tcPr>
            <w:tcW w:w="1237" w:type="dxa"/>
            <w:tcBorders>
              <w:top w:val="nil"/>
              <w:left w:val="nil"/>
              <w:bottom w:val="single" w:sz="4" w:space="0" w:color="auto"/>
              <w:right w:val="nil"/>
            </w:tcBorders>
            <w:shd w:val="clear" w:color="000000" w:fill="FFFFFF"/>
            <w:noWrap/>
            <w:vAlign w:val="bottom"/>
            <w:hideMark/>
          </w:tcPr>
          <w:p w:rsidR="003C18F7" w:rsidRDefault="003C18F7" w:rsidP="001C2CEC">
            <w:pPr>
              <w:jc w:val="center"/>
              <w:rPr>
                <w:rFonts w:ascii="Arial" w:hAnsi="Arial" w:cs="Arial"/>
                <w:b/>
                <w:bCs/>
                <w:sz w:val="20"/>
                <w:szCs w:val="20"/>
              </w:rPr>
            </w:pPr>
            <w:proofErr w:type="spellStart"/>
            <w:r>
              <w:rPr>
                <w:rFonts w:ascii="Arial" w:hAnsi="Arial" w:cs="Arial"/>
                <w:b/>
                <w:bCs/>
                <w:sz w:val="20"/>
                <w:szCs w:val="20"/>
              </w:rPr>
              <w:t>ments</w:t>
            </w:r>
            <w:proofErr w:type="spellEnd"/>
          </w:p>
        </w:tc>
        <w:tc>
          <w:tcPr>
            <w:tcW w:w="1497" w:type="dxa"/>
            <w:tcBorders>
              <w:top w:val="nil"/>
              <w:left w:val="nil"/>
              <w:bottom w:val="single" w:sz="4" w:space="0" w:color="auto"/>
              <w:right w:val="nil"/>
            </w:tcBorders>
            <w:shd w:val="clear" w:color="000000" w:fill="FFFFFF"/>
            <w:noWrap/>
            <w:vAlign w:val="bottom"/>
            <w:hideMark/>
          </w:tcPr>
          <w:p w:rsidR="003C18F7" w:rsidRDefault="003C18F7" w:rsidP="001C2CEC">
            <w:pPr>
              <w:jc w:val="center"/>
              <w:rPr>
                <w:rFonts w:ascii="Arial" w:hAnsi="Arial" w:cs="Arial"/>
                <w:b/>
                <w:bCs/>
                <w:sz w:val="20"/>
                <w:szCs w:val="20"/>
              </w:rPr>
            </w:pPr>
            <w:r>
              <w:rPr>
                <w:rFonts w:ascii="Arial" w:hAnsi="Arial" w:cs="Arial"/>
                <w:b/>
                <w:bCs/>
                <w:sz w:val="20"/>
                <w:szCs w:val="20"/>
              </w:rPr>
              <w:t>to Rate Base</w:t>
            </w:r>
          </w:p>
        </w:tc>
        <w:tc>
          <w:tcPr>
            <w:tcW w:w="1045" w:type="dxa"/>
            <w:tcBorders>
              <w:top w:val="nil"/>
              <w:left w:val="nil"/>
              <w:bottom w:val="single" w:sz="4" w:space="0" w:color="auto"/>
              <w:right w:val="nil"/>
            </w:tcBorders>
            <w:shd w:val="clear" w:color="000000" w:fill="FFFFFF"/>
            <w:noWrap/>
            <w:vAlign w:val="bottom"/>
            <w:hideMark/>
          </w:tcPr>
          <w:p w:rsidR="003C18F7" w:rsidRDefault="003C18F7" w:rsidP="001C2CEC">
            <w:pPr>
              <w:jc w:val="center"/>
              <w:rPr>
                <w:rFonts w:ascii="Arial" w:hAnsi="Arial" w:cs="Arial"/>
                <w:b/>
                <w:bCs/>
                <w:sz w:val="20"/>
                <w:szCs w:val="20"/>
              </w:rPr>
            </w:pPr>
            <w:r>
              <w:rPr>
                <w:rFonts w:ascii="Arial" w:hAnsi="Arial" w:cs="Arial"/>
                <w:b/>
                <w:bCs/>
                <w:sz w:val="20"/>
                <w:szCs w:val="20"/>
              </w:rPr>
              <w:t>Ratio</w:t>
            </w:r>
          </w:p>
        </w:tc>
        <w:tc>
          <w:tcPr>
            <w:tcW w:w="1076" w:type="dxa"/>
            <w:tcBorders>
              <w:top w:val="nil"/>
              <w:left w:val="nil"/>
              <w:bottom w:val="single" w:sz="4" w:space="0" w:color="auto"/>
              <w:right w:val="nil"/>
            </w:tcBorders>
            <w:shd w:val="clear" w:color="000000" w:fill="FFFFFF"/>
            <w:noWrap/>
            <w:vAlign w:val="bottom"/>
            <w:hideMark/>
          </w:tcPr>
          <w:p w:rsidR="003C18F7" w:rsidRDefault="003C18F7" w:rsidP="001C2CEC">
            <w:pPr>
              <w:jc w:val="center"/>
              <w:rPr>
                <w:rFonts w:ascii="Arial" w:hAnsi="Arial" w:cs="Arial"/>
                <w:b/>
                <w:bCs/>
                <w:sz w:val="20"/>
                <w:szCs w:val="20"/>
              </w:rPr>
            </w:pPr>
            <w:r>
              <w:rPr>
                <w:rFonts w:ascii="Arial" w:hAnsi="Arial" w:cs="Arial"/>
                <w:b/>
                <w:bCs/>
                <w:sz w:val="20"/>
                <w:szCs w:val="20"/>
              </w:rPr>
              <w:t>Rate</w:t>
            </w:r>
          </w:p>
        </w:tc>
        <w:tc>
          <w:tcPr>
            <w:tcW w:w="1116" w:type="dxa"/>
            <w:tcBorders>
              <w:top w:val="nil"/>
              <w:left w:val="nil"/>
              <w:bottom w:val="single" w:sz="4" w:space="0" w:color="auto"/>
              <w:right w:val="nil"/>
            </w:tcBorders>
            <w:shd w:val="clear" w:color="000000" w:fill="FFFFFF"/>
            <w:noWrap/>
            <w:vAlign w:val="bottom"/>
            <w:hideMark/>
          </w:tcPr>
          <w:p w:rsidR="003C18F7" w:rsidRDefault="003C18F7" w:rsidP="001C2CEC">
            <w:pPr>
              <w:jc w:val="center"/>
              <w:rPr>
                <w:rFonts w:ascii="Arial" w:hAnsi="Arial" w:cs="Arial"/>
                <w:b/>
                <w:bCs/>
                <w:sz w:val="20"/>
                <w:szCs w:val="20"/>
              </w:rPr>
            </w:pPr>
            <w:r>
              <w:rPr>
                <w:rFonts w:ascii="Arial" w:hAnsi="Arial" w:cs="Arial"/>
                <w:b/>
                <w:bCs/>
                <w:sz w:val="20"/>
                <w:szCs w:val="20"/>
              </w:rPr>
              <w:t>Cost</w:t>
            </w:r>
          </w:p>
        </w:tc>
        <w:tc>
          <w:tcPr>
            <w:tcW w:w="272" w:type="dxa"/>
            <w:tcBorders>
              <w:top w:val="nil"/>
              <w:left w:val="nil"/>
              <w:bottom w:val="single" w:sz="4" w:space="0" w:color="auto"/>
              <w:right w:val="single" w:sz="4" w:space="0" w:color="auto"/>
            </w:tcBorders>
            <w:shd w:val="clear" w:color="000000" w:fill="FFFFFF"/>
            <w:noWrap/>
            <w:vAlign w:val="bottom"/>
            <w:hideMark/>
          </w:tcPr>
          <w:p w:rsidR="003C18F7" w:rsidRDefault="003C18F7" w:rsidP="001C2CEC">
            <w:pPr>
              <w:jc w:val="center"/>
              <w:rPr>
                <w:rFonts w:ascii="Arial" w:hAnsi="Arial" w:cs="Arial"/>
                <w:b/>
                <w:bCs/>
                <w:sz w:val="20"/>
                <w:szCs w:val="20"/>
              </w:rPr>
            </w:pPr>
            <w:r>
              <w:rPr>
                <w:rFonts w:ascii="Arial" w:hAnsi="Arial" w:cs="Arial"/>
                <w:b/>
                <w:bCs/>
                <w:sz w:val="20"/>
                <w:szCs w:val="20"/>
              </w:rPr>
              <w:t> </w:t>
            </w:r>
          </w:p>
        </w:tc>
      </w:tr>
      <w:tr w:rsidR="003C18F7" w:rsidTr="001C2CEC">
        <w:trPr>
          <w:trHeight w:val="258"/>
          <w:jc w:val="center"/>
        </w:trPr>
        <w:tc>
          <w:tcPr>
            <w:tcW w:w="3198" w:type="dxa"/>
            <w:gridSpan w:val="2"/>
            <w:tcBorders>
              <w:top w:val="nil"/>
              <w:left w:val="single" w:sz="4" w:space="0" w:color="auto"/>
              <w:bottom w:val="nil"/>
              <w:right w:val="nil"/>
            </w:tcBorders>
            <w:shd w:val="clear" w:color="000000" w:fill="FFFFFF"/>
            <w:noWrap/>
            <w:vAlign w:val="bottom"/>
            <w:hideMark/>
          </w:tcPr>
          <w:p w:rsidR="003C18F7" w:rsidRDefault="003C18F7" w:rsidP="001C2CEC">
            <w:pPr>
              <w:rPr>
                <w:rFonts w:ascii="Arial" w:hAnsi="Arial" w:cs="Arial"/>
                <w:b/>
                <w:bCs/>
                <w:sz w:val="20"/>
                <w:szCs w:val="20"/>
              </w:rPr>
            </w:pPr>
            <w:r>
              <w:rPr>
                <w:rFonts w:ascii="Arial" w:hAnsi="Arial" w:cs="Arial"/>
                <w:b/>
                <w:bCs/>
                <w:sz w:val="20"/>
                <w:szCs w:val="20"/>
              </w:rPr>
              <w:t>Per Utility</w:t>
            </w:r>
          </w:p>
        </w:tc>
        <w:tc>
          <w:tcPr>
            <w:tcW w:w="1310"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983"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310"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237"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497"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045" w:type="dxa"/>
            <w:tcBorders>
              <w:top w:val="nil"/>
              <w:left w:val="nil"/>
              <w:bottom w:val="nil"/>
              <w:right w:val="nil"/>
            </w:tcBorders>
            <w:shd w:val="clear" w:color="000000" w:fill="FFFFFF"/>
            <w:noWrap/>
            <w:vAlign w:val="bottom"/>
            <w:hideMark/>
          </w:tcPr>
          <w:p w:rsidR="003C18F7" w:rsidRPr="0059480F" w:rsidRDefault="003C18F7" w:rsidP="001C2CEC">
            <w:pPr>
              <w:rPr>
                <w:rFonts w:ascii="Arial" w:hAnsi="Arial" w:cs="Arial"/>
                <w:i/>
                <w:color w:val="000000"/>
                <w:sz w:val="20"/>
                <w:szCs w:val="20"/>
              </w:rPr>
            </w:pPr>
            <w:r w:rsidRPr="0059480F">
              <w:rPr>
                <w:rFonts w:ascii="Arial" w:hAnsi="Arial" w:cs="Arial"/>
                <w:i/>
                <w:color w:val="000000"/>
                <w:sz w:val="20"/>
                <w:szCs w:val="20"/>
              </w:rPr>
              <w:t> </w:t>
            </w:r>
          </w:p>
        </w:tc>
        <w:tc>
          <w:tcPr>
            <w:tcW w:w="1076" w:type="dxa"/>
            <w:tcBorders>
              <w:top w:val="nil"/>
              <w:left w:val="nil"/>
              <w:bottom w:val="nil"/>
              <w:right w:val="nil"/>
            </w:tcBorders>
            <w:shd w:val="clear" w:color="000000" w:fill="FFFFFF"/>
            <w:noWrap/>
            <w:vAlign w:val="bottom"/>
            <w:hideMark/>
          </w:tcPr>
          <w:p w:rsidR="003C18F7" w:rsidRPr="0059480F" w:rsidRDefault="003C18F7" w:rsidP="001C2CEC">
            <w:pPr>
              <w:rPr>
                <w:rFonts w:ascii="Arial" w:hAnsi="Arial" w:cs="Arial"/>
                <w:i/>
                <w:color w:val="000000"/>
                <w:sz w:val="20"/>
                <w:szCs w:val="20"/>
              </w:rPr>
            </w:pPr>
            <w:r w:rsidRPr="0059480F">
              <w:rPr>
                <w:rFonts w:ascii="Arial" w:hAnsi="Arial" w:cs="Arial"/>
                <w:i/>
                <w:color w:val="000000"/>
                <w:sz w:val="20"/>
                <w:szCs w:val="20"/>
              </w:rPr>
              <w:t> </w:t>
            </w:r>
          </w:p>
        </w:tc>
        <w:tc>
          <w:tcPr>
            <w:tcW w:w="1116"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272" w:type="dxa"/>
            <w:tcBorders>
              <w:top w:val="nil"/>
              <w:left w:val="nil"/>
              <w:bottom w:val="nil"/>
              <w:right w:val="single" w:sz="4" w:space="0" w:color="auto"/>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r>
      <w:tr w:rsidR="003C18F7" w:rsidTr="001C2CEC">
        <w:trPr>
          <w:trHeight w:val="258"/>
          <w:jc w:val="center"/>
        </w:trPr>
        <w:tc>
          <w:tcPr>
            <w:tcW w:w="1234" w:type="dxa"/>
            <w:tcBorders>
              <w:top w:val="nil"/>
              <w:left w:val="single" w:sz="4" w:space="0" w:color="auto"/>
              <w:bottom w:val="nil"/>
              <w:right w:val="nil"/>
            </w:tcBorders>
            <w:shd w:val="clear" w:color="000000" w:fill="FFFFFF"/>
            <w:noWrap/>
            <w:vAlign w:val="bottom"/>
            <w:hideMark/>
          </w:tcPr>
          <w:p w:rsidR="003C18F7" w:rsidRDefault="003C18F7" w:rsidP="001C2CEC">
            <w:pPr>
              <w:jc w:val="center"/>
              <w:rPr>
                <w:rFonts w:ascii="Arial" w:hAnsi="Arial" w:cs="Arial"/>
                <w:sz w:val="20"/>
                <w:szCs w:val="20"/>
              </w:rPr>
            </w:pPr>
            <w:r>
              <w:rPr>
                <w:rFonts w:ascii="Arial" w:hAnsi="Arial" w:cs="Arial"/>
                <w:sz w:val="20"/>
                <w:szCs w:val="20"/>
              </w:rPr>
              <w:t>1</w:t>
            </w:r>
          </w:p>
        </w:tc>
        <w:tc>
          <w:tcPr>
            <w:tcW w:w="1964"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Long-term Debt</w:t>
            </w:r>
          </w:p>
        </w:tc>
        <w:tc>
          <w:tcPr>
            <w:tcW w:w="1310"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$1,592,168 </w:t>
            </w:r>
          </w:p>
        </w:tc>
        <w:tc>
          <w:tcPr>
            <w:tcW w:w="983"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1310"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$1,592,168 </w:t>
            </w:r>
          </w:p>
        </w:tc>
        <w:tc>
          <w:tcPr>
            <w:tcW w:w="1237"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($96,766)</w:t>
            </w:r>
          </w:p>
        </w:tc>
        <w:tc>
          <w:tcPr>
            <w:tcW w:w="1497"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$1,495,402 </w:t>
            </w:r>
          </w:p>
        </w:tc>
        <w:tc>
          <w:tcPr>
            <w:tcW w:w="1045"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49.68%</w:t>
            </w:r>
          </w:p>
        </w:tc>
        <w:tc>
          <w:tcPr>
            <w:tcW w:w="1076"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5.25%</w:t>
            </w:r>
          </w:p>
        </w:tc>
        <w:tc>
          <w:tcPr>
            <w:tcW w:w="1116"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2.61%</w:t>
            </w:r>
          </w:p>
        </w:tc>
        <w:tc>
          <w:tcPr>
            <w:tcW w:w="272" w:type="dxa"/>
            <w:tcBorders>
              <w:top w:val="nil"/>
              <w:left w:val="nil"/>
              <w:bottom w:val="nil"/>
              <w:right w:val="single" w:sz="4" w:space="0" w:color="auto"/>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r>
      <w:tr w:rsidR="003C18F7" w:rsidTr="001C2CEC">
        <w:trPr>
          <w:trHeight w:val="258"/>
          <w:jc w:val="center"/>
        </w:trPr>
        <w:tc>
          <w:tcPr>
            <w:tcW w:w="1234" w:type="dxa"/>
            <w:tcBorders>
              <w:top w:val="nil"/>
              <w:left w:val="single" w:sz="4" w:space="0" w:color="auto"/>
              <w:bottom w:val="nil"/>
              <w:right w:val="nil"/>
            </w:tcBorders>
            <w:shd w:val="clear" w:color="000000" w:fill="FFFFFF"/>
            <w:noWrap/>
            <w:vAlign w:val="bottom"/>
            <w:hideMark/>
          </w:tcPr>
          <w:p w:rsidR="003C18F7" w:rsidRDefault="003C18F7" w:rsidP="001C2CEC">
            <w:pPr>
              <w:jc w:val="center"/>
              <w:rPr>
                <w:rFonts w:ascii="Arial" w:hAnsi="Arial" w:cs="Arial"/>
                <w:sz w:val="20"/>
                <w:szCs w:val="20"/>
              </w:rPr>
            </w:pPr>
            <w:r>
              <w:rPr>
                <w:rFonts w:ascii="Arial" w:hAnsi="Arial" w:cs="Arial"/>
                <w:sz w:val="20"/>
                <w:szCs w:val="20"/>
              </w:rPr>
              <w:t>2</w:t>
            </w:r>
          </w:p>
        </w:tc>
        <w:tc>
          <w:tcPr>
            <w:tcW w:w="1964"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Short-term Debt</w:t>
            </w:r>
          </w:p>
        </w:tc>
        <w:tc>
          <w:tcPr>
            <w:tcW w:w="1310"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983"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1310"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1237"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1497"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1045"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0.00%</w:t>
            </w:r>
          </w:p>
        </w:tc>
        <w:tc>
          <w:tcPr>
            <w:tcW w:w="1076"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0.00%</w:t>
            </w:r>
          </w:p>
        </w:tc>
        <w:tc>
          <w:tcPr>
            <w:tcW w:w="1116"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0.00%</w:t>
            </w:r>
          </w:p>
        </w:tc>
        <w:tc>
          <w:tcPr>
            <w:tcW w:w="272" w:type="dxa"/>
            <w:tcBorders>
              <w:top w:val="nil"/>
              <w:left w:val="nil"/>
              <w:bottom w:val="nil"/>
              <w:right w:val="single" w:sz="4" w:space="0" w:color="auto"/>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r>
      <w:tr w:rsidR="003C18F7" w:rsidTr="001C2CEC">
        <w:trPr>
          <w:trHeight w:val="258"/>
          <w:jc w:val="center"/>
        </w:trPr>
        <w:tc>
          <w:tcPr>
            <w:tcW w:w="1234" w:type="dxa"/>
            <w:tcBorders>
              <w:top w:val="nil"/>
              <w:left w:val="single" w:sz="4" w:space="0" w:color="auto"/>
              <w:bottom w:val="nil"/>
              <w:right w:val="nil"/>
            </w:tcBorders>
            <w:shd w:val="clear" w:color="000000" w:fill="FFFFFF"/>
            <w:noWrap/>
            <w:vAlign w:val="bottom"/>
            <w:hideMark/>
          </w:tcPr>
          <w:p w:rsidR="003C18F7" w:rsidRDefault="003C18F7" w:rsidP="001C2CEC">
            <w:pPr>
              <w:jc w:val="center"/>
              <w:rPr>
                <w:rFonts w:ascii="Arial" w:hAnsi="Arial" w:cs="Arial"/>
                <w:sz w:val="20"/>
                <w:szCs w:val="20"/>
              </w:rPr>
            </w:pPr>
            <w:r>
              <w:rPr>
                <w:rFonts w:ascii="Arial" w:hAnsi="Arial" w:cs="Arial"/>
                <w:sz w:val="20"/>
                <w:szCs w:val="20"/>
              </w:rPr>
              <w:t>3</w:t>
            </w:r>
          </w:p>
        </w:tc>
        <w:tc>
          <w:tcPr>
            <w:tcW w:w="1964"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Preferred Stock</w:t>
            </w:r>
          </w:p>
        </w:tc>
        <w:tc>
          <w:tcPr>
            <w:tcW w:w="1310"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983"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1310"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1237"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1497"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1045"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0.00%</w:t>
            </w:r>
          </w:p>
        </w:tc>
        <w:tc>
          <w:tcPr>
            <w:tcW w:w="1076"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0.00%</w:t>
            </w:r>
          </w:p>
        </w:tc>
        <w:tc>
          <w:tcPr>
            <w:tcW w:w="1116"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0.00%</w:t>
            </w:r>
          </w:p>
        </w:tc>
        <w:tc>
          <w:tcPr>
            <w:tcW w:w="272" w:type="dxa"/>
            <w:tcBorders>
              <w:top w:val="nil"/>
              <w:left w:val="nil"/>
              <w:bottom w:val="nil"/>
              <w:right w:val="single" w:sz="4" w:space="0" w:color="auto"/>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r>
      <w:tr w:rsidR="003C18F7" w:rsidTr="001C2CEC">
        <w:trPr>
          <w:trHeight w:val="258"/>
          <w:jc w:val="center"/>
        </w:trPr>
        <w:tc>
          <w:tcPr>
            <w:tcW w:w="1234" w:type="dxa"/>
            <w:tcBorders>
              <w:top w:val="nil"/>
              <w:left w:val="single" w:sz="4" w:space="0" w:color="auto"/>
              <w:bottom w:val="nil"/>
              <w:right w:val="nil"/>
            </w:tcBorders>
            <w:shd w:val="clear" w:color="000000" w:fill="FFFFFF"/>
            <w:noWrap/>
            <w:vAlign w:val="bottom"/>
            <w:hideMark/>
          </w:tcPr>
          <w:p w:rsidR="003C18F7" w:rsidRDefault="003C18F7" w:rsidP="001C2CEC">
            <w:pPr>
              <w:jc w:val="center"/>
              <w:rPr>
                <w:rFonts w:ascii="Arial" w:hAnsi="Arial" w:cs="Arial"/>
                <w:sz w:val="20"/>
                <w:szCs w:val="20"/>
              </w:rPr>
            </w:pPr>
            <w:r>
              <w:rPr>
                <w:rFonts w:ascii="Arial" w:hAnsi="Arial" w:cs="Arial"/>
                <w:sz w:val="20"/>
                <w:szCs w:val="20"/>
              </w:rPr>
              <w:t>4</w:t>
            </w:r>
          </w:p>
        </w:tc>
        <w:tc>
          <w:tcPr>
            <w:tcW w:w="1964"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Common Equity</w:t>
            </w:r>
          </w:p>
        </w:tc>
        <w:tc>
          <w:tcPr>
            <w:tcW w:w="1310"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1,578,675 </w:t>
            </w:r>
          </w:p>
        </w:tc>
        <w:tc>
          <w:tcPr>
            <w:tcW w:w="983"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1310"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1,578,675 </w:t>
            </w:r>
          </w:p>
        </w:tc>
        <w:tc>
          <w:tcPr>
            <w:tcW w:w="1237"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(95,946)</w:t>
            </w:r>
          </w:p>
        </w:tc>
        <w:tc>
          <w:tcPr>
            <w:tcW w:w="1497"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1,482,729 </w:t>
            </w:r>
          </w:p>
        </w:tc>
        <w:tc>
          <w:tcPr>
            <w:tcW w:w="1045"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49.26%</w:t>
            </w:r>
          </w:p>
        </w:tc>
        <w:tc>
          <w:tcPr>
            <w:tcW w:w="1076"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9.67%</w:t>
            </w:r>
          </w:p>
        </w:tc>
        <w:tc>
          <w:tcPr>
            <w:tcW w:w="1116"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4.76%</w:t>
            </w:r>
          </w:p>
        </w:tc>
        <w:tc>
          <w:tcPr>
            <w:tcW w:w="272" w:type="dxa"/>
            <w:tcBorders>
              <w:top w:val="nil"/>
              <w:left w:val="nil"/>
              <w:bottom w:val="nil"/>
              <w:right w:val="single" w:sz="4" w:space="0" w:color="auto"/>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r>
      <w:tr w:rsidR="003C18F7" w:rsidTr="001C2CEC">
        <w:trPr>
          <w:trHeight w:val="258"/>
          <w:jc w:val="center"/>
        </w:trPr>
        <w:tc>
          <w:tcPr>
            <w:tcW w:w="1234" w:type="dxa"/>
            <w:tcBorders>
              <w:top w:val="nil"/>
              <w:left w:val="single" w:sz="4" w:space="0" w:color="auto"/>
              <w:bottom w:val="nil"/>
              <w:right w:val="nil"/>
            </w:tcBorders>
            <w:shd w:val="clear" w:color="000000" w:fill="FFFFFF"/>
            <w:noWrap/>
            <w:vAlign w:val="bottom"/>
            <w:hideMark/>
          </w:tcPr>
          <w:p w:rsidR="003C18F7" w:rsidRDefault="003C18F7" w:rsidP="001C2CEC">
            <w:pPr>
              <w:jc w:val="center"/>
              <w:rPr>
                <w:rFonts w:ascii="Arial" w:hAnsi="Arial" w:cs="Arial"/>
                <w:sz w:val="20"/>
                <w:szCs w:val="20"/>
              </w:rPr>
            </w:pPr>
            <w:r>
              <w:rPr>
                <w:rFonts w:ascii="Arial" w:hAnsi="Arial" w:cs="Arial"/>
                <w:sz w:val="20"/>
                <w:szCs w:val="20"/>
              </w:rPr>
              <w:t>5</w:t>
            </w:r>
          </w:p>
        </w:tc>
        <w:tc>
          <w:tcPr>
            <w:tcW w:w="1964"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Customer Deposits</w:t>
            </w:r>
          </w:p>
        </w:tc>
        <w:tc>
          <w:tcPr>
            <w:tcW w:w="1310"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34,034 </w:t>
            </w:r>
          </w:p>
        </w:tc>
        <w:tc>
          <w:tcPr>
            <w:tcW w:w="983"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1310"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34,034 </w:t>
            </w:r>
          </w:p>
        </w:tc>
        <w:tc>
          <w:tcPr>
            <w:tcW w:w="1237"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(2,068)</w:t>
            </w:r>
          </w:p>
        </w:tc>
        <w:tc>
          <w:tcPr>
            <w:tcW w:w="1497"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31,966 </w:t>
            </w:r>
          </w:p>
        </w:tc>
        <w:tc>
          <w:tcPr>
            <w:tcW w:w="1045"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1.06%</w:t>
            </w:r>
          </w:p>
        </w:tc>
        <w:tc>
          <w:tcPr>
            <w:tcW w:w="1076"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2.00%</w:t>
            </w:r>
          </w:p>
        </w:tc>
        <w:tc>
          <w:tcPr>
            <w:tcW w:w="1116"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0.02%</w:t>
            </w:r>
          </w:p>
        </w:tc>
        <w:tc>
          <w:tcPr>
            <w:tcW w:w="272" w:type="dxa"/>
            <w:tcBorders>
              <w:top w:val="nil"/>
              <w:left w:val="nil"/>
              <w:bottom w:val="nil"/>
              <w:right w:val="single" w:sz="4" w:space="0" w:color="auto"/>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r>
      <w:tr w:rsidR="003C18F7" w:rsidTr="001C2CEC">
        <w:trPr>
          <w:trHeight w:val="258"/>
          <w:jc w:val="center"/>
        </w:trPr>
        <w:tc>
          <w:tcPr>
            <w:tcW w:w="1234" w:type="dxa"/>
            <w:tcBorders>
              <w:top w:val="nil"/>
              <w:left w:val="single" w:sz="4" w:space="0" w:color="auto"/>
              <w:bottom w:val="nil"/>
              <w:right w:val="nil"/>
            </w:tcBorders>
            <w:shd w:val="clear" w:color="000000" w:fill="FFFFFF"/>
            <w:noWrap/>
            <w:vAlign w:val="bottom"/>
            <w:hideMark/>
          </w:tcPr>
          <w:p w:rsidR="003C18F7" w:rsidRDefault="003C18F7" w:rsidP="001C2CEC">
            <w:pPr>
              <w:jc w:val="center"/>
              <w:rPr>
                <w:rFonts w:ascii="Arial" w:hAnsi="Arial" w:cs="Arial"/>
                <w:sz w:val="20"/>
                <w:szCs w:val="20"/>
              </w:rPr>
            </w:pPr>
            <w:r>
              <w:rPr>
                <w:rFonts w:ascii="Arial" w:hAnsi="Arial" w:cs="Arial"/>
                <w:sz w:val="20"/>
                <w:szCs w:val="20"/>
              </w:rPr>
              <w:t>6</w:t>
            </w:r>
          </w:p>
        </w:tc>
        <w:tc>
          <w:tcPr>
            <w:tcW w:w="1964"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b/>
                <w:bCs/>
                <w:sz w:val="20"/>
                <w:szCs w:val="20"/>
              </w:rPr>
            </w:pPr>
            <w:r>
              <w:rPr>
                <w:rFonts w:ascii="Arial" w:hAnsi="Arial" w:cs="Arial"/>
                <w:b/>
                <w:bCs/>
                <w:sz w:val="20"/>
                <w:szCs w:val="20"/>
              </w:rPr>
              <w:t>Total Capital</w:t>
            </w:r>
          </w:p>
        </w:tc>
        <w:tc>
          <w:tcPr>
            <w:tcW w:w="1310"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u w:val="double"/>
              </w:rPr>
            </w:pPr>
            <w:r>
              <w:rPr>
                <w:rFonts w:ascii="Arial" w:hAnsi="Arial" w:cs="Arial"/>
                <w:sz w:val="20"/>
                <w:szCs w:val="20"/>
                <w:u w:val="double"/>
              </w:rPr>
              <w:t xml:space="preserve">$3,204,877 </w:t>
            </w:r>
          </w:p>
        </w:tc>
        <w:tc>
          <w:tcPr>
            <w:tcW w:w="983"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u w:val="double"/>
              </w:rPr>
            </w:pPr>
            <w:r>
              <w:rPr>
                <w:rFonts w:ascii="Arial" w:hAnsi="Arial" w:cs="Arial"/>
                <w:sz w:val="20"/>
                <w:szCs w:val="20"/>
                <w:u w:val="double"/>
              </w:rPr>
              <w:t xml:space="preserve">$0 </w:t>
            </w:r>
          </w:p>
        </w:tc>
        <w:tc>
          <w:tcPr>
            <w:tcW w:w="1310"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u w:val="double"/>
              </w:rPr>
            </w:pPr>
            <w:r>
              <w:rPr>
                <w:rFonts w:ascii="Arial" w:hAnsi="Arial" w:cs="Arial"/>
                <w:sz w:val="20"/>
                <w:szCs w:val="20"/>
                <w:u w:val="double"/>
              </w:rPr>
              <w:t xml:space="preserve">$3,204,877 </w:t>
            </w:r>
          </w:p>
        </w:tc>
        <w:tc>
          <w:tcPr>
            <w:tcW w:w="1237"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u w:val="double"/>
              </w:rPr>
            </w:pPr>
            <w:r>
              <w:rPr>
                <w:rFonts w:ascii="Arial" w:hAnsi="Arial" w:cs="Arial"/>
                <w:sz w:val="20"/>
                <w:szCs w:val="20"/>
                <w:u w:val="double"/>
              </w:rPr>
              <w:t>($194,780)</w:t>
            </w:r>
          </w:p>
        </w:tc>
        <w:tc>
          <w:tcPr>
            <w:tcW w:w="1497"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u w:val="double"/>
              </w:rPr>
            </w:pPr>
            <w:r>
              <w:rPr>
                <w:rFonts w:ascii="Arial" w:hAnsi="Arial" w:cs="Arial"/>
                <w:sz w:val="20"/>
                <w:szCs w:val="20"/>
                <w:u w:val="double"/>
              </w:rPr>
              <w:t xml:space="preserve">$3,010,097 </w:t>
            </w:r>
          </w:p>
        </w:tc>
        <w:tc>
          <w:tcPr>
            <w:tcW w:w="1045"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u w:val="double"/>
              </w:rPr>
            </w:pPr>
            <w:r>
              <w:rPr>
                <w:rFonts w:ascii="Arial" w:hAnsi="Arial" w:cs="Arial"/>
                <w:sz w:val="20"/>
                <w:szCs w:val="20"/>
                <w:u w:val="double"/>
              </w:rPr>
              <w:t>100.00%</w:t>
            </w:r>
          </w:p>
        </w:tc>
        <w:tc>
          <w:tcPr>
            <w:tcW w:w="1076" w:type="dxa"/>
            <w:tcBorders>
              <w:top w:val="nil"/>
              <w:left w:val="nil"/>
              <w:bottom w:val="nil"/>
              <w:right w:val="nil"/>
            </w:tcBorders>
            <w:shd w:val="clear" w:color="000000" w:fill="FFFFFF"/>
            <w:noWrap/>
            <w:vAlign w:val="bottom"/>
            <w:hideMark/>
          </w:tcPr>
          <w:p w:rsidR="003C18F7" w:rsidRPr="00701C42" w:rsidRDefault="003C18F7" w:rsidP="001C2CEC">
            <w:pPr>
              <w:rPr>
                <w:rFonts w:ascii="Arial" w:hAnsi="Arial" w:cs="Arial"/>
                <w:strike/>
                <w:sz w:val="20"/>
                <w:szCs w:val="20"/>
                <w:highlight w:val="cyan"/>
                <w:u w:val="double"/>
              </w:rPr>
            </w:pPr>
          </w:p>
        </w:tc>
        <w:tc>
          <w:tcPr>
            <w:tcW w:w="1116"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u w:val="double"/>
              </w:rPr>
            </w:pPr>
            <w:r>
              <w:rPr>
                <w:rFonts w:ascii="Arial" w:hAnsi="Arial" w:cs="Arial"/>
                <w:sz w:val="20"/>
                <w:szCs w:val="20"/>
                <w:u w:val="double"/>
              </w:rPr>
              <w:t>7.39%</w:t>
            </w:r>
          </w:p>
        </w:tc>
        <w:tc>
          <w:tcPr>
            <w:tcW w:w="272" w:type="dxa"/>
            <w:tcBorders>
              <w:top w:val="nil"/>
              <w:left w:val="nil"/>
              <w:bottom w:val="nil"/>
              <w:right w:val="single" w:sz="4" w:space="0" w:color="auto"/>
            </w:tcBorders>
            <w:shd w:val="clear" w:color="000000" w:fill="FFFFFF"/>
            <w:noWrap/>
            <w:vAlign w:val="bottom"/>
            <w:hideMark/>
          </w:tcPr>
          <w:p w:rsidR="003C18F7" w:rsidRPr="00701C42" w:rsidRDefault="003C18F7" w:rsidP="001C2CEC">
            <w:pPr>
              <w:rPr>
                <w:rFonts w:ascii="Arial" w:hAnsi="Arial" w:cs="Arial"/>
                <w:strike/>
                <w:sz w:val="20"/>
                <w:szCs w:val="20"/>
                <w:highlight w:val="cyan"/>
                <w:u w:val="double"/>
              </w:rPr>
            </w:pPr>
          </w:p>
        </w:tc>
      </w:tr>
      <w:tr w:rsidR="003C18F7" w:rsidTr="001C2CEC">
        <w:trPr>
          <w:trHeight w:val="258"/>
          <w:jc w:val="center"/>
        </w:trPr>
        <w:tc>
          <w:tcPr>
            <w:tcW w:w="1234" w:type="dxa"/>
            <w:tcBorders>
              <w:top w:val="nil"/>
              <w:left w:val="single" w:sz="4" w:space="0" w:color="auto"/>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1964"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310"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983"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310"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237"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497"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045"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076"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116"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272" w:type="dxa"/>
            <w:tcBorders>
              <w:top w:val="nil"/>
              <w:left w:val="nil"/>
              <w:bottom w:val="nil"/>
              <w:right w:val="single" w:sz="4" w:space="0" w:color="auto"/>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r>
      <w:tr w:rsidR="003C18F7" w:rsidTr="001C2CEC">
        <w:trPr>
          <w:trHeight w:val="258"/>
          <w:jc w:val="center"/>
        </w:trPr>
        <w:tc>
          <w:tcPr>
            <w:tcW w:w="3198" w:type="dxa"/>
            <w:gridSpan w:val="2"/>
            <w:tcBorders>
              <w:top w:val="nil"/>
              <w:left w:val="single" w:sz="4" w:space="0" w:color="auto"/>
              <w:bottom w:val="nil"/>
              <w:right w:val="nil"/>
            </w:tcBorders>
            <w:shd w:val="clear" w:color="000000" w:fill="FFFFFF"/>
            <w:noWrap/>
            <w:vAlign w:val="bottom"/>
            <w:hideMark/>
          </w:tcPr>
          <w:p w:rsidR="003C18F7" w:rsidRDefault="003C18F7" w:rsidP="001C2CEC">
            <w:pPr>
              <w:rPr>
                <w:rFonts w:ascii="Arial" w:hAnsi="Arial" w:cs="Arial"/>
                <w:b/>
                <w:bCs/>
                <w:sz w:val="20"/>
                <w:szCs w:val="20"/>
              </w:rPr>
            </w:pPr>
            <w:r>
              <w:rPr>
                <w:rFonts w:ascii="Arial" w:hAnsi="Arial" w:cs="Arial"/>
                <w:b/>
                <w:bCs/>
                <w:sz w:val="20"/>
                <w:szCs w:val="20"/>
              </w:rPr>
              <w:t>Per Staff</w:t>
            </w:r>
          </w:p>
        </w:tc>
        <w:tc>
          <w:tcPr>
            <w:tcW w:w="1310"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983"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310"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237"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497"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045"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076"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116"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272" w:type="dxa"/>
            <w:tcBorders>
              <w:top w:val="nil"/>
              <w:left w:val="nil"/>
              <w:bottom w:val="nil"/>
              <w:right w:val="single" w:sz="4" w:space="0" w:color="auto"/>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r>
      <w:tr w:rsidR="003C18F7" w:rsidTr="001C2CEC">
        <w:trPr>
          <w:trHeight w:val="258"/>
          <w:jc w:val="center"/>
        </w:trPr>
        <w:tc>
          <w:tcPr>
            <w:tcW w:w="1234" w:type="dxa"/>
            <w:tcBorders>
              <w:top w:val="nil"/>
              <w:left w:val="single" w:sz="4" w:space="0" w:color="auto"/>
              <w:bottom w:val="nil"/>
              <w:right w:val="nil"/>
            </w:tcBorders>
            <w:shd w:val="clear" w:color="000000" w:fill="FFFFFF"/>
            <w:noWrap/>
            <w:vAlign w:val="bottom"/>
            <w:hideMark/>
          </w:tcPr>
          <w:p w:rsidR="003C18F7" w:rsidRDefault="003C18F7" w:rsidP="001C2CEC">
            <w:pPr>
              <w:jc w:val="center"/>
              <w:rPr>
                <w:rFonts w:ascii="Arial" w:hAnsi="Arial" w:cs="Arial"/>
                <w:sz w:val="20"/>
                <w:szCs w:val="20"/>
              </w:rPr>
            </w:pPr>
            <w:r>
              <w:rPr>
                <w:rFonts w:ascii="Arial" w:hAnsi="Arial" w:cs="Arial"/>
                <w:sz w:val="20"/>
                <w:szCs w:val="20"/>
              </w:rPr>
              <w:t>7</w:t>
            </w:r>
          </w:p>
        </w:tc>
        <w:tc>
          <w:tcPr>
            <w:tcW w:w="1964"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Long-term Debt</w:t>
            </w:r>
          </w:p>
        </w:tc>
        <w:tc>
          <w:tcPr>
            <w:tcW w:w="1310"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$1,592,168 </w:t>
            </w:r>
          </w:p>
        </w:tc>
        <w:tc>
          <w:tcPr>
            <w:tcW w:w="983"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1310"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$1,592,168 </w:t>
            </w:r>
          </w:p>
        </w:tc>
        <w:tc>
          <w:tcPr>
            <w:tcW w:w="1237"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($44,259)</w:t>
            </w:r>
          </w:p>
        </w:tc>
        <w:tc>
          <w:tcPr>
            <w:tcW w:w="1497"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$1,547,909 </w:t>
            </w:r>
          </w:p>
        </w:tc>
        <w:tc>
          <w:tcPr>
            <w:tcW w:w="1045"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49.66%</w:t>
            </w:r>
          </w:p>
        </w:tc>
        <w:tc>
          <w:tcPr>
            <w:tcW w:w="1076"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5.25%</w:t>
            </w:r>
          </w:p>
        </w:tc>
        <w:tc>
          <w:tcPr>
            <w:tcW w:w="1116"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2.61%</w:t>
            </w:r>
          </w:p>
        </w:tc>
        <w:tc>
          <w:tcPr>
            <w:tcW w:w="272" w:type="dxa"/>
            <w:tcBorders>
              <w:top w:val="nil"/>
              <w:left w:val="nil"/>
              <w:bottom w:val="nil"/>
              <w:right w:val="single" w:sz="4" w:space="0" w:color="auto"/>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r>
      <w:tr w:rsidR="003C18F7" w:rsidTr="001C2CEC">
        <w:trPr>
          <w:trHeight w:val="258"/>
          <w:jc w:val="center"/>
        </w:trPr>
        <w:tc>
          <w:tcPr>
            <w:tcW w:w="1234" w:type="dxa"/>
            <w:tcBorders>
              <w:top w:val="nil"/>
              <w:left w:val="single" w:sz="4" w:space="0" w:color="auto"/>
              <w:bottom w:val="nil"/>
              <w:right w:val="nil"/>
            </w:tcBorders>
            <w:shd w:val="clear" w:color="000000" w:fill="FFFFFF"/>
            <w:noWrap/>
            <w:vAlign w:val="bottom"/>
            <w:hideMark/>
          </w:tcPr>
          <w:p w:rsidR="003C18F7" w:rsidRDefault="003C18F7" w:rsidP="001C2CEC">
            <w:pPr>
              <w:jc w:val="center"/>
              <w:rPr>
                <w:rFonts w:ascii="Arial" w:hAnsi="Arial" w:cs="Arial"/>
                <w:sz w:val="20"/>
                <w:szCs w:val="20"/>
              </w:rPr>
            </w:pPr>
            <w:r>
              <w:rPr>
                <w:rFonts w:ascii="Arial" w:hAnsi="Arial" w:cs="Arial"/>
                <w:sz w:val="20"/>
                <w:szCs w:val="20"/>
              </w:rPr>
              <w:t>8</w:t>
            </w:r>
          </w:p>
        </w:tc>
        <w:tc>
          <w:tcPr>
            <w:tcW w:w="1964"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Short-term Debt</w:t>
            </w:r>
          </w:p>
        </w:tc>
        <w:tc>
          <w:tcPr>
            <w:tcW w:w="1310"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983"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1310"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1237"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1497"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1045"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0.00%</w:t>
            </w:r>
          </w:p>
        </w:tc>
        <w:tc>
          <w:tcPr>
            <w:tcW w:w="1076"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0.00%</w:t>
            </w:r>
          </w:p>
        </w:tc>
        <w:tc>
          <w:tcPr>
            <w:tcW w:w="1116"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0.00%</w:t>
            </w:r>
          </w:p>
        </w:tc>
        <w:tc>
          <w:tcPr>
            <w:tcW w:w="272" w:type="dxa"/>
            <w:tcBorders>
              <w:top w:val="nil"/>
              <w:left w:val="nil"/>
              <w:bottom w:val="nil"/>
              <w:right w:val="single" w:sz="4" w:space="0" w:color="auto"/>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r>
      <w:tr w:rsidR="003C18F7" w:rsidTr="001C2CEC">
        <w:trPr>
          <w:trHeight w:val="258"/>
          <w:jc w:val="center"/>
        </w:trPr>
        <w:tc>
          <w:tcPr>
            <w:tcW w:w="1234" w:type="dxa"/>
            <w:tcBorders>
              <w:top w:val="nil"/>
              <w:left w:val="single" w:sz="4" w:space="0" w:color="auto"/>
              <w:bottom w:val="nil"/>
              <w:right w:val="nil"/>
            </w:tcBorders>
            <w:shd w:val="clear" w:color="000000" w:fill="FFFFFF"/>
            <w:noWrap/>
            <w:vAlign w:val="bottom"/>
            <w:hideMark/>
          </w:tcPr>
          <w:p w:rsidR="003C18F7" w:rsidRDefault="003C18F7" w:rsidP="001C2CEC">
            <w:pPr>
              <w:jc w:val="center"/>
              <w:rPr>
                <w:rFonts w:ascii="Arial" w:hAnsi="Arial" w:cs="Arial"/>
                <w:sz w:val="20"/>
                <w:szCs w:val="20"/>
              </w:rPr>
            </w:pPr>
            <w:r>
              <w:rPr>
                <w:rFonts w:ascii="Arial" w:hAnsi="Arial" w:cs="Arial"/>
                <w:sz w:val="20"/>
                <w:szCs w:val="20"/>
              </w:rPr>
              <w:t>9</w:t>
            </w:r>
          </w:p>
        </w:tc>
        <w:tc>
          <w:tcPr>
            <w:tcW w:w="1964"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Preferred Stock</w:t>
            </w:r>
          </w:p>
        </w:tc>
        <w:tc>
          <w:tcPr>
            <w:tcW w:w="1310"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983"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1310"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1237"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1497"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1045"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0.00%</w:t>
            </w:r>
          </w:p>
        </w:tc>
        <w:tc>
          <w:tcPr>
            <w:tcW w:w="1076"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0.00%</w:t>
            </w:r>
          </w:p>
        </w:tc>
        <w:tc>
          <w:tcPr>
            <w:tcW w:w="1116"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0.00%</w:t>
            </w:r>
          </w:p>
        </w:tc>
        <w:tc>
          <w:tcPr>
            <w:tcW w:w="272" w:type="dxa"/>
            <w:tcBorders>
              <w:top w:val="nil"/>
              <w:left w:val="nil"/>
              <w:bottom w:val="nil"/>
              <w:right w:val="single" w:sz="4" w:space="0" w:color="auto"/>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r>
      <w:tr w:rsidR="003C18F7" w:rsidTr="001C2CEC">
        <w:trPr>
          <w:trHeight w:val="258"/>
          <w:jc w:val="center"/>
        </w:trPr>
        <w:tc>
          <w:tcPr>
            <w:tcW w:w="1234" w:type="dxa"/>
            <w:tcBorders>
              <w:top w:val="nil"/>
              <w:left w:val="single" w:sz="4" w:space="0" w:color="auto"/>
              <w:bottom w:val="nil"/>
              <w:right w:val="nil"/>
            </w:tcBorders>
            <w:shd w:val="clear" w:color="000000" w:fill="FFFFFF"/>
            <w:noWrap/>
            <w:vAlign w:val="bottom"/>
            <w:hideMark/>
          </w:tcPr>
          <w:p w:rsidR="003C18F7" w:rsidRDefault="003C18F7" w:rsidP="001C2CEC">
            <w:pPr>
              <w:jc w:val="center"/>
              <w:rPr>
                <w:rFonts w:ascii="Arial" w:hAnsi="Arial" w:cs="Arial"/>
                <w:sz w:val="20"/>
                <w:szCs w:val="20"/>
              </w:rPr>
            </w:pPr>
            <w:r>
              <w:rPr>
                <w:rFonts w:ascii="Arial" w:hAnsi="Arial" w:cs="Arial"/>
                <w:sz w:val="20"/>
                <w:szCs w:val="20"/>
              </w:rPr>
              <w:t>10</w:t>
            </w:r>
          </w:p>
        </w:tc>
        <w:tc>
          <w:tcPr>
            <w:tcW w:w="1964"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Common Equity</w:t>
            </w:r>
          </w:p>
        </w:tc>
        <w:tc>
          <w:tcPr>
            <w:tcW w:w="1310"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1,578,675 </w:t>
            </w:r>
          </w:p>
        </w:tc>
        <w:tc>
          <w:tcPr>
            <w:tcW w:w="983"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0 </w:t>
            </w:r>
          </w:p>
        </w:tc>
        <w:tc>
          <w:tcPr>
            <w:tcW w:w="1310"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1,578,675 </w:t>
            </w:r>
          </w:p>
        </w:tc>
        <w:tc>
          <w:tcPr>
            <w:tcW w:w="1237"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($43,884)</w:t>
            </w:r>
          </w:p>
        </w:tc>
        <w:tc>
          <w:tcPr>
            <w:tcW w:w="1497"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 xml:space="preserve">1,534,791 </w:t>
            </w:r>
          </w:p>
        </w:tc>
        <w:tc>
          <w:tcPr>
            <w:tcW w:w="1045"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49.24%</w:t>
            </w:r>
          </w:p>
        </w:tc>
        <w:tc>
          <w:tcPr>
            <w:tcW w:w="1076"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9.17%</w:t>
            </w:r>
          </w:p>
        </w:tc>
        <w:tc>
          <w:tcPr>
            <w:tcW w:w="1116"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4.52%</w:t>
            </w:r>
          </w:p>
        </w:tc>
        <w:tc>
          <w:tcPr>
            <w:tcW w:w="272" w:type="dxa"/>
            <w:tcBorders>
              <w:top w:val="nil"/>
              <w:left w:val="nil"/>
              <w:bottom w:val="nil"/>
              <w:right w:val="single" w:sz="4" w:space="0" w:color="auto"/>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r>
      <w:tr w:rsidR="003C18F7" w:rsidTr="001C2CEC">
        <w:trPr>
          <w:trHeight w:val="258"/>
          <w:jc w:val="center"/>
        </w:trPr>
        <w:tc>
          <w:tcPr>
            <w:tcW w:w="1234" w:type="dxa"/>
            <w:tcBorders>
              <w:top w:val="nil"/>
              <w:left w:val="single" w:sz="4" w:space="0" w:color="auto"/>
              <w:bottom w:val="nil"/>
              <w:right w:val="nil"/>
            </w:tcBorders>
            <w:shd w:val="clear" w:color="000000" w:fill="FFFFFF"/>
            <w:noWrap/>
            <w:vAlign w:val="bottom"/>
            <w:hideMark/>
          </w:tcPr>
          <w:p w:rsidR="003C18F7" w:rsidRDefault="003C18F7" w:rsidP="001C2CEC">
            <w:pPr>
              <w:jc w:val="center"/>
              <w:rPr>
                <w:rFonts w:ascii="Arial" w:hAnsi="Arial" w:cs="Arial"/>
                <w:sz w:val="20"/>
                <w:szCs w:val="20"/>
              </w:rPr>
            </w:pPr>
            <w:r>
              <w:rPr>
                <w:rFonts w:ascii="Arial" w:hAnsi="Arial" w:cs="Arial"/>
                <w:sz w:val="20"/>
                <w:szCs w:val="20"/>
              </w:rPr>
              <w:t>11</w:t>
            </w:r>
          </w:p>
        </w:tc>
        <w:tc>
          <w:tcPr>
            <w:tcW w:w="1964"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Customer Deposits</w:t>
            </w:r>
          </w:p>
        </w:tc>
        <w:tc>
          <w:tcPr>
            <w:tcW w:w="1310" w:type="dxa"/>
            <w:tcBorders>
              <w:top w:val="nil"/>
              <w:left w:val="nil"/>
              <w:bottom w:val="nil"/>
              <w:right w:val="nil"/>
            </w:tcBorders>
            <w:shd w:val="clear" w:color="000000" w:fill="FFFFFF"/>
            <w:noWrap/>
            <w:vAlign w:val="bottom"/>
            <w:hideMark/>
          </w:tcPr>
          <w:p w:rsidR="003C18F7" w:rsidRPr="005C4D77" w:rsidRDefault="003C18F7" w:rsidP="001C2CEC">
            <w:pPr>
              <w:jc w:val="right"/>
              <w:rPr>
                <w:rFonts w:ascii="Arial" w:hAnsi="Arial" w:cs="Arial"/>
                <w:sz w:val="20"/>
                <w:szCs w:val="20"/>
                <w:u w:val="single"/>
              </w:rPr>
            </w:pPr>
            <w:r w:rsidRPr="005C4D77">
              <w:rPr>
                <w:rFonts w:ascii="Arial" w:hAnsi="Arial" w:cs="Arial"/>
                <w:sz w:val="20"/>
                <w:szCs w:val="20"/>
                <w:u w:val="single"/>
              </w:rPr>
              <w:t xml:space="preserve">34,034 </w:t>
            </w:r>
          </w:p>
        </w:tc>
        <w:tc>
          <w:tcPr>
            <w:tcW w:w="983" w:type="dxa"/>
            <w:tcBorders>
              <w:top w:val="nil"/>
              <w:left w:val="nil"/>
              <w:bottom w:val="nil"/>
              <w:right w:val="nil"/>
            </w:tcBorders>
            <w:shd w:val="clear" w:color="000000" w:fill="FFFFFF"/>
            <w:noWrap/>
            <w:vAlign w:val="bottom"/>
            <w:hideMark/>
          </w:tcPr>
          <w:p w:rsidR="003C18F7" w:rsidRPr="005C4D77" w:rsidRDefault="003C18F7" w:rsidP="001C2CEC">
            <w:pPr>
              <w:jc w:val="right"/>
              <w:rPr>
                <w:rFonts w:ascii="Arial" w:hAnsi="Arial" w:cs="Arial"/>
                <w:sz w:val="20"/>
                <w:szCs w:val="20"/>
                <w:u w:val="single"/>
              </w:rPr>
            </w:pPr>
            <w:r w:rsidRPr="005C4D77">
              <w:rPr>
                <w:rFonts w:ascii="Arial" w:hAnsi="Arial" w:cs="Arial"/>
                <w:sz w:val="20"/>
                <w:szCs w:val="20"/>
                <w:u w:val="single"/>
              </w:rPr>
              <w:t xml:space="preserve">0 </w:t>
            </w:r>
          </w:p>
        </w:tc>
        <w:tc>
          <w:tcPr>
            <w:tcW w:w="1310" w:type="dxa"/>
            <w:tcBorders>
              <w:top w:val="nil"/>
              <w:left w:val="nil"/>
              <w:bottom w:val="nil"/>
              <w:right w:val="nil"/>
            </w:tcBorders>
            <w:shd w:val="clear" w:color="000000" w:fill="FFFFFF"/>
            <w:noWrap/>
            <w:vAlign w:val="bottom"/>
            <w:hideMark/>
          </w:tcPr>
          <w:p w:rsidR="003C18F7" w:rsidRPr="005C4D77" w:rsidRDefault="003C18F7" w:rsidP="001C2CEC">
            <w:pPr>
              <w:jc w:val="right"/>
              <w:rPr>
                <w:rFonts w:ascii="Arial" w:hAnsi="Arial" w:cs="Arial"/>
                <w:sz w:val="20"/>
                <w:szCs w:val="20"/>
                <w:u w:val="single"/>
              </w:rPr>
            </w:pPr>
            <w:r w:rsidRPr="005C4D77">
              <w:rPr>
                <w:rFonts w:ascii="Arial" w:hAnsi="Arial" w:cs="Arial"/>
                <w:sz w:val="20"/>
                <w:szCs w:val="20"/>
                <w:u w:val="single"/>
              </w:rPr>
              <w:t xml:space="preserve">34,034 </w:t>
            </w:r>
          </w:p>
        </w:tc>
        <w:tc>
          <w:tcPr>
            <w:tcW w:w="1237" w:type="dxa"/>
            <w:tcBorders>
              <w:top w:val="nil"/>
              <w:left w:val="nil"/>
              <w:bottom w:val="nil"/>
              <w:right w:val="nil"/>
            </w:tcBorders>
            <w:shd w:val="clear" w:color="000000" w:fill="FFFFFF"/>
            <w:noWrap/>
            <w:vAlign w:val="bottom"/>
            <w:hideMark/>
          </w:tcPr>
          <w:p w:rsidR="003C18F7" w:rsidRPr="005C4D77" w:rsidRDefault="003C18F7" w:rsidP="001C2CEC">
            <w:pPr>
              <w:jc w:val="right"/>
              <w:rPr>
                <w:rFonts w:ascii="Arial" w:hAnsi="Arial" w:cs="Arial"/>
                <w:sz w:val="20"/>
                <w:szCs w:val="20"/>
                <w:u w:val="single"/>
              </w:rPr>
            </w:pPr>
            <w:r w:rsidRPr="005C4D77">
              <w:rPr>
                <w:rFonts w:ascii="Arial" w:hAnsi="Arial" w:cs="Arial"/>
                <w:sz w:val="20"/>
                <w:szCs w:val="20"/>
                <w:u w:val="single"/>
              </w:rPr>
              <w:t xml:space="preserve">0 </w:t>
            </w:r>
          </w:p>
        </w:tc>
        <w:tc>
          <w:tcPr>
            <w:tcW w:w="1497" w:type="dxa"/>
            <w:tcBorders>
              <w:top w:val="nil"/>
              <w:left w:val="nil"/>
              <w:bottom w:val="nil"/>
              <w:right w:val="nil"/>
            </w:tcBorders>
            <w:shd w:val="clear" w:color="000000" w:fill="FFFFFF"/>
            <w:noWrap/>
            <w:vAlign w:val="bottom"/>
            <w:hideMark/>
          </w:tcPr>
          <w:p w:rsidR="003C18F7" w:rsidRPr="005C4D77" w:rsidRDefault="003C18F7" w:rsidP="001C2CEC">
            <w:pPr>
              <w:jc w:val="right"/>
              <w:rPr>
                <w:rFonts w:ascii="Arial" w:hAnsi="Arial" w:cs="Arial"/>
                <w:sz w:val="20"/>
                <w:szCs w:val="20"/>
                <w:u w:val="single"/>
              </w:rPr>
            </w:pPr>
            <w:r w:rsidRPr="005C4D77">
              <w:rPr>
                <w:rFonts w:ascii="Arial" w:hAnsi="Arial" w:cs="Arial"/>
                <w:sz w:val="20"/>
                <w:szCs w:val="20"/>
                <w:u w:val="single"/>
              </w:rPr>
              <w:t xml:space="preserve">34,034 </w:t>
            </w:r>
          </w:p>
        </w:tc>
        <w:tc>
          <w:tcPr>
            <w:tcW w:w="1045" w:type="dxa"/>
            <w:tcBorders>
              <w:top w:val="nil"/>
              <w:left w:val="nil"/>
              <w:bottom w:val="nil"/>
              <w:right w:val="nil"/>
            </w:tcBorders>
            <w:shd w:val="clear" w:color="000000" w:fill="FFFFFF"/>
            <w:noWrap/>
            <w:vAlign w:val="bottom"/>
            <w:hideMark/>
          </w:tcPr>
          <w:p w:rsidR="003C18F7" w:rsidRPr="005C4D77" w:rsidRDefault="003C18F7" w:rsidP="001C2CEC">
            <w:pPr>
              <w:jc w:val="right"/>
              <w:rPr>
                <w:rFonts w:ascii="Arial" w:hAnsi="Arial" w:cs="Arial"/>
                <w:sz w:val="20"/>
                <w:szCs w:val="20"/>
                <w:u w:val="single"/>
              </w:rPr>
            </w:pPr>
            <w:r w:rsidRPr="005C4D77">
              <w:rPr>
                <w:rFonts w:ascii="Arial" w:hAnsi="Arial" w:cs="Arial"/>
                <w:sz w:val="20"/>
                <w:szCs w:val="20"/>
                <w:u w:val="single"/>
              </w:rPr>
              <w:t>1.10%</w:t>
            </w:r>
          </w:p>
        </w:tc>
        <w:tc>
          <w:tcPr>
            <w:tcW w:w="1076"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rPr>
            </w:pPr>
            <w:r>
              <w:rPr>
                <w:rFonts w:ascii="Arial" w:hAnsi="Arial" w:cs="Arial"/>
                <w:sz w:val="20"/>
                <w:szCs w:val="20"/>
              </w:rPr>
              <w:t>2.00%</w:t>
            </w:r>
          </w:p>
        </w:tc>
        <w:tc>
          <w:tcPr>
            <w:tcW w:w="1116" w:type="dxa"/>
            <w:tcBorders>
              <w:top w:val="nil"/>
              <w:left w:val="nil"/>
              <w:bottom w:val="nil"/>
              <w:right w:val="nil"/>
            </w:tcBorders>
            <w:shd w:val="clear" w:color="000000" w:fill="FFFFFF"/>
            <w:noWrap/>
            <w:vAlign w:val="bottom"/>
            <w:hideMark/>
          </w:tcPr>
          <w:p w:rsidR="003C18F7" w:rsidRPr="005C4D77" w:rsidRDefault="003C18F7" w:rsidP="001C2CEC">
            <w:pPr>
              <w:jc w:val="right"/>
              <w:rPr>
                <w:rFonts w:ascii="Arial" w:hAnsi="Arial" w:cs="Arial"/>
                <w:sz w:val="20"/>
                <w:szCs w:val="20"/>
                <w:u w:val="single"/>
              </w:rPr>
            </w:pPr>
            <w:r w:rsidRPr="005C4D77">
              <w:rPr>
                <w:rFonts w:ascii="Arial" w:hAnsi="Arial" w:cs="Arial"/>
                <w:sz w:val="20"/>
                <w:szCs w:val="20"/>
                <w:u w:val="single"/>
              </w:rPr>
              <w:t>0.02%</w:t>
            </w:r>
          </w:p>
        </w:tc>
        <w:tc>
          <w:tcPr>
            <w:tcW w:w="272" w:type="dxa"/>
            <w:tcBorders>
              <w:top w:val="nil"/>
              <w:left w:val="nil"/>
              <w:bottom w:val="nil"/>
              <w:right w:val="single" w:sz="4" w:space="0" w:color="auto"/>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r>
      <w:tr w:rsidR="003C18F7" w:rsidTr="001C2CEC">
        <w:trPr>
          <w:trHeight w:val="258"/>
          <w:jc w:val="center"/>
        </w:trPr>
        <w:tc>
          <w:tcPr>
            <w:tcW w:w="1234" w:type="dxa"/>
            <w:tcBorders>
              <w:top w:val="nil"/>
              <w:left w:val="single" w:sz="4" w:space="0" w:color="auto"/>
              <w:bottom w:val="nil"/>
              <w:right w:val="nil"/>
            </w:tcBorders>
            <w:shd w:val="clear" w:color="000000" w:fill="FFFFFF"/>
            <w:noWrap/>
            <w:vAlign w:val="bottom"/>
            <w:hideMark/>
          </w:tcPr>
          <w:p w:rsidR="003C18F7" w:rsidRDefault="003C18F7" w:rsidP="001C2CEC">
            <w:pPr>
              <w:jc w:val="center"/>
              <w:rPr>
                <w:rFonts w:ascii="Arial" w:hAnsi="Arial" w:cs="Arial"/>
                <w:sz w:val="20"/>
                <w:szCs w:val="20"/>
              </w:rPr>
            </w:pPr>
            <w:r>
              <w:rPr>
                <w:rFonts w:ascii="Arial" w:hAnsi="Arial" w:cs="Arial"/>
                <w:sz w:val="20"/>
                <w:szCs w:val="20"/>
              </w:rPr>
              <w:t>12</w:t>
            </w:r>
          </w:p>
        </w:tc>
        <w:tc>
          <w:tcPr>
            <w:tcW w:w="1964"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b/>
                <w:bCs/>
                <w:sz w:val="20"/>
                <w:szCs w:val="20"/>
              </w:rPr>
            </w:pPr>
            <w:r>
              <w:rPr>
                <w:rFonts w:ascii="Arial" w:hAnsi="Arial" w:cs="Arial"/>
                <w:b/>
                <w:bCs/>
                <w:sz w:val="20"/>
                <w:szCs w:val="20"/>
              </w:rPr>
              <w:t>Total Capital</w:t>
            </w:r>
          </w:p>
        </w:tc>
        <w:tc>
          <w:tcPr>
            <w:tcW w:w="1310"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u w:val="double"/>
              </w:rPr>
            </w:pPr>
            <w:r>
              <w:rPr>
                <w:rFonts w:ascii="Arial" w:hAnsi="Arial" w:cs="Arial"/>
                <w:sz w:val="20"/>
                <w:szCs w:val="20"/>
                <w:u w:val="double"/>
              </w:rPr>
              <w:t xml:space="preserve">$3,204,877 </w:t>
            </w:r>
          </w:p>
        </w:tc>
        <w:tc>
          <w:tcPr>
            <w:tcW w:w="983"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u w:val="double"/>
              </w:rPr>
            </w:pPr>
            <w:r>
              <w:rPr>
                <w:rFonts w:ascii="Arial" w:hAnsi="Arial" w:cs="Arial"/>
                <w:sz w:val="20"/>
                <w:szCs w:val="20"/>
                <w:u w:val="double"/>
              </w:rPr>
              <w:t xml:space="preserve">$0 </w:t>
            </w:r>
          </w:p>
        </w:tc>
        <w:tc>
          <w:tcPr>
            <w:tcW w:w="1310"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u w:val="double"/>
              </w:rPr>
            </w:pPr>
            <w:r>
              <w:rPr>
                <w:rFonts w:ascii="Arial" w:hAnsi="Arial" w:cs="Arial"/>
                <w:sz w:val="20"/>
                <w:szCs w:val="20"/>
                <w:u w:val="double"/>
              </w:rPr>
              <w:t xml:space="preserve">$3,204,877 </w:t>
            </w:r>
          </w:p>
        </w:tc>
        <w:tc>
          <w:tcPr>
            <w:tcW w:w="1237" w:type="dxa"/>
            <w:tcBorders>
              <w:top w:val="nil"/>
              <w:left w:val="nil"/>
              <w:bottom w:val="nil"/>
              <w:right w:val="nil"/>
            </w:tcBorders>
            <w:shd w:val="clear" w:color="000000" w:fill="FFFFFF"/>
            <w:noWrap/>
            <w:vAlign w:val="bottom"/>
            <w:hideMark/>
          </w:tcPr>
          <w:p w:rsidR="003C18F7" w:rsidRPr="00493C7E" w:rsidRDefault="003C18F7" w:rsidP="001C2CEC">
            <w:pPr>
              <w:jc w:val="right"/>
              <w:rPr>
                <w:rFonts w:ascii="Arial" w:hAnsi="Arial" w:cs="Arial"/>
                <w:sz w:val="20"/>
                <w:szCs w:val="20"/>
                <w:u w:val="double"/>
              </w:rPr>
            </w:pPr>
            <w:r w:rsidRPr="00493C7E">
              <w:rPr>
                <w:rFonts w:ascii="Arial" w:hAnsi="Arial" w:cs="Arial"/>
                <w:sz w:val="20"/>
                <w:szCs w:val="20"/>
                <w:u w:val="double"/>
              </w:rPr>
              <w:t>($88,143)</w:t>
            </w:r>
          </w:p>
        </w:tc>
        <w:tc>
          <w:tcPr>
            <w:tcW w:w="1497" w:type="dxa"/>
            <w:tcBorders>
              <w:top w:val="nil"/>
              <w:left w:val="nil"/>
              <w:bottom w:val="nil"/>
              <w:right w:val="nil"/>
            </w:tcBorders>
            <w:shd w:val="clear" w:color="000000" w:fill="FFFFFF"/>
            <w:noWrap/>
            <w:vAlign w:val="bottom"/>
            <w:hideMark/>
          </w:tcPr>
          <w:p w:rsidR="003C18F7" w:rsidRPr="00493C7E" w:rsidRDefault="003C18F7" w:rsidP="001C2CEC">
            <w:pPr>
              <w:jc w:val="right"/>
              <w:rPr>
                <w:rFonts w:ascii="Arial" w:hAnsi="Arial" w:cs="Arial"/>
                <w:sz w:val="20"/>
                <w:szCs w:val="20"/>
                <w:u w:val="double"/>
              </w:rPr>
            </w:pPr>
            <w:r w:rsidRPr="00493C7E">
              <w:rPr>
                <w:rFonts w:ascii="Arial" w:hAnsi="Arial" w:cs="Arial"/>
                <w:sz w:val="20"/>
                <w:szCs w:val="20"/>
                <w:u w:val="double"/>
              </w:rPr>
              <w:t>$3,116,734</w:t>
            </w:r>
          </w:p>
        </w:tc>
        <w:tc>
          <w:tcPr>
            <w:tcW w:w="1045"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u w:val="double"/>
              </w:rPr>
            </w:pPr>
            <w:r>
              <w:rPr>
                <w:rFonts w:ascii="Arial" w:hAnsi="Arial" w:cs="Arial"/>
                <w:sz w:val="20"/>
                <w:szCs w:val="20"/>
                <w:u w:val="double"/>
              </w:rPr>
              <w:t>100.00%</w:t>
            </w:r>
          </w:p>
        </w:tc>
        <w:tc>
          <w:tcPr>
            <w:tcW w:w="1076" w:type="dxa"/>
            <w:tcBorders>
              <w:top w:val="nil"/>
              <w:left w:val="nil"/>
              <w:bottom w:val="nil"/>
              <w:right w:val="nil"/>
            </w:tcBorders>
            <w:shd w:val="clear" w:color="000000" w:fill="FFFFFF"/>
            <w:noWrap/>
            <w:vAlign w:val="bottom"/>
            <w:hideMark/>
          </w:tcPr>
          <w:p w:rsidR="003C18F7" w:rsidRPr="00701C42" w:rsidRDefault="003C18F7" w:rsidP="001C2CEC">
            <w:pPr>
              <w:rPr>
                <w:rFonts w:ascii="Arial" w:hAnsi="Arial" w:cs="Arial"/>
                <w:strike/>
                <w:sz w:val="20"/>
                <w:szCs w:val="20"/>
                <w:highlight w:val="cyan"/>
                <w:u w:val="double"/>
              </w:rPr>
            </w:pPr>
          </w:p>
        </w:tc>
        <w:tc>
          <w:tcPr>
            <w:tcW w:w="1116" w:type="dxa"/>
            <w:tcBorders>
              <w:top w:val="nil"/>
              <w:left w:val="nil"/>
              <w:bottom w:val="nil"/>
              <w:right w:val="nil"/>
            </w:tcBorders>
            <w:shd w:val="clear" w:color="000000" w:fill="FFFFFF"/>
            <w:noWrap/>
            <w:vAlign w:val="bottom"/>
            <w:hideMark/>
          </w:tcPr>
          <w:p w:rsidR="003C18F7" w:rsidRDefault="003C18F7" w:rsidP="001C2CEC">
            <w:pPr>
              <w:jc w:val="right"/>
              <w:rPr>
                <w:rFonts w:ascii="Arial" w:hAnsi="Arial" w:cs="Arial"/>
                <w:sz w:val="20"/>
                <w:szCs w:val="20"/>
                <w:u w:val="double"/>
              </w:rPr>
            </w:pPr>
            <w:r>
              <w:rPr>
                <w:rFonts w:ascii="Arial" w:hAnsi="Arial" w:cs="Arial"/>
                <w:sz w:val="20"/>
                <w:szCs w:val="20"/>
                <w:u w:val="double"/>
              </w:rPr>
              <w:t>7.14%</w:t>
            </w:r>
          </w:p>
        </w:tc>
        <w:tc>
          <w:tcPr>
            <w:tcW w:w="272" w:type="dxa"/>
            <w:tcBorders>
              <w:top w:val="nil"/>
              <w:left w:val="nil"/>
              <w:bottom w:val="nil"/>
              <w:right w:val="single" w:sz="4" w:space="0" w:color="auto"/>
            </w:tcBorders>
            <w:shd w:val="clear" w:color="000000" w:fill="FFFFFF"/>
            <w:noWrap/>
            <w:vAlign w:val="bottom"/>
            <w:hideMark/>
          </w:tcPr>
          <w:p w:rsidR="003C18F7" w:rsidRPr="00701C42" w:rsidRDefault="003C18F7" w:rsidP="001C2CEC">
            <w:pPr>
              <w:rPr>
                <w:rFonts w:ascii="Arial" w:hAnsi="Arial" w:cs="Arial"/>
                <w:strike/>
                <w:sz w:val="20"/>
                <w:szCs w:val="20"/>
                <w:highlight w:val="cyan"/>
                <w:u w:val="double"/>
              </w:rPr>
            </w:pPr>
          </w:p>
        </w:tc>
      </w:tr>
      <w:tr w:rsidR="003C18F7" w:rsidTr="001C2CEC">
        <w:trPr>
          <w:trHeight w:val="258"/>
          <w:jc w:val="center"/>
        </w:trPr>
        <w:tc>
          <w:tcPr>
            <w:tcW w:w="1234" w:type="dxa"/>
            <w:tcBorders>
              <w:top w:val="nil"/>
              <w:left w:val="single" w:sz="4" w:space="0" w:color="auto"/>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1964"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310"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983"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310"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237"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497"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045"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076"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116"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272" w:type="dxa"/>
            <w:tcBorders>
              <w:top w:val="nil"/>
              <w:left w:val="nil"/>
              <w:bottom w:val="nil"/>
              <w:right w:val="single" w:sz="4" w:space="0" w:color="auto"/>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r>
      <w:tr w:rsidR="003C18F7" w:rsidTr="001C2CEC">
        <w:trPr>
          <w:trHeight w:val="258"/>
          <w:jc w:val="center"/>
        </w:trPr>
        <w:tc>
          <w:tcPr>
            <w:tcW w:w="1234" w:type="dxa"/>
            <w:tcBorders>
              <w:top w:val="nil"/>
              <w:left w:val="single" w:sz="4" w:space="0" w:color="auto"/>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1964"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310"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983"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310"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237"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b/>
                <w:bCs/>
                <w:sz w:val="20"/>
                <w:szCs w:val="20"/>
              </w:rPr>
            </w:pPr>
            <w:r>
              <w:rPr>
                <w:rFonts w:ascii="Arial" w:hAnsi="Arial" w:cs="Arial"/>
                <w:b/>
                <w:bCs/>
                <w:sz w:val="20"/>
                <w:szCs w:val="20"/>
              </w:rPr>
              <w:t> </w:t>
            </w:r>
          </w:p>
        </w:tc>
        <w:tc>
          <w:tcPr>
            <w:tcW w:w="1497"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b/>
                <w:bCs/>
                <w:sz w:val="20"/>
                <w:szCs w:val="20"/>
              </w:rPr>
            </w:pPr>
            <w:r>
              <w:rPr>
                <w:rFonts w:ascii="Arial" w:hAnsi="Arial" w:cs="Arial"/>
                <w:b/>
                <w:bCs/>
                <w:sz w:val="20"/>
                <w:szCs w:val="20"/>
              </w:rPr>
              <w:t> </w:t>
            </w:r>
          </w:p>
        </w:tc>
        <w:tc>
          <w:tcPr>
            <w:tcW w:w="1045" w:type="dxa"/>
            <w:tcBorders>
              <w:top w:val="nil"/>
              <w:left w:val="nil"/>
              <w:bottom w:val="nil"/>
              <w:right w:val="nil"/>
            </w:tcBorders>
            <w:shd w:val="clear" w:color="000000" w:fill="FFFFFF"/>
            <w:noWrap/>
            <w:vAlign w:val="bottom"/>
            <w:hideMark/>
          </w:tcPr>
          <w:p w:rsidR="003C18F7" w:rsidRDefault="003C18F7" w:rsidP="001C2CEC">
            <w:pPr>
              <w:jc w:val="center"/>
              <w:rPr>
                <w:rFonts w:ascii="Arial" w:hAnsi="Arial" w:cs="Arial"/>
                <w:b/>
                <w:bCs/>
                <w:sz w:val="20"/>
                <w:szCs w:val="20"/>
                <w:u w:val="single"/>
              </w:rPr>
            </w:pPr>
            <w:r>
              <w:rPr>
                <w:rFonts w:ascii="Arial" w:hAnsi="Arial" w:cs="Arial"/>
                <w:b/>
                <w:bCs/>
                <w:sz w:val="20"/>
                <w:szCs w:val="20"/>
                <w:u w:val="single"/>
              </w:rPr>
              <w:t>LOW</w:t>
            </w:r>
          </w:p>
        </w:tc>
        <w:tc>
          <w:tcPr>
            <w:tcW w:w="1076" w:type="dxa"/>
            <w:tcBorders>
              <w:top w:val="nil"/>
              <w:left w:val="nil"/>
              <w:bottom w:val="nil"/>
              <w:right w:val="nil"/>
            </w:tcBorders>
            <w:shd w:val="clear" w:color="000000" w:fill="FFFFFF"/>
            <w:noWrap/>
            <w:vAlign w:val="bottom"/>
            <w:hideMark/>
          </w:tcPr>
          <w:p w:rsidR="003C18F7" w:rsidRDefault="003C18F7" w:rsidP="001C2CEC">
            <w:pPr>
              <w:jc w:val="center"/>
              <w:rPr>
                <w:rFonts w:ascii="Arial" w:hAnsi="Arial" w:cs="Arial"/>
                <w:b/>
                <w:bCs/>
                <w:sz w:val="20"/>
                <w:szCs w:val="20"/>
                <w:u w:val="single"/>
              </w:rPr>
            </w:pPr>
            <w:r>
              <w:rPr>
                <w:rFonts w:ascii="Arial" w:hAnsi="Arial" w:cs="Arial"/>
                <w:b/>
                <w:bCs/>
                <w:sz w:val="20"/>
                <w:szCs w:val="20"/>
                <w:u w:val="single"/>
              </w:rPr>
              <w:t>HIGH</w:t>
            </w:r>
          </w:p>
        </w:tc>
        <w:tc>
          <w:tcPr>
            <w:tcW w:w="1116"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272" w:type="dxa"/>
            <w:tcBorders>
              <w:top w:val="nil"/>
              <w:left w:val="nil"/>
              <w:bottom w:val="nil"/>
              <w:right w:val="single" w:sz="4" w:space="0" w:color="auto"/>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r>
      <w:tr w:rsidR="003C18F7" w:rsidTr="001C2CEC">
        <w:trPr>
          <w:trHeight w:val="258"/>
          <w:jc w:val="center"/>
        </w:trPr>
        <w:tc>
          <w:tcPr>
            <w:tcW w:w="1234" w:type="dxa"/>
            <w:tcBorders>
              <w:top w:val="nil"/>
              <w:left w:val="single" w:sz="4" w:space="0" w:color="auto"/>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1964"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310"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983"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310"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2734" w:type="dxa"/>
            <w:gridSpan w:val="2"/>
            <w:tcBorders>
              <w:top w:val="nil"/>
              <w:left w:val="nil"/>
              <w:bottom w:val="nil"/>
              <w:right w:val="nil"/>
            </w:tcBorders>
            <w:shd w:val="clear" w:color="000000" w:fill="FFFFFF"/>
            <w:noWrap/>
            <w:vAlign w:val="bottom"/>
            <w:hideMark/>
          </w:tcPr>
          <w:p w:rsidR="003C18F7" w:rsidRPr="003661C5" w:rsidRDefault="003C18F7" w:rsidP="001C2CEC">
            <w:pPr>
              <w:jc w:val="right"/>
              <w:rPr>
                <w:rFonts w:ascii="Courier New" w:hAnsi="Courier New" w:cs="Courier New"/>
                <w:color w:val="000000"/>
                <w:sz w:val="20"/>
                <w:szCs w:val="20"/>
              </w:rPr>
            </w:pPr>
            <w:r>
              <w:rPr>
                <w:rFonts w:ascii="Arial" w:hAnsi="Arial" w:cs="Arial"/>
                <w:sz w:val="20"/>
                <w:szCs w:val="20"/>
              </w:rPr>
              <w:t>RETURN ON EQUITY</w:t>
            </w:r>
          </w:p>
        </w:tc>
        <w:tc>
          <w:tcPr>
            <w:tcW w:w="1045" w:type="dxa"/>
            <w:tcBorders>
              <w:top w:val="nil"/>
              <w:left w:val="nil"/>
              <w:bottom w:val="nil"/>
              <w:right w:val="nil"/>
            </w:tcBorders>
            <w:shd w:val="clear" w:color="000000" w:fill="FFFFFF"/>
            <w:noWrap/>
            <w:vAlign w:val="bottom"/>
            <w:hideMark/>
          </w:tcPr>
          <w:p w:rsidR="003C18F7" w:rsidRDefault="003C18F7" w:rsidP="001C2CEC">
            <w:pPr>
              <w:jc w:val="center"/>
              <w:rPr>
                <w:rFonts w:ascii="Arial" w:hAnsi="Arial" w:cs="Arial"/>
                <w:sz w:val="20"/>
                <w:szCs w:val="20"/>
                <w:u w:val="double"/>
              </w:rPr>
            </w:pPr>
            <w:r>
              <w:rPr>
                <w:rFonts w:ascii="Arial" w:hAnsi="Arial" w:cs="Arial"/>
                <w:sz w:val="20"/>
                <w:szCs w:val="20"/>
                <w:u w:val="double"/>
              </w:rPr>
              <w:t>8.17%</w:t>
            </w:r>
          </w:p>
        </w:tc>
        <w:tc>
          <w:tcPr>
            <w:tcW w:w="1076" w:type="dxa"/>
            <w:tcBorders>
              <w:top w:val="nil"/>
              <w:left w:val="nil"/>
              <w:bottom w:val="nil"/>
              <w:right w:val="nil"/>
            </w:tcBorders>
            <w:shd w:val="clear" w:color="000000" w:fill="FFFFFF"/>
            <w:noWrap/>
            <w:vAlign w:val="bottom"/>
            <w:hideMark/>
          </w:tcPr>
          <w:p w:rsidR="003C18F7" w:rsidRPr="00D22B36" w:rsidRDefault="003C18F7" w:rsidP="001C2CEC">
            <w:pPr>
              <w:jc w:val="center"/>
              <w:rPr>
                <w:rFonts w:ascii="Arial" w:hAnsi="Arial" w:cs="Arial"/>
                <w:sz w:val="20"/>
                <w:szCs w:val="20"/>
                <w:u w:val="double"/>
              </w:rPr>
            </w:pPr>
            <w:r>
              <w:rPr>
                <w:rFonts w:ascii="Arial" w:hAnsi="Arial" w:cs="Arial"/>
                <w:sz w:val="20"/>
                <w:szCs w:val="20"/>
                <w:u w:val="double"/>
              </w:rPr>
              <w:t>10.17%</w:t>
            </w:r>
            <w:r w:rsidRPr="00D22B36">
              <w:rPr>
                <w:rFonts w:ascii="Arial" w:hAnsi="Arial" w:cs="Arial"/>
                <w:sz w:val="20"/>
                <w:szCs w:val="20"/>
                <w:u w:val="double"/>
              </w:rPr>
              <w:t xml:space="preserve">    </w:t>
            </w:r>
          </w:p>
        </w:tc>
        <w:tc>
          <w:tcPr>
            <w:tcW w:w="1116"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272" w:type="dxa"/>
            <w:tcBorders>
              <w:top w:val="nil"/>
              <w:left w:val="nil"/>
              <w:bottom w:val="nil"/>
              <w:right w:val="single" w:sz="4" w:space="0" w:color="auto"/>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r>
      <w:tr w:rsidR="003C18F7" w:rsidTr="001C2CEC">
        <w:trPr>
          <w:trHeight w:val="258"/>
          <w:jc w:val="center"/>
        </w:trPr>
        <w:tc>
          <w:tcPr>
            <w:tcW w:w="1234" w:type="dxa"/>
            <w:tcBorders>
              <w:top w:val="nil"/>
              <w:left w:val="single" w:sz="4" w:space="0" w:color="auto"/>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1964"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1310"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color w:val="000000"/>
                <w:sz w:val="20"/>
                <w:szCs w:val="20"/>
              </w:rPr>
            </w:pPr>
            <w:r>
              <w:rPr>
                <w:rFonts w:ascii="Arial" w:hAnsi="Arial" w:cs="Arial"/>
                <w:color w:val="000000"/>
                <w:sz w:val="20"/>
                <w:szCs w:val="20"/>
              </w:rPr>
              <w:t> </w:t>
            </w:r>
          </w:p>
        </w:tc>
        <w:tc>
          <w:tcPr>
            <w:tcW w:w="983"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4044" w:type="dxa"/>
            <w:gridSpan w:val="3"/>
            <w:tcBorders>
              <w:top w:val="nil"/>
              <w:left w:val="nil"/>
              <w:bottom w:val="nil"/>
              <w:right w:val="nil"/>
            </w:tcBorders>
            <w:shd w:val="clear" w:color="000000" w:fill="FFFFFF"/>
            <w:noWrap/>
            <w:vAlign w:val="bottom"/>
            <w:hideMark/>
          </w:tcPr>
          <w:p w:rsidR="003C18F7" w:rsidRPr="003661C5" w:rsidRDefault="003C18F7" w:rsidP="001C2CEC">
            <w:pPr>
              <w:jc w:val="right"/>
              <w:rPr>
                <w:rFonts w:ascii="Arial" w:hAnsi="Arial" w:cs="Arial"/>
                <w:sz w:val="20"/>
                <w:szCs w:val="20"/>
              </w:rPr>
            </w:pPr>
            <w:r>
              <w:rPr>
                <w:rFonts w:ascii="Arial" w:hAnsi="Arial" w:cs="Arial"/>
                <w:sz w:val="20"/>
                <w:szCs w:val="20"/>
              </w:rPr>
              <w:t>OVERALL RATE OF RETURN</w:t>
            </w:r>
          </w:p>
        </w:tc>
        <w:tc>
          <w:tcPr>
            <w:tcW w:w="1045" w:type="dxa"/>
            <w:tcBorders>
              <w:top w:val="nil"/>
              <w:left w:val="nil"/>
              <w:bottom w:val="nil"/>
              <w:right w:val="nil"/>
            </w:tcBorders>
            <w:shd w:val="clear" w:color="000000" w:fill="FFFFFF"/>
            <w:noWrap/>
            <w:vAlign w:val="bottom"/>
            <w:hideMark/>
          </w:tcPr>
          <w:p w:rsidR="003C18F7" w:rsidRDefault="003C18F7" w:rsidP="001C2CEC">
            <w:pPr>
              <w:jc w:val="center"/>
              <w:rPr>
                <w:rFonts w:ascii="Arial" w:hAnsi="Arial" w:cs="Arial"/>
                <w:sz w:val="20"/>
                <w:szCs w:val="20"/>
                <w:u w:val="double"/>
              </w:rPr>
            </w:pPr>
            <w:r>
              <w:rPr>
                <w:rFonts w:ascii="Arial" w:hAnsi="Arial" w:cs="Arial"/>
                <w:sz w:val="20"/>
                <w:szCs w:val="20"/>
                <w:u w:val="double"/>
              </w:rPr>
              <w:t>6.65%</w:t>
            </w:r>
          </w:p>
        </w:tc>
        <w:tc>
          <w:tcPr>
            <w:tcW w:w="1076" w:type="dxa"/>
            <w:tcBorders>
              <w:top w:val="nil"/>
              <w:left w:val="nil"/>
              <w:bottom w:val="nil"/>
              <w:right w:val="nil"/>
            </w:tcBorders>
            <w:shd w:val="clear" w:color="000000" w:fill="FFFFFF"/>
            <w:noWrap/>
            <w:vAlign w:val="bottom"/>
            <w:hideMark/>
          </w:tcPr>
          <w:p w:rsidR="003C18F7" w:rsidRDefault="003C18F7" w:rsidP="001C2CEC">
            <w:pPr>
              <w:jc w:val="center"/>
              <w:rPr>
                <w:rFonts w:ascii="Arial" w:hAnsi="Arial" w:cs="Arial"/>
                <w:sz w:val="20"/>
                <w:szCs w:val="20"/>
                <w:u w:val="double"/>
              </w:rPr>
            </w:pPr>
            <w:r>
              <w:rPr>
                <w:rFonts w:ascii="Arial" w:hAnsi="Arial" w:cs="Arial"/>
                <w:sz w:val="20"/>
                <w:szCs w:val="20"/>
                <w:u w:val="double"/>
              </w:rPr>
              <w:t>7.64%</w:t>
            </w:r>
          </w:p>
        </w:tc>
        <w:tc>
          <w:tcPr>
            <w:tcW w:w="1116" w:type="dxa"/>
            <w:tcBorders>
              <w:top w:val="nil"/>
              <w:left w:val="nil"/>
              <w:bottom w:val="nil"/>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272" w:type="dxa"/>
            <w:tcBorders>
              <w:top w:val="nil"/>
              <w:left w:val="nil"/>
              <w:bottom w:val="nil"/>
              <w:right w:val="single" w:sz="4" w:space="0" w:color="auto"/>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r>
      <w:tr w:rsidR="003C18F7" w:rsidTr="001C2CEC">
        <w:trPr>
          <w:trHeight w:val="258"/>
          <w:jc w:val="center"/>
        </w:trPr>
        <w:tc>
          <w:tcPr>
            <w:tcW w:w="1234" w:type="dxa"/>
            <w:tcBorders>
              <w:top w:val="nil"/>
              <w:left w:val="single" w:sz="4" w:space="0" w:color="auto"/>
              <w:bottom w:val="single" w:sz="4" w:space="0" w:color="auto"/>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1964" w:type="dxa"/>
            <w:tcBorders>
              <w:top w:val="nil"/>
              <w:left w:val="nil"/>
              <w:bottom w:val="single" w:sz="4" w:space="0" w:color="auto"/>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1310" w:type="dxa"/>
            <w:tcBorders>
              <w:top w:val="nil"/>
              <w:left w:val="nil"/>
              <w:bottom w:val="single" w:sz="4" w:space="0" w:color="auto"/>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983" w:type="dxa"/>
            <w:tcBorders>
              <w:top w:val="nil"/>
              <w:left w:val="nil"/>
              <w:bottom w:val="single" w:sz="4" w:space="0" w:color="auto"/>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1310" w:type="dxa"/>
            <w:tcBorders>
              <w:top w:val="nil"/>
              <w:left w:val="nil"/>
              <w:bottom w:val="single" w:sz="4" w:space="0" w:color="auto"/>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1237" w:type="dxa"/>
            <w:tcBorders>
              <w:top w:val="nil"/>
              <w:left w:val="nil"/>
              <w:bottom w:val="single" w:sz="4" w:space="0" w:color="auto"/>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1497" w:type="dxa"/>
            <w:tcBorders>
              <w:top w:val="nil"/>
              <w:left w:val="nil"/>
              <w:bottom w:val="single" w:sz="4" w:space="0" w:color="auto"/>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1045" w:type="dxa"/>
            <w:tcBorders>
              <w:top w:val="nil"/>
              <w:left w:val="nil"/>
              <w:bottom w:val="single" w:sz="4" w:space="0" w:color="auto"/>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1076" w:type="dxa"/>
            <w:tcBorders>
              <w:top w:val="nil"/>
              <w:left w:val="nil"/>
              <w:bottom w:val="single" w:sz="4" w:space="0" w:color="auto"/>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1116" w:type="dxa"/>
            <w:tcBorders>
              <w:top w:val="nil"/>
              <w:left w:val="nil"/>
              <w:bottom w:val="single" w:sz="4" w:space="0" w:color="auto"/>
              <w:right w:val="nil"/>
            </w:tcBorders>
            <w:shd w:val="clear" w:color="000000" w:fill="FFFFFF"/>
            <w:noWrap/>
            <w:vAlign w:val="bottom"/>
            <w:hideMark/>
          </w:tcPr>
          <w:p w:rsidR="003C18F7" w:rsidRDefault="003C18F7" w:rsidP="001C2CEC">
            <w:pPr>
              <w:rPr>
                <w:rFonts w:ascii="Arial" w:hAnsi="Arial" w:cs="Arial"/>
                <w:sz w:val="20"/>
                <w:szCs w:val="20"/>
              </w:rPr>
            </w:pPr>
            <w:r>
              <w:rPr>
                <w:rFonts w:ascii="Arial" w:hAnsi="Arial" w:cs="Arial"/>
                <w:sz w:val="20"/>
                <w:szCs w:val="20"/>
              </w:rPr>
              <w:t> </w:t>
            </w:r>
          </w:p>
        </w:tc>
        <w:tc>
          <w:tcPr>
            <w:tcW w:w="272" w:type="dxa"/>
            <w:tcBorders>
              <w:top w:val="nil"/>
              <w:left w:val="nil"/>
              <w:bottom w:val="single" w:sz="4" w:space="0" w:color="auto"/>
              <w:right w:val="single" w:sz="4" w:space="0" w:color="auto"/>
            </w:tcBorders>
            <w:shd w:val="clear" w:color="000000" w:fill="FFFFFF"/>
            <w:noWrap/>
            <w:vAlign w:val="bottom"/>
          </w:tcPr>
          <w:p w:rsidR="003C18F7" w:rsidRDefault="003C18F7" w:rsidP="001C2CEC">
            <w:pPr>
              <w:rPr>
                <w:rFonts w:ascii="Arial" w:hAnsi="Arial" w:cs="Arial"/>
                <w:sz w:val="20"/>
                <w:szCs w:val="20"/>
              </w:rPr>
            </w:pPr>
          </w:p>
        </w:tc>
      </w:tr>
    </w:tbl>
    <w:p w:rsidR="00087D35" w:rsidRDefault="00087D35" w:rsidP="003C18F7">
      <w:pPr>
        <w:pStyle w:val="BodyText"/>
        <w:rPr>
          <w:noProof/>
        </w:rPr>
      </w:pPr>
    </w:p>
    <w:p w:rsidR="003C18F7" w:rsidRDefault="003C18F7" w:rsidP="0006580B">
      <w:pPr>
        <w:pStyle w:val="BodyText"/>
        <w:jc w:val="center"/>
        <w:rPr>
          <w:noProof/>
        </w:rPr>
      </w:pPr>
    </w:p>
    <w:p w:rsidR="0006580B" w:rsidRDefault="0006580B" w:rsidP="00E275D8">
      <w:pPr>
        <w:pStyle w:val="BodyText"/>
      </w:pPr>
    </w:p>
    <w:p w:rsidR="0006580B" w:rsidRDefault="0006580B" w:rsidP="00E275D8">
      <w:pPr>
        <w:pStyle w:val="BodyText"/>
        <w:sectPr w:rsidR="0006580B" w:rsidSect="00AE2B27">
          <w:headerReference w:type="default" r:id="rId21"/>
          <w:footerReference w:type="default" r:id="rId22"/>
          <w:pgSz w:w="15840" w:h="12240" w:orient="landscape" w:code="1"/>
          <w:pgMar w:top="1440" w:right="1584" w:bottom="1440" w:left="1440" w:header="720" w:footer="720" w:gutter="0"/>
          <w:cols w:space="720"/>
          <w:formProt w:val="0"/>
          <w:docGrid w:linePitch="360"/>
        </w:sectPr>
      </w:pPr>
    </w:p>
    <w:p w:rsidR="00D96E37" w:rsidRPr="00025376" w:rsidRDefault="00D96E37" w:rsidP="00D96E37">
      <w:pPr>
        <w:pStyle w:val="BodyText"/>
      </w:pPr>
      <w:r w:rsidRPr="00025376">
        <w:lastRenderedPageBreak/>
        <w:fldChar w:fldCharType="begin"/>
      </w:r>
      <w:r w:rsidRPr="00025376">
        <w:instrText xml:space="preserve"> TC "</w:instrText>
      </w:r>
      <w:bookmarkStart w:id="49" w:name="_Toc35842865"/>
      <w:bookmarkStart w:id="50" w:name="_Toc37682493"/>
      <w:bookmarkStart w:id="51" w:name="_Toc38467956"/>
      <w:r w:rsidRPr="00025376">
        <w:instrText>Schedule No. 3-A – Statement of Water Operations</w:instrText>
      </w:r>
      <w:bookmarkEnd w:id="49"/>
      <w:bookmarkEnd w:id="50"/>
      <w:bookmarkEnd w:id="51"/>
      <w:r w:rsidRPr="00025376">
        <w:instrText xml:space="preserve">" \l 1 </w:instrText>
      </w:r>
      <w:r w:rsidRPr="00025376">
        <w:fldChar w:fldCharType="end"/>
      </w:r>
    </w:p>
    <w:tbl>
      <w:tblPr>
        <w:tblW w:w="12772" w:type="dxa"/>
        <w:tblInd w:w="113" w:type="dxa"/>
        <w:tblLook w:val="04A0" w:firstRow="1" w:lastRow="0" w:firstColumn="1" w:lastColumn="0" w:noHBand="0" w:noVBand="1"/>
      </w:tblPr>
      <w:tblGrid>
        <w:gridCol w:w="453"/>
        <w:gridCol w:w="2937"/>
        <w:gridCol w:w="1259"/>
        <w:gridCol w:w="1259"/>
        <w:gridCol w:w="1259"/>
        <w:gridCol w:w="1259"/>
        <w:gridCol w:w="1259"/>
        <w:gridCol w:w="1052"/>
        <w:gridCol w:w="1544"/>
        <w:gridCol w:w="491"/>
      </w:tblGrid>
      <w:tr w:rsidR="00D96E37" w:rsidRPr="00025376" w:rsidTr="001C2CEC">
        <w:trPr>
          <w:trHeight w:val="291"/>
        </w:trPr>
        <w:tc>
          <w:tcPr>
            <w:tcW w:w="453" w:type="dxa"/>
            <w:tcBorders>
              <w:top w:val="single" w:sz="4" w:space="0" w:color="auto"/>
              <w:left w:val="single" w:sz="4" w:space="0" w:color="auto"/>
              <w:bottom w:val="nil"/>
              <w:right w:val="nil"/>
            </w:tcBorders>
            <w:shd w:val="clear" w:color="000000" w:fill="FFFFFF"/>
            <w:noWrap/>
            <w:vAlign w:val="bottom"/>
            <w:hideMark/>
          </w:tcPr>
          <w:p w:rsidR="00D96E37" w:rsidRPr="00025376" w:rsidRDefault="00D96E37" w:rsidP="001C2CEC">
            <w:pPr>
              <w:rPr>
                <w:color w:val="000000"/>
                <w:sz w:val="20"/>
                <w:szCs w:val="20"/>
              </w:rPr>
            </w:pPr>
            <w:bookmarkStart w:id="52" w:name="RANGE!A5:I32"/>
            <w:r w:rsidRPr="00025376">
              <w:rPr>
                <w:color w:val="000000"/>
                <w:sz w:val="20"/>
                <w:szCs w:val="20"/>
              </w:rPr>
              <w:t> </w:t>
            </w:r>
            <w:bookmarkEnd w:id="52"/>
          </w:p>
        </w:tc>
        <w:tc>
          <w:tcPr>
            <w:tcW w:w="2937" w:type="dxa"/>
            <w:tcBorders>
              <w:top w:val="single" w:sz="4" w:space="0" w:color="auto"/>
              <w:left w:val="nil"/>
              <w:bottom w:val="nil"/>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HC Waterworks</w:t>
            </w:r>
          </w:p>
        </w:tc>
        <w:tc>
          <w:tcPr>
            <w:tcW w:w="1259" w:type="dxa"/>
            <w:tcBorders>
              <w:top w:val="single" w:sz="4" w:space="0" w:color="auto"/>
              <w:left w:val="nil"/>
              <w:bottom w:val="nil"/>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1259" w:type="dxa"/>
            <w:tcBorders>
              <w:top w:val="single" w:sz="4" w:space="0" w:color="auto"/>
              <w:left w:val="nil"/>
              <w:bottom w:val="nil"/>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1259" w:type="dxa"/>
            <w:tcBorders>
              <w:top w:val="single" w:sz="4" w:space="0" w:color="auto"/>
              <w:left w:val="nil"/>
              <w:bottom w:val="nil"/>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1259" w:type="dxa"/>
            <w:tcBorders>
              <w:top w:val="single" w:sz="4" w:space="0" w:color="auto"/>
              <w:left w:val="nil"/>
              <w:bottom w:val="nil"/>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1259" w:type="dxa"/>
            <w:tcBorders>
              <w:top w:val="single" w:sz="4" w:space="0" w:color="auto"/>
              <w:left w:val="nil"/>
              <w:bottom w:val="nil"/>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3087" w:type="dxa"/>
            <w:gridSpan w:val="3"/>
            <w:tcBorders>
              <w:top w:val="single" w:sz="4" w:space="0" w:color="auto"/>
              <w:left w:val="nil"/>
              <w:bottom w:val="nil"/>
              <w:right w:val="single" w:sz="4" w:space="0" w:color="000000"/>
            </w:tcBorders>
            <w:shd w:val="clear" w:color="000000" w:fill="FFFFFF"/>
            <w:noWrap/>
            <w:vAlign w:val="bottom"/>
            <w:hideMark/>
          </w:tcPr>
          <w:p w:rsidR="00D96E37" w:rsidRPr="00025376" w:rsidRDefault="00D96E37" w:rsidP="001C2CEC">
            <w:pPr>
              <w:jc w:val="right"/>
              <w:rPr>
                <w:b/>
                <w:bCs/>
                <w:sz w:val="20"/>
                <w:szCs w:val="20"/>
              </w:rPr>
            </w:pPr>
            <w:r w:rsidRPr="00025376">
              <w:rPr>
                <w:b/>
                <w:bCs/>
                <w:sz w:val="20"/>
                <w:szCs w:val="20"/>
              </w:rPr>
              <w:t>Schedule No. 3-A</w:t>
            </w:r>
          </w:p>
        </w:tc>
      </w:tr>
      <w:tr w:rsidR="00D96E37"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D96E37" w:rsidRPr="00025376" w:rsidRDefault="00D96E37" w:rsidP="001C2CEC">
            <w:pPr>
              <w:rPr>
                <w:color w:val="000000"/>
                <w:sz w:val="20"/>
                <w:szCs w:val="20"/>
              </w:rPr>
            </w:pPr>
            <w:r w:rsidRPr="00025376">
              <w:rPr>
                <w:color w:val="000000"/>
                <w:sz w:val="20"/>
                <w:szCs w:val="20"/>
              </w:rPr>
              <w:t> </w:t>
            </w:r>
          </w:p>
        </w:tc>
        <w:tc>
          <w:tcPr>
            <w:tcW w:w="2937" w:type="dxa"/>
            <w:tcBorders>
              <w:top w:val="nil"/>
              <w:left w:val="nil"/>
              <w:bottom w:val="nil"/>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Statement of Water Operations</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3087" w:type="dxa"/>
            <w:gridSpan w:val="3"/>
            <w:tcBorders>
              <w:top w:val="nil"/>
              <w:left w:val="nil"/>
              <w:bottom w:val="nil"/>
              <w:right w:val="single" w:sz="4" w:space="0" w:color="000000"/>
            </w:tcBorders>
            <w:shd w:val="clear" w:color="000000" w:fill="FFFFFF"/>
            <w:noWrap/>
            <w:vAlign w:val="bottom"/>
            <w:hideMark/>
          </w:tcPr>
          <w:p w:rsidR="00D96E37" w:rsidRPr="00025376" w:rsidRDefault="00D96E37" w:rsidP="001C2CEC">
            <w:pPr>
              <w:jc w:val="right"/>
              <w:rPr>
                <w:b/>
                <w:bCs/>
                <w:sz w:val="20"/>
                <w:szCs w:val="20"/>
              </w:rPr>
            </w:pPr>
            <w:r w:rsidRPr="00025376">
              <w:rPr>
                <w:b/>
                <w:bCs/>
                <w:sz w:val="20"/>
                <w:szCs w:val="20"/>
              </w:rPr>
              <w:t>Docket No. 20190166-WS</w:t>
            </w:r>
          </w:p>
        </w:tc>
      </w:tr>
      <w:tr w:rsidR="00D96E37" w:rsidRPr="00025376" w:rsidTr="001C2CEC">
        <w:trPr>
          <w:trHeight w:val="291"/>
        </w:trPr>
        <w:tc>
          <w:tcPr>
            <w:tcW w:w="453" w:type="dxa"/>
            <w:tcBorders>
              <w:top w:val="nil"/>
              <w:left w:val="single" w:sz="4" w:space="0" w:color="auto"/>
              <w:bottom w:val="single" w:sz="4" w:space="0" w:color="auto"/>
              <w:right w:val="nil"/>
            </w:tcBorders>
            <w:shd w:val="clear" w:color="000000" w:fill="FFFFFF"/>
            <w:noWrap/>
            <w:vAlign w:val="bottom"/>
            <w:hideMark/>
          </w:tcPr>
          <w:p w:rsidR="00D96E37" w:rsidRPr="00025376" w:rsidRDefault="00D96E37" w:rsidP="001C2CEC">
            <w:pPr>
              <w:rPr>
                <w:color w:val="000000"/>
                <w:sz w:val="20"/>
                <w:szCs w:val="20"/>
              </w:rPr>
            </w:pPr>
            <w:r w:rsidRPr="00025376">
              <w:rPr>
                <w:color w:val="000000"/>
                <w:sz w:val="20"/>
                <w:szCs w:val="20"/>
              </w:rPr>
              <w:t> </w:t>
            </w:r>
          </w:p>
        </w:tc>
        <w:tc>
          <w:tcPr>
            <w:tcW w:w="2937" w:type="dxa"/>
            <w:tcBorders>
              <w:top w:val="nil"/>
              <w:left w:val="nil"/>
              <w:bottom w:val="single" w:sz="4" w:space="0" w:color="auto"/>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Test Year Ended 06/30/19</w:t>
            </w:r>
          </w:p>
        </w:tc>
        <w:tc>
          <w:tcPr>
            <w:tcW w:w="1259" w:type="dxa"/>
            <w:tcBorders>
              <w:top w:val="nil"/>
              <w:left w:val="nil"/>
              <w:bottom w:val="single" w:sz="4" w:space="0" w:color="auto"/>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1259" w:type="dxa"/>
            <w:tcBorders>
              <w:top w:val="nil"/>
              <w:left w:val="nil"/>
              <w:bottom w:val="single" w:sz="4" w:space="0" w:color="auto"/>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1259" w:type="dxa"/>
            <w:tcBorders>
              <w:top w:val="nil"/>
              <w:left w:val="nil"/>
              <w:bottom w:val="single" w:sz="4" w:space="0" w:color="auto"/>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1259" w:type="dxa"/>
            <w:tcBorders>
              <w:top w:val="nil"/>
              <w:left w:val="nil"/>
              <w:bottom w:val="single" w:sz="4" w:space="0" w:color="auto"/>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1259" w:type="dxa"/>
            <w:tcBorders>
              <w:top w:val="nil"/>
              <w:left w:val="nil"/>
              <w:bottom w:val="single" w:sz="4" w:space="0" w:color="auto"/>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1052" w:type="dxa"/>
            <w:tcBorders>
              <w:top w:val="nil"/>
              <w:left w:val="nil"/>
              <w:bottom w:val="single" w:sz="4" w:space="0" w:color="auto"/>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1544" w:type="dxa"/>
            <w:tcBorders>
              <w:top w:val="nil"/>
              <w:left w:val="nil"/>
              <w:bottom w:val="single" w:sz="4" w:space="0" w:color="auto"/>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491" w:type="dxa"/>
            <w:tcBorders>
              <w:top w:val="nil"/>
              <w:left w:val="nil"/>
              <w:bottom w:val="single" w:sz="4" w:space="0" w:color="auto"/>
              <w:right w:val="single" w:sz="4" w:space="0" w:color="auto"/>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r>
      <w:tr w:rsidR="00D96E37"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2937" w:type="dxa"/>
            <w:tcBorders>
              <w:top w:val="nil"/>
              <w:left w:val="nil"/>
              <w:bottom w:val="nil"/>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center"/>
              <w:rPr>
                <w:b/>
                <w:bCs/>
                <w:sz w:val="20"/>
                <w:szCs w:val="20"/>
              </w:rPr>
            </w:pPr>
            <w:r w:rsidRPr="00025376">
              <w:rPr>
                <w:b/>
                <w:bCs/>
                <w:sz w:val="20"/>
                <w:szCs w:val="20"/>
              </w:rPr>
              <w:t>Test Year</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center"/>
              <w:rPr>
                <w:b/>
                <w:bCs/>
                <w:sz w:val="20"/>
                <w:szCs w:val="20"/>
              </w:rPr>
            </w:pPr>
            <w:r w:rsidRPr="00025376">
              <w:rPr>
                <w:b/>
                <w:bCs/>
                <w:sz w:val="20"/>
                <w:szCs w:val="20"/>
              </w:rPr>
              <w:t>Utility</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center"/>
              <w:rPr>
                <w:b/>
                <w:bCs/>
                <w:sz w:val="20"/>
                <w:szCs w:val="20"/>
              </w:rPr>
            </w:pPr>
            <w:r w:rsidRPr="00025376">
              <w:rPr>
                <w:b/>
                <w:bCs/>
                <w:sz w:val="20"/>
                <w:szCs w:val="20"/>
              </w:rPr>
              <w:t>Adjusted</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center"/>
              <w:rPr>
                <w:b/>
                <w:bCs/>
                <w:sz w:val="20"/>
                <w:szCs w:val="20"/>
              </w:rPr>
            </w:pPr>
            <w:r w:rsidRPr="00025376">
              <w:rPr>
                <w:b/>
                <w:bCs/>
                <w:sz w:val="20"/>
                <w:szCs w:val="20"/>
              </w:rPr>
              <w:t>Staff</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center"/>
              <w:rPr>
                <w:b/>
                <w:bCs/>
                <w:sz w:val="20"/>
                <w:szCs w:val="20"/>
              </w:rPr>
            </w:pPr>
            <w:r w:rsidRPr="00025376">
              <w:rPr>
                <w:b/>
                <w:bCs/>
                <w:sz w:val="20"/>
                <w:szCs w:val="20"/>
              </w:rPr>
              <w:t>Staff</w:t>
            </w:r>
          </w:p>
        </w:tc>
        <w:tc>
          <w:tcPr>
            <w:tcW w:w="1052" w:type="dxa"/>
            <w:tcBorders>
              <w:top w:val="nil"/>
              <w:left w:val="nil"/>
              <w:bottom w:val="nil"/>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1544" w:type="dxa"/>
            <w:tcBorders>
              <w:top w:val="nil"/>
              <w:left w:val="nil"/>
              <w:bottom w:val="nil"/>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491" w:type="dxa"/>
            <w:tcBorders>
              <w:top w:val="nil"/>
              <w:left w:val="nil"/>
              <w:bottom w:val="nil"/>
              <w:right w:val="single" w:sz="4" w:space="0" w:color="auto"/>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r>
      <w:tr w:rsidR="00D96E37"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2937" w:type="dxa"/>
            <w:tcBorders>
              <w:top w:val="nil"/>
              <w:left w:val="nil"/>
              <w:bottom w:val="nil"/>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center"/>
              <w:rPr>
                <w:b/>
                <w:bCs/>
                <w:sz w:val="20"/>
                <w:szCs w:val="20"/>
              </w:rPr>
            </w:pPr>
            <w:r w:rsidRPr="00025376">
              <w:rPr>
                <w:b/>
                <w:bCs/>
                <w:sz w:val="20"/>
                <w:szCs w:val="20"/>
              </w:rPr>
              <w:t>Per</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center"/>
              <w:rPr>
                <w:b/>
                <w:bCs/>
                <w:sz w:val="20"/>
                <w:szCs w:val="20"/>
              </w:rPr>
            </w:pPr>
            <w:r w:rsidRPr="00025376">
              <w:rPr>
                <w:b/>
                <w:bCs/>
                <w:sz w:val="20"/>
                <w:szCs w:val="20"/>
              </w:rPr>
              <w:t>Adjust-</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center"/>
              <w:rPr>
                <w:b/>
                <w:bCs/>
                <w:sz w:val="20"/>
                <w:szCs w:val="20"/>
              </w:rPr>
            </w:pPr>
            <w:r w:rsidRPr="00025376">
              <w:rPr>
                <w:b/>
                <w:bCs/>
                <w:sz w:val="20"/>
                <w:szCs w:val="20"/>
              </w:rPr>
              <w:t>Test Year</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center"/>
              <w:rPr>
                <w:b/>
                <w:bCs/>
                <w:sz w:val="20"/>
                <w:szCs w:val="20"/>
              </w:rPr>
            </w:pPr>
            <w:r w:rsidRPr="00025376">
              <w:rPr>
                <w:b/>
                <w:bCs/>
                <w:sz w:val="20"/>
                <w:szCs w:val="20"/>
              </w:rPr>
              <w:t>Adjust-</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center"/>
              <w:rPr>
                <w:b/>
                <w:bCs/>
                <w:sz w:val="20"/>
                <w:szCs w:val="20"/>
              </w:rPr>
            </w:pPr>
            <w:r w:rsidRPr="00025376">
              <w:rPr>
                <w:b/>
                <w:bCs/>
                <w:sz w:val="20"/>
                <w:szCs w:val="20"/>
              </w:rPr>
              <w:t>Adjusted</w:t>
            </w:r>
          </w:p>
        </w:tc>
        <w:tc>
          <w:tcPr>
            <w:tcW w:w="1052" w:type="dxa"/>
            <w:tcBorders>
              <w:top w:val="nil"/>
              <w:left w:val="nil"/>
              <w:bottom w:val="nil"/>
              <w:right w:val="nil"/>
            </w:tcBorders>
            <w:shd w:val="clear" w:color="000000" w:fill="FFFFFF"/>
            <w:noWrap/>
            <w:vAlign w:val="bottom"/>
            <w:hideMark/>
          </w:tcPr>
          <w:p w:rsidR="00D96E37" w:rsidRPr="00025376" w:rsidRDefault="00D96E37" w:rsidP="001C2CEC">
            <w:pPr>
              <w:jc w:val="center"/>
              <w:rPr>
                <w:b/>
                <w:bCs/>
                <w:sz w:val="20"/>
                <w:szCs w:val="20"/>
              </w:rPr>
            </w:pPr>
            <w:r w:rsidRPr="00025376">
              <w:rPr>
                <w:b/>
                <w:bCs/>
                <w:sz w:val="20"/>
                <w:szCs w:val="20"/>
              </w:rPr>
              <w:t>Revenue</w:t>
            </w:r>
          </w:p>
        </w:tc>
        <w:tc>
          <w:tcPr>
            <w:tcW w:w="1544" w:type="dxa"/>
            <w:tcBorders>
              <w:top w:val="nil"/>
              <w:left w:val="nil"/>
              <w:bottom w:val="nil"/>
              <w:right w:val="nil"/>
            </w:tcBorders>
            <w:shd w:val="clear" w:color="000000" w:fill="FFFFFF"/>
            <w:noWrap/>
            <w:vAlign w:val="bottom"/>
            <w:hideMark/>
          </w:tcPr>
          <w:p w:rsidR="00D96E37" w:rsidRPr="00025376" w:rsidRDefault="00D96E37" w:rsidP="001C2CEC">
            <w:pPr>
              <w:jc w:val="center"/>
              <w:rPr>
                <w:b/>
                <w:bCs/>
                <w:sz w:val="20"/>
                <w:szCs w:val="20"/>
              </w:rPr>
            </w:pPr>
            <w:r w:rsidRPr="00025376">
              <w:rPr>
                <w:b/>
                <w:bCs/>
                <w:sz w:val="20"/>
                <w:szCs w:val="20"/>
              </w:rPr>
              <w:t>Revenue</w:t>
            </w:r>
          </w:p>
        </w:tc>
        <w:tc>
          <w:tcPr>
            <w:tcW w:w="491" w:type="dxa"/>
            <w:tcBorders>
              <w:top w:val="nil"/>
              <w:left w:val="nil"/>
              <w:bottom w:val="nil"/>
              <w:right w:val="single" w:sz="4" w:space="0" w:color="auto"/>
            </w:tcBorders>
            <w:shd w:val="clear" w:color="000000" w:fill="FFFFFF"/>
            <w:noWrap/>
            <w:vAlign w:val="bottom"/>
            <w:hideMark/>
          </w:tcPr>
          <w:p w:rsidR="00D96E37" w:rsidRPr="00025376" w:rsidRDefault="00D96E37" w:rsidP="001C2CEC">
            <w:pPr>
              <w:jc w:val="center"/>
              <w:rPr>
                <w:b/>
                <w:bCs/>
                <w:sz w:val="20"/>
                <w:szCs w:val="20"/>
              </w:rPr>
            </w:pPr>
            <w:r w:rsidRPr="00025376">
              <w:rPr>
                <w:b/>
                <w:bCs/>
                <w:sz w:val="20"/>
                <w:szCs w:val="20"/>
              </w:rPr>
              <w:t> </w:t>
            </w:r>
          </w:p>
        </w:tc>
      </w:tr>
      <w:tr w:rsidR="00D96E37"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 </w:t>
            </w:r>
          </w:p>
        </w:tc>
        <w:tc>
          <w:tcPr>
            <w:tcW w:w="2937" w:type="dxa"/>
            <w:tcBorders>
              <w:top w:val="nil"/>
              <w:left w:val="nil"/>
              <w:bottom w:val="nil"/>
              <w:right w:val="nil"/>
            </w:tcBorders>
            <w:shd w:val="clear" w:color="000000" w:fill="FFFFFF"/>
            <w:noWrap/>
            <w:vAlign w:val="bottom"/>
            <w:hideMark/>
          </w:tcPr>
          <w:p w:rsidR="00D96E37" w:rsidRPr="00025376" w:rsidRDefault="00D96E37" w:rsidP="001C2CEC">
            <w:pPr>
              <w:jc w:val="center"/>
              <w:rPr>
                <w:b/>
                <w:bCs/>
                <w:sz w:val="20"/>
                <w:szCs w:val="20"/>
              </w:rPr>
            </w:pPr>
            <w:r w:rsidRPr="00025376">
              <w:rPr>
                <w:b/>
                <w:bCs/>
                <w:sz w:val="20"/>
                <w:szCs w:val="20"/>
              </w:rPr>
              <w:t>Description</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center"/>
              <w:rPr>
                <w:b/>
                <w:bCs/>
                <w:sz w:val="20"/>
                <w:szCs w:val="20"/>
              </w:rPr>
            </w:pPr>
            <w:r w:rsidRPr="00025376">
              <w:rPr>
                <w:b/>
                <w:bCs/>
                <w:sz w:val="20"/>
                <w:szCs w:val="20"/>
              </w:rPr>
              <w:t>Utility</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center"/>
              <w:rPr>
                <w:b/>
                <w:bCs/>
                <w:sz w:val="20"/>
                <w:szCs w:val="20"/>
              </w:rPr>
            </w:pPr>
            <w:proofErr w:type="spellStart"/>
            <w:r w:rsidRPr="00025376">
              <w:rPr>
                <w:b/>
                <w:bCs/>
                <w:sz w:val="20"/>
                <w:szCs w:val="20"/>
              </w:rPr>
              <w:t>ments</w:t>
            </w:r>
            <w:proofErr w:type="spellEnd"/>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center"/>
              <w:rPr>
                <w:b/>
                <w:bCs/>
                <w:sz w:val="20"/>
                <w:szCs w:val="20"/>
              </w:rPr>
            </w:pPr>
            <w:r w:rsidRPr="00025376">
              <w:rPr>
                <w:b/>
                <w:bCs/>
                <w:sz w:val="20"/>
                <w:szCs w:val="20"/>
              </w:rPr>
              <w:t>Per Utility</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center"/>
              <w:rPr>
                <w:b/>
                <w:bCs/>
                <w:sz w:val="20"/>
                <w:szCs w:val="20"/>
              </w:rPr>
            </w:pPr>
            <w:proofErr w:type="spellStart"/>
            <w:r w:rsidRPr="00025376">
              <w:rPr>
                <w:b/>
                <w:bCs/>
                <w:sz w:val="20"/>
                <w:szCs w:val="20"/>
              </w:rPr>
              <w:t>ments</w:t>
            </w:r>
            <w:proofErr w:type="spellEnd"/>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center"/>
              <w:rPr>
                <w:b/>
                <w:bCs/>
                <w:sz w:val="20"/>
                <w:szCs w:val="20"/>
              </w:rPr>
            </w:pPr>
            <w:r w:rsidRPr="00025376">
              <w:rPr>
                <w:b/>
                <w:bCs/>
                <w:sz w:val="20"/>
                <w:szCs w:val="20"/>
              </w:rPr>
              <w:t>Test Year</w:t>
            </w:r>
          </w:p>
        </w:tc>
        <w:tc>
          <w:tcPr>
            <w:tcW w:w="1052" w:type="dxa"/>
            <w:tcBorders>
              <w:top w:val="nil"/>
              <w:left w:val="nil"/>
              <w:bottom w:val="nil"/>
              <w:right w:val="nil"/>
            </w:tcBorders>
            <w:shd w:val="clear" w:color="000000" w:fill="FFFFFF"/>
            <w:noWrap/>
            <w:vAlign w:val="bottom"/>
            <w:hideMark/>
          </w:tcPr>
          <w:p w:rsidR="00D96E37" w:rsidRPr="00025376" w:rsidRDefault="00D96E37" w:rsidP="001C2CEC">
            <w:pPr>
              <w:jc w:val="center"/>
              <w:rPr>
                <w:b/>
                <w:bCs/>
                <w:sz w:val="20"/>
                <w:szCs w:val="20"/>
              </w:rPr>
            </w:pPr>
            <w:r w:rsidRPr="00025376">
              <w:rPr>
                <w:b/>
                <w:bCs/>
                <w:sz w:val="20"/>
                <w:szCs w:val="20"/>
              </w:rPr>
              <w:t>Increase</w:t>
            </w:r>
          </w:p>
        </w:tc>
        <w:tc>
          <w:tcPr>
            <w:tcW w:w="1544" w:type="dxa"/>
            <w:tcBorders>
              <w:top w:val="nil"/>
              <w:left w:val="nil"/>
              <w:bottom w:val="nil"/>
              <w:right w:val="nil"/>
            </w:tcBorders>
            <w:shd w:val="clear" w:color="000000" w:fill="FFFFFF"/>
            <w:noWrap/>
            <w:vAlign w:val="bottom"/>
            <w:hideMark/>
          </w:tcPr>
          <w:p w:rsidR="00D96E37" w:rsidRPr="00025376" w:rsidRDefault="00D96E37" w:rsidP="001C2CEC">
            <w:pPr>
              <w:jc w:val="center"/>
              <w:rPr>
                <w:b/>
                <w:bCs/>
                <w:sz w:val="20"/>
                <w:szCs w:val="20"/>
              </w:rPr>
            </w:pPr>
            <w:r w:rsidRPr="00025376">
              <w:rPr>
                <w:b/>
                <w:bCs/>
                <w:sz w:val="20"/>
                <w:szCs w:val="20"/>
              </w:rPr>
              <w:t>Requirement</w:t>
            </w:r>
          </w:p>
        </w:tc>
        <w:tc>
          <w:tcPr>
            <w:tcW w:w="491" w:type="dxa"/>
            <w:tcBorders>
              <w:top w:val="nil"/>
              <w:left w:val="nil"/>
              <w:bottom w:val="nil"/>
              <w:right w:val="single" w:sz="4" w:space="0" w:color="auto"/>
            </w:tcBorders>
            <w:shd w:val="clear" w:color="000000" w:fill="FFFFFF"/>
            <w:noWrap/>
            <w:vAlign w:val="bottom"/>
            <w:hideMark/>
          </w:tcPr>
          <w:p w:rsidR="00D96E37" w:rsidRPr="00025376" w:rsidRDefault="00D96E37" w:rsidP="001C2CEC">
            <w:pPr>
              <w:jc w:val="center"/>
              <w:rPr>
                <w:b/>
                <w:bCs/>
                <w:sz w:val="20"/>
                <w:szCs w:val="20"/>
              </w:rPr>
            </w:pPr>
            <w:r w:rsidRPr="00025376">
              <w:rPr>
                <w:b/>
                <w:bCs/>
                <w:sz w:val="20"/>
                <w:szCs w:val="20"/>
              </w:rPr>
              <w:t> </w:t>
            </w:r>
          </w:p>
        </w:tc>
      </w:tr>
      <w:tr w:rsidR="00D96E37" w:rsidRPr="00025376" w:rsidTr="001C2CEC">
        <w:trPr>
          <w:trHeight w:val="291"/>
        </w:trPr>
        <w:tc>
          <w:tcPr>
            <w:tcW w:w="453" w:type="dxa"/>
            <w:tcBorders>
              <w:top w:val="single" w:sz="4" w:space="0" w:color="000000"/>
              <w:left w:val="single" w:sz="4" w:space="0" w:color="auto"/>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2937" w:type="dxa"/>
            <w:tcBorders>
              <w:top w:val="single" w:sz="4" w:space="0" w:color="000000"/>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single" w:sz="4" w:space="0" w:color="000000"/>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single" w:sz="4" w:space="0" w:color="000000"/>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single" w:sz="4" w:space="0" w:color="000000"/>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single" w:sz="4" w:space="0" w:color="000000"/>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single" w:sz="4" w:space="0" w:color="000000"/>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052" w:type="dxa"/>
            <w:tcBorders>
              <w:top w:val="single" w:sz="4" w:space="0" w:color="000000"/>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544" w:type="dxa"/>
            <w:tcBorders>
              <w:top w:val="single" w:sz="4" w:space="0" w:color="000000"/>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491" w:type="dxa"/>
            <w:tcBorders>
              <w:top w:val="single" w:sz="4" w:space="0" w:color="000000"/>
              <w:left w:val="nil"/>
              <w:bottom w:val="nil"/>
              <w:right w:val="single" w:sz="4" w:space="0" w:color="auto"/>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r>
      <w:tr w:rsidR="00D96E37"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D96E37" w:rsidRPr="00025376" w:rsidRDefault="00D96E37" w:rsidP="001C2CEC">
            <w:pPr>
              <w:jc w:val="center"/>
              <w:rPr>
                <w:sz w:val="20"/>
                <w:szCs w:val="20"/>
              </w:rPr>
            </w:pPr>
            <w:r w:rsidRPr="00025376">
              <w:rPr>
                <w:sz w:val="20"/>
                <w:szCs w:val="20"/>
              </w:rPr>
              <w:t>1</w:t>
            </w:r>
          </w:p>
        </w:tc>
        <w:tc>
          <w:tcPr>
            <w:tcW w:w="2937" w:type="dxa"/>
            <w:tcBorders>
              <w:top w:val="nil"/>
              <w:left w:val="nil"/>
              <w:bottom w:val="nil"/>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Operating Revenues:</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u w:val="single"/>
              </w:rPr>
            </w:pPr>
            <w:r w:rsidRPr="00025376">
              <w:rPr>
                <w:sz w:val="20"/>
                <w:szCs w:val="20"/>
                <w:u w:val="single"/>
              </w:rPr>
              <w:t xml:space="preserve">$574,165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u w:val="single"/>
              </w:rPr>
            </w:pPr>
            <w:r w:rsidRPr="00025376">
              <w:rPr>
                <w:sz w:val="20"/>
                <w:szCs w:val="20"/>
                <w:u w:val="single"/>
              </w:rPr>
              <w:t xml:space="preserve">$169,799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u w:val="single"/>
              </w:rPr>
            </w:pPr>
            <w:r w:rsidRPr="00025376">
              <w:rPr>
                <w:sz w:val="20"/>
                <w:szCs w:val="20"/>
                <w:u w:val="single"/>
              </w:rPr>
              <w:t xml:space="preserve">$743,964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u w:val="single"/>
              </w:rPr>
            </w:pPr>
            <w:r w:rsidRPr="00025376">
              <w:rPr>
                <w:sz w:val="20"/>
                <w:szCs w:val="20"/>
                <w:u w:val="single"/>
              </w:rPr>
              <w:t>($182,937)</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u w:val="single"/>
              </w:rPr>
            </w:pPr>
            <w:r w:rsidRPr="00025376">
              <w:rPr>
                <w:sz w:val="20"/>
                <w:szCs w:val="20"/>
                <w:u w:val="single"/>
              </w:rPr>
              <w:t xml:space="preserve">$561,027 </w:t>
            </w:r>
          </w:p>
        </w:tc>
        <w:tc>
          <w:tcPr>
            <w:tcW w:w="1052"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u w:val="single"/>
              </w:rPr>
            </w:pPr>
            <w:r w:rsidRPr="00025376">
              <w:rPr>
                <w:sz w:val="20"/>
                <w:szCs w:val="20"/>
                <w:u w:val="single"/>
              </w:rPr>
              <w:t xml:space="preserve">$182,937 </w:t>
            </w:r>
          </w:p>
        </w:tc>
        <w:tc>
          <w:tcPr>
            <w:tcW w:w="1544"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u w:val="single"/>
              </w:rPr>
            </w:pPr>
            <w:r w:rsidRPr="00025376">
              <w:rPr>
                <w:sz w:val="20"/>
                <w:szCs w:val="20"/>
                <w:u w:val="single"/>
              </w:rPr>
              <w:t xml:space="preserve">$743,964 </w:t>
            </w:r>
          </w:p>
        </w:tc>
        <w:tc>
          <w:tcPr>
            <w:tcW w:w="491" w:type="dxa"/>
            <w:tcBorders>
              <w:top w:val="nil"/>
              <w:left w:val="nil"/>
              <w:bottom w:val="nil"/>
              <w:right w:val="single" w:sz="4" w:space="0" w:color="auto"/>
            </w:tcBorders>
            <w:shd w:val="clear" w:color="000000" w:fill="FFFFFF"/>
            <w:noWrap/>
            <w:vAlign w:val="bottom"/>
            <w:hideMark/>
          </w:tcPr>
          <w:p w:rsidR="00D96E37" w:rsidRPr="00025376" w:rsidRDefault="00D96E37" w:rsidP="001C2CEC">
            <w:pPr>
              <w:rPr>
                <w:sz w:val="20"/>
                <w:szCs w:val="20"/>
                <w:u w:val="single"/>
              </w:rPr>
            </w:pPr>
            <w:r w:rsidRPr="00025376">
              <w:rPr>
                <w:sz w:val="20"/>
                <w:szCs w:val="20"/>
                <w:u w:val="single"/>
              </w:rPr>
              <w:t> </w:t>
            </w:r>
          </w:p>
        </w:tc>
      </w:tr>
      <w:tr w:rsidR="00D96E37"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D96E37" w:rsidRPr="00025376" w:rsidRDefault="00D96E37" w:rsidP="001C2CEC">
            <w:pPr>
              <w:jc w:val="center"/>
              <w:rPr>
                <w:sz w:val="20"/>
                <w:szCs w:val="20"/>
              </w:rPr>
            </w:pPr>
            <w:r w:rsidRPr="00025376">
              <w:rPr>
                <w:sz w:val="20"/>
                <w:szCs w:val="20"/>
              </w:rPr>
              <w:t> </w:t>
            </w:r>
          </w:p>
        </w:tc>
        <w:tc>
          <w:tcPr>
            <w:tcW w:w="2937"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052"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rPr>
            </w:pPr>
            <w:r w:rsidRPr="00025376">
              <w:rPr>
                <w:sz w:val="20"/>
                <w:szCs w:val="20"/>
              </w:rPr>
              <w:t>32.61%</w:t>
            </w:r>
          </w:p>
        </w:tc>
        <w:tc>
          <w:tcPr>
            <w:tcW w:w="1544"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491" w:type="dxa"/>
            <w:tcBorders>
              <w:top w:val="nil"/>
              <w:left w:val="nil"/>
              <w:bottom w:val="nil"/>
              <w:right w:val="single" w:sz="4" w:space="0" w:color="auto"/>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r>
      <w:tr w:rsidR="00D96E37"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D96E37" w:rsidRPr="00025376" w:rsidRDefault="00D96E37" w:rsidP="001C2CEC">
            <w:pPr>
              <w:jc w:val="center"/>
              <w:rPr>
                <w:sz w:val="20"/>
                <w:szCs w:val="20"/>
              </w:rPr>
            </w:pPr>
            <w:r w:rsidRPr="00025376">
              <w:rPr>
                <w:sz w:val="20"/>
                <w:szCs w:val="20"/>
              </w:rPr>
              <w:t> </w:t>
            </w:r>
          </w:p>
        </w:tc>
        <w:tc>
          <w:tcPr>
            <w:tcW w:w="2937" w:type="dxa"/>
            <w:tcBorders>
              <w:top w:val="nil"/>
              <w:left w:val="nil"/>
              <w:bottom w:val="nil"/>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Operating Expenses</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052"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544"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491" w:type="dxa"/>
            <w:tcBorders>
              <w:top w:val="nil"/>
              <w:left w:val="nil"/>
              <w:bottom w:val="nil"/>
              <w:right w:val="single" w:sz="4" w:space="0" w:color="auto"/>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r>
      <w:tr w:rsidR="00D96E37"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D96E37" w:rsidRPr="00025376" w:rsidRDefault="00D96E37" w:rsidP="001C2CEC">
            <w:pPr>
              <w:jc w:val="center"/>
              <w:rPr>
                <w:sz w:val="20"/>
                <w:szCs w:val="20"/>
              </w:rPr>
            </w:pPr>
            <w:r w:rsidRPr="00025376">
              <w:rPr>
                <w:sz w:val="20"/>
                <w:szCs w:val="20"/>
              </w:rPr>
              <w:t>2</w:t>
            </w:r>
          </w:p>
        </w:tc>
        <w:tc>
          <w:tcPr>
            <w:tcW w:w="2937"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xml:space="preserve">    Operation &amp; Maintenance</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rPr>
            </w:pPr>
            <w:r w:rsidRPr="00025376">
              <w:rPr>
                <w:sz w:val="20"/>
                <w:szCs w:val="20"/>
              </w:rPr>
              <w:t xml:space="preserve">$376,618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rPr>
            </w:pPr>
            <w:r w:rsidRPr="00025376">
              <w:rPr>
                <w:sz w:val="20"/>
                <w:szCs w:val="20"/>
              </w:rPr>
              <w:t xml:space="preserve">$13,066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rPr>
            </w:pPr>
            <w:r w:rsidRPr="00025376">
              <w:rPr>
                <w:sz w:val="20"/>
                <w:szCs w:val="20"/>
              </w:rPr>
              <w:t xml:space="preserve">$389,684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rPr>
            </w:pPr>
            <w:r w:rsidRPr="00025376">
              <w:rPr>
                <w:sz w:val="20"/>
                <w:szCs w:val="20"/>
              </w:rPr>
              <w:t xml:space="preserve">$9,995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rPr>
            </w:pPr>
            <w:r w:rsidRPr="00025376">
              <w:rPr>
                <w:sz w:val="20"/>
                <w:szCs w:val="20"/>
              </w:rPr>
              <w:t xml:space="preserve">$399,679 </w:t>
            </w:r>
          </w:p>
        </w:tc>
        <w:tc>
          <w:tcPr>
            <w:tcW w:w="1052"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rPr>
            </w:pPr>
            <w:r w:rsidRPr="00025376">
              <w:rPr>
                <w:sz w:val="20"/>
                <w:szCs w:val="20"/>
              </w:rPr>
              <w:t xml:space="preserve">$2,506 </w:t>
            </w:r>
          </w:p>
        </w:tc>
        <w:tc>
          <w:tcPr>
            <w:tcW w:w="1544"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rPr>
            </w:pPr>
            <w:r w:rsidRPr="00025376">
              <w:rPr>
                <w:sz w:val="20"/>
                <w:szCs w:val="20"/>
              </w:rPr>
              <w:t xml:space="preserve">$402,185 </w:t>
            </w:r>
          </w:p>
        </w:tc>
        <w:tc>
          <w:tcPr>
            <w:tcW w:w="491" w:type="dxa"/>
            <w:tcBorders>
              <w:top w:val="nil"/>
              <w:left w:val="nil"/>
              <w:bottom w:val="nil"/>
              <w:right w:val="single" w:sz="4" w:space="0" w:color="auto"/>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r>
      <w:tr w:rsidR="00D96E37"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D96E37" w:rsidRPr="00025376" w:rsidRDefault="00D96E37" w:rsidP="001C2CEC">
            <w:pPr>
              <w:jc w:val="center"/>
              <w:rPr>
                <w:sz w:val="20"/>
                <w:szCs w:val="20"/>
              </w:rPr>
            </w:pPr>
            <w:r w:rsidRPr="00025376">
              <w:rPr>
                <w:sz w:val="20"/>
                <w:szCs w:val="20"/>
              </w:rPr>
              <w:t> </w:t>
            </w:r>
          </w:p>
        </w:tc>
        <w:tc>
          <w:tcPr>
            <w:tcW w:w="2937"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052"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544"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491" w:type="dxa"/>
            <w:tcBorders>
              <w:top w:val="nil"/>
              <w:left w:val="nil"/>
              <w:bottom w:val="nil"/>
              <w:right w:val="single" w:sz="4" w:space="0" w:color="auto"/>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r>
      <w:tr w:rsidR="00F71AF8"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F71AF8" w:rsidRPr="00025376" w:rsidRDefault="00F71AF8" w:rsidP="001C2CEC">
            <w:pPr>
              <w:jc w:val="center"/>
              <w:rPr>
                <w:sz w:val="20"/>
                <w:szCs w:val="20"/>
              </w:rPr>
            </w:pPr>
            <w:r w:rsidRPr="00025376">
              <w:rPr>
                <w:sz w:val="20"/>
                <w:szCs w:val="20"/>
              </w:rPr>
              <w:t>3</w:t>
            </w:r>
          </w:p>
        </w:tc>
        <w:tc>
          <w:tcPr>
            <w:tcW w:w="2937" w:type="dxa"/>
            <w:tcBorders>
              <w:top w:val="nil"/>
              <w:left w:val="nil"/>
              <w:bottom w:val="nil"/>
              <w:right w:val="nil"/>
            </w:tcBorders>
            <w:shd w:val="clear" w:color="000000" w:fill="FFFFFF"/>
            <w:noWrap/>
            <w:vAlign w:val="bottom"/>
            <w:hideMark/>
          </w:tcPr>
          <w:p w:rsidR="00F71AF8" w:rsidRPr="00025376" w:rsidRDefault="00F71AF8" w:rsidP="001C2CEC">
            <w:pPr>
              <w:rPr>
                <w:sz w:val="20"/>
                <w:szCs w:val="20"/>
              </w:rPr>
            </w:pPr>
            <w:r w:rsidRPr="00025376">
              <w:rPr>
                <w:sz w:val="20"/>
                <w:szCs w:val="20"/>
              </w:rPr>
              <w:t xml:space="preserve">    Depreciation</w:t>
            </w:r>
          </w:p>
        </w:tc>
        <w:tc>
          <w:tcPr>
            <w:tcW w:w="1259" w:type="dxa"/>
            <w:tcBorders>
              <w:top w:val="nil"/>
              <w:left w:val="nil"/>
              <w:bottom w:val="nil"/>
              <w:right w:val="nil"/>
            </w:tcBorders>
            <w:shd w:val="clear" w:color="000000" w:fill="FFFFFF"/>
            <w:noWrap/>
            <w:vAlign w:val="bottom"/>
            <w:hideMark/>
          </w:tcPr>
          <w:p w:rsidR="00F71AF8" w:rsidRPr="00025376" w:rsidRDefault="00F71AF8" w:rsidP="006945C6">
            <w:pPr>
              <w:jc w:val="right"/>
              <w:rPr>
                <w:sz w:val="20"/>
                <w:szCs w:val="20"/>
              </w:rPr>
            </w:pPr>
            <w:r w:rsidRPr="00025376">
              <w:rPr>
                <w:sz w:val="20"/>
                <w:szCs w:val="20"/>
              </w:rPr>
              <w:t xml:space="preserve">129,717 </w:t>
            </w:r>
          </w:p>
        </w:tc>
        <w:tc>
          <w:tcPr>
            <w:tcW w:w="1259" w:type="dxa"/>
            <w:tcBorders>
              <w:top w:val="nil"/>
              <w:left w:val="nil"/>
              <w:bottom w:val="nil"/>
              <w:right w:val="nil"/>
            </w:tcBorders>
            <w:shd w:val="clear" w:color="000000" w:fill="FFFFFF"/>
            <w:noWrap/>
            <w:vAlign w:val="bottom"/>
            <w:hideMark/>
          </w:tcPr>
          <w:p w:rsidR="00F71AF8" w:rsidRPr="00025376" w:rsidRDefault="00F71AF8" w:rsidP="006945C6">
            <w:pPr>
              <w:jc w:val="right"/>
              <w:rPr>
                <w:sz w:val="20"/>
                <w:szCs w:val="20"/>
              </w:rPr>
            </w:pPr>
            <w:r w:rsidRPr="00025376">
              <w:rPr>
                <w:sz w:val="20"/>
                <w:szCs w:val="20"/>
              </w:rPr>
              <w:t xml:space="preserve">4,835 </w:t>
            </w:r>
          </w:p>
        </w:tc>
        <w:tc>
          <w:tcPr>
            <w:tcW w:w="1259" w:type="dxa"/>
            <w:tcBorders>
              <w:top w:val="nil"/>
              <w:left w:val="nil"/>
              <w:bottom w:val="nil"/>
              <w:right w:val="nil"/>
            </w:tcBorders>
            <w:shd w:val="clear" w:color="000000" w:fill="FFFFFF"/>
            <w:noWrap/>
            <w:vAlign w:val="bottom"/>
            <w:hideMark/>
          </w:tcPr>
          <w:p w:rsidR="00F71AF8" w:rsidRPr="00025376" w:rsidRDefault="00F71AF8" w:rsidP="006945C6">
            <w:pPr>
              <w:jc w:val="right"/>
              <w:rPr>
                <w:sz w:val="20"/>
                <w:szCs w:val="20"/>
              </w:rPr>
            </w:pPr>
            <w:r w:rsidRPr="00025376">
              <w:rPr>
                <w:sz w:val="20"/>
                <w:szCs w:val="20"/>
              </w:rPr>
              <w:t xml:space="preserve">134,552 </w:t>
            </w:r>
          </w:p>
        </w:tc>
        <w:tc>
          <w:tcPr>
            <w:tcW w:w="1259" w:type="dxa"/>
            <w:tcBorders>
              <w:top w:val="nil"/>
              <w:left w:val="nil"/>
              <w:bottom w:val="nil"/>
              <w:right w:val="nil"/>
            </w:tcBorders>
            <w:shd w:val="clear" w:color="000000" w:fill="FFFFFF"/>
            <w:noWrap/>
            <w:vAlign w:val="bottom"/>
            <w:hideMark/>
          </w:tcPr>
          <w:p w:rsidR="00F71AF8" w:rsidRPr="00025376" w:rsidRDefault="00F71AF8" w:rsidP="006945C6">
            <w:pPr>
              <w:jc w:val="right"/>
              <w:rPr>
                <w:sz w:val="20"/>
                <w:szCs w:val="20"/>
              </w:rPr>
            </w:pPr>
            <w:r w:rsidRPr="00F71AF8">
              <w:rPr>
                <w:sz w:val="20"/>
                <w:szCs w:val="20"/>
              </w:rPr>
              <w:t>13,235</w:t>
            </w:r>
            <w:r w:rsidRPr="00025376">
              <w:rPr>
                <w:sz w:val="20"/>
                <w:szCs w:val="20"/>
              </w:rPr>
              <w:t xml:space="preserve"> </w:t>
            </w:r>
          </w:p>
        </w:tc>
        <w:tc>
          <w:tcPr>
            <w:tcW w:w="1259" w:type="dxa"/>
            <w:tcBorders>
              <w:top w:val="nil"/>
              <w:left w:val="nil"/>
              <w:bottom w:val="nil"/>
              <w:right w:val="nil"/>
            </w:tcBorders>
            <w:shd w:val="clear" w:color="000000" w:fill="FFFFFF"/>
            <w:noWrap/>
            <w:vAlign w:val="bottom"/>
            <w:hideMark/>
          </w:tcPr>
          <w:p w:rsidR="00F71AF8" w:rsidRPr="00A4466C" w:rsidRDefault="00F71AF8" w:rsidP="006945C6">
            <w:pPr>
              <w:jc w:val="right"/>
              <w:rPr>
                <w:sz w:val="20"/>
                <w:szCs w:val="20"/>
                <w:highlight w:val="yellow"/>
              </w:rPr>
            </w:pPr>
            <w:r w:rsidRPr="00F71AF8">
              <w:rPr>
                <w:sz w:val="20"/>
                <w:szCs w:val="20"/>
              </w:rPr>
              <w:t>147,787</w:t>
            </w:r>
            <w:r w:rsidRPr="00A4466C">
              <w:rPr>
                <w:sz w:val="20"/>
                <w:szCs w:val="20"/>
                <w:highlight w:val="yellow"/>
              </w:rPr>
              <w:t xml:space="preserve"> </w:t>
            </w:r>
          </w:p>
        </w:tc>
        <w:tc>
          <w:tcPr>
            <w:tcW w:w="1052" w:type="dxa"/>
            <w:tcBorders>
              <w:top w:val="nil"/>
              <w:left w:val="nil"/>
              <w:bottom w:val="nil"/>
              <w:right w:val="nil"/>
            </w:tcBorders>
            <w:shd w:val="clear" w:color="000000" w:fill="FFFFFF"/>
            <w:noWrap/>
            <w:vAlign w:val="bottom"/>
            <w:hideMark/>
          </w:tcPr>
          <w:p w:rsidR="00F71AF8" w:rsidRPr="00A4466C" w:rsidRDefault="00F71AF8" w:rsidP="006945C6">
            <w:pPr>
              <w:rPr>
                <w:sz w:val="20"/>
                <w:szCs w:val="20"/>
                <w:highlight w:val="yellow"/>
              </w:rPr>
            </w:pPr>
            <w:r w:rsidRPr="00A4466C">
              <w:rPr>
                <w:sz w:val="20"/>
                <w:szCs w:val="20"/>
              </w:rPr>
              <w:t> </w:t>
            </w:r>
          </w:p>
        </w:tc>
        <w:tc>
          <w:tcPr>
            <w:tcW w:w="1544" w:type="dxa"/>
            <w:tcBorders>
              <w:top w:val="nil"/>
              <w:left w:val="nil"/>
              <w:bottom w:val="nil"/>
              <w:right w:val="nil"/>
            </w:tcBorders>
            <w:shd w:val="clear" w:color="000000" w:fill="FFFFFF"/>
            <w:noWrap/>
            <w:vAlign w:val="bottom"/>
            <w:hideMark/>
          </w:tcPr>
          <w:p w:rsidR="00F71AF8" w:rsidRPr="00A4466C" w:rsidRDefault="00F71AF8" w:rsidP="006945C6">
            <w:pPr>
              <w:jc w:val="right"/>
              <w:rPr>
                <w:sz w:val="20"/>
                <w:szCs w:val="20"/>
                <w:highlight w:val="yellow"/>
              </w:rPr>
            </w:pPr>
            <w:r w:rsidRPr="00F71AF8">
              <w:rPr>
                <w:sz w:val="20"/>
                <w:szCs w:val="20"/>
              </w:rPr>
              <w:t>147,787</w:t>
            </w:r>
            <w:r w:rsidRPr="00A4466C">
              <w:rPr>
                <w:sz w:val="20"/>
                <w:szCs w:val="20"/>
                <w:highlight w:val="yellow"/>
              </w:rPr>
              <w:t xml:space="preserve"> </w:t>
            </w:r>
          </w:p>
        </w:tc>
        <w:tc>
          <w:tcPr>
            <w:tcW w:w="491" w:type="dxa"/>
            <w:tcBorders>
              <w:top w:val="nil"/>
              <w:left w:val="nil"/>
              <w:bottom w:val="nil"/>
              <w:right w:val="single" w:sz="4" w:space="0" w:color="auto"/>
            </w:tcBorders>
            <w:shd w:val="clear" w:color="000000" w:fill="FFFFFF"/>
            <w:noWrap/>
            <w:vAlign w:val="bottom"/>
            <w:hideMark/>
          </w:tcPr>
          <w:p w:rsidR="00F71AF8" w:rsidRPr="00025376" w:rsidRDefault="00F71AF8" w:rsidP="001C2CEC">
            <w:pPr>
              <w:rPr>
                <w:sz w:val="20"/>
                <w:szCs w:val="20"/>
              </w:rPr>
            </w:pPr>
            <w:r w:rsidRPr="00025376">
              <w:rPr>
                <w:sz w:val="20"/>
                <w:szCs w:val="20"/>
              </w:rPr>
              <w:t> </w:t>
            </w:r>
          </w:p>
        </w:tc>
      </w:tr>
      <w:tr w:rsidR="00D96E37"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D96E37" w:rsidRPr="00025376" w:rsidRDefault="00D96E37" w:rsidP="001C2CEC">
            <w:pPr>
              <w:jc w:val="center"/>
              <w:rPr>
                <w:sz w:val="20"/>
                <w:szCs w:val="20"/>
              </w:rPr>
            </w:pPr>
            <w:r w:rsidRPr="00025376">
              <w:rPr>
                <w:sz w:val="20"/>
                <w:szCs w:val="20"/>
              </w:rPr>
              <w:t> </w:t>
            </w:r>
          </w:p>
        </w:tc>
        <w:tc>
          <w:tcPr>
            <w:tcW w:w="2937"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052"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544"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491" w:type="dxa"/>
            <w:tcBorders>
              <w:top w:val="nil"/>
              <w:left w:val="nil"/>
              <w:bottom w:val="nil"/>
              <w:right w:val="single" w:sz="4" w:space="0" w:color="auto"/>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r>
      <w:tr w:rsidR="00D96E37"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D96E37" w:rsidRPr="00025376" w:rsidRDefault="00D96E37" w:rsidP="001C2CEC">
            <w:pPr>
              <w:jc w:val="center"/>
              <w:rPr>
                <w:sz w:val="20"/>
                <w:szCs w:val="20"/>
              </w:rPr>
            </w:pPr>
            <w:r w:rsidRPr="00025376">
              <w:rPr>
                <w:sz w:val="20"/>
                <w:szCs w:val="20"/>
              </w:rPr>
              <w:t>4</w:t>
            </w:r>
          </w:p>
        </w:tc>
        <w:tc>
          <w:tcPr>
            <w:tcW w:w="2937"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xml:space="preserve">    Amortization</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rPr>
            </w:pPr>
            <w:r w:rsidRPr="00025376">
              <w:rPr>
                <w:sz w:val="20"/>
                <w:szCs w:val="20"/>
              </w:rPr>
              <w:t>(74,935)</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rPr>
            </w:pPr>
            <w:r w:rsidRPr="00025376">
              <w:rPr>
                <w:sz w:val="20"/>
                <w:szCs w:val="20"/>
              </w:rPr>
              <w:t xml:space="preserve">0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rPr>
            </w:pPr>
            <w:r w:rsidRPr="00025376">
              <w:rPr>
                <w:sz w:val="20"/>
                <w:szCs w:val="20"/>
              </w:rPr>
              <w:t>(74,935)</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rPr>
            </w:pPr>
            <w:r w:rsidRPr="00025376">
              <w:rPr>
                <w:sz w:val="20"/>
                <w:szCs w:val="20"/>
              </w:rPr>
              <w:t xml:space="preserve">0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rPr>
            </w:pPr>
            <w:r w:rsidRPr="00025376">
              <w:rPr>
                <w:sz w:val="20"/>
                <w:szCs w:val="20"/>
              </w:rPr>
              <w:t>(74,935)</w:t>
            </w:r>
          </w:p>
        </w:tc>
        <w:tc>
          <w:tcPr>
            <w:tcW w:w="1052"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544"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rPr>
            </w:pPr>
            <w:r w:rsidRPr="00025376">
              <w:rPr>
                <w:sz w:val="20"/>
                <w:szCs w:val="20"/>
              </w:rPr>
              <w:t>(74,935)</w:t>
            </w:r>
          </w:p>
        </w:tc>
        <w:tc>
          <w:tcPr>
            <w:tcW w:w="491" w:type="dxa"/>
            <w:tcBorders>
              <w:top w:val="nil"/>
              <w:left w:val="nil"/>
              <w:bottom w:val="nil"/>
              <w:right w:val="single" w:sz="4" w:space="0" w:color="auto"/>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r>
      <w:tr w:rsidR="00D96E37"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D96E37" w:rsidRPr="00025376" w:rsidRDefault="00D96E37" w:rsidP="001C2CEC">
            <w:pPr>
              <w:jc w:val="center"/>
              <w:rPr>
                <w:sz w:val="20"/>
                <w:szCs w:val="20"/>
              </w:rPr>
            </w:pPr>
            <w:r w:rsidRPr="00025376">
              <w:rPr>
                <w:sz w:val="20"/>
                <w:szCs w:val="20"/>
              </w:rPr>
              <w:t> </w:t>
            </w:r>
          </w:p>
        </w:tc>
        <w:tc>
          <w:tcPr>
            <w:tcW w:w="2937"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052"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544"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491" w:type="dxa"/>
            <w:tcBorders>
              <w:top w:val="nil"/>
              <w:left w:val="nil"/>
              <w:bottom w:val="nil"/>
              <w:right w:val="single" w:sz="4" w:space="0" w:color="auto"/>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r>
      <w:tr w:rsidR="00D96E37"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D96E37" w:rsidRPr="00025376" w:rsidRDefault="00D96E37" w:rsidP="001C2CEC">
            <w:pPr>
              <w:jc w:val="center"/>
              <w:rPr>
                <w:sz w:val="20"/>
                <w:szCs w:val="20"/>
              </w:rPr>
            </w:pPr>
            <w:r w:rsidRPr="00025376">
              <w:rPr>
                <w:sz w:val="20"/>
                <w:szCs w:val="20"/>
              </w:rPr>
              <w:t>5</w:t>
            </w:r>
          </w:p>
        </w:tc>
        <w:tc>
          <w:tcPr>
            <w:tcW w:w="2937"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xml:space="preserve">    Taxes Other Than Income</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rPr>
            </w:pPr>
            <w:r w:rsidRPr="00025376">
              <w:rPr>
                <w:sz w:val="20"/>
                <w:szCs w:val="20"/>
              </w:rPr>
              <w:t xml:space="preserve">55,559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rPr>
            </w:pPr>
            <w:r w:rsidRPr="00025376">
              <w:rPr>
                <w:sz w:val="20"/>
                <w:szCs w:val="20"/>
              </w:rPr>
              <w:t xml:space="preserve">16,651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rPr>
            </w:pPr>
            <w:r w:rsidRPr="00025376">
              <w:rPr>
                <w:sz w:val="20"/>
                <w:szCs w:val="20"/>
              </w:rPr>
              <w:t xml:space="preserve">72,210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rPr>
            </w:pPr>
            <w:r w:rsidRPr="00025376">
              <w:rPr>
                <w:sz w:val="20"/>
                <w:szCs w:val="20"/>
              </w:rPr>
              <w:t>(4,509)</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rPr>
            </w:pPr>
            <w:r w:rsidRPr="00025376">
              <w:rPr>
                <w:sz w:val="20"/>
                <w:szCs w:val="20"/>
              </w:rPr>
              <w:t xml:space="preserve">67,701 </w:t>
            </w:r>
          </w:p>
        </w:tc>
        <w:tc>
          <w:tcPr>
            <w:tcW w:w="1052"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rPr>
            </w:pPr>
            <w:r w:rsidRPr="00025376">
              <w:rPr>
                <w:sz w:val="20"/>
                <w:szCs w:val="20"/>
              </w:rPr>
              <w:t xml:space="preserve">8,232 </w:t>
            </w:r>
          </w:p>
        </w:tc>
        <w:tc>
          <w:tcPr>
            <w:tcW w:w="1544"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rPr>
            </w:pPr>
            <w:r w:rsidRPr="00025376">
              <w:rPr>
                <w:sz w:val="20"/>
                <w:szCs w:val="20"/>
              </w:rPr>
              <w:t xml:space="preserve">75,933 </w:t>
            </w:r>
          </w:p>
        </w:tc>
        <w:tc>
          <w:tcPr>
            <w:tcW w:w="491" w:type="dxa"/>
            <w:tcBorders>
              <w:top w:val="nil"/>
              <w:left w:val="nil"/>
              <w:bottom w:val="nil"/>
              <w:right w:val="single" w:sz="4" w:space="0" w:color="auto"/>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r>
      <w:tr w:rsidR="00D96E37"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D96E37" w:rsidRPr="00025376" w:rsidRDefault="00D96E37" w:rsidP="001C2CEC">
            <w:pPr>
              <w:jc w:val="center"/>
              <w:rPr>
                <w:sz w:val="20"/>
                <w:szCs w:val="20"/>
              </w:rPr>
            </w:pPr>
            <w:r w:rsidRPr="00025376">
              <w:rPr>
                <w:sz w:val="20"/>
                <w:szCs w:val="20"/>
              </w:rPr>
              <w:t> </w:t>
            </w:r>
          </w:p>
        </w:tc>
        <w:tc>
          <w:tcPr>
            <w:tcW w:w="2937"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052"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544"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491" w:type="dxa"/>
            <w:tcBorders>
              <w:top w:val="nil"/>
              <w:left w:val="nil"/>
              <w:bottom w:val="nil"/>
              <w:right w:val="single" w:sz="4" w:space="0" w:color="auto"/>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r>
      <w:tr w:rsidR="00D96E37"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D96E37" w:rsidRPr="00025376" w:rsidRDefault="00D96E37" w:rsidP="001C2CEC">
            <w:pPr>
              <w:jc w:val="center"/>
              <w:rPr>
                <w:sz w:val="20"/>
                <w:szCs w:val="20"/>
              </w:rPr>
            </w:pPr>
            <w:r w:rsidRPr="00025376">
              <w:rPr>
                <w:sz w:val="20"/>
                <w:szCs w:val="20"/>
              </w:rPr>
              <w:t>6</w:t>
            </w:r>
          </w:p>
        </w:tc>
        <w:tc>
          <w:tcPr>
            <w:tcW w:w="2937"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xml:space="preserve">    Income Taxes</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u w:val="single"/>
              </w:rPr>
            </w:pPr>
            <w:r w:rsidRPr="00025376">
              <w:rPr>
                <w:sz w:val="20"/>
                <w:szCs w:val="20"/>
                <w:u w:val="single"/>
              </w:rPr>
              <w:t xml:space="preserve">0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u w:val="single"/>
              </w:rPr>
            </w:pPr>
            <w:r w:rsidRPr="00025376">
              <w:rPr>
                <w:sz w:val="20"/>
                <w:szCs w:val="20"/>
                <w:u w:val="single"/>
              </w:rPr>
              <w:t xml:space="preserve">0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u w:val="single"/>
              </w:rPr>
            </w:pPr>
            <w:r w:rsidRPr="00025376">
              <w:rPr>
                <w:sz w:val="20"/>
                <w:szCs w:val="20"/>
                <w:u w:val="single"/>
              </w:rPr>
              <w:t xml:space="preserve">0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u w:val="single"/>
              </w:rPr>
            </w:pPr>
            <w:r w:rsidRPr="00025376">
              <w:rPr>
                <w:sz w:val="20"/>
                <w:szCs w:val="20"/>
                <w:u w:val="single"/>
              </w:rPr>
              <w:t xml:space="preserve">0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u w:val="single"/>
              </w:rPr>
            </w:pPr>
            <w:r w:rsidRPr="00025376">
              <w:rPr>
                <w:sz w:val="20"/>
                <w:szCs w:val="20"/>
                <w:u w:val="single"/>
              </w:rPr>
              <w:t xml:space="preserve">0 </w:t>
            </w:r>
          </w:p>
        </w:tc>
        <w:tc>
          <w:tcPr>
            <w:tcW w:w="1052"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u w:val="single"/>
              </w:rPr>
            </w:pPr>
            <w:r w:rsidRPr="00025376">
              <w:rPr>
                <w:sz w:val="20"/>
                <w:szCs w:val="20"/>
                <w:u w:val="single"/>
              </w:rPr>
              <w:t xml:space="preserve">0 </w:t>
            </w:r>
          </w:p>
        </w:tc>
        <w:tc>
          <w:tcPr>
            <w:tcW w:w="1544"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u w:val="single"/>
              </w:rPr>
            </w:pPr>
            <w:r w:rsidRPr="00025376">
              <w:rPr>
                <w:sz w:val="20"/>
                <w:szCs w:val="20"/>
                <w:u w:val="single"/>
              </w:rPr>
              <w:t xml:space="preserve">0 </w:t>
            </w:r>
          </w:p>
        </w:tc>
        <w:tc>
          <w:tcPr>
            <w:tcW w:w="491" w:type="dxa"/>
            <w:tcBorders>
              <w:top w:val="nil"/>
              <w:left w:val="nil"/>
              <w:bottom w:val="nil"/>
              <w:right w:val="single" w:sz="4" w:space="0" w:color="auto"/>
            </w:tcBorders>
            <w:shd w:val="clear" w:color="000000" w:fill="FFFFFF"/>
            <w:noWrap/>
            <w:vAlign w:val="bottom"/>
            <w:hideMark/>
          </w:tcPr>
          <w:p w:rsidR="00D96E37" w:rsidRPr="00025376" w:rsidRDefault="00D96E37" w:rsidP="001C2CEC">
            <w:pPr>
              <w:rPr>
                <w:sz w:val="20"/>
                <w:szCs w:val="20"/>
                <w:u w:val="single"/>
              </w:rPr>
            </w:pPr>
            <w:r w:rsidRPr="00025376">
              <w:rPr>
                <w:sz w:val="20"/>
                <w:szCs w:val="20"/>
                <w:u w:val="single"/>
              </w:rPr>
              <w:t> </w:t>
            </w:r>
          </w:p>
        </w:tc>
      </w:tr>
      <w:tr w:rsidR="00D96E37"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D96E37" w:rsidRPr="00025376" w:rsidRDefault="00D96E37" w:rsidP="001C2CEC">
            <w:pPr>
              <w:jc w:val="center"/>
              <w:rPr>
                <w:sz w:val="20"/>
                <w:szCs w:val="20"/>
              </w:rPr>
            </w:pPr>
            <w:r w:rsidRPr="00025376">
              <w:rPr>
                <w:sz w:val="20"/>
                <w:szCs w:val="20"/>
              </w:rPr>
              <w:t> </w:t>
            </w:r>
          </w:p>
        </w:tc>
        <w:tc>
          <w:tcPr>
            <w:tcW w:w="2937"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052"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544"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491" w:type="dxa"/>
            <w:tcBorders>
              <w:top w:val="nil"/>
              <w:left w:val="nil"/>
              <w:bottom w:val="nil"/>
              <w:right w:val="single" w:sz="4" w:space="0" w:color="auto"/>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r>
      <w:tr w:rsidR="00F71AF8"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F71AF8" w:rsidRPr="00025376" w:rsidRDefault="00F71AF8" w:rsidP="001C2CEC">
            <w:pPr>
              <w:jc w:val="center"/>
              <w:rPr>
                <w:sz w:val="20"/>
                <w:szCs w:val="20"/>
              </w:rPr>
            </w:pPr>
            <w:r w:rsidRPr="00025376">
              <w:rPr>
                <w:sz w:val="20"/>
                <w:szCs w:val="20"/>
              </w:rPr>
              <w:t>7</w:t>
            </w:r>
          </w:p>
        </w:tc>
        <w:tc>
          <w:tcPr>
            <w:tcW w:w="2937" w:type="dxa"/>
            <w:tcBorders>
              <w:top w:val="nil"/>
              <w:left w:val="nil"/>
              <w:bottom w:val="nil"/>
              <w:right w:val="nil"/>
            </w:tcBorders>
            <w:shd w:val="clear" w:color="000000" w:fill="FFFFFF"/>
            <w:noWrap/>
            <w:vAlign w:val="bottom"/>
            <w:hideMark/>
          </w:tcPr>
          <w:p w:rsidR="00F71AF8" w:rsidRPr="00025376" w:rsidRDefault="00F71AF8" w:rsidP="001C2CEC">
            <w:pPr>
              <w:rPr>
                <w:b/>
                <w:bCs/>
                <w:sz w:val="20"/>
                <w:szCs w:val="20"/>
              </w:rPr>
            </w:pPr>
            <w:r w:rsidRPr="00025376">
              <w:rPr>
                <w:b/>
                <w:bCs/>
                <w:sz w:val="20"/>
                <w:szCs w:val="20"/>
              </w:rPr>
              <w:t>Total Operating Expense</w:t>
            </w:r>
          </w:p>
        </w:tc>
        <w:tc>
          <w:tcPr>
            <w:tcW w:w="1259" w:type="dxa"/>
            <w:tcBorders>
              <w:top w:val="nil"/>
              <w:left w:val="nil"/>
              <w:bottom w:val="nil"/>
              <w:right w:val="nil"/>
            </w:tcBorders>
            <w:shd w:val="clear" w:color="000000" w:fill="FFFFFF"/>
            <w:noWrap/>
            <w:vAlign w:val="bottom"/>
            <w:hideMark/>
          </w:tcPr>
          <w:p w:rsidR="00F71AF8" w:rsidRPr="00025376" w:rsidRDefault="00F71AF8" w:rsidP="001C2CEC">
            <w:pPr>
              <w:jc w:val="right"/>
              <w:rPr>
                <w:sz w:val="20"/>
                <w:szCs w:val="20"/>
                <w:u w:val="single"/>
              </w:rPr>
            </w:pPr>
            <w:r w:rsidRPr="00025376">
              <w:rPr>
                <w:sz w:val="20"/>
                <w:szCs w:val="20"/>
                <w:u w:val="single"/>
              </w:rPr>
              <w:t xml:space="preserve">486,959 </w:t>
            </w:r>
          </w:p>
        </w:tc>
        <w:tc>
          <w:tcPr>
            <w:tcW w:w="1259" w:type="dxa"/>
            <w:tcBorders>
              <w:top w:val="nil"/>
              <w:left w:val="nil"/>
              <w:bottom w:val="nil"/>
              <w:right w:val="nil"/>
            </w:tcBorders>
            <w:shd w:val="clear" w:color="000000" w:fill="FFFFFF"/>
            <w:noWrap/>
            <w:vAlign w:val="bottom"/>
            <w:hideMark/>
          </w:tcPr>
          <w:p w:rsidR="00F71AF8" w:rsidRPr="00025376" w:rsidRDefault="00F71AF8" w:rsidP="001C2CEC">
            <w:pPr>
              <w:jc w:val="right"/>
              <w:rPr>
                <w:sz w:val="20"/>
                <w:szCs w:val="20"/>
                <w:u w:val="single"/>
              </w:rPr>
            </w:pPr>
            <w:r w:rsidRPr="00025376">
              <w:rPr>
                <w:sz w:val="20"/>
                <w:szCs w:val="20"/>
                <w:u w:val="single"/>
              </w:rPr>
              <w:t xml:space="preserve">34,552 </w:t>
            </w:r>
          </w:p>
        </w:tc>
        <w:tc>
          <w:tcPr>
            <w:tcW w:w="1259" w:type="dxa"/>
            <w:tcBorders>
              <w:top w:val="nil"/>
              <w:left w:val="nil"/>
              <w:bottom w:val="nil"/>
              <w:right w:val="nil"/>
            </w:tcBorders>
            <w:shd w:val="clear" w:color="000000" w:fill="FFFFFF"/>
            <w:noWrap/>
            <w:vAlign w:val="bottom"/>
            <w:hideMark/>
          </w:tcPr>
          <w:p w:rsidR="00F71AF8" w:rsidRPr="00025376" w:rsidRDefault="00F71AF8" w:rsidP="001C2CEC">
            <w:pPr>
              <w:jc w:val="right"/>
              <w:rPr>
                <w:sz w:val="20"/>
                <w:szCs w:val="20"/>
                <w:u w:val="single"/>
              </w:rPr>
            </w:pPr>
            <w:r w:rsidRPr="00025376">
              <w:rPr>
                <w:sz w:val="20"/>
                <w:szCs w:val="20"/>
                <w:u w:val="single"/>
              </w:rPr>
              <w:t xml:space="preserve">521,511 </w:t>
            </w:r>
          </w:p>
        </w:tc>
        <w:tc>
          <w:tcPr>
            <w:tcW w:w="1259" w:type="dxa"/>
            <w:tcBorders>
              <w:top w:val="nil"/>
              <w:left w:val="nil"/>
              <w:bottom w:val="nil"/>
              <w:right w:val="nil"/>
            </w:tcBorders>
            <w:shd w:val="clear" w:color="000000" w:fill="FFFFFF"/>
            <w:noWrap/>
            <w:vAlign w:val="bottom"/>
            <w:hideMark/>
          </w:tcPr>
          <w:p w:rsidR="00F71AF8" w:rsidRPr="00F71AF8" w:rsidRDefault="00F71AF8" w:rsidP="006945C6">
            <w:pPr>
              <w:jc w:val="right"/>
              <w:rPr>
                <w:sz w:val="20"/>
                <w:szCs w:val="20"/>
                <w:u w:val="single"/>
              </w:rPr>
            </w:pPr>
            <w:r w:rsidRPr="00F71AF8">
              <w:rPr>
                <w:sz w:val="20"/>
                <w:szCs w:val="20"/>
                <w:u w:val="single"/>
              </w:rPr>
              <w:t xml:space="preserve">18,722 </w:t>
            </w:r>
          </w:p>
        </w:tc>
        <w:tc>
          <w:tcPr>
            <w:tcW w:w="1259" w:type="dxa"/>
            <w:tcBorders>
              <w:top w:val="nil"/>
              <w:left w:val="nil"/>
              <w:bottom w:val="nil"/>
              <w:right w:val="nil"/>
            </w:tcBorders>
            <w:shd w:val="clear" w:color="000000" w:fill="FFFFFF"/>
            <w:noWrap/>
            <w:vAlign w:val="bottom"/>
            <w:hideMark/>
          </w:tcPr>
          <w:p w:rsidR="00F71AF8" w:rsidRPr="00F71AF8" w:rsidRDefault="00F71AF8" w:rsidP="006945C6">
            <w:pPr>
              <w:jc w:val="right"/>
              <w:rPr>
                <w:sz w:val="20"/>
                <w:szCs w:val="20"/>
                <w:u w:val="single"/>
              </w:rPr>
            </w:pPr>
            <w:r w:rsidRPr="00F71AF8">
              <w:rPr>
                <w:sz w:val="20"/>
                <w:szCs w:val="20"/>
                <w:u w:val="single"/>
              </w:rPr>
              <w:t xml:space="preserve">540,233 </w:t>
            </w:r>
          </w:p>
        </w:tc>
        <w:tc>
          <w:tcPr>
            <w:tcW w:w="1052" w:type="dxa"/>
            <w:tcBorders>
              <w:top w:val="nil"/>
              <w:left w:val="nil"/>
              <w:bottom w:val="nil"/>
              <w:right w:val="nil"/>
            </w:tcBorders>
            <w:shd w:val="clear" w:color="000000" w:fill="FFFFFF"/>
            <w:noWrap/>
            <w:vAlign w:val="bottom"/>
            <w:hideMark/>
          </w:tcPr>
          <w:p w:rsidR="00F71AF8" w:rsidRPr="00F71AF8" w:rsidRDefault="00F71AF8" w:rsidP="006945C6">
            <w:pPr>
              <w:jc w:val="right"/>
              <w:rPr>
                <w:sz w:val="20"/>
                <w:szCs w:val="20"/>
                <w:u w:val="single"/>
              </w:rPr>
            </w:pPr>
            <w:r w:rsidRPr="00F71AF8">
              <w:rPr>
                <w:sz w:val="20"/>
                <w:szCs w:val="20"/>
                <w:u w:val="single"/>
              </w:rPr>
              <w:t xml:space="preserve">10,738 </w:t>
            </w:r>
          </w:p>
        </w:tc>
        <w:tc>
          <w:tcPr>
            <w:tcW w:w="1544" w:type="dxa"/>
            <w:tcBorders>
              <w:top w:val="nil"/>
              <w:left w:val="nil"/>
              <w:bottom w:val="nil"/>
              <w:right w:val="nil"/>
            </w:tcBorders>
            <w:shd w:val="clear" w:color="000000" w:fill="FFFFFF"/>
            <w:noWrap/>
            <w:vAlign w:val="bottom"/>
            <w:hideMark/>
          </w:tcPr>
          <w:p w:rsidR="00F71AF8" w:rsidRPr="00F71AF8" w:rsidRDefault="00F71AF8" w:rsidP="006945C6">
            <w:pPr>
              <w:jc w:val="right"/>
              <w:rPr>
                <w:sz w:val="20"/>
                <w:szCs w:val="20"/>
                <w:u w:val="single"/>
              </w:rPr>
            </w:pPr>
            <w:r w:rsidRPr="00F71AF8">
              <w:rPr>
                <w:sz w:val="20"/>
                <w:szCs w:val="20"/>
                <w:u w:val="single"/>
              </w:rPr>
              <w:t xml:space="preserve">550,971 </w:t>
            </w:r>
          </w:p>
        </w:tc>
        <w:tc>
          <w:tcPr>
            <w:tcW w:w="491" w:type="dxa"/>
            <w:tcBorders>
              <w:top w:val="nil"/>
              <w:left w:val="nil"/>
              <w:bottom w:val="nil"/>
              <w:right w:val="single" w:sz="4" w:space="0" w:color="auto"/>
            </w:tcBorders>
            <w:shd w:val="clear" w:color="000000" w:fill="FFFFFF"/>
            <w:noWrap/>
            <w:vAlign w:val="bottom"/>
            <w:hideMark/>
          </w:tcPr>
          <w:p w:rsidR="00F71AF8" w:rsidRPr="00025376" w:rsidRDefault="00F71AF8" w:rsidP="001C2CEC">
            <w:pPr>
              <w:rPr>
                <w:sz w:val="20"/>
                <w:szCs w:val="20"/>
                <w:u w:val="single"/>
              </w:rPr>
            </w:pPr>
            <w:r w:rsidRPr="00025376">
              <w:rPr>
                <w:sz w:val="20"/>
                <w:szCs w:val="20"/>
                <w:u w:val="single"/>
              </w:rPr>
              <w:t> </w:t>
            </w:r>
          </w:p>
        </w:tc>
      </w:tr>
      <w:tr w:rsidR="00D96E37"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D96E37" w:rsidRPr="00025376" w:rsidRDefault="00D96E37" w:rsidP="001C2CEC">
            <w:pPr>
              <w:jc w:val="center"/>
              <w:rPr>
                <w:sz w:val="20"/>
                <w:szCs w:val="20"/>
              </w:rPr>
            </w:pPr>
            <w:r w:rsidRPr="00025376">
              <w:rPr>
                <w:sz w:val="20"/>
                <w:szCs w:val="20"/>
              </w:rPr>
              <w:t> </w:t>
            </w:r>
          </w:p>
        </w:tc>
        <w:tc>
          <w:tcPr>
            <w:tcW w:w="2937"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052"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544"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491" w:type="dxa"/>
            <w:tcBorders>
              <w:top w:val="nil"/>
              <w:left w:val="nil"/>
              <w:bottom w:val="nil"/>
              <w:right w:val="single" w:sz="4" w:space="0" w:color="auto"/>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r>
      <w:tr w:rsidR="006F53FA"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6F53FA" w:rsidRPr="00025376" w:rsidRDefault="006F53FA" w:rsidP="001C2CEC">
            <w:pPr>
              <w:jc w:val="center"/>
              <w:rPr>
                <w:sz w:val="20"/>
                <w:szCs w:val="20"/>
              </w:rPr>
            </w:pPr>
            <w:r w:rsidRPr="00025376">
              <w:rPr>
                <w:sz w:val="20"/>
                <w:szCs w:val="20"/>
              </w:rPr>
              <w:t>8</w:t>
            </w:r>
          </w:p>
        </w:tc>
        <w:tc>
          <w:tcPr>
            <w:tcW w:w="2937" w:type="dxa"/>
            <w:tcBorders>
              <w:top w:val="nil"/>
              <w:left w:val="nil"/>
              <w:bottom w:val="nil"/>
              <w:right w:val="nil"/>
            </w:tcBorders>
            <w:shd w:val="clear" w:color="000000" w:fill="FFFFFF"/>
            <w:noWrap/>
            <w:vAlign w:val="bottom"/>
            <w:hideMark/>
          </w:tcPr>
          <w:p w:rsidR="006F53FA" w:rsidRPr="00025376" w:rsidRDefault="006F53FA" w:rsidP="001C2CEC">
            <w:pPr>
              <w:rPr>
                <w:b/>
                <w:bCs/>
                <w:sz w:val="20"/>
                <w:szCs w:val="20"/>
              </w:rPr>
            </w:pPr>
            <w:r w:rsidRPr="00025376">
              <w:rPr>
                <w:b/>
                <w:bCs/>
                <w:sz w:val="20"/>
                <w:szCs w:val="20"/>
              </w:rPr>
              <w:t>Operating Income</w:t>
            </w:r>
          </w:p>
        </w:tc>
        <w:tc>
          <w:tcPr>
            <w:tcW w:w="1259" w:type="dxa"/>
            <w:tcBorders>
              <w:top w:val="nil"/>
              <w:left w:val="nil"/>
              <w:bottom w:val="nil"/>
              <w:right w:val="nil"/>
            </w:tcBorders>
            <w:shd w:val="clear" w:color="000000" w:fill="FFFFFF"/>
            <w:noWrap/>
            <w:vAlign w:val="bottom"/>
            <w:hideMark/>
          </w:tcPr>
          <w:p w:rsidR="006F53FA" w:rsidRPr="00025376" w:rsidRDefault="006F53FA" w:rsidP="001C2CEC">
            <w:pPr>
              <w:jc w:val="right"/>
              <w:rPr>
                <w:sz w:val="20"/>
                <w:szCs w:val="20"/>
                <w:u w:val="double"/>
              </w:rPr>
            </w:pPr>
            <w:r w:rsidRPr="00025376">
              <w:rPr>
                <w:sz w:val="20"/>
                <w:szCs w:val="20"/>
                <w:u w:val="double"/>
              </w:rPr>
              <w:t xml:space="preserve">$87,206 </w:t>
            </w:r>
          </w:p>
        </w:tc>
        <w:tc>
          <w:tcPr>
            <w:tcW w:w="1259" w:type="dxa"/>
            <w:tcBorders>
              <w:top w:val="nil"/>
              <w:left w:val="nil"/>
              <w:bottom w:val="nil"/>
              <w:right w:val="nil"/>
            </w:tcBorders>
            <w:shd w:val="clear" w:color="000000" w:fill="FFFFFF"/>
            <w:noWrap/>
            <w:vAlign w:val="bottom"/>
            <w:hideMark/>
          </w:tcPr>
          <w:p w:rsidR="006F53FA" w:rsidRPr="00025376" w:rsidRDefault="006F53FA" w:rsidP="001C2CEC">
            <w:pPr>
              <w:jc w:val="right"/>
              <w:rPr>
                <w:sz w:val="20"/>
                <w:szCs w:val="20"/>
                <w:u w:val="double"/>
              </w:rPr>
            </w:pPr>
            <w:r w:rsidRPr="00025376">
              <w:rPr>
                <w:sz w:val="20"/>
                <w:szCs w:val="20"/>
                <w:u w:val="double"/>
              </w:rPr>
              <w:t xml:space="preserve">$135,247 </w:t>
            </w:r>
          </w:p>
        </w:tc>
        <w:tc>
          <w:tcPr>
            <w:tcW w:w="1259" w:type="dxa"/>
            <w:tcBorders>
              <w:top w:val="nil"/>
              <w:left w:val="nil"/>
              <w:bottom w:val="nil"/>
              <w:right w:val="nil"/>
            </w:tcBorders>
            <w:shd w:val="clear" w:color="000000" w:fill="FFFFFF"/>
            <w:noWrap/>
            <w:vAlign w:val="bottom"/>
            <w:hideMark/>
          </w:tcPr>
          <w:p w:rsidR="006F53FA" w:rsidRPr="00025376" w:rsidRDefault="006F53FA" w:rsidP="001C2CEC">
            <w:pPr>
              <w:jc w:val="right"/>
              <w:rPr>
                <w:sz w:val="20"/>
                <w:szCs w:val="20"/>
                <w:u w:val="double"/>
              </w:rPr>
            </w:pPr>
            <w:r w:rsidRPr="00025376">
              <w:rPr>
                <w:sz w:val="20"/>
                <w:szCs w:val="20"/>
                <w:u w:val="double"/>
              </w:rPr>
              <w:t xml:space="preserve">$222,453 </w:t>
            </w:r>
          </w:p>
        </w:tc>
        <w:tc>
          <w:tcPr>
            <w:tcW w:w="1259" w:type="dxa"/>
            <w:tcBorders>
              <w:top w:val="nil"/>
              <w:left w:val="nil"/>
              <w:bottom w:val="nil"/>
              <w:right w:val="nil"/>
            </w:tcBorders>
            <w:shd w:val="clear" w:color="000000" w:fill="FFFFFF"/>
            <w:noWrap/>
            <w:vAlign w:val="bottom"/>
            <w:hideMark/>
          </w:tcPr>
          <w:p w:rsidR="006F53FA" w:rsidRPr="006F53FA" w:rsidRDefault="006F53FA" w:rsidP="006945C6">
            <w:pPr>
              <w:jc w:val="right"/>
              <w:rPr>
                <w:sz w:val="20"/>
                <w:szCs w:val="20"/>
                <w:u w:val="double"/>
              </w:rPr>
            </w:pPr>
            <w:r w:rsidRPr="006F53FA">
              <w:rPr>
                <w:sz w:val="20"/>
                <w:szCs w:val="20"/>
                <w:u w:val="double"/>
              </w:rPr>
              <w:t>($201,659)</w:t>
            </w:r>
          </w:p>
        </w:tc>
        <w:tc>
          <w:tcPr>
            <w:tcW w:w="1259" w:type="dxa"/>
            <w:tcBorders>
              <w:top w:val="nil"/>
              <w:left w:val="nil"/>
              <w:bottom w:val="nil"/>
              <w:right w:val="nil"/>
            </w:tcBorders>
            <w:shd w:val="clear" w:color="000000" w:fill="FFFFFF"/>
            <w:noWrap/>
            <w:vAlign w:val="bottom"/>
            <w:hideMark/>
          </w:tcPr>
          <w:p w:rsidR="006F53FA" w:rsidRPr="006F53FA" w:rsidRDefault="006F53FA" w:rsidP="006945C6">
            <w:pPr>
              <w:jc w:val="right"/>
              <w:rPr>
                <w:sz w:val="20"/>
                <w:szCs w:val="20"/>
                <w:u w:val="double"/>
              </w:rPr>
            </w:pPr>
            <w:r w:rsidRPr="006F53FA">
              <w:rPr>
                <w:sz w:val="20"/>
                <w:szCs w:val="20"/>
                <w:u w:val="double"/>
              </w:rPr>
              <w:t xml:space="preserve">$20,794 </w:t>
            </w:r>
          </w:p>
        </w:tc>
        <w:tc>
          <w:tcPr>
            <w:tcW w:w="1052" w:type="dxa"/>
            <w:tcBorders>
              <w:top w:val="nil"/>
              <w:left w:val="nil"/>
              <w:bottom w:val="nil"/>
              <w:right w:val="nil"/>
            </w:tcBorders>
            <w:shd w:val="clear" w:color="000000" w:fill="FFFFFF"/>
            <w:noWrap/>
            <w:vAlign w:val="bottom"/>
            <w:hideMark/>
          </w:tcPr>
          <w:p w:rsidR="006F53FA" w:rsidRPr="006F53FA" w:rsidRDefault="006F53FA" w:rsidP="006945C6">
            <w:pPr>
              <w:jc w:val="right"/>
              <w:rPr>
                <w:sz w:val="20"/>
                <w:szCs w:val="20"/>
                <w:u w:val="double"/>
              </w:rPr>
            </w:pPr>
            <w:r w:rsidRPr="006F53FA">
              <w:rPr>
                <w:sz w:val="20"/>
                <w:szCs w:val="20"/>
                <w:u w:val="double"/>
              </w:rPr>
              <w:t xml:space="preserve">$172,199 </w:t>
            </w:r>
          </w:p>
        </w:tc>
        <w:tc>
          <w:tcPr>
            <w:tcW w:w="1544" w:type="dxa"/>
            <w:tcBorders>
              <w:top w:val="nil"/>
              <w:left w:val="nil"/>
              <w:bottom w:val="nil"/>
              <w:right w:val="nil"/>
            </w:tcBorders>
            <w:shd w:val="clear" w:color="000000" w:fill="FFFFFF"/>
            <w:noWrap/>
            <w:vAlign w:val="bottom"/>
            <w:hideMark/>
          </w:tcPr>
          <w:p w:rsidR="006F53FA" w:rsidRPr="006F53FA" w:rsidRDefault="006F53FA" w:rsidP="006945C6">
            <w:pPr>
              <w:jc w:val="right"/>
              <w:rPr>
                <w:sz w:val="20"/>
                <w:szCs w:val="20"/>
                <w:u w:val="double"/>
              </w:rPr>
            </w:pPr>
            <w:r w:rsidRPr="006F53FA">
              <w:rPr>
                <w:sz w:val="20"/>
                <w:szCs w:val="20"/>
                <w:u w:val="double"/>
              </w:rPr>
              <w:t xml:space="preserve">$192,993 </w:t>
            </w:r>
          </w:p>
        </w:tc>
        <w:tc>
          <w:tcPr>
            <w:tcW w:w="491" w:type="dxa"/>
            <w:tcBorders>
              <w:top w:val="nil"/>
              <w:left w:val="nil"/>
              <w:bottom w:val="nil"/>
              <w:right w:val="single" w:sz="4" w:space="0" w:color="auto"/>
            </w:tcBorders>
            <w:shd w:val="clear" w:color="000000" w:fill="FFFFFF"/>
            <w:noWrap/>
            <w:vAlign w:val="bottom"/>
            <w:hideMark/>
          </w:tcPr>
          <w:p w:rsidR="006F53FA" w:rsidRPr="00025376" w:rsidRDefault="006F53FA" w:rsidP="001C2CEC">
            <w:pPr>
              <w:rPr>
                <w:sz w:val="20"/>
                <w:szCs w:val="20"/>
                <w:u w:val="double"/>
              </w:rPr>
            </w:pPr>
            <w:r w:rsidRPr="00025376">
              <w:rPr>
                <w:sz w:val="20"/>
                <w:szCs w:val="20"/>
                <w:u w:val="single"/>
              </w:rPr>
              <w:t> </w:t>
            </w:r>
          </w:p>
        </w:tc>
      </w:tr>
      <w:tr w:rsidR="00D96E37"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D96E37" w:rsidRPr="00025376" w:rsidRDefault="00D96E37" w:rsidP="001C2CEC">
            <w:pPr>
              <w:jc w:val="center"/>
              <w:rPr>
                <w:sz w:val="20"/>
                <w:szCs w:val="20"/>
              </w:rPr>
            </w:pPr>
            <w:r w:rsidRPr="00025376">
              <w:rPr>
                <w:sz w:val="20"/>
                <w:szCs w:val="20"/>
              </w:rPr>
              <w:t> </w:t>
            </w:r>
          </w:p>
        </w:tc>
        <w:tc>
          <w:tcPr>
            <w:tcW w:w="2937"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052"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544"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491" w:type="dxa"/>
            <w:tcBorders>
              <w:top w:val="nil"/>
              <w:left w:val="nil"/>
              <w:bottom w:val="nil"/>
              <w:right w:val="single" w:sz="4" w:space="0" w:color="auto"/>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r>
      <w:tr w:rsidR="00D96E37"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D96E37" w:rsidRPr="00025376" w:rsidRDefault="00D96E37" w:rsidP="001C2CEC">
            <w:pPr>
              <w:jc w:val="center"/>
              <w:rPr>
                <w:sz w:val="20"/>
                <w:szCs w:val="20"/>
              </w:rPr>
            </w:pPr>
            <w:r w:rsidRPr="00025376">
              <w:rPr>
                <w:sz w:val="20"/>
                <w:szCs w:val="20"/>
              </w:rPr>
              <w:t>9</w:t>
            </w:r>
          </w:p>
        </w:tc>
        <w:tc>
          <w:tcPr>
            <w:tcW w:w="2937" w:type="dxa"/>
            <w:tcBorders>
              <w:top w:val="nil"/>
              <w:left w:val="nil"/>
              <w:bottom w:val="nil"/>
              <w:right w:val="nil"/>
            </w:tcBorders>
            <w:shd w:val="clear" w:color="000000" w:fill="FFFFFF"/>
            <w:noWrap/>
            <w:vAlign w:val="bottom"/>
            <w:hideMark/>
          </w:tcPr>
          <w:p w:rsidR="00D96E37" w:rsidRPr="00025376" w:rsidRDefault="00D96E37" w:rsidP="001C2CEC">
            <w:pPr>
              <w:rPr>
                <w:b/>
                <w:bCs/>
                <w:sz w:val="20"/>
                <w:szCs w:val="20"/>
              </w:rPr>
            </w:pPr>
            <w:r w:rsidRPr="00025376">
              <w:rPr>
                <w:b/>
                <w:bCs/>
                <w:sz w:val="20"/>
                <w:szCs w:val="20"/>
              </w:rPr>
              <w:t>Rate Base</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u w:val="double"/>
              </w:rPr>
            </w:pPr>
            <w:r w:rsidRPr="00025376">
              <w:rPr>
                <w:sz w:val="20"/>
                <w:szCs w:val="20"/>
                <w:u w:val="double"/>
              </w:rPr>
              <w:t xml:space="preserve">$2,555,030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u w:val="double"/>
              </w:rPr>
            </w:pPr>
            <w:r w:rsidRPr="00025376">
              <w:rPr>
                <w:sz w:val="20"/>
                <w:szCs w:val="20"/>
                <w:u w:val="double"/>
              </w:rPr>
              <w:t xml:space="preserve">$3,010,098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u w:val="double"/>
              </w:rPr>
            </w:pPr>
            <w:r w:rsidRPr="00025376">
              <w:rPr>
                <w:sz w:val="20"/>
                <w:szCs w:val="20"/>
                <w:u w:val="double"/>
              </w:rPr>
              <w:t xml:space="preserve">$3,116,734 </w:t>
            </w:r>
          </w:p>
        </w:tc>
        <w:tc>
          <w:tcPr>
            <w:tcW w:w="1052"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544" w:type="dxa"/>
            <w:tcBorders>
              <w:top w:val="nil"/>
              <w:left w:val="nil"/>
              <w:bottom w:val="nil"/>
              <w:right w:val="nil"/>
            </w:tcBorders>
            <w:shd w:val="clear" w:color="000000" w:fill="FFFFFF"/>
            <w:noWrap/>
            <w:vAlign w:val="bottom"/>
            <w:hideMark/>
          </w:tcPr>
          <w:p w:rsidR="00D96E37" w:rsidRPr="00025376" w:rsidRDefault="00D96E37" w:rsidP="001C2CEC">
            <w:pPr>
              <w:jc w:val="right"/>
              <w:rPr>
                <w:sz w:val="20"/>
                <w:szCs w:val="20"/>
                <w:u w:val="double"/>
              </w:rPr>
            </w:pPr>
            <w:r w:rsidRPr="00025376">
              <w:rPr>
                <w:sz w:val="20"/>
                <w:szCs w:val="20"/>
                <w:u w:val="double"/>
              </w:rPr>
              <w:t xml:space="preserve">$3,116,734 </w:t>
            </w:r>
          </w:p>
        </w:tc>
        <w:tc>
          <w:tcPr>
            <w:tcW w:w="491" w:type="dxa"/>
            <w:tcBorders>
              <w:top w:val="nil"/>
              <w:left w:val="nil"/>
              <w:bottom w:val="nil"/>
              <w:right w:val="single" w:sz="4" w:space="0" w:color="auto"/>
            </w:tcBorders>
            <w:shd w:val="clear" w:color="000000" w:fill="FFFFFF"/>
            <w:noWrap/>
            <w:vAlign w:val="bottom"/>
            <w:hideMark/>
          </w:tcPr>
          <w:p w:rsidR="00D96E37" w:rsidRPr="00025376" w:rsidRDefault="00D96E37" w:rsidP="001C2CEC">
            <w:pPr>
              <w:rPr>
                <w:sz w:val="20"/>
                <w:szCs w:val="20"/>
                <w:u w:val="double"/>
              </w:rPr>
            </w:pPr>
            <w:r w:rsidRPr="00025376">
              <w:rPr>
                <w:sz w:val="20"/>
                <w:szCs w:val="20"/>
                <w:u w:val="single"/>
              </w:rPr>
              <w:t> </w:t>
            </w:r>
          </w:p>
        </w:tc>
      </w:tr>
      <w:tr w:rsidR="00D96E37"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D96E37" w:rsidRPr="00025376" w:rsidRDefault="00D96E37" w:rsidP="001C2CEC">
            <w:pPr>
              <w:jc w:val="center"/>
              <w:rPr>
                <w:sz w:val="20"/>
                <w:szCs w:val="20"/>
              </w:rPr>
            </w:pPr>
            <w:r w:rsidRPr="00025376">
              <w:rPr>
                <w:sz w:val="20"/>
                <w:szCs w:val="20"/>
              </w:rPr>
              <w:t> </w:t>
            </w:r>
          </w:p>
        </w:tc>
        <w:tc>
          <w:tcPr>
            <w:tcW w:w="2937"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052"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544" w:type="dxa"/>
            <w:tcBorders>
              <w:top w:val="nil"/>
              <w:left w:val="nil"/>
              <w:bottom w:val="nil"/>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491" w:type="dxa"/>
            <w:tcBorders>
              <w:top w:val="nil"/>
              <w:left w:val="nil"/>
              <w:bottom w:val="nil"/>
              <w:right w:val="single" w:sz="4" w:space="0" w:color="auto"/>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r>
      <w:tr w:rsidR="00E20462" w:rsidRPr="00025376" w:rsidTr="001C2CEC">
        <w:trPr>
          <w:trHeight w:val="291"/>
        </w:trPr>
        <w:tc>
          <w:tcPr>
            <w:tcW w:w="453" w:type="dxa"/>
            <w:tcBorders>
              <w:top w:val="nil"/>
              <w:left w:val="single" w:sz="4" w:space="0" w:color="auto"/>
              <w:bottom w:val="nil"/>
              <w:right w:val="nil"/>
            </w:tcBorders>
            <w:shd w:val="clear" w:color="000000" w:fill="FFFFFF"/>
            <w:noWrap/>
            <w:vAlign w:val="bottom"/>
            <w:hideMark/>
          </w:tcPr>
          <w:p w:rsidR="00E20462" w:rsidRPr="00025376" w:rsidRDefault="00E20462" w:rsidP="001C2CEC">
            <w:pPr>
              <w:jc w:val="center"/>
              <w:rPr>
                <w:sz w:val="20"/>
                <w:szCs w:val="20"/>
              </w:rPr>
            </w:pPr>
            <w:r w:rsidRPr="00025376">
              <w:rPr>
                <w:sz w:val="20"/>
                <w:szCs w:val="20"/>
              </w:rPr>
              <w:t>10</w:t>
            </w:r>
          </w:p>
        </w:tc>
        <w:tc>
          <w:tcPr>
            <w:tcW w:w="2937" w:type="dxa"/>
            <w:tcBorders>
              <w:top w:val="nil"/>
              <w:left w:val="nil"/>
              <w:bottom w:val="nil"/>
              <w:right w:val="nil"/>
            </w:tcBorders>
            <w:shd w:val="clear" w:color="000000" w:fill="FFFFFF"/>
            <w:noWrap/>
            <w:vAlign w:val="bottom"/>
            <w:hideMark/>
          </w:tcPr>
          <w:p w:rsidR="00E20462" w:rsidRPr="00025376" w:rsidRDefault="00E20462" w:rsidP="001C2CEC">
            <w:pPr>
              <w:rPr>
                <w:b/>
                <w:bCs/>
                <w:sz w:val="20"/>
                <w:szCs w:val="20"/>
              </w:rPr>
            </w:pPr>
            <w:r w:rsidRPr="00025376">
              <w:rPr>
                <w:b/>
                <w:bCs/>
                <w:sz w:val="20"/>
                <w:szCs w:val="20"/>
              </w:rPr>
              <w:t>Rate of Return</w:t>
            </w:r>
          </w:p>
        </w:tc>
        <w:tc>
          <w:tcPr>
            <w:tcW w:w="1259" w:type="dxa"/>
            <w:tcBorders>
              <w:top w:val="nil"/>
              <w:left w:val="nil"/>
              <w:bottom w:val="nil"/>
              <w:right w:val="nil"/>
            </w:tcBorders>
            <w:shd w:val="clear" w:color="000000" w:fill="FFFFFF"/>
            <w:noWrap/>
            <w:vAlign w:val="bottom"/>
            <w:hideMark/>
          </w:tcPr>
          <w:p w:rsidR="00E20462" w:rsidRPr="00025376" w:rsidRDefault="00E20462" w:rsidP="001C2CEC">
            <w:pPr>
              <w:jc w:val="right"/>
              <w:rPr>
                <w:sz w:val="20"/>
                <w:szCs w:val="20"/>
                <w:u w:val="double"/>
              </w:rPr>
            </w:pPr>
            <w:r w:rsidRPr="00025376">
              <w:rPr>
                <w:sz w:val="20"/>
                <w:szCs w:val="20"/>
                <w:u w:val="double"/>
              </w:rPr>
              <w:t>3.41%</w:t>
            </w:r>
          </w:p>
        </w:tc>
        <w:tc>
          <w:tcPr>
            <w:tcW w:w="1259" w:type="dxa"/>
            <w:tcBorders>
              <w:top w:val="nil"/>
              <w:left w:val="nil"/>
              <w:bottom w:val="nil"/>
              <w:right w:val="nil"/>
            </w:tcBorders>
            <w:shd w:val="clear" w:color="000000" w:fill="FFFFFF"/>
            <w:noWrap/>
            <w:vAlign w:val="bottom"/>
            <w:hideMark/>
          </w:tcPr>
          <w:p w:rsidR="00E20462" w:rsidRPr="00025376" w:rsidRDefault="00E20462"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E20462" w:rsidRPr="00025376" w:rsidRDefault="00E20462" w:rsidP="001C2CEC">
            <w:pPr>
              <w:jc w:val="right"/>
              <w:rPr>
                <w:sz w:val="20"/>
                <w:szCs w:val="20"/>
                <w:u w:val="double"/>
              </w:rPr>
            </w:pPr>
            <w:r w:rsidRPr="00025376">
              <w:rPr>
                <w:sz w:val="20"/>
                <w:szCs w:val="20"/>
                <w:u w:val="double"/>
              </w:rPr>
              <w:t>7.39%</w:t>
            </w:r>
          </w:p>
        </w:tc>
        <w:tc>
          <w:tcPr>
            <w:tcW w:w="1259" w:type="dxa"/>
            <w:tcBorders>
              <w:top w:val="nil"/>
              <w:left w:val="nil"/>
              <w:bottom w:val="nil"/>
              <w:right w:val="nil"/>
            </w:tcBorders>
            <w:shd w:val="clear" w:color="000000" w:fill="FFFFFF"/>
            <w:noWrap/>
            <w:vAlign w:val="bottom"/>
            <w:hideMark/>
          </w:tcPr>
          <w:p w:rsidR="00E20462" w:rsidRPr="00025376" w:rsidRDefault="00E20462" w:rsidP="001C2CEC">
            <w:pPr>
              <w:rPr>
                <w:sz w:val="20"/>
                <w:szCs w:val="20"/>
              </w:rPr>
            </w:pPr>
            <w:r w:rsidRPr="00025376">
              <w:rPr>
                <w:sz w:val="20"/>
                <w:szCs w:val="20"/>
              </w:rPr>
              <w:t> </w:t>
            </w:r>
          </w:p>
        </w:tc>
        <w:tc>
          <w:tcPr>
            <w:tcW w:w="1259" w:type="dxa"/>
            <w:tcBorders>
              <w:top w:val="nil"/>
              <w:left w:val="nil"/>
              <w:bottom w:val="nil"/>
              <w:right w:val="nil"/>
            </w:tcBorders>
            <w:shd w:val="clear" w:color="000000" w:fill="FFFFFF"/>
            <w:noWrap/>
            <w:vAlign w:val="bottom"/>
            <w:hideMark/>
          </w:tcPr>
          <w:p w:rsidR="00E20462" w:rsidRPr="00E20462" w:rsidRDefault="00E20462" w:rsidP="006945C6">
            <w:pPr>
              <w:jc w:val="right"/>
              <w:rPr>
                <w:sz w:val="20"/>
                <w:szCs w:val="20"/>
                <w:u w:val="double"/>
              </w:rPr>
            </w:pPr>
            <w:r w:rsidRPr="00E20462">
              <w:rPr>
                <w:sz w:val="20"/>
                <w:szCs w:val="20"/>
                <w:u w:val="double"/>
              </w:rPr>
              <w:t>0.67%</w:t>
            </w:r>
          </w:p>
        </w:tc>
        <w:tc>
          <w:tcPr>
            <w:tcW w:w="1052" w:type="dxa"/>
            <w:tcBorders>
              <w:top w:val="nil"/>
              <w:left w:val="nil"/>
              <w:bottom w:val="nil"/>
              <w:right w:val="nil"/>
            </w:tcBorders>
            <w:shd w:val="clear" w:color="000000" w:fill="FFFFFF"/>
            <w:noWrap/>
            <w:vAlign w:val="bottom"/>
            <w:hideMark/>
          </w:tcPr>
          <w:p w:rsidR="00E20462" w:rsidRPr="00E20462" w:rsidRDefault="00E20462" w:rsidP="006945C6">
            <w:pPr>
              <w:rPr>
                <w:sz w:val="20"/>
                <w:szCs w:val="20"/>
              </w:rPr>
            </w:pPr>
            <w:r w:rsidRPr="00E20462">
              <w:rPr>
                <w:sz w:val="20"/>
                <w:szCs w:val="20"/>
              </w:rPr>
              <w:t> </w:t>
            </w:r>
          </w:p>
        </w:tc>
        <w:tc>
          <w:tcPr>
            <w:tcW w:w="1544" w:type="dxa"/>
            <w:tcBorders>
              <w:top w:val="nil"/>
              <w:left w:val="nil"/>
              <w:bottom w:val="nil"/>
              <w:right w:val="nil"/>
            </w:tcBorders>
            <w:shd w:val="clear" w:color="000000" w:fill="FFFFFF"/>
            <w:noWrap/>
            <w:vAlign w:val="bottom"/>
            <w:hideMark/>
          </w:tcPr>
          <w:p w:rsidR="00E20462" w:rsidRPr="00E20462" w:rsidRDefault="00E20462" w:rsidP="006945C6">
            <w:pPr>
              <w:jc w:val="right"/>
              <w:rPr>
                <w:sz w:val="20"/>
                <w:szCs w:val="20"/>
                <w:u w:val="double"/>
              </w:rPr>
            </w:pPr>
            <w:r w:rsidRPr="00E20462">
              <w:rPr>
                <w:sz w:val="20"/>
                <w:szCs w:val="20"/>
                <w:u w:val="double"/>
              </w:rPr>
              <w:t>6.19%</w:t>
            </w:r>
          </w:p>
        </w:tc>
        <w:tc>
          <w:tcPr>
            <w:tcW w:w="491" w:type="dxa"/>
            <w:tcBorders>
              <w:top w:val="nil"/>
              <w:left w:val="nil"/>
              <w:bottom w:val="nil"/>
              <w:right w:val="single" w:sz="4" w:space="0" w:color="auto"/>
            </w:tcBorders>
            <w:shd w:val="clear" w:color="000000" w:fill="FFFFFF"/>
            <w:noWrap/>
            <w:vAlign w:val="bottom"/>
            <w:hideMark/>
          </w:tcPr>
          <w:p w:rsidR="00E20462" w:rsidRPr="00025376" w:rsidRDefault="00E20462" w:rsidP="001C2CEC">
            <w:pPr>
              <w:jc w:val="right"/>
              <w:rPr>
                <w:color w:val="000000"/>
                <w:sz w:val="20"/>
                <w:szCs w:val="20"/>
              </w:rPr>
            </w:pPr>
            <w:r w:rsidRPr="00025376">
              <w:rPr>
                <w:color w:val="000000"/>
                <w:sz w:val="20"/>
                <w:szCs w:val="20"/>
              </w:rPr>
              <w:t>(1)</w:t>
            </w:r>
          </w:p>
        </w:tc>
      </w:tr>
      <w:tr w:rsidR="00D96E37" w:rsidRPr="00025376" w:rsidTr="001C2CEC">
        <w:trPr>
          <w:trHeight w:val="291"/>
        </w:trPr>
        <w:tc>
          <w:tcPr>
            <w:tcW w:w="453" w:type="dxa"/>
            <w:tcBorders>
              <w:top w:val="nil"/>
              <w:left w:val="single" w:sz="4" w:space="0" w:color="auto"/>
              <w:bottom w:val="single" w:sz="4" w:space="0" w:color="auto"/>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2937" w:type="dxa"/>
            <w:tcBorders>
              <w:top w:val="nil"/>
              <w:left w:val="nil"/>
              <w:bottom w:val="single" w:sz="4" w:space="0" w:color="auto"/>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single" w:sz="4" w:space="0" w:color="auto"/>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single" w:sz="4" w:space="0" w:color="auto"/>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single" w:sz="4" w:space="0" w:color="auto"/>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single" w:sz="4" w:space="0" w:color="auto"/>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259" w:type="dxa"/>
            <w:tcBorders>
              <w:top w:val="nil"/>
              <w:left w:val="nil"/>
              <w:bottom w:val="single" w:sz="4" w:space="0" w:color="auto"/>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052" w:type="dxa"/>
            <w:tcBorders>
              <w:top w:val="nil"/>
              <w:left w:val="nil"/>
              <w:bottom w:val="single" w:sz="4" w:space="0" w:color="auto"/>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1544" w:type="dxa"/>
            <w:tcBorders>
              <w:top w:val="nil"/>
              <w:left w:val="nil"/>
              <w:bottom w:val="single" w:sz="4" w:space="0" w:color="auto"/>
              <w:right w:val="nil"/>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c>
          <w:tcPr>
            <w:tcW w:w="491" w:type="dxa"/>
            <w:tcBorders>
              <w:top w:val="nil"/>
              <w:left w:val="nil"/>
              <w:bottom w:val="single" w:sz="4" w:space="0" w:color="auto"/>
              <w:right w:val="single" w:sz="4" w:space="0" w:color="auto"/>
            </w:tcBorders>
            <w:shd w:val="clear" w:color="000000" w:fill="FFFFFF"/>
            <w:noWrap/>
            <w:vAlign w:val="bottom"/>
            <w:hideMark/>
          </w:tcPr>
          <w:p w:rsidR="00D96E37" w:rsidRPr="00025376" w:rsidRDefault="00D96E37" w:rsidP="001C2CEC">
            <w:pPr>
              <w:rPr>
                <w:sz w:val="20"/>
                <w:szCs w:val="20"/>
              </w:rPr>
            </w:pPr>
            <w:r w:rsidRPr="00025376">
              <w:rPr>
                <w:sz w:val="20"/>
                <w:szCs w:val="20"/>
              </w:rPr>
              <w:t> </w:t>
            </w:r>
          </w:p>
        </w:tc>
      </w:tr>
    </w:tbl>
    <w:p w:rsidR="0006580B" w:rsidRPr="00DC422B" w:rsidRDefault="0004176B" w:rsidP="00E275D8">
      <w:pPr>
        <w:pStyle w:val="BodyText"/>
        <w:numPr>
          <w:ilvl w:val="0"/>
          <w:numId w:val="12"/>
        </w:numPr>
        <w:rPr>
          <w:sz w:val="20"/>
          <w:szCs w:val="20"/>
        </w:rPr>
      </w:pPr>
      <w:r w:rsidRPr="00DC422B">
        <w:rPr>
          <w:sz w:val="20"/>
          <w:szCs w:val="20"/>
        </w:rPr>
        <w:t>Reflects the revenue requirement being limited, per Commission practice.</w:t>
      </w:r>
    </w:p>
    <w:p w:rsidR="0006580B" w:rsidRDefault="0006580B" w:rsidP="00E275D8">
      <w:pPr>
        <w:pStyle w:val="BodyText"/>
        <w:sectPr w:rsidR="0006580B" w:rsidSect="00EA2AF3">
          <w:headerReference w:type="default" r:id="rId23"/>
          <w:footerReference w:type="default" r:id="rId24"/>
          <w:pgSz w:w="15840" w:h="12240" w:orient="landscape" w:code="1"/>
          <w:pgMar w:top="1440" w:right="1584" w:bottom="1440" w:left="1440" w:header="720" w:footer="720" w:gutter="0"/>
          <w:cols w:space="720"/>
          <w:formProt w:val="0"/>
          <w:docGrid w:linePitch="360"/>
        </w:sectPr>
      </w:pPr>
    </w:p>
    <w:p w:rsidR="00AE2B27" w:rsidRDefault="0006580B" w:rsidP="00E275D8">
      <w:pPr>
        <w:pStyle w:val="BodyText"/>
      </w:pPr>
      <w:r>
        <w:lastRenderedPageBreak/>
        <w:fldChar w:fldCharType="begin"/>
      </w:r>
      <w:r>
        <w:instrText xml:space="preserve"> TC "</w:instrText>
      </w:r>
      <w:bookmarkStart w:id="53" w:name="_Toc24969910"/>
      <w:bookmarkStart w:id="54" w:name="_Toc35842866"/>
      <w:r>
        <w:tab/>
      </w:r>
      <w:bookmarkStart w:id="55" w:name="_Toc38467957"/>
      <w:r>
        <w:instrText>Schedule No. 3-B</w:instrText>
      </w:r>
      <w:bookmarkEnd w:id="53"/>
      <w:r>
        <w:instrText xml:space="preserve"> – Adjustment to Operating Income</w:instrText>
      </w:r>
      <w:bookmarkEnd w:id="54"/>
      <w:bookmarkEnd w:id="55"/>
      <w:r>
        <w:instrText xml:space="preserve">" \l 1 </w:instrText>
      </w:r>
      <w:r>
        <w:fldChar w:fldCharType="end"/>
      </w:r>
    </w:p>
    <w:tbl>
      <w:tblPr>
        <w:tblW w:w="7936" w:type="dxa"/>
        <w:jc w:val="center"/>
        <w:tblLook w:val="04A0" w:firstRow="1" w:lastRow="0" w:firstColumn="1" w:lastColumn="0" w:noHBand="0" w:noVBand="1"/>
      </w:tblPr>
      <w:tblGrid>
        <w:gridCol w:w="348"/>
        <w:gridCol w:w="4568"/>
        <w:gridCol w:w="316"/>
        <w:gridCol w:w="32"/>
        <w:gridCol w:w="316"/>
        <w:gridCol w:w="1742"/>
        <w:gridCol w:w="348"/>
        <w:gridCol w:w="266"/>
      </w:tblGrid>
      <w:tr w:rsidR="0020615B" w:rsidRPr="00025376" w:rsidTr="001C2CEC">
        <w:trPr>
          <w:trHeight w:val="255"/>
          <w:jc w:val="center"/>
        </w:trPr>
        <w:tc>
          <w:tcPr>
            <w:tcW w:w="348" w:type="dxa"/>
            <w:tcBorders>
              <w:top w:val="single" w:sz="4" w:space="0" w:color="auto"/>
              <w:left w:val="single" w:sz="4" w:space="0" w:color="auto"/>
              <w:bottom w:val="nil"/>
              <w:right w:val="nil"/>
            </w:tcBorders>
            <w:shd w:val="clear" w:color="000000" w:fill="FFFFFF"/>
            <w:noWrap/>
            <w:vAlign w:val="bottom"/>
            <w:hideMark/>
          </w:tcPr>
          <w:p w:rsidR="0020615B" w:rsidRPr="00025376" w:rsidRDefault="0020615B" w:rsidP="001C2CEC">
            <w:pPr>
              <w:rPr>
                <w:sz w:val="20"/>
                <w:szCs w:val="20"/>
              </w:rPr>
            </w:pPr>
            <w:bookmarkStart w:id="56" w:name="RANGE!B36:D71"/>
            <w:r w:rsidRPr="00025376">
              <w:rPr>
                <w:sz w:val="20"/>
                <w:szCs w:val="20"/>
              </w:rPr>
              <w:t> </w:t>
            </w:r>
            <w:bookmarkEnd w:id="56"/>
          </w:p>
        </w:tc>
        <w:tc>
          <w:tcPr>
            <w:tcW w:w="4916" w:type="dxa"/>
            <w:gridSpan w:val="3"/>
            <w:tcBorders>
              <w:top w:val="single" w:sz="4" w:space="0" w:color="auto"/>
              <w:left w:val="nil"/>
              <w:bottom w:val="nil"/>
              <w:right w:val="nil"/>
            </w:tcBorders>
            <w:shd w:val="clear" w:color="000000" w:fill="FFFFFF"/>
            <w:noWrap/>
            <w:vAlign w:val="bottom"/>
            <w:hideMark/>
          </w:tcPr>
          <w:p w:rsidR="0020615B" w:rsidRPr="00025376" w:rsidRDefault="0020615B" w:rsidP="001C2CEC">
            <w:pPr>
              <w:rPr>
                <w:b/>
                <w:bCs/>
                <w:sz w:val="20"/>
                <w:szCs w:val="20"/>
              </w:rPr>
            </w:pPr>
            <w:r w:rsidRPr="00025376">
              <w:rPr>
                <w:b/>
                <w:bCs/>
                <w:sz w:val="20"/>
                <w:szCs w:val="20"/>
              </w:rPr>
              <w:t>HC Waterworks</w:t>
            </w:r>
          </w:p>
        </w:tc>
        <w:tc>
          <w:tcPr>
            <w:tcW w:w="2672" w:type="dxa"/>
            <w:gridSpan w:val="4"/>
            <w:tcBorders>
              <w:top w:val="single" w:sz="4" w:space="0" w:color="auto"/>
              <w:left w:val="nil"/>
              <w:bottom w:val="nil"/>
              <w:right w:val="single" w:sz="4" w:space="0" w:color="000000"/>
            </w:tcBorders>
            <w:shd w:val="clear" w:color="000000" w:fill="FFFFFF"/>
            <w:noWrap/>
            <w:vAlign w:val="bottom"/>
            <w:hideMark/>
          </w:tcPr>
          <w:p w:rsidR="0020615B" w:rsidRPr="00025376" w:rsidRDefault="0020615B" w:rsidP="001C2CEC">
            <w:pPr>
              <w:jc w:val="right"/>
              <w:rPr>
                <w:b/>
                <w:bCs/>
                <w:sz w:val="20"/>
                <w:szCs w:val="20"/>
              </w:rPr>
            </w:pPr>
            <w:r w:rsidRPr="00025376">
              <w:rPr>
                <w:b/>
                <w:bCs/>
                <w:sz w:val="20"/>
                <w:szCs w:val="20"/>
              </w:rPr>
              <w:t>Schedule No. 3-B</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 </w:t>
            </w:r>
          </w:p>
        </w:tc>
        <w:tc>
          <w:tcPr>
            <w:tcW w:w="4916" w:type="dxa"/>
            <w:gridSpan w:val="3"/>
            <w:tcBorders>
              <w:top w:val="nil"/>
              <w:left w:val="nil"/>
              <w:bottom w:val="nil"/>
              <w:right w:val="nil"/>
            </w:tcBorders>
            <w:shd w:val="clear" w:color="000000" w:fill="FFFFFF"/>
            <w:noWrap/>
            <w:vAlign w:val="bottom"/>
            <w:hideMark/>
          </w:tcPr>
          <w:p w:rsidR="0020615B" w:rsidRPr="00025376" w:rsidRDefault="0020615B" w:rsidP="001C2CEC">
            <w:pPr>
              <w:rPr>
                <w:b/>
                <w:bCs/>
                <w:sz w:val="20"/>
                <w:szCs w:val="20"/>
              </w:rPr>
            </w:pPr>
            <w:r w:rsidRPr="00025376">
              <w:rPr>
                <w:b/>
                <w:bCs/>
                <w:sz w:val="20"/>
                <w:szCs w:val="20"/>
              </w:rPr>
              <w:t>Adjustment to Operating Income</w:t>
            </w:r>
          </w:p>
        </w:tc>
        <w:tc>
          <w:tcPr>
            <w:tcW w:w="2672" w:type="dxa"/>
            <w:gridSpan w:val="4"/>
            <w:tcBorders>
              <w:top w:val="nil"/>
              <w:left w:val="nil"/>
              <w:bottom w:val="nil"/>
              <w:right w:val="single" w:sz="4" w:space="0" w:color="000000"/>
            </w:tcBorders>
            <w:shd w:val="clear" w:color="000000" w:fill="FFFFFF"/>
            <w:noWrap/>
            <w:vAlign w:val="bottom"/>
            <w:hideMark/>
          </w:tcPr>
          <w:p w:rsidR="0020615B" w:rsidRPr="00025376" w:rsidRDefault="0020615B" w:rsidP="001C2CEC">
            <w:pPr>
              <w:jc w:val="right"/>
              <w:rPr>
                <w:b/>
                <w:bCs/>
                <w:sz w:val="20"/>
                <w:szCs w:val="20"/>
              </w:rPr>
            </w:pPr>
            <w:r w:rsidRPr="00025376">
              <w:rPr>
                <w:b/>
                <w:bCs/>
                <w:sz w:val="20"/>
                <w:szCs w:val="20"/>
              </w:rPr>
              <w:t>Docket No. 20190166-WS</w:t>
            </w:r>
          </w:p>
        </w:tc>
      </w:tr>
      <w:tr w:rsidR="0020615B" w:rsidRPr="00025376" w:rsidTr="001C2CEC">
        <w:trPr>
          <w:trHeight w:val="270"/>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 </w:t>
            </w:r>
          </w:p>
        </w:tc>
        <w:tc>
          <w:tcPr>
            <w:tcW w:w="4916" w:type="dxa"/>
            <w:gridSpan w:val="3"/>
            <w:tcBorders>
              <w:top w:val="nil"/>
              <w:left w:val="nil"/>
              <w:bottom w:val="nil"/>
              <w:right w:val="nil"/>
            </w:tcBorders>
            <w:shd w:val="clear" w:color="000000" w:fill="FFFFFF"/>
            <w:noWrap/>
            <w:vAlign w:val="bottom"/>
            <w:hideMark/>
          </w:tcPr>
          <w:p w:rsidR="0020615B" w:rsidRPr="00025376" w:rsidRDefault="0020615B" w:rsidP="001C2CEC">
            <w:pPr>
              <w:rPr>
                <w:b/>
                <w:bCs/>
                <w:sz w:val="20"/>
                <w:szCs w:val="20"/>
              </w:rPr>
            </w:pPr>
            <w:r w:rsidRPr="00025376">
              <w:rPr>
                <w:b/>
                <w:bCs/>
                <w:sz w:val="20"/>
                <w:szCs w:val="20"/>
              </w:rPr>
              <w:t>Test Year Ended 06/30/19</w:t>
            </w:r>
          </w:p>
        </w:tc>
        <w:tc>
          <w:tcPr>
            <w:tcW w:w="316" w:type="dxa"/>
            <w:tcBorders>
              <w:top w:val="nil"/>
              <w:left w:val="nil"/>
              <w:bottom w:val="nil"/>
              <w:right w:val="nil"/>
            </w:tcBorders>
            <w:shd w:val="clear" w:color="000000" w:fill="FFFFFF"/>
            <w:noWrap/>
            <w:vAlign w:val="bottom"/>
            <w:hideMark/>
          </w:tcPr>
          <w:p w:rsidR="0020615B" w:rsidRPr="00025376" w:rsidRDefault="0020615B" w:rsidP="001C2CEC">
            <w:pPr>
              <w:jc w:val="right"/>
              <w:rPr>
                <w:b/>
                <w:bCs/>
                <w:sz w:val="20"/>
                <w:szCs w:val="20"/>
              </w:rPr>
            </w:pPr>
            <w:r w:rsidRPr="00025376">
              <w:rPr>
                <w:b/>
                <w:bCs/>
                <w:sz w:val="20"/>
                <w:szCs w:val="20"/>
              </w:rPr>
              <w:t> </w:t>
            </w:r>
          </w:p>
        </w:tc>
        <w:tc>
          <w:tcPr>
            <w:tcW w:w="2090" w:type="dxa"/>
            <w:gridSpan w:val="2"/>
            <w:tcBorders>
              <w:top w:val="nil"/>
              <w:left w:val="nil"/>
              <w:bottom w:val="nil"/>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 </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single" w:sz="8" w:space="0" w:color="auto"/>
              <w:left w:val="single" w:sz="4" w:space="0" w:color="auto"/>
              <w:bottom w:val="nil"/>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 </w:t>
            </w:r>
          </w:p>
        </w:tc>
        <w:tc>
          <w:tcPr>
            <w:tcW w:w="4916" w:type="dxa"/>
            <w:gridSpan w:val="3"/>
            <w:tcBorders>
              <w:top w:val="single" w:sz="8" w:space="0" w:color="auto"/>
              <w:left w:val="nil"/>
              <w:bottom w:val="nil"/>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 </w:t>
            </w:r>
          </w:p>
        </w:tc>
        <w:tc>
          <w:tcPr>
            <w:tcW w:w="316" w:type="dxa"/>
            <w:tcBorders>
              <w:top w:val="single" w:sz="8" w:space="0" w:color="auto"/>
              <w:left w:val="nil"/>
              <w:bottom w:val="nil"/>
              <w:right w:val="nil"/>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single" w:sz="8" w:space="0" w:color="auto"/>
              <w:left w:val="nil"/>
              <w:bottom w:val="nil"/>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 </w:t>
            </w:r>
          </w:p>
        </w:tc>
        <w:tc>
          <w:tcPr>
            <w:tcW w:w="266" w:type="dxa"/>
            <w:tcBorders>
              <w:top w:val="single" w:sz="8" w:space="0" w:color="auto"/>
              <w:left w:val="nil"/>
              <w:bottom w:val="nil"/>
              <w:right w:val="single" w:sz="4" w:space="0" w:color="auto"/>
            </w:tcBorders>
            <w:shd w:val="clear" w:color="000000"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 </w:t>
            </w:r>
          </w:p>
        </w:tc>
        <w:tc>
          <w:tcPr>
            <w:tcW w:w="4916" w:type="dxa"/>
            <w:gridSpan w:val="3"/>
            <w:tcBorders>
              <w:top w:val="nil"/>
              <w:left w:val="nil"/>
              <w:bottom w:val="nil"/>
              <w:right w:val="nil"/>
            </w:tcBorders>
            <w:shd w:val="clear" w:color="000000" w:fill="FFFFFF"/>
            <w:noWrap/>
            <w:vAlign w:val="bottom"/>
            <w:hideMark/>
          </w:tcPr>
          <w:p w:rsidR="0020615B" w:rsidRPr="00025376" w:rsidRDefault="0020615B" w:rsidP="001C2CEC">
            <w:pPr>
              <w:rPr>
                <w:b/>
                <w:bCs/>
                <w:sz w:val="20"/>
                <w:szCs w:val="20"/>
              </w:rPr>
            </w:pPr>
            <w:r w:rsidRPr="00025376">
              <w:rPr>
                <w:b/>
                <w:bCs/>
                <w:sz w:val="20"/>
                <w:szCs w:val="20"/>
              </w:rPr>
              <w:t>Explanation</w:t>
            </w:r>
          </w:p>
        </w:tc>
        <w:tc>
          <w:tcPr>
            <w:tcW w:w="316" w:type="dxa"/>
            <w:tcBorders>
              <w:top w:val="nil"/>
              <w:left w:val="nil"/>
              <w:bottom w:val="nil"/>
              <w:right w:val="nil"/>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rsidR="0020615B" w:rsidRPr="00025376" w:rsidRDefault="0020615B" w:rsidP="001C2CEC">
            <w:pPr>
              <w:jc w:val="center"/>
              <w:rPr>
                <w:b/>
                <w:bCs/>
                <w:sz w:val="20"/>
                <w:szCs w:val="20"/>
              </w:rPr>
            </w:pPr>
            <w:r w:rsidRPr="00025376">
              <w:rPr>
                <w:b/>
                <w:bCs/>
                <w:sz w:val="20"/>
                <w:szCs w:val="20"/>
              </w:rPr>
              <w:t>Water</w:t>
            </w:r>
          </w:p>
        </w:tc>
        <w:tc>
          <w:tcPr>
            <w:tcW w:w="266" w:type="dxa"/>
            <w:tcBorders>
              <w:top w:val="nil"/>
              <w:left w:val="nil"/>
              <w:bottom w:val="nil"/>
              <w:right w:val="single" w:sz="4" w:space="0" w:color="auto"/>
            </w:tcBorders>
            <w:shd w:val="clear" w:color="000000"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70"/>
          <w:jc w:val="center"/>
        </w:trPr>
        <w:tc>
          <w:tcPr>
            <w:tcW w:w="348" w:type="dxa"/>
            <w:tcBorders>
              <w:top w:val="nil"/>
              <w:left w:val="single" w:sz="4" w:space="0" w:color="auto"/>
              <w:bottom w:val="single" w:sz="8" w:space="0" w:color="auto"/>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 </w:t>
            </w:r>
          </w:p>
        </w:tc>
        <w:tc>
          <w:tcPr>
            <w:tcW w:w="4916" w:type="dxa"/>
            <w:gridSpan w:val="3"/>
            <w:tcBorders>
              <w:top w:val="nil"/>
              <w:left w:val="nil"/>
              <w:bottom w:val="single" w:sz="8" w:space="0" w:color="auto"/>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 </w:t>
            </w:r>
          </w:p>
        </w:tc>
        <w:tc>
          <w:tcPr>
            <w:tcW w:w="316" w:type="dxa"/>
            <w:tcBorders>
              <w:top w:val="nil"/>
              <w:left w:val="nil"/>
              <w:bottom w:val="single" w:sz="8" w:space="0" w:color="auto"/>
              <w:right w:val="nil"/>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single" w:sz="8" w:space="0" w:color="auto"/>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 </w:t>
            </w:r>
          </w:p>
        </w:tc>
        <w:tc>
          <w:tcPr>
            <w:tcW w:w="266" w:type="dxa"/>
            <w:tcBorders>
              <w:top w:val="nil"/>
              <w:left w:val="nil"/>
              <w:bottom w:val="single" w:sz="8" w:space="0" w:color="auto"/>
              <w:right w:val="single" w:sz="4" w:space="0" w:color="auto"/>
            </w:tcBorders>
            <w:shd w:val="clear" w:color="000000"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 </w:t>
            </w:r>
          </w:p>
        </w:tc>
        <w:tc>
          <w:tcPr>
            <w:tcW w:w="4916" w:type="dxa"/>
            <w:gridSpan w:val="3"/>
            <w:tcBorders>
              <w:top w:val="nil"/>
              <w:left w:val="nil"/>
              <w:bottom w:val="nil"/>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 </w:t>
            </w:r>
          </w:p>
        </w:tc>
        <w:tc>
          <w:tcPr>
            <w:tcW w:w="316" w:type="dxa"/>
            <w:tcBorders>
              <w:top w:val="nil"/>
              <w:left w:val="nil"/>
              <w:bottom w:val="nil"/>
              <w:right w:val="nil"/>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 </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 </w:t>
            </w:r>
          </w:p>
        </w:tc>
        <w:tc>
          <w:tcPr>
            <w:tcW w:w="4916" w:type="dxa"/>
            <w:gridSpan w:val="3"/>
            <w:tcBorders>
              <w:top w:val="nil"/>
              <w:left w:val="nil"/>
              <w:bottom w:val="nil"/>
              <w:right w:val="nil"/>
            </w:tcBorders>
            <w:shd w:val="clear" w:color="000000" w:fill="FFFFFF"/>
            <w:noWrap/>
            <w:vAlign w:val="bottom"/>
            <w:hideMark/>
          </w:tcPr>
          <w:p w:rsidR="0020615B" w:rsidRPr="00025376" w:rsidRDefault="0020615B" w:rsidP="001C2CEC">
            <w:pPr>
              <w:rPr>
                <w:sz w:val="20"/>
                <w:szCs w:val="20"/>
                <w:u w:val="single"/>
              </w:rPr>
            </w:pPr>
            <w:r w:rsidRPr="00025376">
              <w:rPr>
                <w:sz w:val="20"/>
                <w:szCs w:val="20"/>
                <w:u w:val="single"/>
              </w:rPr>
              <w:t>Operating Revenues</w:t>
            </w:r>
          </w:p>
        </w:tc>
        <w:tc>
          <w:tcPr>
            <w:tcW w:w="316" w:type="dxa"/>
            <w:tcBorders>
              <w:top w:val="nil"/>
              <w:left w:val="nil"/>
              <w:bottom w:val="nil"/>
              <w:right w:val="nil"/>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 </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auto" w:fill="auto"/>
            <w:noWrap/>
            <w:vAlign w:val="bottom"/>
            <w:hideMark/>
          </w:tcPr>
          <w:p w:rsidR="0020615B" w:rsidRPr="00025376" w:rsidRDefault="0020615B" w:rsidP="001C2CEC">
            <w:pPr>
              <w:jc w:val="center"/>
              <w:rPr>
                <w:sz w:val="20"/>
                <w:szCs w:val="20"/>
              </w:rPr>
            </w:pPr>
            <w:r w:rsidRPr="00025376">
              <w:rPr>
                <w:sz w:val="20"/>
                <w:szCs w:val="20"/>
              </w:rPr>
              <w:t>1</w:t>
            </w:r>
          </w:p>
        </w:tc>
        <w:tc>
          <w:tcPr>
            <w:tcW w:w="4916" w:type="dxa"/>
            <w:gridSpan w:val="3"/>
            <w:tcBorders>
              <w:top w:val="nil"/>
              <w:left w:val="nil"/>
              <w:bottom w:val="nil"/>
              <w:right w:val="nil"/>
            </w:tcBorders>
            <w:shd w:val="clear" w:color="auto" w:fill="auto"/>
            <w:noWrap/>
            <w:vAlign w:val="bottom"/>
            <w:hideMark/>
          </w:tcPr>
          <w:p w:rsidR="0020615B" w:rsidRPr="00025376" w:rsidRDefault="0020615B" w:rsidP="001C2CEC">
            <w:pPr>
              <w:rPr>
                <w:sz w:val="20"/>
                <w:szCs w:val="20"/>
              </w:rPr>
            </w:pPr>
            <w:r w:rsidRPr="00025376">
              <w:rPr>
                <w:sz w:val="20"/>
                <w:szCs w:val="20"/>
              </w:rPr>
              <w:t>To remove the requested increase.</w:t>
            </w:r>
          </w:p>
        </w:tc>
        <w:tc>
          <w:tcPr>
            <w:tcW w:w="316" w:type="dxa"/>
            <w:tcBorders>
              <w:top w:val="nil"/>
              <w:left w:val="nil"/>
              <w:bottom w:val="nil"/>
              <w:right w:val="nil"/>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rsidR="0020615B" w:rsidRPr="00025376" w:rsidRDefault="0020615B" w:rsidP="001C2CEC">
            <w:pPr>
              <w:jc w:val="right"/>
              <w:rPr>
                <w:sz w:val="20"/>
                <w:szCs w:val="20"/>
              </w:rPr>
            </w:pPr>
            <w:r w:rsidRPr="00025376">
              <w:rPr>
                <w:sz w:val="20"/>
                <w:szCs w:val="20"/>
              </w:rPr>
              <w:t>($168,229)</w:t>
            </w:r>
          </w:p>
        </w:tc>
        <w:tc>
          <w:tcPr>
            <w:tcW w:w="266" w:type="dxa"/>
            <w:tcBorders>
              <w:top w:val="nil"/>
              <w:left w:val="nil"/>
              <w:bottom w:val="nil"/>
              <w:right w:val="single" w:sz="4" w:space="0" w:color="auto"/>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r>
      <w:tr w:rsidR="0020615B" w:rsidRPr="00025376" w:rsidTr="001C2CEC">
        <w:trPr>
          <w:trHeight w:val="300"/>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2</w:t>
            </w:r>
          </w:p>
        </w:tc>
        <w:tc>
          <w:tcPr>
            <w:tcW w:w="4916" w:type="dxa"/>
            <w:gridSpan w:val="3"/>
            <w:tcBorders>
              <w:top w:val="nil"/>
              <w:left w:val="nil"/>
              <w:bottom w:val="nil"/>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To reflect test year revenues.</w:t>
            </w:r>
          </w:p>
        </w:tc>
        <w:tc>
          <w:tcPr>
            <w:tcW w:w="316" w:type="dxa"/>
            <w:tcBorders>
              <w:top w:val="nil"/>
              <w:left w:val="nil"/>
              <w:bottom w:val="nil"/>
              <w:right w:val="nil"/>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rsidR="0020615B" w:rsidRPr="00025376" w:rsidRDefault="00E7518B" w:rsidP="001C2CEC">
            <w:pPr>
              <w:jc w:val="right"/>
              <w:rPr>
                <w:sz w:val="20"/>
                <w:szCs w:val="20"/>
                <w:u w:val="single"/>
              </w:rPr>
            </w:pPr>
            <w:r w:rsidRPr="00025376">
              <w:rPr>
                <w:sz w:val="20"/>
                <w:szCs w:val="20"/>
                <w:u w:val="single"/>
              </w:rPr>
              <w:t>(14,708)</w:t>
            </w:r>
          </w:p>
        </w:tc>
        <w:tc>
          <w:tcPr>
            <w:tcW w:w="266" w:type="dxa"/>
            <w:tcBorders>
              <w:top w:val="nil"/>
              <w:left w:val="nil"/>
              <w:bottom w:val="nil"/>
              <w:right w:val="single" w:sz="4" w:space="0" w:color="auto"/>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 </w:t>
            </w:r>
          </w:p>
        </w:tc>
        <w:tc>
          <w:tcPr>
            <w:tcW w:w="4916" w:type="dxa"/>
            <w:gridSpan w:val="3"/>
            <w:tcBorders>
              <w:top w:val="nil"/>
              <w:left w:val="nil"/>
              <w:bottom w:val="nil"/>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 xml:space="preserve">    Total</w:t>
            </w:r>
          </w:p>
        </w:tc>
        <w:tc>
          <w:tcPr>
            <w:tcW w:w="316" w:type="dxa"/>
            <w:tcBorders>
              <w:top w:val="nil"/>
              <w:left w:val="nil"/>
              <w:bottom w:val="nil"/>
              <w:right w:val="nil"/>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rsidR="0020615B" w:rsidRPr="00025376" w:rsidRDefault="0020615B" w:rsidP="001C2CEC">
            <w:pPr>
              <w:jc w:val="right"/>
              <w:rPr>
                <w:sz w:val="20"/>
                <w:szCs w:val="20"/>
                <w:u w:val="double"/>
              </w:rPr>
            </w:pPr>
            <w:r w:rsidRPr="00025376">
              <w:rPr>
                <w:sz w:val="20"/>
                <w:szCs w:val="20"/>
                <w:u w:val="double"/>
              </w:rPr>
              <w:t>($182,937)</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 </w:t>
            </w:r>
          </w:p>
        </w:tc>
        <w:tc>
          <w:tcPr>
            <w:tcW w:w="4916" w:type="dxa"/>
            <w:gridSpan w:val="3"/>
            <w:tcBorders>
              <w:top w:val="nil"/>
              <w:left w:val="nil"/>
              <w:bottom w:val="nil"/>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 </w:t>
            </w:r>
          </w:p>
        </w:tc>
        <w:tc>
          <w:tcPr>
            <w:tcW w:w="316" w:type="dxa"/>
            <w:tcBorders>
              <w:top w:val="nil"/>
              <w:left w:val="nil"/>
              <w:bottom w:val="nil"/>
              <w:right w:val="nil"/>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rsidR="0020615B" w:rsidRPr="00025376" w:rsidRDefault="0020615B" w:rsidP="001C2CEC">
            <w:pPr>
              <w:jc w:val="right"/>
              <w:rPr>
                <w:sz w:val="20"/>
                <w:szCs w:val="20"/>
              </w:rPr>
            </w:pPr>
            <w:r w:rsidRPr="00025376">
              <w:rPr>
                <w:sz w:val="20"/>
                <w:szCs w:val="20"/>
              </w:rPr>
              <w:t> </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 </w:t>
            </w:r>
          </w:p>
        </w:tc>
        <w:tc>
          <w:tcPr>
            <w:tcW w:w="4916" w:type="dxa"/>
            <w:gridSpan w:val="3"/>
            <w:tcBorders>
              <w:top w:val="nil"/>
              <w:left w:val="nil"/>
              <w:bottom w:val="nil"/>
              <w:right w:val="nil"/>
            </w:tcBorders>
            <w:shd w:val="clear" w:color="000000" w:fill="FFFFFF"/>
            <w:noWrap/>
            <w:vAlign w:val="bottom"/>
            <w:hideMark/>
          </w:tcPr>
          <w:p w:rsidR="0020615B" w:rsidRPr="00025376" w:rsidRDefault="0020615B" w:rsidP="001C2CEC">
            <w:pPr>
              <w:rPr>
                <w:sz w:val="20"/>
                <w:szCs w:val="20"/>
                <w:u w:val="single"/>
              </w:rPr>
            </w:pPr>
            <w:r w:rsidRPr="00025376">
              <w:rPr>
                <w:sz w:val="20"/>
                <w:szCs w:val="20"/>
                <w:u w:val="single"/>
              </w:rPr>
              <w:t>Operation and Maintenance Expense</w:t>
            </w:r>
          </w:p>
        </w:tc>
        <w:tc>
          <w:tcPr>
            <w:tcW w:w="316" w:type="dxa"/>
            <w:tcBorders>
              <w:top w:val="nil"/>
              <w:left w:val="nil"/>
              <w:bottom w:val="nil"/>
              <w:right w:val="nil"/>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rsidR="0020615B" w:rsidRPr="00025376" w:rsidRDefault="0020615B" w:rsidP="001C2CEC">
            <w:pPr>
              <w:jc w:val="right"/>
              <w:rPr>
                <w:sz w:val="20"/>
                <w:szCs w:val="20"/>
              </w:rPr>
            </w:pPr>
            <w:r w:rsidRPr="00025376">
              <w:rPr>
                <w:sz w:val="20"/>
                <w:szCs w:val="20"/>
              </w:rPr>
              <w:t> </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1</w:t>
            </w:r>
          </w:p>
        </w:tc>
        <w:tc>
          <w:tcPr>
            <w:tcW w:w="4916" w:type="dxa"/>
            <w:gridSpan w:val="3"/>
            <w:tcBorders>
              <w:top w:val="nil"/>
              <w:left w:val="nil"/>
              <w:bottom w:val="nil"/>
              <w:right w:val="nil"/>
            </w:tcBorders>
            <w:shd w:val="clear" w:color="000000" w:fill="FFFFFF"/>
            <w:noWrap/>
            <w:vAlign w:val="bottom"/>
          </w:tcPr>
          <w:p w:rsidR="0020615B" w:rsidRPr="00025376" w:rsidRDefault="0020615B" w:rsidP="001C2CEC">
            <w:pPr>
              <w:rPr>
                <w:color w:val="000000"/>
                <w:sz w:val="20"/>
                <w:szCs w:val="20"/>
              </w:rPr>
            </w:pPr>
            <w:r w:rsidRPr="00025376">
              <w:rPr>
                <w:sz w:val="20"/>
                <w:szCs w:val="20"/>
              </w:rPr>
              <w:t>To reflect EUW adjustment. (</w:t>
            </w:r>
            <w:proofErr w:type="spellStart"/>
            <w:r w:rsidRPr="00025376">
              <w:rPr>
                <w:sz w:val="20"/>
                <w:szCs w:val="20"/>
              </w:rPr>
              <w:t>Purch</w:t>
            </w:r>
            <w:proofErr w:type="spellEnd"/>
            <w:r w:rsidRPr="00025376">
              <w:rPr>
                <w:sz w:val="20"/>
                <w:szCs w:val="20"/>
              </w:rPr>
              <w:t>. Power &amp; Chem.)</w:t>
            </w:r>
          </w:p>
        </w:tc>
        <w:tc>
          <w:tcPr>
            <w:tcW w:w="316" w:type="dxa"/>
            <w:tcBorders>
              <w:top w:val="nil"/>
              <w:left w:val="nil"/>
              <w:bottom w:val="nil"/>
              <w:right w:val="nil"/>
            </w:tcBorders>
            <w:shd w:val="clear" w:color="000000" w:fill="FFFFFF"/>
            <w:noWrap/>
            <w:vAlign w:val="bottom"/>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tcPr>
          <w:p w:rsidR="0020615B" w:rsidRPr="00025376" w:rsidRDefault="0020615B" w:rsidP="001C2CEC">
            <w:pPr>
              <w:jc w:val="right"/>
              <w:rPr>
                <w:sz w:val="20"/>
                <w:szCs w:val="20"/>
              </w:rPr>
            </w:pPr>
            <w:r w:rsidRPr="00025376">
              <w:rPr>
                <w:sz w:val="20"/>
                <w:szCs w:val="20"/>
              </w:rPr>
              <w:t xml:space="preserve">             ($2,050)</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2</w:t>
            </w:r>
          </w:p>
        </w:tc>
        <w:tc>
          <w:tcPr>
            <w:tcW w:w="4916" w:type="dxa"/>
            <w:gridSpan w:val="3"/>
            <w:tcBorders>
              <w:top w:val="nil"/>
              <w:left w:val="nil"/>
              <w:bottom w:val="nil"/>
              <w:right w:val="nil"/>
            </w:tcBorders>
            <w:shd w:val="clear" w:color="000000" w:fill="FFFFFF"/>
            <w:noWrap/>
            <w:vAlign w:val="bottom"/>
          </w:tcPr>
          <w:p w:rsidR="0020615B" w:rsidRPr="00025376" w:rsidRDefault="0020615B" w:rsidP="001C2CEC">
            <w:pPr>
              <w:rPr>
                <w:sz w:val="20"/>
                <w:szCs w:val="20"/>
              </w:rPr>
            </w:pPr>
            <w:r w:rsidRPr="00025376">
              <w:rPr>
                <w:color w:val="000000"/>
                <w:sz w:val="20"/>
                <w:szCs w:val="20"/>
              </w:rPr>
              <w:t>To reflect appropriate pro forma chemicals expense.</w:t>
            </w:r>
          </w:p>
        </w:tc>
        <w:tc>
          <w:tcPr>
            <w:tcW w:w="316" w:type="dxa"/>
            <w:tcBorders>
              <w:top w:val="nil"/>
              <w:left w:val="nil"/>
              <w:bottom w:val="nil"/>
              <w:right w:val="nil"/>
            </w:tcBorders>
            <w:shd w:val="clear" w:color="000000" w:fill="FFFFFF"/>
            <w:noWrap/>
            <w:vAlign w:val="bottom"/>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tcPr>
          <w:p w:rsidR="0020615B" w:rsidRPr="00025376" w:rsidRDefault="0020615B" w:rsidP="001C2CEC">
            <w:pPr>
              <w:jc w:val="right"/>
              <w:rPr>
                <w:sz w:val="20"/>
                <w:szCs w:val="20"/>
              </w:rPr>
            </w:pPr>
            <w:r w:rsidRPr="00025376">
              <w:rPr>
                <w:sz w:val="20"/>
                <w:szCs w:val="20"/>
              </w:rPr>
              <w:t xml:space="preserve">               6,048 </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3</w:t>
            </w:r>
          </w:p>
        </w:tc>
        <w:tc>
          <w:tcPr>
            <w:tcW w:w="4916" w:type="dxa"/>
            <w:gridSpan w:val="3"/>
            <w:tcBorders>
              <w:top w:val="nil"/>
              <w:left w:val="nil"/>
              <w:bottom w:val="nil"/>
              <w:right w:val="nil"/>
            </w:tcBorders>
            <w:shd w:val="clear" w:color="000000" w:fill="FFFFFF"/>
            <w:noWrap/>
            <w:vAlign w:val="bottom"/>
          </w:tcPr>
          <w:p w:rsidR="0020615B" w:rsidRPr="00025376" w:rsidRDefault="0020615B" w:rsidP="001C2CEC">
            <w:pPr>
              <w:rPr>
                <w:color w:val="000000"/>
                <w:sz w:val="20"/>
                <w:szCs w:val="20"/>
              </w:rPr>
            </w:pPr>
            <w:r w:rsidRPr="00025376">
              <w:rPr>
                <w:sz w:val="20"/>
                <w:szCs w:val="20"/>
              </w:rPr>
              <w:t>To annualize increase in contractual services contract.</w:t>
            </w:r>
          </w:p>
        </w:tc>
        <w:tc>
          <w:tcPr>
            <w:tcW w:w="316" w:type="dxa"/>
            <w:tcBorders>
              <w:top w:val="nil"/>
              <w:left w:val="nil"/>
              <w:bottom w:val="nil"/>
              <w:right w:val="nil"/>
            </w:tcBorders>
            <w:shd w:val="clear" w:color="000000" w:fill="FFFFFF"/>
            <w:noWrap/>
            <w:vAlign w:val="bottom"/>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tcPr>
          <w:p w:rsidR="0020615B" w:rsidRPr="00025376" w:rsidRDefault="0020615B" w:rsidP="001C2CEC">
            <w:pPr>
              <w:jc w:val="right"/>
              <w:rPr>
                <w:sz w:val="20"/>
                <w:szCs w:val="20"/>
              </w:rPr>
            </w:pPr>
            <w:r w:rsidRPr="00025376">
              <w:rPr>
                <w:sz w:val="20"/>
                <w:szCs w:val="20"/>
              </w:rPr>
              <w:t xml:space="preserve">               9,936 </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4</w:t>
            </w:r>
          </w:p>
        </w:tc>
        <w:tc>
          <w:tcPr>
            <w:tcW w:w="4916" w:type="dxa"/>
            <w:gridSpan w:val="3"/>
            <w:tcBorders>
              <w:top w:val="nil"/>
              <w:left w:val="nil"/>
              <w:bottom w:val="nil"/>
              <w:right w:val="nil"/>
            </w:tcBorders>
            <w:shd w:val="clear" w:color="000000" w:fill="FFFFFF"/>
            <w:noWrap/>
            <w:vAlign w:val="bottom"/>
          </w:tcPr>
          <w:p w:rsidR="0020615B" w:rsidRPr="00025376" w:rsidRDefault="0020615B" w:rsidP="001C2CEC">
            <w:pPr>
              <w:rPr>
                <w:sz w:val="20"/>
                <w:szCs w:val="20"/>
              </w:rPr>
            </w:pPr>
            <w:r w:rsidRPr="00025376">
              <w:rPr>
                <w:sz w:val="20"/>
                <w:szCs w:val="20"/>
              </w:rPr>
              <w:t>To adjust pro forma bad debt expense.</w:t>
            </w:r>
          </w:p>
        </w:tc>
        <w:tc>
          <w:tcPr>
            <w:tcW w:w="316" w:type="dxa"/>
            <w:tcBorders>
              <w:top w:val="nil"/>
              <w:left w:val="nil"/>
              <w:bottom w:val="nil"/>
              <w:right w:val="nil"/>
            </w:tcBorders>
            <w:shd w:val="clear" w:color="000000" w:fill="FFFFFF"/>
            <w:noWrap/>
            <w:vAlign w:val="bottom"/>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tcPr>
          <w:p w:rsidR="0020615B" w:rsidRPr="00025376" w:rsidRDefault="0020615B" w:rsidP="001C2CEC">
            <w:pPr>
              <w:jc w:val="right"/>
              <w:rPr>
                <w:sz w:val="20"/>
                <w:szCs w:val="20"/>
              </w:rPr>
            </w:pPr>
            <w:r w:rsidRPr="00025376">
              <w:rPr>
                <w:sz w:val="20"/>
                <w:szCs w:val="20"/>
              </w:rPr>
              <w:t xml:space="preserve">             (3,432)</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5</w:t>
            </w:r>
          </w:p>
        </w:tc>
        <w:tc>
          <w:tcPr>
            <w:tcW w:w="4916" w:type="dxa"/>
            <w:gridSpan w:val="3"/>
            <w:tcBorders>
              <w:top w:val="nil"/>
              <w:left w:val="nil"/>
              <w:bottom w:val="nil"/>
              <w:right w:val="nil"/>
            </w:tcBorders>
            <w:shd w:val="clear" w:color="000000" w:fill="FFFFFF"/>
            <w:noWrap/>
            <w:vAlign w:val="bottom"/>
          </w:tcPr>
          <w:p w:rsidR="0020615B" w:rsidRPr="00025376" w:rsidRDefault="0020615B" w:rsidP="001C2CEC">
            <w:pPr>
              <w:rPr>
                <w:sz w:val="20"/>
                <w:szCs w:val="20"/>
              </w:rPr>
            </w:pPr>
            <w:r w:rsidRPr="00025376">
              <w:rPr>
                <w:color w:val="000000"/>
                <w:sz w:val="20"/>
                <w:szCs w:val="20"/>
              </w:rPr>
              <w:t xml:space="preserve">To remove </w:t>
            </w:r>
            <w:proofErr w:type="gramStart"/>
            <w:r w:rsidRPr="00025376">
              <w:rPr>
                <w:color w:val="000000"/>
                <w:sz w:val="20"/>
                <w:szCs w:val="20"/>
              </w:rPr>
              <w:t>wastewater permit</w:t>
            </w:r>
            <w:proofErr w:type="gramEnd"/>
            <w:r w:rsidRPr="00025376">
              <w:rPr>
                <w:color w:val="000000"/>
                <w:sz w:val="20"/>
                <w:szCs w:val="20"/>
              </w:rPr>
              <w:t xml:space="preserve"> expense.</w:t>
            </w:r>
          </w:p>
        </w:tc>
        <w:tc>
          <w:tcPr>
            <w:tcW w:w="316" w:type="dxa"/>
            <w:tcBorders>
              <w:top w:val="nil"/>
              <w:left w:val="nil"/>
              <w:bottom w:val="nil"/>
              <w:right w:val="nil"/>
            </w:tcBorders>
            <w:shd w:val="clear" w:color="000000" w:fill="FFFFFF"/>
            <w:noWrap/>
            <w:vAlign w:val="bottom"/>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tcPr>
          <w:p w:rsidR="0020615B" w:rsidRPr="00025376" w:rsidRDefault="0020615B" w:rsidP="001C2CEC">
            <w:pPr>
              <w:jc w:val="right"/>
              <w:rPr>
                <w:sz w:val="20"/>
                <w:szCs w:val="20"/>
              </w:rPr>
            </w:pPr>
            <w:r w:rsidRPr="00025376">
              <w:rPr>
                <w:sz w:val="20"/>
                <w:szCs w:val="20"/>
              </w:rPr>
              <w:t>($1,000)</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300"/>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6</w:t>
            </w:r>
          </w:p>
        </w:tc>
        <w:tc>
          <w:tcPr>
            <w:tcW w:w="4916" w:type="dxa"/>
            <w:gridSpan w:val="3"/>
            <w:tcBorders>
              <w:top w:val="nil"/>
              <w:left w:val="nil"/>
              <w:bottom w:val="nil"/>
              <w:right w:val="nil"/>
            </w:tcBorders>
            <w:shd w:val="clear" w:color="000000" w:fill="FFFFFF"/>
            <w:noWrap/>
            <w:vAlign w:val="bottom"/>
          </w:tcPr>
          <w:p w:rsidR="0020615B" w:rsidRPr="00025376" w:rsidRDefault="0020615B" w:rsidP="001C2CEC">
            <w:pPr>
              <w:rPr>
                <w:sz w:val="20"/>
                <w:szCs w:val="20"/>
              </w:rPr>
            </w:pPr>
            <w:r w:rsidRPr="00025376">
              <w:rPr>
                <w:sz w:val="20"/>
                <w:szCs w:val="20"/>
              </w:rPr>
              <w:t xml:space="preserve">To reflect the appropriate amount of rate case expense. </w:t>
            </w:r>
          </w:p>
        </w:tc>
        <w:tc>
          <w:tcPr>
            <w:tcW w:w="316" w:type="dxa"/>
            <w:tcBorders>
              <w:top w:val="nil"/>
              <w:left w:val="nil"/>
              <w:bottom w:val="nil"/>
              <w:right w:val="nil"/>
            </w:tcBorders>
            <w:shd w:val="clear" w:color="000000" w:fill="FFFFFF"/>
            <w:noWrap/>
            <w:vAlign w:val="bottom"/>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tcPr>
          <w:p w:rsidR="0020615B" w:rsidRPr="00025376" w:rsidRDefault="00E7518B" w:rsidP="001C2CEC">
            <w:pPr>
              <w:jc w:val="right"/>
              <w:rPr>
                <w:sz w:val="20"/>
                <w:szCs w:val="20"/>
                <w:u w:val="single"/>
              </w:rPr>
            </w:pPr>
            <w:r w:rsidRPr="00025376">
              <w:rPr>
                <w:sz w:val="20"/>
                <w:szCs w:val="20"/>
                <w:u w:val="single"/>
              </w:rPr>
              <w:t>493</w:t>
            </w:r>
            <w:r w:rsidR="0020615B" w:rsidRPr="00025376">
              <w:rPr>
                <w:sz w:val="20"/>
                <w:szCs w:val="20"/>
                <w:u w:val="single"/>
              </w:rPr>
              <w:t xml:space="preserve"> </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 </w:t>
            </w:r>
          </w:p>
        </w:tc>
        <w:tc>
          <w:tcPr>
            <w:tcW w:w="4916" w:type="dxa"/>
            <w:gridSpan w:val="3"/>
            <w:tcBorders>
              <w:top w:val="nil"/>
              <w:left w:val="nil"/>
              <w:bottom w:val="nil"/>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 xml:space="preserve">    Total</w:t>
            </w:r>
          </w:p>
        </w:tc>
        <w:tc>
          <w:tcPr>
            <w:tcW w:w="316" w:type="dxa"/>
            <w:tcBorders>
              <w:top w:val="nil"/>
              <w:left w:val="nil"/>
              <w:bottom w:val="nil"/>
              <w:right w:val="nil"/>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rsidR="0020615B" w:rsidRPr="00025376" w:rsidRDefault="0020615B" w:rsidP="001C2CEC">
            <w:pPr>
              <w:jc w:val="right"/>
              <w:rPr>
                <w:sz w:val="20"/>
                <w:szCs w:val="20"/>
                <w:u w:val="double"/>
              </w:rPr>
            </w:pPr>
            <w:r w:rsidRPr="00025376">
              <w:rPr>
                <w:sz w:val="20"/>
                <w:szCs w:val="20"/>
                <w:u w:val="double"/>
              </w:rPr>
              <w:t xml:space="preserve">$9,995 </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 </w:t>
            </w:r>
          </w:p>
        </w:tc>
        <w:tc>
          <w:tcPr>
            <w:tcW w:w="4916" w:type="dxa"/>
            <w:gridSpan w:val="3"/>
            <w:tcBorders>
              <w:top w:val="nil"/>
              <w:left w:val="nil"/>
              <w:bottom w:val="nil"/>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 </w:t>
            </w:r>
          </w:p>
        </w:tc>
        <w:tc>
          <w:tcPr>
            <w:tcW w:w="316" w:type="dxa"/>
            <w:tcBorders>
              <w:top w:val="nil"/>
              <w:left w:val="nil"/>
              <w:bottom w:val="nil"/>
              <w:right w:val="nil"/>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rsidR="0020615B" w:rsidRPr="00025376" w:rsidRDefault="0020615B" w:rsidP="001C2CEC">
            <w:pPr>
              <w:jc w:val="right"/>
              <w:rPr>
                <w:sz w:val="20"/>
                <w:szCs w:val="20"/>
              </w:rPr>
            </w:pPr>
            <w:r w:rsidRPr="00025376">
              <w:rPr>
                <w:sz w:val="20"/>
                <w:szCs w:val="20"/>
              </w:rPr>
              <w:t> </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 </w:t>
            </w:r>
          </w:p>
        </w:tc>
        <w:tc>
          <w:tcPr>
            <w:tcW w:w="4916" w:type="dxa"/>
            <w:gridSpan w:val="3"/>
            <w:tcBorders>
              <w:top w:val="nil"/>
              <w:left w:val="nil"/>
              <w:bottom w:val="nil"/>
              <w:right w:val="nil"/>
            </w:tcBorders>
            <w:shd w:val="clear" w:color="000000" w:fill="FFFFFF"/>
            <w:noWrap/>
            <w:vAlign w:val="bottom"/>
            <w:hideMark/>
          </w:tcPr>
          <w:p w:rsidR="0020615B" w:rsidRPr="00025376" w:rsidRDefault="0020615B" w:rsidP="001C2CEC">
            <w:pPr>
              <w:rPr>
                <w:sz w:val="20"/>
                <w:szCs w:val="20"/>
                <w:u w:val="single"/>
              </w:rPr>
            </w:pPr>
            <w:r w:rsidRPr="00025376">
              <w:rPr>
                <w:sz w:val="20"/>
                <w:szCs w:val="20"/>
                <w:u w:val="single"/>
              </w:rPr>
              <w:t>Depreciation Expense - Net</w:t>
            </w:r>
          </w:p>
        </w:tc>
        <w:tc>
          <w:tcPr>
            <w:tcW w:w="316" w:type="dxa"/>
            <w:tcBorders>
              <w:top w:val="nil"/>
              <w:left w:val="nil"/>
              <w:bottom w:val="nil"/>
              <w:right w:val="nil"/>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rsidR="0020615B" w:rsidRPr="00025376" w:rsidRDefault="0020615B" w:rsidP="001C2CEC">
            <w:pPr>
              <w:jc w:val="right"/>
              <w:rPr>
                <w:sz w:val="20"/>
                <w:szCs w:val="20"/>
              </w:rPr>
            </w:pPr>
            <w:r w:rsidRPr="00025376">
              <w:rPr>
                <w:sz w:val="20"/>
                <w:szCs w:val="20"/>
              </w:rPr>
              <w:t> </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1</w:t>
            </w:r>
          </w:p>
        </w:tc>
        <w:tc>
          <w:tcPr>
            <w:tcW w:w="4916" w:type="dxa"/>
            <w:gridSpan w:val="3"/>
            <w:tcBorders>
              <w:top w:val="nil"/>
              <w:left w:val="nil"/>
              <w:bottom w:val="nil"/>
              <w:right w:val="nil"/>
            </w:tcBorders>
            <w:shd w:val="clear" w:color="000000" w:fill="FFFFFF"/>
            <w:noWrap/>
            <w:vAlign w:val="bottom"/>
          </w:tcPr>
          <w:p w:rsidR="0020615B" w:rsidRPr="00025376" w:rsidRDefault="0020615B" w:rsidP="001C2CEC">
            <w:pPr>
              <w:rPr>
                <w:sz w:val="20"/>
                <w:szCs w:val="20"/>
              </w:rPr>
            </w:pPr>
            <w:r w:rsidRPr="00025376">
              <w:rPr>
                <w:sz w:val="20"/>
                <w:szCs w:val="20"/>
              </w:rPr>
              <w:t>Per Audit.</w:t>
            </w:r>
          </w:p>
        </w:tc>
        <w:tc>
          <w:tcPr>
            <w:tcW w:w="316" w:type="dxa"/>
            <w:tcBorders>
              <w:top w:val="nil"/>
              <w:left w:val="nil"/>
              <w:bottom w:val="nil"/>
              <w:right w:val="nil"/>
            </w:tcBorders>
            <w:shd w:val="clear" w:color="000000" w:fill="FFFFFF"/>
            <w:noWrap/>
            <w:vAlign w:val="bottom"/>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tcPr>
          <w:p w:rsidR="0020615B" w:rsidRPr="00025376" w:rsidRDefault="0020615B" w:rsidP="001C2CEC">
            <w:pPr>
              <w:jc w:val="right"/>
              <w:rPr>
                <w:sz w:val="20"/>
                <w:szCs w:val="20"/>
              </w:rPr>
            </w:pPr>
            <w:r w:rsidRPr="00025376">
              <w:rPr>
                <w:sz w:val="20"/>
                <w:szCs w:val="20"/>
              </w:rPr>
              <w:t>($261)</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2</w:t>
            </w:r>
          </w:p>
        </w:tc>
        <w:tc>
          <w:tcPr>
            <w:tcW w:w="4916" w:type="dxa"/>
            <w:gridSpan w:val="3"/>
            <w:tcBorders>
              <w:top w:val="nil"/>
              <w:left w:val="nil"/>
              <w:bottom w:val="nil"/>
              <w:right w:val="nil"/>
            </w:tcBorders>
            <w:shd w:val="clear" w:color="000000" w:fill="FFFFFF"/>
            <w:noWrap/>
            <w:vAlign w:val="bottom"/>
          </w:tcPr>
          <w:p w:rsidR="0020615B" w:rsidRPr="00025376" w:rsidRDefault="0020615B" w:rsidP="001C2CEC">
            <w:pPr>
              <w:rPr>
                <w:color w:val="000000"/>
                <w:sz w:val="20"/>
                <w:szCs w:val="20"/>
              </w:rPr>
            </w:pPr>
            <w:r w:rsidRPr="00025376">
              <w:rPr>
                <w:color w:val="000000"/>
                <w:sz w:val="20"/>
                <w:szCs w:val="20"/>
              </w:rPr>
              <w:t>To reflect test year adjustments to plant additions.</w:t>
            </w:r>
          </w:p>
        </w:tc>
        <w:tc>
          <w:tcPr>
            <w:tcW w:w="316" w:type="dxa"/>
            <w:tcBorders>
              <w:top w:val="nil"/>
              <w:left w:val="nil"/>
              <w:bottom w:val="nil"/>
              <w:right w:val="nil"/>
            </w:tcBorders>
            <w:shd w:val="clear" w:color="000000" w:fill="FFFFFF"/>
            <w:noWrap/>
            <w:vAlign w:val="bottom"/>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tcPr>
          <w:p w:rsidR="0020615B" w:rsidRPr="00025376" w:rsidRDefault="0020615B" w:rsidP="001C2CEC">
            <w:pPr>
              <w:jc w:val="right"/>
              <w:rPr>
                <w:sz w:val="20"/>
                <w:szCs w:val="20"/>
              </w:rPr>
            </w:pPr>
            <w:r w:rsidRPr="00025376">
              <w:rPr>
                <w:sz w:val="20"/>
                <w:szCs w:val="20"/>
              </w:rPr>
              <w:t xml:space="preserve">                  (74)</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3</w:t>
            </w:r>
          </w:p>
        </w:tc>
        <w:tc>
          <w:tcPr>
            <w:tcW w:w="4916" w:type="dxa"/>
            <w:gridSpan w:val="3"/>
            <w:tcBorders>
              <w:top w:val="nil"/>
              <w:left w:val="nil"/>
              <w:bottom w:val="nil"/>
              <w:right w:val="nil"/>
            </w:tcBorders>
            <w:shd w:val="clear" w:color="000000" w:fill="FFFFFF"/>
            <w:noWrap/>
            <w:vAlign w:val="bottom"/>
          </w:tcPr>
          <w:p w:rsidR="0020615B" w:rsidRPr="00025376" w:rsidRDefault="0020615B" w:rsidP="001C2CEC">
            <w:pPr>
              <w:rPr>
                <w:color w:val="000000"/>
                <w:sz w:val="20"/>
                <w:szCs w:val="20"/>
              </w:rPr>
            </w:pPr>
            <w:r w:rsidRPr="00025376">
              <w:rPr>
                <w:color w:val="000000"/>
                <w:sz w:val="20"/>
                <w:szCs w:val="20"/>
              </w:rPr>
              <w:t>To remove account with no plant balance.</w:t>
            </w:r>
          </w:p>
        </w:tc>
        <w:tc>
          <w:tcPr>
            <w:tcW w:w="316" w:type="dxa"/>
            <w:tcBorders>
              <w:top w:val="nil"/>
              <w:left w:val="nil"/>
              <w:bottom w:val="nil"/>
              <w:right w:val="nil"/>
            </w:tcBorders>
            <w:shd w:val="clear" w:color="000000" w:fill="FFFFFF"/>
            <w:noWrap/>
            <w:vAlign w:val="bottom"/>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tcPr>
          <w:p w:rsidR="0020615B" w:rsidRPr="00025376" w:rsidRDefault="0020615B" w:rsidP="001C2CEC">
            <w:pPr>
              <w:jc w:val="right"/>
              <w:rPr>
                <w:sz w:val="20"/>
                <w:szCs w:val="20"/>
              </w:rPr>
            </w:pPr>
            <w:r w:rsidRPr="00025376">
              <w:rPr>
                <w:sz w:val="20"/>
                <w:szCs w:val="20"/>
              </w:rPr>
              <w:t xml:space="preserve">             (1,389)</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4</w:t>
            </w:r>
          </w:p>
        </w:tc>
        <w:tc>
          <w:tcPr>
            <w:tcW w:w="4916" w:type="dxa"/>
            <w:gridSpan w:val="3"/>
            <w:tcBorders>
              <w:top w:val="nil"/>
              <w:left w:val="nil"/>
              <w:bottom w:val="nil"/>
              <w:right w:val="nil"/>
            </w:tcBorders>
            <w:shd w:val="clear" w:color="000000" w:fill="FFFFFF"/>
            <w:noWrap/>
            <w:vAlign w:val="bottom"/>
          </w:tcPr>
          <w:p w:rsidR="0020615B" w:rsidRPr="00025376" w:rsidRDefault="0020615B" w:rsidP="001C2CEC">
            <w:pPr>
              <w:rPr>
                <w:sz w:val="20"/>
                <w:szCs w:val="20"/>
              </w:rPr>
            </w:pPr>
            <w:r w:rsidRPr="00025376">
              <w:rPr>
                <w:sz w:val="20"/>
                <w:szCs w:val="20"/>
              </w:rPr>
              <w:t>To remove net depreciation on non-U&amp;U adjustment.</w:t>
            </w:r>
          </w:p>
        </w:tc>
        <w:tc>
          <w:tcPr>
            <w:tcW w:w="316" w:type="dxa"/>
            <w:tcBorders>
              <w:top w:val="nil"/>
              <w:left w:val="nil"/>
              <w:bottom w:val="nil"/>
              <w:right w:val="nil"/>
            </w:tcBorders>
            <w:shd w:val="clear" w:color="000000" w:fill="FFFFFF"/>
            <w:noWrap/>
            <w:vAlign w:val="bottom"/>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tcPr>
          <w:p w:rsidR="0020615B" w:rsidRPr="00025376" w:rsidRDefault="00E77778" w:rsidP="001C2CEC">
            <w:pPr>
              <w:jc w:val="right"/>
              <w:rPr>
                <w:sz w:val="20"/>
                <w:szCs w:val="20"/>
              </w:rPr>
            </w:pPr>
            <w:r>
              <w:rPr>
                <w:sz w:val="20"/>
                <w:szCs w:val="20"/>
              </w:rPr>
              <w:t xml:space="preserve">                    929</w:t>
            </w:r>
            <w:r w:rsidR="0020615B" w:rsidRPr="00025376">
              <w:rPr>
                <w:sz w:val="20"/>
                <w:szCs w:val="20"/>
              </w:rPr>
              <w:t xml:space="preserve"> </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300"/>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5</w:t>
            </w:r>
          </w:p>
        </w:tc>
        <w:tc>
          <w:tcPr>
            <w:tcW w:w="4916" w:type="dxa"/>
            <w:gridSpan w:val="3"/>
            <w:tcBorders>
              <w:top w:val="nil"/>
              <w:left w:val="nil"/>
              <w:bottom w:val="nil"/>
              <w:right w:val="nil"/>
            </w:tcBorders>
            <w:shd w:val="clear" w:color="000000" w:fill="FFFFFF"/>
            <w:noWrap/>
            <w:vAlign w:val="bottom"/>
          </w:tcPr>
          <w:p w:rsidR="0020615B" w:rsidRPr="00025376" w:rsidRDefault="0020615B" w:rsidP="001C2CEC">
            <w:pPr>
              <w:rPr>
                <w:sz w:val="20"/>
                <w:szCs w:val="20"/>
              </w:rPr>
            </w:pPr>
            <w:r w:rsidRPr="00025376">
              <w:rPr>
                <w:sz w:val="20"/>
                <w:szCs w:val="20"/>
              </w:rPr>
              <w:t>To reflect pro forma plant additions.</w:t>
            </w:r>
          </w:p>
        </w:tc>
        <w:tc>
          <w:tcPr>
            <w:tcW w:w="316" w:type="dxa"/>
            <w:tcBorders>
              <w:top w:val="nil"/>
              <w:left w:val="nil"/>
              <w:bottom w:val="nil"/>
              <w:right w:val="nil"/>
            </w:tcBorders>
            <w:shd w:val="clear" w:color="000000" w:fill="FFFFFF"/>
            <w:noWrap/>
            <w:vAlign w:val="bottom"/>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tcPr>
          <w:p w:rsidR="0020615B" w:rsidRPr="00025376" w:rsidRDefault="0020615B" w:rsidP="001C2CEC">
            <w:pPr>
              <w:jc w:val="right"/>
              <w:rPr>
                <w:sz w:val="20"/>
                <w:szCs w:val="20"/>
                <w:u w:val="single"/>
              </w:rPr>
            </w:pPr>
            <w:r w:rsidRPr="00025376">
              <w:rPr>
                <w:sz w:val="20"/>
                <w:szCs w:val="20"/>
                <w:u w:val="single"/>
              </w:rPr>
              <w:t xml:space="preserve">14,030 </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 </w:t>
            </w:r>
          </w:p>
        </w:tc>
        <w:tc>
          <w:tcPr>
            <w:tcW w:w="4916" w:type="dxa"/>
            <w:gridSpan w:val="3"/>
            <w:tcBorders>
              <w:top w:val="nil"/>
              <w:left w:val="nil"/>
              <w:bottom w:val="nil"/>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 xml:space="preserve">   Total</w:t>
            </w:r>
          </w:p>
        </w:tc>
        <w:tc>
          <w:tcPr>
            <w:tcW w:w="316" w:type="dxa"/>
            <w:tcBorders>
              <w:top w:val="nil"/>
              <w:left w:val="nil"/>
              <w:bottom w:val="nil"/>
              <w:right w:val="nil"/>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rsidR="0020615B" w:rsidRPr="00025376" w:rsidRDefault="00E77778" w:rsidP="001C2CEC">
            <w:pPr>
              <w:jc w:val="right"/>
              <w:rPr>
                <w:sz w:val="20"/>
                <w:szCs w:val="20"/>
                <w:u w:val="double"/>
              </w:rPr>
            </w:pPr>
            <w:r>
              <w:rPr>
                <w:sz w:val="20"/>
                <w:szCs w:val="20"/>
                <w:u w:val="double"/>
              </w:rPr>
              <w:t>$13,235</w:t>
            </w:r>
            <w:r w:rsidR="0020615B" w:rsidRPr="00025376">
              <w:rPr>
                <w:sz w:val="20"/>
                <w:szCs w:val="20"/>
                <w:u w:val="double"/>
              </w:rPr>
              <w:t xml:space="preserve"> </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 </w:t>
            </w:r>
          </w:p>
        </w:tc>
        <w:tc>
          <w:tcPr>
            <w:tcW w:w="4916" w:type="dxa"/>
            <w:gridSpan w:val="3"/>
            <w:tcBorders>
              <w:top w:val="nil"/>
              <w:left w:val="nil"/>
              <w:bottom w:val="nil"/>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 </w:t>
            </w:r>
          </w:p>
        </w:tc>
        <w:tc>
          <w:tcPr>
            <w:tcW w:w="316" w:type="dxa"/>
            <w:tcBorders>
              <w:top w:val="nil"/>
              <w:left w:val="nil"/>
              <w:bottom w:val="nil"/>
              <w:right w:val="nil"/>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rsidR="0020615B" w:rsidRPr="00025376" w:rsidRDefault="0020615B" w:rsidP="001C2CEC">
            <w:pPr>
              <w:jc w:val="right"/>
              <w:rPr>
                <w:sz w:val="20"/>
                <w:szCs w:val="20"/>
              </w:rPr>
            </w:pPr>
            <w:r w:rsidRPr="00025376">
              <w:rPr>
                <w:sz w:val="20"/>
                <w:szCs w:val="20"/>
              </w:rPr>
              <w:t> </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 </w:t>
            </w:r>
          </w:p>
        </w:tc>
        <w:tc>
          <w:tcPr>
            <w:tcW w:w="4916" w:type="dxa"/>
            <w:gridSpan w:val="3"/>
            <w:tcBorders>
              <w:top w:val="nil"/>
              <w:left w:val="nil"/>
              <w:bottom w:val="nil"/>
              <w:right w:val="nil"/>
            </w:tcBorders>
            <w:shd w:val="clear" w:color="000000" w:fill="FFFFFF"/>
            <w:noWrap/>
            <w:vAlign w:val="bottom"/>
            <w:hideMark/>
          </w:tcPr>
          <w:p w:rsidR="0020615B" w:rsidRPr="00025376" w:rsidRDefault="0020615B" w:rsidP="001C2CEC">
            <w:pPr>
              <w:rPr>
                <w:sz w:val="20"/>
                <w:szCs w:val="20"/>
                <w:u w:val="single"/>
              </w:rPr>
            </w:pPr>
            <w:r w:rsidRPr="00025376">
              <w:rPr>
                <w:sz w:val="20"/>
                <w:szCs w:val="20"/>
                <w:u w:val="single"/>
              </w:rPr>
              <w:t>Taxes Other Than Income</w:t>
            </w:r>
          </w:p>
        </w:tc>
        <w:tc>
          <w:tcPr>
            <w:tcW w:w="316" w:type="dxa"/>
            <w:tcBorders>
              <w:top w:val="nil"/>
              <w:left w:val="nil"/>
              <w:bottom w:val="nil"/>
              <w:right w:val="nil"/>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rsidR="0020615B" w:rsidRPr="00025376" w:rsidRDefault="0020615B" w:rsidP="001C2CEC">
            <w:pPr>
              <w:jc w:val="right"/>
              <w:rPr>
                <w:sz w:val="20"/>
                <w:szCs w:val="20"/>
              </w:rPr>
            </w:pPr>
            <w:r w:rsidRPr="00025376">
              <w:rPr>
                <w:sz w:val="20"/>
                <w:szCs w:val="20"/>
              </w:rPr>
              <w:t> </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1</w:t>
            </w:r>
          </w:p>
        </w:tc>
        <w:tc>
          <w:tcPr>
            <w:tcW w:w="4916" w:type="dxa"/>
            <w:gridSpan w:val="3"/>
            <w:tcBorders>
              <w:top w:val="nil"/>
              <w:left w:val="nil"/>
              <w:bottom w:val="nil"/>
              <w:right w:val="nil"/>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To reflect removal of revenue increase.</w:t>
            </w:r>
          </w:p>
        </w:tc>
        <w:tc>
          <w:tcPr>
            <w:tcW w:w="316" w:type="dxa"/>
            <w:tcBorders>
              <w:top w:val="nil"/>
              <w:left w:val="nil"/>
              <w:bottom w:val="nil"/>
              <w:right w:val="nil"/>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rsidR="0020615B" w:rsidRPr="00025376" w:rsidRDefault="0020615B" w:rsidP="001C2CEC">
            <w:pPr>
              <w:jc w:val="right"/>
              <w:rPr>
                <w:sz w:val="20"/>
                <w:szCs w:val="20"/>
              </w:rPr>
            </w:pPr>
            <w:r w:rsidRPr="00025376">
              <w:rPr>
                <w:sz w:val="20"/>
                <w:szCs w:val="20"/>
              </w:rPr>
              <w:t>($7,570)</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2</w:t>
            </w:r>
          </w:p>
        </w:tc>
        <w:tc>
          <w:tcPr>
            <w:tcW w:w="4916" w:type="dxa"/>
            <w:gridSpan w:val="3"/>
            <w:tcBorders>
              <w:top w:val="nil"/>
              <w:left w:val="nil"/>
              <w:bottom w:val="nil"/>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To reflect test year RAF's.</w:t>
            </w:r>
          </w:p>
        </w:tc>
        <w:tc>
          <w:tcPr>
            <w:tcW w:w="316" w:type="dxa"/>
            <w:tcBorders>
              <w:top w:val="nil"/>
              <w:left w:val="nil"/>
              <w:bottom w:val="nil"/>
              <w:right w:val="nil"/>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rsidR="0020615B" w:rsidRPr="00025376" w:rsidRDefault="0020615B" w:rsidP="001C2CEC">
            <w:pPr>
              <w:jc w:val="right"/>
              <w:rPr>
                <w:sz w:val="20"/>
                <w:szCs w:val="20"/>
              </w:rPr>
            </w:pPr>
            <w:r w:rsidRPr="00025376">
              <w:rPr>
                <w:sz w:val="20"/>
                <w:szCs w:val="20"/>
              </w:rPr>
              <w:t xml:space="preserve">                (662)</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3</w:t>
            </w:r>
          </w:p>
        </w:tc>
        <w:tc>
          <w:tcPr>
            <w:tcW w:w="4916" w:type="dxa"/>
            <w:gridSpan w:val="3"/>
            <w:tcBorders>
              <w:top w:val="nil"/>
              <w:left w:val="nil"/>
              <w:bottom w:val="nil"/>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To reflect property tax on non-used and useful plant.</w:t>
            </w:r>
          </w:p>
        </w:tc>
        <w:tc>
          <w:tcPr>
            <w:tcW w:w="316" w:type="dxa"/>
            <w:tcBorders>
              <w:top w:val="nil"/>
              <w:left w:val="nil"/>
              <w:bottom w:val="nil"/>
              <w:right w:val="nil"/>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rsidR="0020615B" w:rsidRPr="00025376" w:rsidRDefault="0020615B" w:rsidP="001C2CEC">
            <w:pPr>
              <w:jc w:val="right"/>
              <w:rPr>
                <w:sz w:val="20"/>
                <w:szCs w:val="20"/>
              </w:rPr>
            </w:pPr>
            <w:r w:rsidRPr="00025376">
              <w:rPr>
                <w:sz w:val="20"/>
                <w:szCs w:val="20"/>
              </w:rPr>
              <w:t xml:space="preserve">                504</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RPr="00025376" w:rsidTr="001C2CEC">
        <w:trPr>
          <w:trHeight w:val="300"/>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4</w:t>
            </w:r>
          </w:p>
        </w:tc>
        <w:tc>
          <w:tcPr>
            <w:tcW w:w="4916" w:type="dxa"/>
            <w:gridSpan w:val="3"/>
            <w:tcBorders>
              <w:top w:val="nil"/>
              <w:left w:val="nil"/>
              <w:bottom w:val="nil"/>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To reflect additional property taxes for pro forma plant.</w:t>
            </w:r>
          </w:p>
        </w:tc>
        <w:tc>
          <w:tcPr>
            <w:tcW w:w="316" w:type="dxa"/>
            <w:tcBorders>
              <w:top w:val="nil"/>
              <w:left w:val="nil"/>
              <w:bottom w:val="nil"/>
              <w:right w:val="nil"/>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rsidR="0020615B" w:rsidRPr="00025376" w:rsidRDefault="00E7518B" w:rsidP="001C2CEC">
            <w:pPr>
              <w:jc w:val="right"/>
              <w:rPr>
                <w:sz w:val="20"/>
                <w:szCs w:val="20"/>
                <w:u w:val="single"/>
              </w:rPr>
            </w:pPr>
            <w:r w:rsidRPr="00025376">
              <w:rPr>
                <w:sz w:val="20"/>
                <w:szCs w:val="20"/>
                <w:u w:val="single"/>
              </w:rPr>
              <w:t>3,219</w:t>
            </w:r>
            <w:r w:rsidR="0020615B" w:rsidRPr="00025376">
              <w:rPr>
                <w:sz w:val="20"/>
                <w:szCs w:val="20"/>
                <w:u w:val="single"/>
              </w:rPr>
              <w:t xml:space="preserve"> </w:t>
            </w:r>
          </w:p>
        </w:tc>
        <w:tc>
          <w:tcPr>
            <w:tcW w:w="266" w:type="dxa"/>
            <w:tcBorders>
              <w:top w:val="nil"/>
              <w:left w:val="nil"/>
              <w:bottom w:val="nil"/>
              <w:right w:val="single" w:sz="4" w:space="0" w:color="auto"/>
            </w:tcBorders>
            <w:shd w:val="clear" w:color="auto" w:fill="auto"/>
            <w:noWrap/>
            <w:vAlign w:val="bottom"/>
            <w:hideMark/>
          </w:tcPr>
          <w:p w:rsidR="0020615B" w:rsidRPr="00025376" w:rsidRDefault="0020615B" w:rsidP="001C2CEC">
            <w:pPr>
              <w:rPr>
                <w:sz w:val="20"/>
                <w:szCs w:val="20"/>
              </w:rPr>
            </w:pPr>
            <w:r w:rsidRPr="00025376">
              <w:rPr>
                <w:sz w:val="20"/>
                <w:szCs w:val="20"/>
              </w:rPr>
              <w:t> </w:t>
            </w:r>
          </w:p>
        </w:tc>
      </w:tr>
      <w:tr w:rsidR="0020615B"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Pr="00025376" w:rsidRDefault="0020615B" w:rsidP="001C2CEC">
            <w:pPr>
              <w:jc w:val="center"/>
              <w:rPr>
                <w:sz w:val="20"/>
                <w:szCs w:val="20"/>
              </w:rPr>
            </w:pPr>
            <w:r w:rsidRPr="00025376">
              <w:rPr>
                <w:sz w:val="20"/>
                <w:szCs w:val="20"/>
              </w:rPr>
              <w:t> </w:t>
            </w:r>
          </w:p>
        </w:tc>
        <w:tc>
          <w:tcPr>
            <w:tcW w:w="4916" w:type="dxa"/>
            <w:gridSpan w:val="3"/>
            <w:tcBorders>
              <w:top w:val="nil"/>
              <w:left w:val="nil"/>
              <w:bottom w:val="nil"/>
              <w:right w:val="nil"/>
            </w:tcBorders>
            <w:shd w:val="clear" w:color="000000" w:fill="FFFFFF"/>
            <w:noWrap/>
            <w:vAlign w:val="bottom"/>
            <w:hideMark/>
          </w:tcPr>
          <w:p w:rsidR="0020615B" w:rsidRPr="00025376" w:rsidRDefault="0020615B" w:rsidP="001C2CEC">
            <w:pPr>
              <w:rPr>
                <w:sz w:val="20"/>
                <w:szCs w:val="20"/>
              </w:rPr>
            </w:pPr>
            <w:r w:rsidRPr="00025376">
              <w:rPr>
                <w:sz w:val="20"/>
                <w:szCs w:val="20"/>
              </w:rPr>
              <w:t xml:space="preserve">    Total</w:t>
            </w:r>
          </w:p>
        </w:tc>
        <w:tc>
          <w:tcPr>
            <w:tcW w:w="316" w:type="dxa"/>
            <w:tcBorders>
              <w:top w:val="nil"/>
              <w:left w:val="nil"/>
              <w:bottom w:val="nil"/>
              <w:right w:val="nil"/>
            </w:tcBorders>
            <w:shd w:val="clear" w:color="000000" w:fill="FFFFFF"/>
            <w:noWrap/>
            <w:vAlign w:val="bottom"/>
            <w:hideMark/>
          </w:tcPr>
          <w:p w:rsidR="0020615B" w:rsidRPr="00025376" w:rsidRDefault="0020615B" w:rsidP="001C2CEC">
            <w:pPr>
              <w:rPr>
                <w:color w:val="000000"/>
                <w:sz w:val="20"/>
                <w:szCs w:val="20"/>
              </w:rPr>
            </w:pPr>
            <w:r w:rsidRPr="00025376">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rsidR="0020615B" w:rsidRDefault="0020615B" w:rsidP="001C2CEC">
            <w:pPr>
              <w:jc w:val="right"/>
              <w:rPr>
                <w:sz w:val="20"/>
                <w:szCs w:val="20"/>
                <w:u w:val="double"/>
              </w:rPr>
            </w:pPr>
            <w:r w:rsidRPr="00025376">
              <w:rPr>
                <w:sz w:val="20"/>
                <w:szCs w:val="20"/>
                <w:u w:val="double"/>
              </w:rPr>
              <w:t>($4,509)</w:t>
            </w:r>
          </w:p>
        </w:tc>
        <w:tc>
          <w:tcPr>
            <w:tcW w:w="266" w:type="dxa"/>
            <w:tcBorders>
              <w:top w:val="nil"/>
              <w:left w:val="nil"/>
              <w:bottom w:val="nil"/>
              <w:right w:val="single" w:sz="4" w:space="0" w:color="auto"/>
            </w:tcBorders>
            <w:shd w:val="clear" w:color="auto" w:fill="auto"/>
            <w:noWrap/>
            <w:vAlign w:val="bottom"/>
            <w:hideMark/>
          </w:tcPr>
          <w:p w:rsidR="0020615B" w:rsidRDefault="0020615B" w:rsidP="001C2CEC">
            <w:pPr>
              <w:rPr>
                <w:sz w:val="20"/>
                <w:szCs w:val="20"/>
              </w:rPr>
            </w:pPr>
            <w:r>
              <w:rPr>
                <w:sz w:val="20"/>
                <w:szCs w:val="20"/>
              </w:rPr>
              <w:t> </w:t>
            </w:r>
          </w:p>
        </w:tc>
      </w:tr>
      <w:tr w:rsidR="0020615B" w:rsidTr="001C2CEC">
        <w:trPr>
          <w:trHeight w:val="255"/>
          <w:jc w:val="center"/>
        </w:trPr>
        <w:tc>
          <w:tcPr>
            <w:tcW w:w="348" w:type="dxa"/>
            <w:tcBorders>
              <w:top w:val="nil"/>
              <w:left w:val="single" w:sz="4" w:space="0" w:color="auto"/>
              <w:bottom w:val="nil"/>
              <w:right w:val="nil"/>
            </w:tcBorders>
            <w:shd w:val="clear" w:color="000000" w:fill="FFFFFF"/>
            <w:noWrap/>
            <w:vAlign w:val="bottom"/>
            <w:hideMark/>
          </w:tcPr>
          <w:p w:rsidR="0020615B" w:rsidRDefault="0020615B" w:rsidP="001C2CEC">
            <w:pPr>
              <w:jc w:val="center"/>
              <w:rPr>
                <w:sz w:val="20"/>
                <w:szCs w:val="20"/>
              </w:rPr>
            </w:pPr>
            <w:r>
              <w:rPr>
                <w:sz w:val="20"/>
                <w:szCs w:val="20"/>
              </w:rPr>
              <w:t> </w:t>
            </w:r>
          </w:p>
        </w:tc>
        <w:tc>
          <w:tcPr>
            <w:tcW w:w="4916" w:type="dxa"/>
            <w:gridSpan w:val="3"/>
            <w:tcBorders>
              <w:top w:val="nil"/>
              <w:left w:val="nil"/>
              <w:bottom w:val="nil"/>
              <w:right w:val="nil"/>
            </w:tcBorders>
            <w:shd w:val="clear" w:color="000000" w:fill="FFFFFF"/>
            <w:noWrap/>
            <w:vAlign w:val="bottom"/>
            <w:hideMark/>
          </w:tcPr>
          <w:p w:rsidR="0020615B" w:rsidRDefault="0020615B" w:rsidP="001C2CEC">
            <w:pPr>
              <w:rPr>
                <w:sz w:val="20"/>
                <w:szCs w:val="20"/>
              </w:rPr>
            </w:pPr>
            <w:r>
              <w:rPr>
                <w:sz w:val="20"/>
                <w:szCs w:val="20"/>
              </w:rPr>
              <w:t> </w:t>
            </w:r>
          </w:p>
        </w:tc>
        <w:tc>
          <w:tcPr>
            <w:tcW w:w="316" w:type="dxa"/>
            <w:tcBorders>
              <w:top w:val="nil"/>
              <w:left w:val="nil"/>
              <w:bottom w:val="nil"/>
              <w:right w:val="nil"/>
            </w:tcBorders>
            <w:shd w:val="clear" w:color="000000" w:fill="FFFFFF"/>
            <w:noWrap/>
            <w:vAlign w:val="bottom"/>
            <w:hideMark/>
          </w:tcPr>
          <w:p w:rsidR="0020615B" w:rsidRDefault="0020615B" w:rsidP="001C2CEC">
            <w:pPr>
              <w:rPr>
                <w:color w:val="000000"/>
                <w:sz w:val="20"/>
                <w:szCs w:val="20"/>
              </w:rPr>
            </w:pPr>
            <w:r>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rsidR="0020615B" w:rsidRDefault="0020615B" w:rsidP="001C2CEC">
            <w:pPr>
              <w:rPr>
                <w:sz w:val="20"/>
                <w:szCs w:val="20"/>
              </w:rPr>
            </w:pPr>
            <w:r>
              <w:rPr>
                <w:sz w:val="20"/>
                <w:szCs w:val="20"/>
              </w:rPr>
              <w:t> </w:t>
            </w:r>
          </w:p>
        </w:tc>
        <w:tc>
          <w:tcPr>
            <w:tcW w:w="266" w:type="dxa"/>
            <w:tcBorders>
              <w:top w:val="nil"/>
              <w:left w:val="nil"/>
              <w:bottom w:val="nil"/>
              <w:right w:val="single" w:sz="4" w:space="0" w:color="auto"/>
            </w:tcBorders>
            <w:shd w:val="clear" w:color="auto" w:fill="auto"/>
            <w:noWrap/>
            <w:vAlign w:val="bottom"/>
            <w:hideMark/>
          </w:tcPr>
          <w:p w:rsidR="0020615B" w:rsidRDefault="0020615B" w:rsidP="001C2CEC">
            <w:pPr>
              <w:rPr>
                <w:sz w:val="20"/>
                <w:szCs w:val="20"/>
              </w:rPr>
            </w:pPr>
            <w:r>
              <w:rPr>
                <w:sz w:val="20"/>
                <w:szCs w:val="20"/>
              </w:rPr>
              <w:t> </w:t>
            </w:r>
          </w:p>
        </w:tc>
      </w:tr>
      <w:tr w:rsidR="0020615B" w:rsidTr="001C2CEC">
        <w:trPr>
          <w:trHeight w:val="255"/>
          <w:jc w:val="center"/>
        </w:trPr>
        <w:tc>
          <w:tcPr>
            <w:tcW w:w="348" w:type="dxa"/>
            <w:tcBorders>
              <w:top w:val="nil"/>
              <w:left w:val="single" w:sz="4" w:space="0" w:color="auto"/>
              <w:bottom w:val="single" w:sz="4" w:space="0" w:color="auto"/>
              <w:right w:val="nil"/>
            </w:tcBorders>
            <w:shd w:val="clear" w:color="000000" w:fill="FFFFFF"/>
            <w:noWrap/>
            <w:vAlign w:val="bottom"/>
            <w:hideMark/>
          </w:tcPr>
          <w:p w:rsidR="0020615B" w:rsidRDefault="0020615B" w:rsidP="001C2CEC">
            <w:pPr>
              <w:jc w:val="center"/>
              <w:rPr>
                <w:sz w:val="20"/>
                <w:szCs w:val="20"/>
              </w:rPr>
            </w:pPr>
            <w:r>
              <w:rPr>
                <w:sz w:val="20"/>
                <w:szCs w:val="20"/>
              </w:rPr>
              <w:t> </w:t>
            </w:r>
          </w:p>
        </w:tc>
        <w:tc>
          <w:tcPr>
            <w:tcW w:w="4916" w:type="dxa"/>
            <w:gridSpan w:val="3"/>
            <w:tcBorders>
              <w:top w:val="nil"/>
              <w:left w:val="nil"/>
              <w:bottom w:val="single" w:sz="4" w:space="0" w:color="auto"/>
              <w:right w:val="nil"/>
            </w:tcBorders>
            <w:shd w:val="clear" w:color="000000" w:fill="FFFFFF"/>
            <w:noWrap/>
            <w:vAlign w:val="bottom"/>
            <w:hideMark/>
          </w:tcPr>
          <w:p w:rsidR="0020615B" w:rsidRDefault="0020615B" w:rsidP="001C2CEC">
            <w:pPr>
              <w:rPr>
                <w:sz w:val="20"/>
                <w:szCs w:val="20"/>
              </w:rPr>
            </w:pPr>
            <w:r>
              <w:rPr>
                <w:sz w:val="20"/>
                <w:szCs w:val="20"/>
              </w:rPr>
              <w:t> </w:t>
            </w:r>
          </w:p>
        </w:tc>
        <w:tc>
          <w:tcPr>
            <w:tcW w:w="316" w:type="dxa"/>
            <w:tcBorders>
              <w:top w:val="nil"/>
              <w:left w:val="nil"/>
              <w:bottom w:val="single" w:sz="4" w:space="0" w:color="auto"/>
              <w:right w:val="nil"/>
            </w:tcBorders>
            <w:shd w:val="clear" w:color="000000" w:fill="FFFFFF"/>
            <w:noWrap/>
            <w:vAlign w:val="bottom"/>
            <w:hideMark/>
          </w:tcPr>
          <w:p w:rsidR="0020615B" w:rsidRDefault="0020615B" w:rsidP="001C2CEC">
            <w:pPr>
              <w:rPr>
                <w:color w:val="000000"/>
                <w:sz w:val="20"/>
                <w:szCs w:val="20"/>
              </w:rPr>
            </w:pPr>
            <w:r>
              <w:rPr>
                <w:color w:val="000000"/>
                <w:sz w:val="20"/>
                <w:szCs w:val="20"/>
              </w:rPr>
              <w:t> </w:t>
            </w:r>
          </w:p>
        </w:tc>
        <w:tc>
          <w:tcPr>
            <w:tcW w:w="2090" w:type="dxa"/>
            <w:gridSpan w:val="2"/>
            <w:tcBorders>
              <w:top w:val="nil"/>
              <w:left w:val="nil"/>
              <w:bottom w:val="single" w:sz="4" w:space="0" w:color="auto"/>
              <w:right w:val="nil"/>
            </w:tcBorders>
            <w:shd w:val="clear" w:color="000000" w:fill="FFFFFF"/>
            <w:noWrap/>
            <w:vAlign w:val="bottom"/>
            <w:hideMark/>
          </w:tcPr>
          <w:p w:rsidR="0020615B" w:rsidRDefault="0020615B" w:rsidP="001C2CEC">
            <w:pPr>
              <w:rPr>
                <w:sz w:val="20"/>
                <w:szCs w:val="20"/>
              </w:rPr>
            </w:pPr>
            <w:r>
              <w:rPr>
                <w:sz w:val="20"/>
                <w:szCs w:val="20"/>
              </w:rPr>
              <w:t> </w:t>
            </w:r>
          </w:p>
        </w:tc>
        <w:tc>
          <w:tcPr>
            <w:tcW w:w="266" w:type="dxa"/>
            <w:tcBorders>
              <w:top w:val="nil"/>
              <w:left w:val="nil"/>
              <w:bottom w:val="single" w:sz="4" w:space="0" w:color="auto"/>
              <w:right w:val="single" w:sz="4" w:space="0" w:color="auto"/>
            </w:tcBorders>
            <w:shd w:val="clear" w:color="auto" w:fill="auto"/>
            <w:noWrap/>
            <w:vAlign w:val="bottom"/>
            <w:hideMark/>
          </w:tcPr>
          <w:p w:rsidR="0020615B" w:rsidRDefault="0020615B" w:rsidP="001C2CEC">
            <w:pPr>
              <w:rPr>
                <w:sz w:val="20"/>
                <w:szCs w:val="20"/>
              </w:rPr>
            </w:pPr>
            <w:r>
              <w:rPr>
                <w:sz w:val="20"/>
                <w:szCs w:val="20"/>
              </w:rPr>
              <w:t> </w:t>
            </w:r>
          </w:p>
        </w:tc>
      </w:tr>
      <w:tr w:rsidR="0020615B" w:rsidTr="001C2CEC">
        <w:trPr>
          <w:gridAfter w:val="2"/>
          <w:wAfter w:w="614" w:type="dxa"/>
          <w:trHeight w:val="300"/>
          <w:jc w:val="center"/>
        </w:trPr>
        <w:tc>
          <w:tcPr>
            <w:tcW w:w="4916" w:type="dxa"/>
            <w:gridSpan w:val="2"/>
            <w:tcBorders>
              <w:top w:val="nil"/>
              <w:left w:val="nil"/>
              <w:bottom w:val="nil"/>
              <w:right w:val="nil"/>
            </w:tcBorders>
            <w:shd w:val="clear" w:color="000000" w:fill="FFFFFF"/>
            <w:noWrap/>
            <w:vAlign w:val="bottom"/>
          </w:tcPr>
          <w:p w:rsidR="0020615B" w:rsidRDefault="0020615B" w:rsidP="001C2CEC">
            <w:pPr>
              <w:rPr>
                <w:sz w:val="20"/>
                <w:szCs w:val="20"/>
              </w:rPr>
            </w:pPr>
          </w:p>
        </w:tc>
        <w:tc>
          <w:tcPr>
            <w:tcW w:w="316" w:type="dxa"/>
            <w:tcBorders>
              <w:top w:val="nil"/>
              <w:left w:val="nil"/>
              <w:bottom w:val="nil"/>
              <w:right w:val="nil"/>
            </w:tcBorders>
            <w:shd w:val="clear" w:color="000000" w:fill="FFFFFF"/>
            <w:noWrap/>
            <w:vAlign w:val="bottom"/>
          </w:tcPr>
          <w:p w:rsidR="0020615B" w:rsidRDefault="0020615B" w:rsidP="001C2CEC">
            <w:pPr>
              <w:rPr>
                <w:color w:val="000000"/>
                <w:sz w:val="20"/>
                <w:szCs w:val="20"/>
              </w:rPr>
            </w:pPr>
          </w:p>
        </w:tc>
        <w:tc>
          <w:tcPr>
            <w:tcW w:w="2090" w:type="dxa"/>
            <w:gridSpan w:val="3"/>
            <w:tcBorders>
              <w:top w:val="nil"/>
              <w:left w:val="nil"/>
              <w:bottom w:val="nil"/>
              <w:right w:val="nil"/>
            </w:tcBorders>
            <w:shd w:val="clear" w:color="000000" w:fill="FFFFFF"/>
            <w:noWrap/>
            <w:vAlign w:val="bottom"/>
          </w:tcPr>
          <w:p w:rsidR="0020615B" w:rsidRDefault="0020615B" w:rsidP="001C2CEC">
            <w:pPr>
              <w:jc w:val="right"/>
              <w:rPr>
                <w:sz w:val="20"/>
                <w:szCs w:val="20"/>
                <w:u w:val="single"/>
              </w:rPr>
            </w:pPr>
          </w:p>
        </w:tc>
      </w:tr>
    </w:tbl>
    <w:p w:rsidR="0004176B" w:rsidRDefault="0004176B" w:rsidP="00E275D8">
      <w:pPr>
        <w:pStyle w:val="BodyText"/>
      </w:pPr>
    </w:p>
    <w:p w:rsidR="0006580B" w:rsidRDefault="0006580B" w:rsidP="00E275D8">
      <w:pPr>
        <w:pStyle w:val="BodyText"/>
      </w:pPr>
    </w:p>
    <w:p w:rsidR="0006580B" w:rsidRDefault="0006580B" w:rsidP="00E275D8">
      <w:pPr>
        <w:pStyle w:val="BodyText"/>
        <w:sectPr w:rsidR="0006580B" w:rsidSect="0068481F">
          <w:headerReference w:type="default" r:id="rId25"/>
          <w:footerReference w:type="default" r:id="rId26"/>
          <w:pgSz w:w="12240" w:h="15840" w:code="1"/>
          <w:pgMar w:top="1584" w:right="1440" w:bottom="1440" w:left="1440" w:header="720" w:footer="720" w:gutter="0"/>
          <w:cols w:space="720"/>
          <w:formProt w:val="0"/>
          <w:docGrid w:linePitch="360"/>
        </w:sectPr>
      </w:pPr>
    </w:p>
    <w:p w:rsidR="0006580B" w:rsidRDefault="0006580B" w:rsidP="0006580B">
      <w:pPr>
        <w:pStyle w:val="BodyText"/>
        <w:jc w:val="center"/>
        <w:rPr>
          <w:noProof/>
        </w:rPr>
      </w:pPr>
      <w:r>
        <w:lastRenderedPageBreak/>
        <w:fldChar w:fldCharType="begin"/>
      </w:r>
      <w:r>
        <w:instrText xml:space="preserve"> TC "</w:instrText>
      </w:r>
      <w:bookmarkStart w:id="57" w:name="_Toc24969911"/>
      <w:bookmarkStart w:id="58" w:name="_Toc35842867"/>
      <w:r>
        <w:tab/>
      </w:r>
      <w:bookmarkStart w:id="59" w:name="_Toc38467958"/>
      <w:r>
        <w:instrText>Schedule No. 4</w:instrText>
      </w:r>
      <w:bookmarkEnd w:id="57"/>
      <w:r>
        <w:instrText xml:space="preserve"> – Monthly Water Rates</w:instrText>
      </w:r>
      <w:bookmarkEnd w:id="58"/>
      <w:bookmarkEnd w:id="59"/>
      <w:r>
        <w:instrText xml:space="preserve">" \l 1 </w:instrText>
      </w:r>
      <w:r>
        <w:fldChar w:fldCharType="end"/>
      </w:r>
    </w:p>
    <w:p w:rsidR="0006580B" w:rsidRDefault="001E2D8E" w:rsidP="00E275D8">
      <w:pPr>
        <w:pStyle w:val="BodyText"/>
      </w:pPr>
      <w:r w:rsidRPr="00591767">
        <w:rPr>
          <w:noProof/>
        </w:rPr>
        <w:drawing>
          <wp:inline distT="0" distB="0" distL="0" distR="0" wp14:anchorId="28C60717" wp14:editId="500ABFE4">
            <wp:extent cx="5943600" cy="6516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6516370"/>
                    </a:xfrm>
                    <a:prstGeom prst="rect">
                      <a:avLst/>
                    </a:prstGeom>
                    <a:noFill/>
                    <a:ln>
                      <a:noFill/>
                    </a:ln>
                  </pic:spPr>
                </pic:pic>
              </a:graphicData>
            </a:graphic>
          </wp:inline>
        </w:drawing>
      </w:r>
    </w:p>
    <w:sectPr w:rsidR="0006580B" w:rsidSect="0068481F">
      <w:headerReference w:type="default" r:id="rId28"/>
      <w:footerReference w:type="default" r:id="rId2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CEC" w:rsidRDefault="001C2CEC">
      <w:r>
        <w:separator/>
      </w:r>
    </w:p>
  </w:endnote>
  <w:endnote w:type="continuationSeparator" w:id="0">
    <w:p w:rsidR="001C2CEC" w:rsidRDefault="001C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 reflect the appropriate U&amp;U p">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EC" w:rsidRDefault="001C2CE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05A1D">
      <w:rPr>
        <w:rStyle w:val="PageNumber"/>
        <w:noProof/>
      </w:rPr>
      <w:t>34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EC" w:rsidRPr="002E5203" w:rsidRDefault="001C2CEC" w:rsidP="002E5203">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805A1D">
      <w:rPr>
        <w:rStyle w:val="PageNumber"/>
        <w:noProof/>
      </w:rPr>
      <w:t>1</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EC" w:rsidRDefault="001C2C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EC" w:rsidRDefault="001C2CE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05A1D">
      <w:rPr>
        <w:rStyle w:val="PageNumber"/>
        <w:noProof/>
      </w:rPr>
      <w:t>35</w:t>
    </w:r>
    <w:r>
      <w:rPr>
        <w:rStyle w:val="PageNumber"/>
      </w:rPr>
      <w:fldChar w:fldCharType="end"/>
    </w:r>
    <w:r>
      <w:rPr>
        <w:rStyle w:val="PageNumber"/>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EC" w:rsidRDefault="001C2CE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05A1D">
      <w:rPr>
        <w:rStyle w:val="PageNumber"/>
        <w:noProof/>
      </w:rPr>
      <w:t>36</w:t>
    </w:r>
    <w:r>
      <w:rPr>
        <w:rStyle w:val="PageNumber"/>
      </w:rPr>
      <w:fldChar w:fldCharType="end"/>
    </w:r>
    <w:r>
      <w:rPr>
        <w:rStyle w:val="PageNumbe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EC" w:rsidRDefault="001C2CEC" w:rsidP="00AE2B27">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805A1D">
      <w:rPr>
        <w:rStyle w:val="PageNumber"/>
        <w:noProof/>
      </w:rPr>
      <w:t>37</w:t>
    </w:r>
    <w:r>
      <w:rPr>
        <w:rStyle w:val="PageNumber"/>
      </w:rPr>
      <w:fldChar w:fldCharType="end"/>
    </w:r>
    <w:r>
      <w:rPr>
        <w:rStyle w:val="PageNumber"/>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EC" w:rsidRDefault="001C2CE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05A1D">
      <w:rPr>
        <w:rStyle w:val="PageNumber"/>
        <w:noProof/>
      </w:rPr>
      <w:t>38</w:t>
    </w:r>
    <w:r>
      <w:rPr>
        <w:rStyle w:val="PageNumber"/>
      </w:rPr>
      <w:fldChar w:fldCharType="end"/>
    </w:r>
    <w:r>
      <w:rPr>
        <w:rStyle w:val="PageNumber"/>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EC" w:rsidRDefault="001C2CE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05A1D">
      <w:rPr>
        <w:rStyle w:val="PageNumber"/>
        <w:noProof/>
      </w:rPr>
      <w:t>39</w:t>
    </w:r>
    <w:r>
      <w:rPr>
        <w:rStyle w:val="PageNumber"/>
      </w:rPr>
      <w:fldChar w:fldCharType="end"/>
    </w:r>
    <w:r>
      <w:rPr>
        <w:rStyle w:val="PageNumber"/>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EC" w:rsidRDefault="001C2CE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05A1D">
      <w:rPr>
        <w:rStyle w:val="PageNumber"/>
        <w:noProof/>
      </w:rPr>
      <w:t>40</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CEC" w:rsidRDefault="001C2CEC">
      <w:r>
        <w:separator/>
      </w:r>
    </w:p>
  </w:footnote>
  <w:footnote w:type="continuationSeparator" w:id="0">
    <w:p w:rsidR="001C2CEC" w:rsidRDefault="001C2CEC">
      <w:r>
        <w:continuationSeparator/>
      </w:r>
    </w:p>
  </w:footnote>
  <w:footnote w:id="1">
    <w:p w:rsidR="001C2CEC" w:rsidRPr="006B0038" w:rsidRDefault="001C2CEC" w:rsidP="00BB7967">
      <w:pPr>
        <w:pStyle w:val="FootnoteText"/>
        <w:rPr>
          <w:i/>
          <w:iCs/>
        </w:rPr>
      </w:pPr>
      <w:r w:rsidRPr="00A115FD">
        <w:rPr>
          <w:rStyle w:val="FootnoteReference"/>
        </w:rPr>
        <w:footnoteRef/>
      </w:r>
      <w:r w:rsidRPr="00A115FD">
        <w:t xml:space="preserve">Document No. </w:t>
      </w:r>
      <w:r>
        <w:t>01811-2020</w:t>
      </w:r>
      <w:r w:rsidRPr="00A115FD">
        <w:t xml:space="preserve">, filed April </w:t>
      </w:r>
      <w:r>
        <w:t>7, 2020.</w:t>
      </w:r>
    </w:p>
  </w:footnote>
  <w:footnote w:id="2">
    <w:p w:rsidR="001C2CEC" w:rsidRDefault="001C2CEC" w:rsidP="00BB7967">
      <w:pPr>
        <w:pStyle w:val="FootnoteText"/>
      </w:pPr>
      <w:r>
        <w:rPr>
          <w:rStyle w:val="FootnoteReference"/>
        </w:rPr>
        <w:footnoteRef/>
      </w:r>
      <w:proofErr w:type="gramStart"/>
      <w:r w:rsidRPr="00CC079E">
        <w:rPr>
          <w:spacing w:val="1"/>
        </w:rPr>
        <w:t>O</w:t>
      </w:r>
      <w:r w:rsidRPr="00CC079E">
        <w:rPr>
          <w:spacing w:val="-1"/>
        </w:rPr>
        <w:t>r</w:t>
      </w:r>
      <w:r w:rsidRPr="00CC079E">
        <w:rPr>
          <w:spacing w:val="1"/>
        </w:rPr>
        <w:t>d</w:t>
      </w:r>
      <w:r w:rsidRPr="00CC079E">
        <w:t>er No.</w:t>
      </w:r>
      <w:proofErr w:type="gramEnd"/>
      <w:r w:rsidRPr="00CC079E">
        <w:t xml:space="preserve"> PSC-</w:t>
      </w:r>
      <w:r>
        <w:t>14-0314-PAA-WS</w:t>
      </w:r>
      <w:r w:rsidRPr="00CC079E">
        <w:t>,</w:t>
      </w:r>
      <w:r w:rsidRPr="00CC079E">
        <w:rPr>
          <w:spacing w:val="2"/>
        </w:rPr>
        <w:t xml:space="preserve"> </w:t>
      </w:r>
      <w:r w:rsidRPr="00CC079E">
        <w:t>iss</w:t>
      </w:r>
      <w:r w:rsidRPr="00CC079E">
        <w:rPr>
          <w:spacing w:val="1"/>
        </w:rPr>
        <w:t>u</w:t>
      </w:r>
      <w:r w:rsidRPr="00CC079E">
        <w:t>ed</w:t>
      </w:r>
      <w:r w:rsidRPr="00CC079E">
        <w:rPr>
          <w:spacing w:val="1"/>
        </w:rPr>
        <w:t xml:space="preserve"> </w:t>
      </w:r>
      <w:r>
        <w:rPr>
          <w:spacing w:val="1"/>
        </w:rPr>
        <w:t>June 13, 2014</w:t>
      </w:r>
      <w:r w:rsidRPr="00CC079E">
        <w:t>,</w:t>
      </w:r>
      <w:r w:rsidRPr="00CC079E">
        <w:rPr>
          <w:spacing w:val="2"/>
        </w:rPr>
        <w:t xml:space="preserve"> </w:t>
      </w:r>
      <w:r w:rsidRPr="00CC079E">
        <w:t>in</w:t>
      </w:r>
      <w:r w:rsidRPr="00CC079E">
        <w:rPr>
          <w:spacing w:val="1"/>
        </w:rPr>
        <w:t xml:space="preserve"> Do</w:t>
      </w:r>
      <w:r w:rsidRPr="00CC079E">
        <w:t>c</w:t>
      </w:r>
      <w:r w:rsidRPr="00CC079E">
        <w:rPr>
          <w:spacing w:val="1"/>
        </w:rPr>
        <w:t>k</w:t>
      </w:r>
      <w:r w:rsidRPr="00CC079E">
        <w:t>et</w:t>
      </w:r>
      <w:r w:rsidRPr="00CC079E">
        <w:rPr>
          <w:spacing w:val="2"/>
        </w:rPr>
        <w:t xml:space="preserve"> </w:t>
      </w:r>
      <w:r w:rsidRPr="00CC079E">
        <w:t>N</w:t>
      </w:r>
      <w:r w:rsidRPr="00CC079E">
        <w:rPr>
          <w:spacing w:val="1"/>
        </w:rPr>
        <w:t>o</w:t>
      </w:r>
      <w:r w:rsidRPr="00CC079E">
        <w:t>. 20</w:t>
      </w:r>
      <w:r>
        <w:t>130171-WS</w:t>
      </w:r>
      <w:r w:rsidRPr="00CC079E">
        <w:t>,</w:t>
      </w:r>
      <w:r w:rsidRPr="00CC079E">
        <w:rPr>
          <w:spacing w:val="4"/>
        </w:rPr>
        <w:t xml:space="preserve"> </w:t>
      </w:r>
      <w:r w:rsidRPr="00801688">
        <w:rPr>
          <w:i/>
          <w:spacing w:val="4"/>
        </w:rPr>
        <w:t xml:space="preserve">In re: </w:t>
      </w:r>
      <w:r w:rsidRPr="00521943">
        <w:rPr>
          <w:i/>
        </w:rPr>
        <w:t xml:space="preserve">Application for approval of transfer of certain water and wastewater facilities and Certificate Nos. </w:t>
      </w:r>
      <w:r>
        <w:rPr>
          <w:i/>
        </w:rPr>
        <w:t>422-W and 359</w:t>
      </w:r>
      <w:r w:rsidRPr="00521943">
        <w:rPr>
          <w:i/>
        </w:rPr>
        <w:t xml:space="preserve">-S of Aqua Utilities Florida, Inc. to </w:t>
      </w:r>
      <w:r>
        <w:rPr>
          <w:i/>
        </w:rPr>
        <w:t>HC Waterworks, Inc. in Highlands</w:t>
      </w:r>
      <w:r w:rsidRPr="00521943">
        <w:rPr>
          <w:i/>
        </w:rPr>
        <w:t xml:space="preserve"> County.</w:t>
      </w:r>
    </w:p>
  </w:footnote>
  <w:footnote w:id="3">
    <w:p w:rsidR="001C2CEC" w:rsidRPr="002C1110" w:rsidRDefault="001C2CEC" w:rsidP="00BB7967">
      <w:pPr>
        <w:pStyle w:val="FootnoteText"/>
        <w:rPr>
          <w:i/>
        </w:rPr>
      </w:pPr>
      <w:r>
        <w:rPr>
          <w:rStyle w:val="FootnoteReference"/>
        </w:rPr>
        <w:footnoteRef/>
      </w:r>
      <w:proofErr w:type="gramStart"/>
      <w:r>
        <w:t>Order No.</w:t>
      </w:r>
      <w:proofErr w:type="gramEnd"/>
      <w:r>
        <w:t xml:space="preserve"> PSC-15-0282-PAA-WS, issued July 8, 2015, in Docket No. 20140158-WS, </w:t>
      </w:r>
      <w:r>
        <w:rPr>
          <w:i/>
        </w:rPr>
        <w:t>in re: Application for increase in water/wastewater rates in Highlands County by HC Waterworks, Inc.</w:t>
      </w:r>
    </w:p>
  </w:footnote>
  <w:footnote w:id="4">
    <w:p w:rsidR="001C2CEC" w:rsidRPr="003D1E23" w:rsidRDefault="001C2CEC" w:rsidP="00BB7967">
      <w:pPr>
        <w:pStyle w:val="FootnoteText"/>
        <w:rPr>
          <w:i/>
          <w:iCs/>
        </w:rPr>
      </w:pPr>
      <w:r>
        <w:rPr>
          <w:rStyle w:val="FootnoteReference"/>
        </w:rPr>
        <w:footnoteRef/>
      </w:r>
      <w:proofErr w:type="gramStart"/>
      <w:r>
        <w:t>Order No.</w:t>
      </w:r>
      <w:proofErr w:type="gramEnd"/>
      <w:r>
        <w:t xml:space="preserve"> PSC-2019-0547-PCO-WS, issued December 23, 2019, in Docket No. 20190166-WS, </w:t>
      </w:r>
      <w:r>
        <w:rPr>
          <w:i/>
          <w:iCs/>
        </w:rPr>
        <w:t>In re: Application for increase in water rates in Highlands County by HC Waterworks, Inc.</w:t>
      </w:r>
    </w:p>
  </w:footnote>
  <w:footnote w:id="5">
    <w:p w:rsidR="001C2CEC" w:rsidRDefault="001C2CEC">
      <w:pPr>
        <w:pStyle w:val="FootnoteText"/>
      </w:pPr>
      <w:r>
        <w:rPr>
          <w:rStyle w:val="FootnoteReference"/>
        </w:rPr>
        <w:footnoteRef/>
      </w:r>
      <w:r>
        <w:t>Document No. 01811-2020.</w:t>
      </w:r>
    </w:p>
  </w:footnote>
  <w:footnote w:id="6">
    <w:p w:rsidR="001C2CEC" w:rsidRDefault="001C2CEC" w:rsidP="00D84FFC">
      <w:pPr>
        <w:pStyle w:val="FootnoteText"/>
      </w:pPr>
      <w:r>
        <w:rPr>
          <w:rStyle w:val="FootnoteReference"/>
        </w:rPr>
        <w:footnoteRef/>
      </w:r>
      <w:r>
        <w:t xml:space="preserve">The Utility’s BWN is a door hanger that is hand-delivered to affected customers. </w:t>
      </w:r>
      <w:proofErr w:type="gramStart"/>
      <w:r>
        <w:t>Pursuant to Order No.</w:t>
      </w:r>
      <w:proofErr w:type="gramEnd"/>
      <w:r>
        <w:t xml:space="preserve"> PSC-15-0282-PAA-WS, while not foolproof, this is a method accepted by the DEP and it is generally an effective method for notifying customers. </w:t>
      </w:r>
    </w:p>
  </w:footnote>
  <w:footnote w:id="7">
    <w:p w:rsidR="001C2CEC" w:rsidRDefault="001C2CEC" w:rsidP="00D84FFC">
      <w:pPr>
        <w:pStyle w:val="FootnoteText"/>
      </w:pPr>
      <w:r>
        <w:rPr>
          <w:rStyle w:val="FootnoteReference"/>
        </w:rPr>
        <w:footnoteRef/>
      </w:r>
      <w:r>
        <w:t>Document No. 01540-2020, filed March 2, 2020</w:t>
      </w:r>
    </w:p>
  </w:footnote>
  <w:footnote w:id="8">
    <w:p w:rsidR="001C2CEC" w:rsidRDefault="001C2CEC" w:rsidP="00187015">
      <w:pPr>
        <w:pStyle w:val="FootnoteText"/>
      </w:pPr>
      <w:r>
        <w:rPr>
          <w:rStyle w:val="FootnoteReference"/>
        </w:rPr>
        <w:footnoteRef/>
      </w:r>
      <w:r>
        <w:rPr>
          <w:color w:val="000000"/>
        </w:rPr>
        <w:t>Document No. 01870-2020, filed April 10, 2020</w:t>
      </w:r>
    </w:p>
  </w:footnote>
  <w:footnote w:id="9">
    <w:p w:rsidR="001C2CEC" w:rsidRDefault="001C2CEC">
      <w:pPr>
        <w:pStyle w:val="FootnoteText"/>
      </w:pPr>
      <w:r>
        <w:rPr>
          <w:rStyle w:val="FootnoteReference"/>
        </w:rPr>
        <w:footnoteRef/>
      </w:r>
      <w:r w:rsidRPr="00CC71BC">
        <w:t xml:space="preserve">Order Nos. PSC-2011-0256-PAA-WS, issued June 13, 2011, in Docket. 20100330-WS, </w:t>
      </w:r>
      <w:r w:rsidRPr="00CC71BC">
        <w:rPr>
          <w:i/>
          <w:iCs/>
        </w:rPr>
        <w:t xml:space="preserve">In re: Application for increase in water/wastewater rates in Alachua, Brevard, </w:t>
      </w:r>
      <w:proofErr w:type="spellStart"/>
      <w:r w:rsidRPr="00CC71BC">
        <w:rPr>
          <w:i/>
          <w:iCs/>
        </w:rPr>
        <w:t>DeSoto</w:t>
      </w:r>
      <w:proofErr w:type="spellEnd"/>
      <w:r w:rsidRPr="00CC71BC">
        <w:rPr>
          <w:i/>
          <w:iCs/>
        </w:rPr>
        <w:t>, Hardee, Highlands, Lake, Lee, Marion, Orange, Palm Beach, Pasco, Polk, Putnam, Seminole, Sumter, Volusia, and Washington Counties by Aqua Utilities Florida, Inc.</w:t>
      </w:r>
      <w:r w:rsidRPr="00CC71BC">
        <w:t xml:space="preserve"> and PSC-2017-0361-FOF-WS, issued September 25, 2017, in Docket No. 20160101-WS, </w:t>
      </w:r>
      <w:r w:rsidRPr="00CC71BC">
        <w:rPr>
          <w:i/>
          <w:iCs/>
        </w:rPr>
        <w:t>In re: Application for increase in water and wastewater rates in Charlotte, Highlands, Lake, Lee, Marion, Orange, Pasco, Pinellas, Polk, and Seminole Counties by Utilities Inc. of Florida.</w:t>
      </w:r>
    </w:p>
  </w:footnote>
  <w:footnote w:id="10">
    <w:p w:rsidR="001C2CEC" w:rsidRDefault="001C2CEC" w:rsidP="009A5626">
      <w:pPr>
        <w:pStyle w:val="FootnoteText"/>
      </w:pPr>
      <w:r>
        <w:rPr>
          <w:rStyle w:val="FootnoteReference"/>
        </w:rPr>
        <w:footnoteRef/>
      </w:r>
      <w:r w:rsidRPr="001065E1">
        <w:t xml:space="preserve">Order Nos. PSC-2020-0087-PAA-WS, issued March 25, 2020, in Docket No. 20190125-WS, </w:t>
      </w:r>
      <w:r w:rsidRPr="001065E1">
        <w:rPr>
          <w:i/>
          <w:iCs/>
        </w:rPr>
        <w:t>In re: Application for staff-assisted rate case in Sumter County by the Woods Utility Company</w:t>
      </w:r>
      <w:r w:rsidRPr="001065E1">
        <w:t xml:space="preserve">; PSC-17-0209-PAA-WU, issued May 30, 2017, in Docket No. 20160065-WU, </w:t>
      </w:r>
      <w:r w:rsidRPr="001065E1">
        <w:rPr>
          <w:i/>
          <w:iCs/>
        </w:rPr>
        <w:t xml:space="preserve">In re: Application for increase in water rates in Charlotte County by </w:t>
      </w:r>
      <w:proofErr w:type="spellStart"/>
      <w:r w:rsidRPr="001065E1">
        <w:rPr>
          <w:i/>
          <w:iCs/>
        </w:rPr>
        <w:t>Bocilla</w:t>
      </w:r>
      <w:proofErr w:type="spellEnd"/>
      <w:r w:rsidRPr="001065E1">
        <w:rPr>
          <w:i/>
          <w:iCs/>
        </w:rPr>
        <w:t xml:space="preserve"> Utilities, Inc.</w:t>
      </w:r>
      <w:r w:rsidRPr="001065E1">
        <w:t xml:space="preserve"> and PSC-15-0535-PAA-WU, issued November 19, 2015, in Docket No. 20140217-WU, </w:t>
      </w:r>
      <w:r w:rsidRPr="001065E1">
        <w:rPr>
          <w:i/>
          <w:iCs/>
        </w:rPr>
        <w:t>In re: Application for staff-assisted rate case in Sumter County by Cedar Acres, Inc</w:t>
      </w:r>
      <w:r>
        <w:rPr>
          <w:i/>
          <w:iCs/>
        </w:rPr>
        <w:t>.</w:t>
      </w:r>
    </w:p>
  </w:footnote>
  <w:footnote w:id="11">
    <w:p w:rsidR="001C2CEC" w:rsidRDefault="001C2CEC" w:rsidP="00B34542">
      <w:pPr>
        <w:pStyle w:val="FootnoteText"/>
      </w:pPr>
      <w:r>
        <w:rPr>
          <w:rStyle w:val="FootnoteReference"/>
        </w:rPr>
        <w:footnoteRef/>
      </w:r>
      <w:r>
        <w:t xml:space="preserve">Document No. </w:t>
      </w:r>
      <w:r w:rsidRPr="00E222B2">
        <w:t>01540-2020</w:t>
      </w:r>
      <w:r>
        <w:t>, filed on March 20, 2020.</w:t>
      </w:r>
    </w:p>
  </w:footnote>
  <w:footnote w:id="12">
    <w:p w:rsidR="001C2CEC" w:rsidRDefault="001C2CEC" w:rsidP="00B13B6B">
      <w:pPr>
        <w:pStyle w:val="FootnoteText"/>
      </w:pPr>
      <w:r>
        <w:rPr>
          <w:rStyle w:val="FootnoteReference"/>
        </w:rPr>
        <w:footnoteRef/>
      </w:r>
      <w:r w:rsidRPr="008447F7">
        <w:t>A half-year convention method allows only half of the full-year depreciation in the first year the depreciable asset is placed into service, while the remaining balance is deducted in the final year of the depreciable asset’s useful life</w:t>
      </w:r>
      <w:r>
        <w:t>.</w:t>
      </w:r>
    </w:p>
  </w:footnote>
  <w:footnote w:id="13">
    <w:p w:rsidR="001C2CEC" w:rsidRPr="000D0046" w:rsidRDefault="001C2CEC" w:rsidP="000A5CA2">
      <w:pPr>
        <w:pStyle w:val="FootnoteText"/>
      </w:pPr>
      <w:r>
        <w:rPr>
          <w:rStyle w:val="FootnoteReference"/>
          <w:rFonts w:eastAsiaTheme="majorEastAsia"/>
        </w:rPr>
        <w:footnoteRef/>
      </w:r>
      <w:proofErr w:type="gramStart"/>
      <w:r>
        <w:t>Order No.</w:t>
      </w:r>
      <w:proofErr w:type="gramEnd"/>
      <w:r>
        <w:t xml:space="preserve"> PSC-</w:t>
      </w:r>
      <w:r w:rsidRPr="000D0046">
        <w:t>15-0282-PAA-WS</w:t>
      </w:r>
      <w:r>
        <w:t xml:space="preserve">, issued July 8, 2015, in Docket No. 20140158-WS, </w:t>
      </w:r>
      <w:r w:rsidRPr="000D0046">
        <w:rPr>
          <w:i/>
          <w:iCs/>
        </w:rPr>
        <w:t>In re: Application for increase in water/wastewater rates in Highlands County by HC Waterworks, Inc.</w:t>
      </w:r>
    </w:p>
  </w:footnote>
  <w:footnote w:id="14">
    <w:p w:rsidR="001C2CEC" w:rsidRDefault="001C2CEC" w:rsidP="000E2B41">
      <w:pPr>
        <w:pStyle w:val="FootnoteText"/>
      </w:pPr>
      <w:r>
        <w:rPr>
          <w:rStyle w:val="FootnoteReference"/>
          <w:rFonts w:eastAsiaTheme="majorEastAsia"/>
        </w:rPr>
        <w:footnoteRef/>
      </w:r>
      <w:r>
        <w:t>Document No. 00818-2020, filed February 7, 2020.</w:t>
      </w:r>
    </w:p>
  </w:footnote>
  <w:footnote w:id="15">
    <w:p w:rsidR="001C2CEC" w:rsidRDefault="001C2CEC" w:rsidP="00B1347F">
      <w:pPr>
        <w:pStyle w:val="FootnoteText"/>
      </w:pPr>
      <w:r>
        <w:rPr>
          <w:rStyle w:val="FootnoteReference"/>
        </w:rPr>
        <w:footnoteRef/>
      </w:r>
      <w:r>
        <w:t xml:space="preserve">Document Nos. </w:t>
      </w:r>
      <w:r w:rsidRPr="00E222B2">
        <w:t>0</w:t>
      </w:r>
      <w:r>
        <w:t>0183</w:t>
      </w:r>
      <w:r w:rsidRPr="00E222B2">
        <w:t>-2020</w:t>
      </w:r>
      <w:r>
        <w:t xml:space="preserve">, filed on January 10, 2020, and </w:t>
      </w:r>
      <w:r w:rsidRPr="00E222B2">
        <w:t>0</w:t>
      </w:r>
      <w:r>
        <w:t>0818</w:t>
      </w:r>
      <w:r w:rsidRPr="00E222B2">
        <w:t>-2020</w:t>
      </w:r>
      <w:r>
        <w:t>, filed on February 7, 2020.</w:t>
      </w:r>
    </w:p>
  </w:footnote>
  <w:footnote w:id="16">
    <w:p w:rsidR="001C2CEC" w:rsidRDefault="001C2CEC" w:rsidP="008831F1">
      <w:pPr>
        <w:pStyle w:val="FootnoteText"/>
      </w:pPr>
      <w:r>
        <w:rPr>
          <w:rStyle w:val="FootnoteReference"/>
        </w:rPr>
        <w:footnoteRef/>
      </w:r>
      <w:proofErr w:type="gramStart"/>
      <w:r w:rsidRPr="009F0C51">
        <w:t>Order No.</w:t>
      </w:r>
      <w:proofErr w:type="gramEnd"/>
      <w:r w:rsidRPr="009F0C51">
        <w:t xml:space="preserve"> PSC-2019-0267-PAA-WS, issued July 7, 2019, Docket No. 20190006, </w:t>
      </w:r>
      <w:r w:rsidRPr="009F0C51">
        <w:rPr>
          <w:i/>
        </w:rPr>
        <w:t>In re: Water and wastewater industry annual reestablishment of authorized range of return on common equity for water and wastewater utilities pursuant to Section 367.081(4</w:t>
      </w:r>
      <w:proofErr w:type="gramStart"/>
      <w:r w:rsidRPr="009F0C51">
        <w:rPr>
          <w:i/>
        </w:rPr>
        <w:t>)(</w:t>
      </w:r>
      <w:proofErr w:type="gramEnd"/>
      <w:r w:rsidRPr="009F0C51">
        <w:rPr>
          <w:i/>
        </w:rPr>
        <w:t>f), F.S</w:t>
      </w:r>
      <w:r>
        <w:t>.</w:t>
      </w:r>
    </w:p>
  </w:footnote>
  <w:footnote w:id="17">
    <w:p w:rsidR="001C2CEC" w:rsidRDefault="001C2CEC" w:rsidP="00673400">
      <w:pPr>
        <w:pStyle w:val="FootnoteText"/>
      </w:pPr>
      <w:r>
        <w:rPr>
          <w:rStyle w:val="FootnoteReference"/>
        </w:rPr>
        <w:footnoteRef/>
      </w:r>
      <w:r>
        <w:t xml:space="preserve">Document No. </w:t>
      </w:r>
      <w:r w:rsidRPr="00E222B2">
        <w:t>01540-2020</w:t>
      </w:r>
      <w:r>
        <w:t>, filed on March 20, 2020.</w:t>
      </w:r>
    </w:p>
  </w:footnote>
  <w:footnote w:id="18">
    <w:p w:rsidR="001C2CEC" w:rsidRDefault="001C2CEC" w:rsidP="000831DB">
      <w:pPr>
        <w:pStyle w:val="FootnoteText"/>
      </w:pPr>
      <w:r>
        <w:rPr>
          <w:rStyle w:val="FootnoteReference"/>
        </w:rPr>
        <w:footnoteRef/>
      </w:r>
      <w:r>
        <w:t xml:space="preserve">Document No. </w:t>
      </w:r>
      <w:r w:rsidRPr="00E222B2">
        <w:t>01540-2020</w:t>
      </w:r>
      <w:r>
        <w:t>, filed on March 20, 2020.</w:t>
      </w:r>
    </w:p>
  </w:footnote>
  <w:footnote w:id="19">
    <w:p w:rsidR="001C2CEC" w:rsidRDefault="001C2CEC" w:rsidP="00E66F4B">
      <w:pPr>
        <w:pStyle w:val="FootnoteText"/>
      </w:pPr>
      <w:r>
        <w:rPr>
          <w:rStyle w:val="FootnoteReference"/>
        </w:rPr>
        <w:footnoteRef/>
      </w:r>
      <w:r w:rsidRPr="006E0126">
        <w:t xml:space="preserve">Order Nos. PSC-2018-0553-PAA-WU, issued November 19, 2018, in Docket No. 20180021-WU, </w:t>
      </w:r>
      <w:r w:rsidRPr="00D00B49">
        <w:rPr>
          <w:i/>
          <w:iCs/>
        </w:rPr>
        <w:t>In re: Application for staff-assisted rate case in Highlands County by Country Walk Utilities, Inc.</w:t>
      </w:r>
      <w:r w:rsidRPr="006E0126">
        <w:t>; PSC-16-0305-PAA-WU, issued July 28, 2016, in Docket No. 20150236-WU</w:t>
      </w:r>
      <w:r w:rsidRPr="00D00B49">
        <w:rPr>
          <w:i/>
          <w:iCs/>
        </w:rPr>
        <w:t>, In re: Application for staff-assisted rate case in Lake County, by Lake Idlewild Utility Company</w:t>
      </w:r>
      <w:r w:rsidRPr="006E0126">
        <w:t xml:space="preserve">; PSC-2017-0428-PAA-WS, issued November 7, 2017, in Docket No. 20160195-WS, </w:t>
      </w:r>
      <w:r w:rsidRPr="00D00B49">
        <w:rPr>
          <w:i/>
          <w:iCs/>
        </w:rPr>
        <w:t>In re: Application for staff-assisted rate case in Lake County by Lakeside Waterworks, Inc.</w:t>
      </w:r>
      <w:r w:rsidRPr="006E0126">
        <w:t xml:space="preserve">; PSC-2017-0334-PAA-WS, issued August 23, 2017, in Docket No. 20160222-WS, </w:t>
      </w:r>
      <w:r w:rsidRPr="00D00B49">
        <w:rPr>
          <w:i/>
          <w:iCs/>
        </w:rPr>
        <w:t>In re: Application for staff-assisted rate case in Highlands County by LP Waterworks, Inc.</w:t>
      </w:r>
      <w:r w:rsidRPr="006E0126">
        <w:t xml:space="preserve">; PSC-16-0256-PAA-WU, issued June 30, 2016, in Docket No. 20150199-WU, </w:t>
      </w:r>
      <w:r w:rsidRPr="00D00B49">
        <w:rPr>
          <w:i/>
          <w:iCs/>
        </w:rPr>
        <w:t>In re: Application for staff-assisted rate case in Lake County by Raintree Waterworks, Inc.</w:t>
      </w:r>
    </w:p>
  </w:footnote>
  <w:footnote w:id="20">
    <w:p w:rsidR="001C2CEC" w:rsidRDefault="001C2CEC" w:rsidP="00237A0C">
      <w:pPr>
        <w:pStyle w:val="FootnoteText"/>
      </w:pPr>
      <w:r>
        <w:rPr>
          <w:rStyle w:val="FootnoteReference"/>
        </w:rPr>
        <w:footnoteRef/>
      </w:r>
      <w:r w:rsidRPr="006E0126">
        <w:t xml:space="preserve">Order Nos. PSC-2020-0086-PAA-WU, issued March 24, 2020, in Docket No. 20190114-WU, </w:t>
      </w:r>
      <w:r w:rsidRPr="00D00B49">
        <w:rPr>
          <w:i/>
          <w:iCs/>
        </w:rPr>
        <w:t>In re: Application for staff-assisted rate case in Alachua County, and request for interim rate increase by Gator Waterworks, Inc.</w:t>
      </w:r>
      <w:r w:rsidRPr="006E0126">
        <w:t xml:space="preserve">; PSC-2020-0088-PAA-SU, issued March 25, 2020, in Docket No. 20190116-SU, </w:t>
      </w:r>
      <w:r w:rsidRPr="00D00B49">
        <w:rPr>
          <w:i/>
          <w:iCs/>
        </w:rPr>
        <w:t>In re: Application for staff-assisted rate case in Brevard County, and request for interim rate increase by Merritt Island Utility Company.</w:t>
      </w:r>
      <w:r w:rsidRPr="006E0126">
        <w:t xml:space="preserve">; PSC-2020-0087-PAA-WS, issued March 25, 2020, in Docket No. 20190125-WS, </w:t>
      </w:r>
      <w:r w:rsidRPr="00D00B49">
        <w:rPr>
          <w:i/>
          <w:iCs/>
        </w:rPr>
        <w:t>In re: Application for staff-assisted rate case in Sumter County by The Woods Utility Company</w:t>
      </w:r>
      <w:r>
        <w:rPr>
          <w:i/>
          <w:iCs/>
        </w:rPr>
        <w:t>.</w:t>
      </w:r>
    </w:p>
  </w:footnote>
  <w:footnote w:id="21">
    <w:p w:rsidR="001C2CEC" w:rsidRDefault="001C2CEC" w:rsidP="00BD71D4">
      <w:pPr>
        <w:pStyle w:val="FootnoteText"/>
      </w:pPr>
      <w:r>
        <w:rPr>
          <w:rStyle w:val="FootnoteReference"/>
        </w:rPr>
        <w:footnoteRef/>
      </w:r>
      <w:proofErr w:type="gramStart"/>
      <w:r w:rsidRPr="007370AE">
        <w:t>Order No.</w:t>
      </w:r>
      <w:proofErr w:type="gramEnd"/>
      <w:r w:rsidRPr="007370AE">
        <w:t xml:space="preserve"> PSC-2018-0612-PAA-WS, issued December 27, 2018, in Docket No. 20180005-WS</w:t>
      </w:r>
      <w:r w:rsidRPr="00D00B49">
        <w:rPr>
          <w:i/>
          <w:iCs/>
        </w:rPr>
        <w:t>, In re: Annual reestablishment of price increase or decrease index of major categories of operating costs incurred by water and wastewater utilities pursuant to Section 367.081(4</w:t>
      </w:r>
      <w:proofErr w:type="gramStart"/>
      <w:r w:rsidRPr="00D00B49">
        <w:rPr>
          <w:i/>
          <w:iCs/>
        </w:rPr>
        <w:t>)(</w:t>
      </w:r>
      <w:proofErr w:type="gramEnd"/>
      <w:r w:rsidRPr="00D00B49">
        <w:rPr>
          <w:i/>
          <w:iCs/>
        </w:rPr>
        <w:t>a), F.S.</w:t>
      </w:r>
      <w:r w:rsidRPr="007370AE">
        <w:t xml:space="preserve">  </w:t>
      </w:r>
    </w:p>
  </w:footnote>
  <w:footnote w:id="22">
    <w:p w:rsidR="001C2CEC" w:rsidRDefault="001C2CEC" w:rsidP="00BD71D4">
      <w:pPr>
        <w:pStyle w:val="FootnoteText"/>
      </w:pPr>
      <w:r>
        <w:rPr>
          <w:rStyle w:val="FootnoteReference"/>
        </w:rPr>
        <w:footnoteRef/>
      </w:r>
      <w:r w:rsidRPr="007370AE">
        <w:t xml:space="preserve">Order Nos. PSC-2020-0086-PAA-WU, issued March 24, 2020, in Docket No. 20190114-WU, </w:t>
      </w:r>
      <w:r w:rsidRPr="00CF4E69">
        <w:rPr>
          <w:i/>
          <w:iCs/>
        </w:rPr>
        <w:t>In re: Application for staff-assisted rate case in Alachua County, and request for interim rate increase by Gator Waterworks, Inc.</w:t>
      </w:r>
      <w:r w:rsidRPr="007370AE">
        <w:t xml:space="preserve">; PSC-2020-0088-PAA-SU, issued March 25, 2020, in Docket No. 20190116-SU, </w:t>
      </w:r>
      <w:r w:rsidRPr="00CF4E69">
        <w:rPr>
          <w:i/>
          <w:iCs/>
        </w:rPr>
        <w:t>In re: Application for staff-assisted rate case in Brevard County, and request for interim rate increase by Merritt Island Utility Company.</w:t>
      </w:r>
      <w:r w:rsidRPr="007370AE">
        <w:t xml:space="preserve">; PSC-2020-0087-PAA-WS, issued March 25, 2020, in Docket No. 20190125-WS, </w:t>
      </w:r>
      <w:r w:rsidRPr="00CF4E69">
        <w:rPr>
          <w:i/>
          <w:iCs/>
        </w:rPr>
        <w:t>In re: Application for staff-assisted rate case in Sumter County by The Woods Utility Company.</w:t>
      </w:r>
    </w:p>
  </w:footnote>
  <w:footnote w:id="23">
    <w:p w:rsidR="001C2CEC" w:rsidRDefault="001C2CEC">
      <w:pPr>
        <w:pStyle w:val="FootnoteText"/>
      </w:pPr>
      <w:r>
        <w:rPr>
          <w:rStyle w:val="FootnoteReference"/>
        </w:rPr>
        <w:footnoteRef/>
      </w:r>
      <w:r w:rsidRPr="00C52495">
        <w:t xml:space="preserve">Order Nos. </w:t>
      </w:r>
      <w:r w:rsidRPr="00CF4D5E">
        <w:t xml:space="preserve">PSC-16-0249-PCO-WS, issued June 29, 2016, in Docket No. 20160030-WS, </w:t>
      </w:r>
      <w:r w:rsidRPr="00D00B49">
        <w:rPr>
          <w:i/>
          <w:iCs/>
        </w:rPr>
        <w:t>In re: Application for increase in water rates in Lee County and wastewater rates in Pasco County by Ni Florida, LLC.</w:t>
      </w:r>
      <w:r w:rsidRPr="00CF4D5E">
        <w:t xml:space="preserve">; PSC-13-0673-FOF-WS, issued December 19, 2013, in Docket No. </w:t>
      </w:r>
      <w:r>
        <w:t>20</w:t>
      </w:r>
      <w:r w:rsidRPr="00CF4D5E">
        <w:t xml:space="preserve">130212-WS, </w:t>
      </w:r>
      <w:r w:rsidRPr="00D00B49">
        <w:rPr>
          <w:i/>
          <w:iCs/>
        </w:rPr>
        <w:t>In re: Application for increase in water/wastewater rates in Polk County by Cypress Lakes Utilities, Inc</w:t>
      </w:r>
      <w:r>
        <w:rPr>
          <w:i/>
          <w:iCs/>
        </w:rPr>
        <w:t>.</w:t>
      </w:r>
      <w:r>
        <w:t xml:space="preserve">; </w:t>
      </w:r>
      <w:r w:rsidRPr="00C52495">
        <w:t xml:space="preserve">PSC-07-0568-PAA-WU, issued July 9, 2007, in Docket No. 20070041-SU, </w:t>
      </w:r>
      <w:r w:rsidRPr="00C52495">
        <w:rPr>
          <w:i/>
          <w:iCs/>
        </w:rPr>
        <w:t>In re: Application for limited proceeding rate increase in Monroe County by Key Haven Utility Corporation</w:t>
      </w:r>
      <w:r w:rsidRPr="00C52495">
        <w:t>; PSC-05-0287-PAA-SU, issued March 17, 2005, in Docket No. 20040972-SU, I</w:t>
      </w:r>
      <w:r w:rsidRPr="00C52495">
        <w:rPr>
          <w:i/>
          <w:iCs/>
        </w:rPr>
        <w:t>n re: Application for rate increase in Pinellas County by Ranch Mobile WWTP, Inc.</w:t>
      </w:r>
      <w:r w:rsidRPr="00C52495">
        <w:t xml:space="preserve">; and PSC-95-0191-FOF-WS, issued February 9, 1995, in Docket No. 19940917-WS,  </w:t>
      </w:r>
      <w:r w:rsidRPr="00C52495">
        <w:rPr>
          <w:i/>
          <w:iCs/>
        </w:rPr>
        <w:t>In re: Application for rate increase for increased water and wastewater rates in Seminole, Orange, and Pasco Counties by Utilities, Inc. of Florida</w:t>
      </w:r>
      <w:r>
        <w:rPr>
          <w:i/>
          <w:iCs/>
        </w:rPr>
        <w:t>.</w:t>
      </w:r>
    </w:p>
  </w:footnote>
  <w:footnote w:id="24">
    <w:p w:rsidR="001C2CEC" w:rsidRDefault="001C2CEC" w:rsidP="008A5E77">
      <w:pPr>
        <w:pStyle w:val="FootnoteText"/>
      </w:pPr>
      <w:r>
        <w:rPr>
          <w:rStyle w:val="FootnoteReference"/>
        </w:rPr>
        <w:footnoteRef/>
      </w:r>
      <w:r>
        <w:t>Average person per household was obtained from www.census.gov/quickfacts/highlandscountyflorida.</w:t>
      </w:r>
    </w:p>
  </w:footnote>
  <w:footnote w:id="25">
    <w:p w:rsidR="001C2CEC" w:rsidRDefault="001C2CEC" w:rsidP="008A5E77">
      <w:pPr>
        <w:pStyle w:val="FootnoteText"/>
      </w:pPr>
      <w:r>
        <w:rPr>
          <w:rStyle w:val="FootnoteReference"/>
        </w:rPr>
        <w:footnoteRef/>
      </w:r>
      <w:proofErr w:type="gramStart"/>
      <w:r>
        <w:t>Order No.</w:t>
      </w:r>
      <w:proofErr w:type="gramEnd"/>
      <w:r>
        <w:t xml:space="preserve"> PSC-15-0282-PAA-WS, issued July 8, 2015, in Docket No. 20140158-WS, </w:t>
      </w:r>
      <w:r w:rsidRPr="00372C7D">
        <w:rPr>
          <w:i/>
        </w:rPr>
        <w:t>In re: Application for increase in water/wastewater rates in Highlands County by HC Waterworks, Inc.</w:t>
      </w:r>
    </w:p>
  </w:footnote>
  <w:footnote w:id="26">
    <w:p w:rsidR="001C2CEC" w:rsidRDefault="001C2CEC" w:rsidP="00F14C31">
      <w:pPr>
        <w:pStyle w:val="FootnoteText"/>
      </w:pPr>
      <w:r>
        <w:rPr>
          <w:rStyle w:val="FootnoteReference"/>
        </w:rPr>
        <w:footnoteRef/>
      </w:r>
      <w:r w:rsidRPr="009238AF">
        <w:t xml:space="preserve">Order Nos. PSC-2017-0428-PAA-WS, issued November 7, 2017, in Docket No. 20160195-WS, </w:t>
      </w:r>
      <w:r w:rsidRPr="009238AF">
        <w:rPr>
          <w:i/>
        </w:rPr>
        <w:t>In re: Application for staff-assisted rate case in Lake County by Lakeside Waterworks, Inc.</w:t>
      </w:r>
      <w:r w:rsidRPr="009238AF">
        <w:t xml:space="preserve"> and PSC-17-0113-PAA-WS, issued March 28, 2017, in Docket No. 20130105-WS, </w:t>
      </w:r>
      <w:r w:rsidRPr="009238AF">
        <w:rPr>
          <w:i/>
        </w:rPr>
        <w:t>In re: Application for certificates to provide water and wastewater service in Hendry and Collier Counties, by Consolidated Services of Hendry &amp; Collier, LLC</w:t>
      </w:r>
      <w:r>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EC" w:rsidRDefault="001C2CEC" w:rsidP="00220732">
    <w:pPr>
      <w:pStyle w:val="Header"/>
      <w:tabs>
        <w:tab w:val="clear" w:pos="4320"/>
        <w:tab w:val="clear" w:pos="8640"/>
        <w:tab w:val="right" w:pos="9360"/>
      </w:tabs>
    </w:pPr>
    <w:bookmarkStart w:id="10" w:name="DocketLabel"/>
    <w:r>
      <w:t>Docket No.</w:t>
    </w:r>
    <w:bookmarkEnd w:id="10"/>
    <w:r>
      <w:t xml:space="preserve"> </w:t>
    </w:r>
    <w:bookmarkStart w:id="11" w:name="DocketList"/>
    <w:r>
      <w:t>20190166-WS</w:t>
    </w:r>
    <w:bookmarkEnd w:id="11"/>
  </w:p>
  <w:p w:rsidR="001C2CEC" w:rsidRDefault="001C2CEC">
    <w:pPr>
      <w:pStyle w:val="Header"/>
    </w:pPr>
    <w:r>
      <w:t xml:space="preserve">Date: </w:t>
    </w:r>
    <w:r w:rsidR="00194728">
      <w:fldChar w:fldCharType="begin"/>
    </w:r>
    <w:r w:rsidR="00194728">
      <w:instrText xml:space="preserve"> REF FilingDate </w:instrText>
    </w:r>
    <w:r w:rsidR="00194728">
      <w:fldChar w:fldCharType="separate"/>
    </w:r>
    <w:r w:rsidR="00414083">
      <w:t>April 23, 2020</w:t>
    </w:r>
    <w:r w:rsidR="00194728">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EC" w:rsidRDefault="001C2CEC" w:rsidP="00220732">
    <w:pPr>
      <w:pStyle w:val="Header"/>
      <w:tabs>
        <w:tab w:val="clear" w:pos="4320"/>
        <w:tab w:val="clear" w:pos="8640"/>
        <w:tab w:val="right" w:pos="9360"/>
      </w:tabs>
    </w:pPr>
    <w:r>
      <w:fldChar w:fldCharType="begin"/>
    </w:r>
    <w:r>
      <w:instrText xml:space="preserve"> REF DocketLabel</w:instrText>
    </w:r>
    <w:r>
      <w:fldChar w:fldCharType="separate"/>
    </w:r>
    <w:r w:rsidR="00414083">
      <w:t>Docket No.</w:t>
    </w:r>
    <w:r>
      <w:fldChar w:fldCharType="end"/>
    </w:r>
    <w:r>
      <w:t xml:space="preserve"> </w:t>
    </w:r>
    <w:r>
      <w:fldChar w:fldCharType="begin"/>
    </w:r>
    <w:r>
      <w:instrText xml:space="preserve"> REF DocketList</w:instrText>
    </w:r>
    <w:r>
      <w:fldChar w:fldCharType="separate"/>
    </w:r>
    <w:r w:rsidR="00414083">
      <w:t>20190166-WS</w:t>
    </w:r>
    <w:r>
      <w:fldChar w:fldCharType="end"/>
    </w:r>
    <w:r>
      <w:tab/>
      <w:t>Schedule No. 4</w:t>
    </w:r>
  </w:p>
  <w:p w:rsidR="001C2CEC" w:rsidRDefault="001C2CEC" w:rsidP="00AE2B27">
    <w:pPr>
      <w:pStyle w:val="Header"/>
      <w:tabs>
        <w:tab w:val="clear" w:pos="8640"/>
        <w:tab w:val="right" w:pos="9360"/>
      </w:tabs>
    </w:pPr>
    <w:r>
      <w:t xml:space="preserve">Date: </w:t>
    </w:r>
    <w:r w:rsidR="00194728">
      <w:fldChar w:fldCharType="begin"/>
    </w:r>
    <w:r w:rsidR="00194728">
      <w:instrText xml:space="preserve"> REF FilingDate </w:instrText>
    </w:r>
    <w:r w:rsidR="00194728">
      <w:fldChar w:fldCharType="separate"/>
    </w:r>
    <w:r w:rsidR="00414083">
      <w:t>April 23, 2020</w:t>
    </w:r>
    <w:r w:rsidR="00194728">
      <w:fldChar w:fldCharType="end"/>
    </w:r>
    <w:r>
      <w:tab/>
    </w:r>
    <w:r>
      <w:tab/>
      <w:t>Page 1 of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EC" w:rsidRDefault="001C2C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EC" w:rsidRDefault="001C2CEC" w:rsidP="00220732">
    <w:pPr>
      <w:pStyle w:val="Header"/>
      <w:tabs>
        <w:tab w:val="clear" w:pos="4320"/>
        <w:tab w:val="clear" w:pos="8640"/>
        <w:tab w:val="right" w:pos="9360"/>
      </w:tabs>
    </w:pPr>
    <w:r>
      <w:fldChar w:fldCharType="begin"/>
    </w:r>
    <w:r>
      <w:instrText xml:space="preserve"> REF DocketLabel</w:instrText>
    </w:r>
    <w:r>
      <w:fldChar w:fldCharType="separate"/>
    </w:r>
    <w:r w:rsidR="00414083">
      <w:t>Docket No.</w:t>
    </w:r>
    <w:r>
      <w:fldChar w:fldCharType="end"/>
    </w:r>
    <w:r>
      <w:t xml:space="preserve"> </w:t>
    </w:r>
    <w:r>
      <w:fldChar w:fldCharType="begin"/>
    </w:r>
    <w:r>
      <w:instrText xml:space="preserve"> REF DocketList</w:instrText>
    </w:r>
    <w:r>
      <w:fldChar w:fldCharType="separate"/>
    </w:r>
    <w:r w:rsidR="00414083">
      <w:t>20190166-WS</w:t>
    </w:r>
    <w:r>
      <w:fldChar w:fldCharType="end"/>
    </w:r>
    <w:r>
      <w:tab/>
      <w:t xml:space="preserve">Issue </w:t>
    </w:r>
    <w:r w:rsidR="00194728">
      <w:fldChar w:fldCharType="begin"/>
    </w:r>
    <w:r w:rsidR="00194728">
      <w:instrText xml:space="preserve"> Seq Issue \c \* Arabic </w:instrText>
    </w:r>
    <w:r w:rsidR="00194728">
      <w:fldChar w:fldCharType="separate"/>
    </w:r>
    <w:r w:rsidR="00805A1D">
      <w:rPr>
        <w:noProof/>
      </w:rPr>
      <w:t>20</w:t>
    </w:r>
    <w:r w:rsidR="00194728">
      <w:rPr>
        <w:noProof/>
      </w:rPr>
      <w:fldChar w:fldCharType="end"/>
    </w:r>
  </w:p>
  <w:p w:rsidR="001C2CEC" w:rsidRDefault="001C2CEC">
    <w:pPr>
      <w:pStyle w:val="Header"/>
    </w:pPr>
    <w:r>
      <w:t xml:space="preserve">Date: </w:t>
    </w:r>
    <w:r w:rsidR="00194728">
      <w:fldChar w:fldCharType="begin"/>
    </w:r>
    <w:r w:rsidR="00194728">
      <w:instrText xml:space="preserve"> REF FilingDate </w:instrText>
    </w:r>
    <w:r w:rsidR="00194728">
      <w:fldChar w:fldCharType="separate"/>
    </w:r>
    <w:r w:rsidR="00414083">
      <w:t>April 23, 2020</w:t>
    </w:r>
    <w:r w:rsidR="00194728">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EC" w:rsidRDefault="001C2CE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EC" w:rsidRDefault="001C2CEC" w:rsidP="00220732">
    <w:pPr>
      <w:pStyle w:val="Header"/>
      <w:tabs>
        <w:tab w:val="clear" w:pos="4320"/>
        <w:tab w:val="clear" w:pos="8640"/>
        <w:tab w:val="right" w:pos="9360"/>
      </w:tabs>
    </w:pPr>
    <w:r>
      <w:fldChar w:fldCharType="begin"/>
    </w:r>
    <w:r>
      <w:instrText xml:space="preserve"> REF DocketLabel</w:instrText>
    </w:r>
    <w:r>
      <w:fldChar w:fldCharType="separate"/>
    </w:r>
    <w:r w:rsidR="00414083">
      <w:t>Docket No.</w:t>
    </w:r>
    <w:r>
      <w:fldChar w:fldCharType="end"/>
    </w:r>
    <w:r>
      <w:t xml:space="preserve"> </w:t>
    </w:r>
    <w:r>
      <w:fldChar w:fldCharType="begin"/>
    </w:r>
    <w:r>
      <w:instrText xml:space="preserve"> REF DocketList</w:instrText>
    </w:r>
    <w:r>
      <w:fldChar w:fldCharType="separate"/>
    </w:r>
    <w:r w:rsidR="00414083">
      <w:t>20190166-WS</w:t>
    </w:r>
    <w:r>
      <w:fldChar w:fldCharType="end"/>
    </w:r>
    <w:r>
      <w:tab/>
      <w:t>Schedule No. 1-A</w:t>
    </w:r>
  </w:p>
  <w:p w:rsidR="001C2CEC" w:rsidRDefault="001C2CEC" w:rsidP="00AE2B27">
    <w:pPr>
      <w:pStyle w:val="Header"/>
      <w:tabs>
        <w:tab w:val="clear" w:pos="8640"/>
        <w:tab w:val="right" w:pos="9360"/>
      </w:tabs>
    </w:pPr>
    <w:r>
      <w:t xml:space="preserve">Date: </w:t>
    </w:r>
    <w:r w:rsidR="00194728">
      <w:fldChar w:fldCharType="begin"/>
    </w:r>
    <w:r w:rsidR="00194728">
      <w:instrText xml:space="preserve"> REF FilingDate </w:instrText>
    </w:r>
    <w:r w:rsidR="00194728">
      <w:fldChar w:fldCharType="separate"/>
    </w:r>
    <w:r w:rsidR="00414083">
      <w:t>April 23, 2020</w:t>
    </w:r>
    <w:r w:rsidR="00194728">
      <w:fldChar w:fldCharType="end"/>
    </w:r>
    <w:r>
      <w:tab/>
    </w:r>
    <w:r>
      <w:tab/>
      <w:t>Page 1 of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EC" w:rsidRDefault="001C2CEC" w:rsidP="00220732">
    <w:pPr>
      <w:pStyle w:val="Header"/>
      <w:tabs>
        <w:tab w:val="clear" w:pos="4320"/>
        <w:tab w:val="clear" w:pos="8640"/>
        <w:tab w:val="right" w:pos="9360"/>
      </w:tabs>
    </w:pPr>
    <w:r>
      <w:fldChar w:fldCharType="begin"/>
    </w:r>
    <w:r>
      <w:instrText xml:space="preserve"> REF DocketLabel</w:instrText>
    </w:r>
    <w:r>
      <w:fldChar w:fldCharType="separate"/>
    </w:r>
    <w:r w:rsidR="00414083">
      <w:t>Docket No.</w:t>
    </w:r>
    <w:r>
      <w:fldChar w:fldCharType="end"/>
    </w:r>
    <w:r>
      <w:t xml:space="preserve"> </w:t>
    </w:r>
    <w:r>
      <w:fldChar w:fldCharType="begin"/>
    </w:r>
    <w:r>
      <w:instrText xml:space="preserve"> REF DocketList</w:instrText>
    </w:r>
    <w:r>
      <w:fldChar w:fldCharType="separate"/>
    </w:r>
    <w:r w:rsidR="00414083">
      <w:t>20190166-WS</w:t>
    </w:r>
    <w:r>
      <w:fldChar w:fldCharType="end"/>
    </w:r>
    <w:r>
      <w:tab/>
      <w:t>Schedule No. 1-B</w:t>
    </w:r>
  </w:p>
  <w:p w:rsidR="001C2CEC" w:rsidRDefault="001C2CEC" w:rsidP="00AE2B27">
    <w:pPr>
      <w:pStyle w:val="Header"/>
      <w:tabs>
        <w:tab w:val="clear" w:pos="8640"/>
        <w:tab w:val="right" w:pos="9360"/>
      </w:tabs>
    </w:pPr>
    <w:r>
      <w:t xml:space="preserve">Date: </w:t>
    </w:r>
    <w:r w:rsidR="00194728">
      <w:fldChar w:fldCharType="begin"/>
    </w:r>
    <w:r w:rsidR="00194728">
      <w:instrText xml:space="preserve"> REF FilingDate </w:instrText>
    </w:r>
    <w:r w:rsidR="00194728">
      <w:fldChar w:fldCharType="separate"/>
    </w:r>
    <w:r w:rsidR="00414083">
      <w:t>April 23, 2020</w:t>
    </w:r>
    <w:r w:rsidR="00194728">
      <w:fldChar w:fldCharType="end"/>
    </w:r>
    <w:r>
      <w:tab/>
    </w:r>
    <w:r>
      <w:tab/>
      <w:t>Page 1 of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EC" w:rsidRDefault="001C2CEC" w:rsidP="00AE2B27">
    <w:pPr>
      <w:pStyle w:val="Header"/>
      <w:tabs>
        <w:tab w:val="clear" w:pos="4320"/>
        <w:tab w:val="clear" w:pos="8640"/>
        <w:tab w:val="right" w:pos="12240"/>
      </w:tabs>
    </w:pPr>
    <w:r>
      <w:fldChar w:fldCharType="begin"/>
    </w:r>
    <w:r>
      <w:instrText xml:space="preserve"> REF DocketLabel</w:instrText>
    </w:r>
    <w:r>
      <w:fldChar w:fldCharType="separate"/>
    </w:r>
    <w:r w:rsidR="00414083">
      <w:t>Docket No.</w:t>
    </w:r>
    <w:r>
      <w:fldChar w:fldCharType="end"/>
    </w:r>
    <w:r>
      <w:t xml:space="preserve"> </w:t>
    </w:r>
    <w:r>
      <w:fldChar w:fldCharType="begin"/>
    </w:r>
    <w:r>
      <w:instrText xml:space="preserve"> REF DocketList</w:instrText>
    </w:r>
    <w:r>
      <w:fldChar w:fldCharType="separate"/>
    </w:r>
    <w:r w:rsidR="00414083">
      <w:t>20190166-WS</w:t>
    </w:r>
    <w:r>
      <w:fldChar w:fldCharType="end"/>
    </w:r>
    <w:r>
      <w:tab/>
      <w:t>Schedule No. 2</w:t>
    </w:r>
  </w:p>
  <w:p w:rsidR="001C2CEC" w:rsidRDefault="001C2CEC" w:rsidP="00AE2B27">
    <w:pPr>
      <w:pStyle w:val="Header"/>
      <w:tabs>
        <w:tab w:val="clear" w:pos="8640"/>
        <w:tab w:val="right" w:pos="12240"/>
      </w:tabs>
    </w:pPr>
    <w:r>
      <w:t xml:space="preserve">Date: </w:t>
    </w:r>
    <w:r w:rsidR="00194728">
      <w:fldChar w:fldCharType="begin"/>
    </w:r>
    <w:r w:rsidR="00194728">
      <w:instrText xml:space="preserve"> REF FilingDate </w:instrText>
    </w:r>
    <w:r w:rsidR="00194728">
      <w:fldChar w:fldCharType="separate"/>
    </w:r>
    <w:r w:rsidR="00414083">
      <w:t>April 23, 2020</w:t>
    </w:r>
    <w:r w:rsidR="00194728">
      <w:fldChar w:fldCharType="end"/>
    </w:r>
    <w:r>
      <w:tab/>
    </w:r>
    <w:r>
      <w:tab/>
      <w:t>Page 1 of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EC" w:rsidRDefault="001C2CEC" w:rsidP="00220732">
    <w:pPr>
      <w:pStyle w:val="Header"/>
      <w:tabs>
        <w:tab w:val="clear" w:pos="4320"/>
        <w:tab w:val="clear" w:pos="8640"/>
        <w:tab w:val="right" w:pos="9360"/>
      </w:tabs>
    </w:pPr>
    <w:r>
      <w:fldChar w:fldCharType="begin"/>
    </w:r>
    <w:r>
      <w:instrText xml:space="preserve"> REF DocketLabel</w:instrText>
    </w:r>
    <w:r>
      <w:fldChar w:fldCharType="separate"/>
    </w:r>
    <w:r w:rsidR="00414083">
      <w:t>Docket No.</w:t>
    </w:r>
    <w:r>
      <w:fldChar w:fldCharType="end"/>
    </w:r>
    <w:r>
      <w:t xml:space="preserve"> </w:t>
    </w:r>
    <w:r>
      <w:fldChar w:fldCharType="begin"/>
    </w:r>
    <w:r>
      <w:instrText xml:space="preserve"> REF DocketList</w:instrText>
    </w:r>
    <w:r>
      <w:fldChar w:fldCharType="separate"/>
    </w:r>
    <w:r w:rsidR="00414083">
      <w:t>20190166-WS</w:t>
    </w:r>
    <w:r>
      <w:fldChar w:fldCharType="end"/>
    </w:r>
    <w:r>
      <w:tab/>
    </w:r>
    <w:r>
      <w:tab/>
    </w:r>
    <w:r>
      <w:tab/>
      <w:t>Schedule No. 3-A</w:t>
    </w:r>
  </w:p>
  <w:p w:rsidR="001C2CEC" w:rsidRDefault="001C2CEC" w:rsidP="00AE2B27">
    <w:pPr>
      <w:pStyle w:val="Header"/>
      <w:tabs>
        <w:tab w:val="clear" w:pos="8640"/>
        <w:tab w:val="right" w:pos="9360"/>
      </w:tabs>
    </w:pPr>
    <w:r>
      <w:t xml:space="preserve">Date: </w:t>
    </w:r>
    <w:r w:rsidR="00194728">
      <w:fldChar w:fldCharType="begin"/>
    </w:r>
    <w:r w:rsidR="00194728">
      <w:instrText xml:space="preserve"> REF FilingDate </w:instrText>
    </w:r>
    <w:r w:rsidR="00194728">
      <w:fldChar w:fldCharType="separate"/>
    </w:r>
    <w:r w:rsidR="00414083">
      <w:t>April 23, 2020</w:t>
    </w:r>
    <w:r w:rsidR="00194728">
      <w:fldChar w:fldCharType="end"/>
    </w:r>
    <w:r>
      <w:tab/>
    </w:r>
    <w:r>
      <w:tab/>
    </w:r>
    <w:r>
      <w:tab/>
    </w:r>
    <w:r>
      <w:tab/>
      <w:t>Page 1 of 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EC" w:rsidRDefault="001C2CEC" w:rsidP="00220732">
    <w:pPr>
      <w:pStyle w:val="Header"/>
      <w:tabs>
        <w:tab w:val="clear" w:pos="4320"/>
        <w:tab w:val="clear" w:pos="8640"/>
        <w:tab w:val="right" w:pos="9360"/>
      </w:tabs>
    </w:pPr>
    <w:r>
      <w:fldChar w:fldCharType="begin"/>
    </w:r>
    <w:r>
      <w:instrText xml:space="preserve"> REF DocketLabel</w:instrText>
    </w:r>
    <w:r>
      <w:fldChar w:fldCharType="separate"/>
    </w:r>
    <w:r w:rsidR="00414083">
      <w:t>Docket No.</w:t>
    </w:r>
    <w:r>
      <w:fldChar w:fldCharType="end"/>
    </w:r>
    <w:r>
      <w:t xml:space="preserve"> </w:t>
    </w:r>
    <w:r>
      <w:fldChar w:fldCharType="begin"/>
    </w:r>
    <w:r>
      <w:instrText xml:space="preserve"> REF DocketList</w:instrText>
    </w:r>
    <w:r>
      <w:fldChar w:fldCharType="separate"/>
    </w:r>
    <w:r w:rsidR="00414083">
      <w:t>20190166-WS</w:t>
    </w:r>
    <w:r>
      <w:fldChar w:fldCharType="end"/>
    </w:r>
    <w:r>
      <w:tab/>
      <w:t>Schedule No. 3-B</w:t>
    </w:r>
  </w:p>
  <w:p w:rsidR="001C2CEC" w:rsidRDefault="001C2CEC" w:rsidP="00AE2B27">
    <w:pPr>
      <w:pStyle w:val="Header"/>
      <w:tabs>
        <w:tab w:val="clear" w:pos="8640"/>
        <w:tab w:val="right" w:pos="9360"/>
      </w:tabs>
    </w:pPr>
    <w:r>
      <w:t xml:space="preserve">Date: </w:t>
    </w:r>
    <w:r w:rsidR="00194728">
      <w:fldChar w:fldCharType="begin"/>
    </w:r>
    <w:r w:rsidR="00194728">
      <w:instrText xml:space="preserve"> REF FilingDate </w:instrText>
    </w:r>
    <w:r w:rsidR="00194728">
      <w:fldChar w:fldCharType="separate"/>
    </w:r>
    <w:r w:rsidR="00414083">
      <w:t>April 23, 2020</w:t>
    </w:r>
    <w:r w:rsidR="00194728">
      <w:fldChar w:fldCharType="end"/>
    </w:r>
    <w:r>
      <w:tab/>
    </w:r>
    <w:r>
      <w:tab/>
      <w:t>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40A652F4"/>
    <w:multiLevelType w:val="hybridMultilevel"/>
    <w:tmpl w:val="DAE4DF72"/>
    <w:lvl w:ilvl="0" w:tplc="35D8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A677F5"/>
    <w:multiLevelType w:val="hybridMultilevel"/>
    <w:tmpl w:val="38C421EC"/>
    <w:lvl w:ilvl="0" w:tplc="F8289F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80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05F57"/>
    <w:rsid w:val="000043D5"/>
    <w:rsid w:val="00006170"/>
    <w:rsid w:val="00007C4F"/>
    <w:rsid w:val="00010E37"/>
    <w:rsid w:val="000172DA"/>
    <w:rsid w:val="000247C5"/>
    <w:rsid w:val="0002779C"/>
    <w:rsid w:val="000277C2"/>
    <w:rsid w:val="00033204"/>
    <w:rsid w:val="00035B48"/>
    <w:rsid w:val="00036CE2"/>
    <w:rsid w:val="0004176B"/>
    <w:rsid w:val="000437FE"/>
    <w:rsid w:val="00044654"/>
    <w:rsid w:val="000513BE"/>
    <w:rsid w:val="00052707"/>
    <w:rsid w:val="00056A9A"/>
    <w:rsid w:val="00061527"/>
    <w:rsid w:val="0006580B"/>
    <w:rsid w:val="00065A06"/>
    <w:rsid w:val="000666F3"/>
    <w:rsid w:val="000708B4"/>
    <w:rsid w:val="00070DCB"/>
    <w:rsid w:val="00072CCA"/>
    <w:rsid w:val="00073120"/>
    <w:rsid w:val="000732C3"/>
    <w:rsid w:val="000764D0"/>
    <w:rsid w:val="000828D3"/>
    <w:rsid w:val="000831DB"/>
    <w:rsid w:val="00086356"/>
    <w:rsid w:val="00087D35"/>
    <w:rsid w:val="000A2B57"/>
    <w:rsid w:val="000A30B8"/>
    <w:rsid w:val="000A418B"/>
    <w:rsid w:val="000A4FD7"/>
    <w:rsid w:val="000A5CA2"/>
    <w:rsid w:val="000B6B8C"/>
    <w:rsid w:val="000C3035"/>
    <w:rsid w:val="000C4431"/>
    <w:rsid w:val="000D1C06"/>
    <w:rsid w:val="000D4319"/>
    <w:rsid w:val="000E17B8"/>
    <w:rsid w:val="000E2B41"/>
    <w:rsid w:val="000F085A"/>
    <w:rsid w:val="000F374A"/>
    <w:rsid w:val="001024FB"/>
    <w:rsid w:val="001076AF"/>
    <w:rsid w:val="001119DE"/>
    <w:rsid w:val="00113B24"/>
    <w:rsid w:val="00117C8C"/>
    <w:rsid w:val="00124C38"/>
    <w:rsid w:val="00124E2E"/>
    <w:rsid w:val="00125ED4"/>
    <w:rsid w:val="001305E9"/>
    <w:rsid w:val="001307AF"/>
    <w:rsid w:val="00130A2B"/>
    <w:rsid w:val="00135687"/>
    <w:rsid w:val="00154FF1"/>
    <w:rsid w:val="0015506E"/>
    <w:rsid w:val="0015511D"/>
    <w:rsid w:val="00163031"/>
    <w:rsid w:val="00164887"/>
    <w:rsid w:val="00171001"/>
    <w:rsid w:val="00171A90"/>
    <w:rsid w:val="00180254"/>
    <w:rsid w:val="00181879"/>
    <w:rsid w:val="00187015"/>
    <w:rsid w:val="00191E1F"/>
    <w:rsid w:val="00192943"/>
    <w:rsid w:val="00197A12"/>
    <w:rsid w:val="001A6FBE"/>
    <w:rsid w:val="001A7406"/>
    <w:rsid w:val="001B0675"/>
    <w:rsid w:val="001B1031"/>
    <w:rsid w:val="001B4FEE"/>
    <w:rsid w:val="001B51C5"/>
    <w:rsid w:val="001B6F3F"/>
    <w:rsid w:val="001C2CEC"/>
    <w:rsid w:val="001C52B5"/>
    <w:rsid w:val="001D0D3E"/>
    <w:rsid w:val="001D1883"/>
    <w:rsid w:val="001D6425"/>
    <w:rsid w:val="001D66A0"/>
    <w:rsid w:val="001E2D8E"/>
    <w:rsid w:val="001E634A"/>
    <w:rsid w:val="001F2245"/>
    <w:rsid w:val="001F2C63"/>
    <w:rsid w:val="001F3603"/>
    <w:rsid w:val="001F48C7"/>
    <w:rsid w:val="001F64C7"/>
    <w:rsid w:val="001F6DA1"/>
    <w:rsid w:val="002044E6"/>
    <w:rsid w:val="00205C82"/>
    <w:rsid w:val="00205DC2"/>
    <w:rsid w:val="0020615B"/>
    <w:rsid w:val="00210F85"/>
    <w:rsid w:val="00212B17"/>
    <w:rsid w:val="002135B6"/>
    <w:rsid w:val="002163B6"/>
    <w:rsid w:val="00220732"/>
    <w:rsid w:val="00221D32"/>
    <w:rsid w:val="00225C3F"/>
    <w:rsid w:val="00232FFC"/>
    <w:rsid w:val="00237A0C"/>
    <w:rsid w:val="002529C6"/>
    <w:rsid w:val="0025483F"/>
    <w:rsid w:val="00263D44"/>
    <w:rsid w:val="00265CBA"/>
    <w:rsid w:val="00267B96"/>
    <w:rsid w:val="002702AD"/>
    <w:rsid w:val="00292D82"/>
    <w:rsid w:val="0029448A"/>
    <w:rsid w:val="002963CB"/>
    <w:rsid w:val="002A09BA"/>
    <w:rsid w:val="002B15E0"/>
    <w:rsid w:val="002B2EA8"/>
    <w:rsid w:val="002B4A01"/>
    <w:rsid w:val="002B4F0B"/>
    <w:rsid w:val="002B4FA4"/>
    <w:rsid w:val="002C38E1"/>
    <w:rsid w:val="002D17C2"/>
    <w:rsid w:val="002D226D"/>
    <w:rsid w:val="002E3BAF"/>
    <w:rsid w:val="002E5203"/>
    <w:rsid w:val="002E7D60"/>
    <w:rsid w:val="002F43FB"/>
    <w:rsid w:val="002F6030"/>
    <w:rsid w:val="003037E1"/>
    <w:rsid w:val="00307E51"/>
    <w:rsid w:val="003103EC"/>
    <w:rsid w:val="003144EF"/>
    <w:rsid w:val="0032135F"/>
    <w:rsid w:val="00322F74"/>
    <w:rsid w:val="00325FDB"/>
    <w:rsid w:val="00340073"/>
    <w:rsid w:val="00343F7A"/>
    <w:rsid w:val="00344D79"/>
    <w:rsid w:val="00362479"/>
    <w:rsid w:val="003632FD"/>
    <w:rsid w:val="00364B88"/>
    <w:rsid w:val="003667EA"/>
    <w:rsid w:val="00372805"/>
    <w:rsid w:val="00373180"/>
    <w:rsid w:val="00375AB9"/>
    <w:rsid w:val="003821A0"/>
    <w:rsid w:val="00384FFF"/>
    <w:rsid w:val="00385B04"/>
    <w:rsid w:val="003864CF"/>
    <w:rsid w:val="003948AE"/>
    <w:rsid w:val="003960FA"/>
    <w:rsid w:val="003A22A6"/>
    <w:rsid w:val="003A2826"/>
    <w:rsid w:val="003A3FB6"/>
    <w:rsid w:val="003A5494"/>
    <w:rsid w:val="003B2510"/>
    <w:rsid w:val="003B2FB0"/>
    <w:rsid w:val="003C18F7"/>
    <w:rsid w:val="003C2CC4"/>
    <w:rsid w:val="003C3710"/>
    <w:rsid w:val="003D36DE"/>
    <w:rsid w:val="003D6336"/>
    <w:rsid w:val="003D6898"/>
    <w:rsid w:val="003E0EFC"/>
    <w:rsid w:val="003E4A2B"/>
    <w:rsid w:val="003E76C2"/>
    <w:rsid w:val="003F1679"/>
    <w:rsid w:val="003F21EB"/>
    <w:rsid w:val="003F4A35"/>
    <w:rsid w:val="003F56E5"/>
    <w:rsid w:val="003F614A"/>
    <w:rsid w:val="003F7FDD"/>
    <w:rsid w:val="00402481"/>
    <w:rsid w:val="004042B4"/>
    <w:rsid w:val="00404F99"/>
    <w:rsid w:val="00405B4D"/>
    <w:rsid w:val="00410DC4"/>
    <w:rsid w:val="004110FC"/>
    <w:rsid w:val="00412DAE"/>
    <w:rsid w:val="00414083"/>
    <w:rsid w:val="00422F5E"/>
    <w:rsid w:val="00423438"/>
    <w:rsid w:val="004242E6"/>
    <w:rsid w:val="00431598"/>
    <w:rsid w:val="004319AD"/>
    <w:rsid w:val="00435A1D"/>
    <w:rsid w:val="00440FB3"/>
    <w:rsid w:val="004426B8"/>
    <w:rsid w:val="00442B30"/>
    <w:rsid w:val="004433A7"/>
    <w:rsid w:val="00444432"/>
    <w:rsid w:val="00471860"/>
    <w:rsid w:val="004732A9"/>
    <w:rsid w:val="00473AAB"/>
    <w:rsid w:val="00477026"/>
    <w:rsid w:val="00477099"/>
    <w:rsid w:val="00494902"/>
    <w:rsid w:val="00495D6E"/>
    <w:rsid w:val="004964AB"/>
    <w:rsid w:val="004A356C"/>
    <w:rsid w:val="004A48F6"/>
    <w:rsid w:val="004A744D"/>
    <w:rsid w:val="004A7AD1"/>
    <w:rsid w:val="004B60BD"/>
    <w:rsid w:val="004B6438"/>
    <w:rsid w:val="004B7F5D"/>
    <w:rsid w:val="004C3150"/>
    <w:rsid w:val="004C3641"/>
    <w:rsid w:val="004C4390"/>
    <w:rsid w:val="004C4AF7"/>
    <w:rsid w:val="004C5AA8"/>
    <w:rsid w:val="004D2881"/>
    <w:rsid w:val="004D385F"/>
    <w:rsid w:val="004D5014"/>
    <w:rsid w:val="004D5B39"/>
    <w:rsid w:val="004D794B"/>
    <w:rsid w:val="004E1644"/>
    <w:rsid w:val="004E330D"/>
    <w:rsid w:val="004E5147"/>
    <w:rsid w:val="004E69B5"/>
    <w:rsid w:val="004F5C43"/>
    <w:rsid w:val="0050652D"/>
    <w:rsid w:val="00506C03"/>
    <w:rsid w:val="00507A13"/>
    <w:rsid w:val="00511A11"/>
    <w:rsid w:val="00516496"/>
    <w:rsid w:val="00517613"/>
    <w:rsid w:val="00523B11"/>
    <w:rsid w:val="0052572A"/>
    <w:rsid w:val="00532C85"/>
    <w:rsid w:val="00532DFB"/>
    <w:rsid w:val="00534DD8"/>
    <w:rsid w:val="00543CB3"/>
    <w:rsid w:val="005442E4"/>
    <w:rsid w:val="00550323"/>
    <w:rsid w:val="0055529B"/>
    <w:rsid w:val="00557FB8"/>
    <w:rsid w:val="00560FF0"/>
    <w:rsid w:val="005614BD"/>
    <w:rsid w:val="0057154F"/>
    <w:rsid w:val="0057465F"/>
    <w:rsid w:val="00580897"/>
    <w:rsid w:val="00580F69"/>
    <w:rsid w:val="00581CA3"/>
    <w:rsid w:val="0058768F"/>
    <w:rsid w:val="00587A44"/>
    <w:rsid w:val="00597730"/>
    <w:rsid w:val="005977EC"/>
    <w:rsid w:val="00597DE7"/>
    <w:rsid w:val="005A4AA2"/>
    <w:rsid w:val="005B34B6"/>
    <w:rsid w:val="005B6C8F"/>
    <w:rsid w:val="005B6EC3"/>
    <w:rsid w:val="005C5D0E"/>
    <w:rsid w:val="005C66B3"/>
    <w:rsid w:val="005D0F74"/>
    <w:rsid w:val="005D155F"/>
    <w:rsid w:val="005D2511"/>
    <w:rsid w:val="005D2E7D"/>
    <w:rsid w:val="005D497D"/>
    <w:rsid w:val="005D4A8F"/>
    <w:rsid w:val="005D561B"/>
    <w:rsid w:val="005D5ECF"/>
    <w:rsid w:val="005D64A6"/>
    <w:rsid w:val="005E1A56"/>
    <w:rsid w:val="005E4EBE"/>
    <w:rsid w:val="005E6DAC"/>
    <w:rsid w:val="005F1863"/>
    <w:rsid w:val="005F3192"/>
    <w:rsid w:val="005F468D"/>
    <w:rsid w:val="005F49FD"/>
    <w:rsid w:val="005F69A3"/>
    <w:rsid w:val="00604CC7"/>
    <w:rsid w:val="00605AC9"/>
    <w:rsid w:val="0061132A"/>
    <w:rsid w:val="00615423"/>
    <w:rsid w:val="006165B2"/>
    <w:rsid w:val="006166B3"/>
    <w:rsid w:val="00617276"/>
    <w:rsid w:val="0062527B"/>
    <w:rsid w:val="00625D97"/>
    <w:rsid w:val="00625F1C"/>
    <w:rsid w:val="00626B66"/>
    <w:rsid w:val="006279E1"/>
    <w:rsid w:val="00630CEB"/>
    <w:rsid w:val="00632264"/>
    <w:rsid w:val="006470BC"/>
    <w:rsid w:val="0064715A"/>
    <w:rsid w:val="006554D3"/>
    <w:rsid w:val="00656073"/>
    <w:rsid w:val="006569A2"/>
    <w:rsid w:val="00657304"/>
    <w:rsid w:val="006604AF"/>
    <w:rsid w:val="00667036"/>
    <w:rsid w:val="00673400"/>
    <w:rsid w:val="00673BDB"/>
    <w:rsid w:val="00674341"/>
    <w:rsid w:val="00676568"/>
    <w:rsid w:val="006771B8"/>
    <w:rsid w:val="006843B6"/>
    <w:rsid w:val="0068481F"/>
    <w:rsid w:val="00694452"/>
    <w:rsid w:val="00696F5D"/>
    <w:rsid w:val="00697249"/>
    <w:rsid w:val="006A2233"/>
    <w:rsid w:val="006B3199"/>
    <w:rsid w:val="006B3947"/>
    <w:rsid w:val="006B4293"/>
    <w:rsid w:val="006B624F"/>
    <w:rsid w:val="006B63FE"/>
    <w:rsid w:val="006C0C95"/>
    <w:rsid w:val="006C31E3"/>
    <w:rsid w:val="006D18D3"/>
    <w:rsid w:val="006D58A7"/>
    <w:rsid w:val="006E08CB"/>
    <w:rsid w:val="006E598D"/>
    <w:rsid w:val="006E7465"/>
    <w:rsid w:val="006F53FA"/>
    <w:rsid w:val="0070320F"/>
    <w:rsid w:val="0070437D"/>
    <w:rsid w:val="00704CF1"/>
    <w:rsid w:val="00705B04"/>
    <w:rsid w:val="007214C5"/>
    <w:rsid w:val="00724992"/>
    <w:rsid w:val="00726757"/>
    <w:rsid w:val="00732E2B"/>
    <w:rsid w:val="00734820"/>
    <w:rsid w:val="007349DC"/>
    <w:rsid w:val="00735261"/>
    <w:rsid w:val="007362DC"/>
    <w:rsid w:val="007376E1"/>
    <w:rsid w:val="0074365E"/>
    <w:rsid w:val="00744B55"/>
    <w:rsid w:val="0075067C"/>
    <w:rsid w:val="007515FD"/>
    <w:rsid w:val="0075406C"/>
    <w:rsid w:val="00760D80"/>
    <w:rsid w:val="00762064"/>
    <w:rsid w:val="00767EAB"/>
    <w:rsid w:val="00770C0D"/>
    <w:rsid w:val="00774AAA"/>
    <w:rsid w:val="00775957"/>
    <w:rsid w:val="00780C09"/>
    <w:rsid w:val="00780DDF"/>
    <w:rsid w:val="007834E9"/>
    <w:rsid w:val="00787DBC"/>
    <w:rsid w:val="0079019A"/>
    <w:rsid w:val="00790B78"/>
    <w:rsid w:val="00792935"/>
    <w:rsid w:val="007A04A1"/>
    <w:rsid w:val="007A1840"/>
    <w:rsid w:val="007A5F1C"/>
    <w:rsid w:val="007A62BA"/>
    <w:rsid w:val="007B5FA1"/>
    <w:rsid w:val="007C0528"/>
    <w:rsid w:val="007C1369"/>
    <w:rsid w:val="007C3D38"/>
    <w:rsid w:val="007C492F"/>
    <w:rsid w:val="007D0F35"/>
    <w:rsid w:val="007D4FEB"/>
    <w:rsid w:val="007D6146"/>
    <w:rsid w:val="007E0CE7"/>
    <w:rsid w:val="007E348A"/>
    <w:rsid w:val="007E404F"/>
    <w:rsid w:val="007E4F0F"/>
    <w:rsid w:val="007E590A"/>
    <w:rsid w:val="007F0331"/>
    <w:rsid w:val="007F1193"/>
    <w:rsid w:val="007F3760"/>
    <w:rsid w:val="007F417F"/>
    <w:rsid w:val="007F7644"/>
    <w:rsid w:val="008042BD"/>
    <w:rsid w:val="00805A1D"/>
    <w:rsid w:val="00816624"/>
    <w:rsid w:val="00822427"/>
    <w:rsid w:val="00822562"/>
    <w:rsid w:val="00823663"/>
    <w:rsid w:val="008278A2"/>
    <w:rsid w:val="00832DDC"/>
    <w:rsid w:val="008470F5"/>
    <w:rsid w:val="00850BAC"/>
    <w:rsid w:val="00854A3E"/>
    <w:rsid w:val="00855D08"/>
    <w:rsid w:val="008609BF"/>
    <w:rsid w:val="00871BAF"/>
    <w:rsid w:val="00874344"/>
    <w:rsid w:val="00882155"/>
    <w:rsid w:val="0088233B"/>
    <w:rsid w:val="008831F1"/>
    <w:rsid w:val="008850EB"/>
    <w:rsid w:val="0088599E"/>
    <w:rsid w:val="00885A63"/>
    <w:rsid w:val="00886C37"/>
    <w:rsid w:val="00890926"/>
    <w:rsid w:val="00892D99"/>
    <w:rsid w:val="00893315"/>
    <w:rsid w:val="008951B8"/>
    <w:rsid w:val="008A2892"/>
    <w:rsid w:val="008A45D1"/>
    <w:rsid w:val="008A5A58"/>
    <w:rsid w:val="008A5E77"/>
    <w:rsid w:val="008B2537"/>
    <w:rsid w:val="008B62AE"/>
    <w:rsid w:val="008C04B5"/>
    <w:rsid w:val="008C13F2"/>
    <w:rsid w:val="008C14FA"/>
    <w:rsid w:val="008C7B0B"/>
    <w:rsid w:val="008D3280"/>
    <w:rsid w:val="008D4057"/>
    <w:rsid w:val="008D5AE6"/>
    <w:rsid w:val="008E1F19"/>
    <w:rsid w:val="008E21AD"/>
    <w:rsid w:val="008E6ADE"/>
    <w:rsid w:val="008E79AD"/>
    <w:rsid w:val="008E7E12"/>
    <w:rsid w:val="008F2262"/>
    <w:rsid w:val="008F4D2B"/>
    <w:rsid w:val="008F7736"/>
    <w:rsid w:val="0090019E"/>
    <w:rsid w:val="00901086"/>
    <w:rsid w:val="00901C8A"/>
    <w:rsid w:val="009054C8"/>
    <w:rsid w:val="00905886"/>
    <w:rsid w:val="009070D6"/>
    <w:rsid w:val="009076C6"/>
    <w:rsid w:val="0091019E"/>
    <w:rsid w:val="009106F1"/>
    <w:rsid w:val="00912404"/>
    <w:rsid w:val="00912776"/>
    <w:rsid w:val="00913CDC"/>
    <w:rsid w:val="009145D6"/>
    <w:rsid w:val="00920E64"/>
    <w:rsid w:val="00922002"/>
    <w:rsid w:val="00924020"/>
    <w:rsid w:val="009271A7"/>
    <w:rsid w:val="00930162"/>
    <w:rsid w:val="00934203"/>
    <w:rsid w:val="0093658B"/>
    <w:rsid w:val="009429FF"/>
    <w:rsid w:val="00945BD6"/>
    <w:rsid w:val="009479FB"/>
    <w:rsid w:val="00951C45"/>
    <w:rsid w:val="009656F2"/>
    <w:rsid w:val="00966A08"/>
    <w:rsid w:val="00970496"/>
    <w:rsid w:val="00971207"/>
    <w:rsid w:val="00971577"/>
    <w:rsid w:val="00971933"/>
    <w:rsid w:val="00975CB4"/>
    <w:rsid w:val="009863B0"/>
    <w:rsid w:val="00987DE1"/>
    <w:rsid w:val="00990571"/>
    <w:rsid w:val="0099673A"/>
    <w:rsid w:val="00997CF1"/>
    <w:rsid w:val="009A3330"/>
    <w:rsid w:val="009A5626"/>
    <w:rsid w:val="009A7C96"/>
    <w:rsid w:val="009B4DA9"/>
    <w:rsid w:val="009B5406"/>
    <w:rsid w:val="009B5A9D"/>
    <w:rsid w:val="009C39AF"/>
    <w:rsid w:val="009C3DB9"/>
    <w:rsid w:val="009C45D0"/>
    <w:rsid w:val="009D46E5"/>
    <w:rsid w:val="009D568A"/>
    <w:rsid w:val="009D5F48"/>
    <w:rsid w:val="009F04EC"/>
    <w:rsid w:val="009F20DD"/>
    <w:rsid w:val="009F256F"/>
    <w:rsid w:val="009F2A7C"/>
    <w:rsid w:val="009F3B36"/>
    <w:rsid w:val="009F71FC"/>
    <w:rsid w:val="009F781B"/>
    <w:rsid w:val="00A019B9"/>
    <w:rsid w:val="00A04381"/>
    <w:rsid w:val="00A115FD"/>
    <w:rsid w:val="00A12508"/>
    <w:rsid w:val="00A1282B"/>
    <w:rsid w:val="00A13A27"/>
    <w:rsid w:val="00A175B6"/>
    <w:rsid w:val="00A21835"/>
    <w:rsid w:val="00A2274F"/>
    <w:rsid w:val="00A2374B"/>
    <w:rsid w:val="00A27D6E"/>
    <w:rsid w:val="00A328EC"/>
    <w:rsid w:val="00A33A51"/>
    <w:rsid w:val="00A36D01"/>
    <w:rsid w:val="00A41CA6"/>
    <w:rsid w:val="00A47927"/>
    <w:rsid w:val="00A47FFC"/>
    <w:rsid w:val="00A50745"/>
    <w:rsid w:val="00A51C97"/>
    <w:rsid w:val="00A5442F"/>
    <w:rsid w:val="00A54FF9"/>
    <w:rsid w:val="00A56765"/>
    <w:rsid w:val="00A6069C"/>
    <w:rsid w:val="00A65C7B"/>
    <w:rsid w:val="00A675AC"/>
    <w:rsid w:val="00A7581F"/>
    <w:rsid w:val="00A803BB"/>
    <w:rsid w:val="00A81A3E"/>
    <w:rsid w:val="00A92FB1"/>
    <w:rsid w:val="00A95A0C"/>
    <w:rsid w:val="00AA2765"/>
    <w:rsid w:val="00AA5D99"/>
    <w:rsid w:val="00AA77B5"/>
    <w:rsid w:val="00AB18B3"/>
    <w:rsid w:val="00AB6C5D"/>
    <w:rsid w:val="00AC1C11"/>
    <w:rsid w:val="00AC3401"/>
    <w:rsid w:val="00AC51A7"/>
    <w:rsid w:val="00AD444B"/>
    <w:rsid w:val="00AD5614"/>
    <w:rsid w:val="00AD6C78"/>
    <w:rsid w:val="00AE096A"/>
    <w:rsid w:val="00AE2B27"/>
    <w:rsid w:val="00AE2EAB"/>
    <w:rsid w:val="00AF1058"/>
    <w:rsid w:val="00AF322A"/>
    <w:rsid w:val="00AF32F6"/>
    <w:rsid w:val="00AF5F89"/>
    <w:rsid w:val="00AF73CB"/>
    <w:rsid w:val="00B002D6"/>
    <w:rsid w:val="00B03379"/>
    <w:rsid w:val="00B05B51"/>
    <w:rsid w:val="00B11BE1"/>
    <w:rsid w:val="00B1347F"/>
    <w:rsid w:val="00B13B6B"/>
    <w:rsid w:val="00B14E5A"/>
    <w:rsid w:val="00B14F9C"/>
    <w:rsid w:val="00B15370"/>
    <w:rsid w:val="00B16DA4"/>
    <w:rsid w:val="00B17BEB"/>
    <w:rsid w:val="00B21A3C"/>
    <w:rsid w:val="00B223C0"/>
    <w:rsid w:val="00B234ED"/>
    <w:rsid w:val="00B249B2"/>
    <w:rsid w:val="00B25CA3"/>
    <w:rsid w:val="00B26551"/>
    <w:rsid w:val="00B2765A"/>
    <w:rsid w:val="00B3109A"/>
    <w:rsid w:val="00B32E09"/>
    <w:rsid w:val="00B34542"/>
    <w:rsid w:val="00B40ED7"/>
    <w:rsid w:val="00B4654B"/>
    <w:rsid w:val="00B516ED"/>
    <w:rsid w:val="00B53C2B"/>
    <w:rsid w:val="00B57A12"/>
    <w:rsid w:val="00B57A6A"/>
    <w:rsid w:val="00B63DF0"/>
    <w:rsid w:val="00B65598"/>
    <w:rsid w:val="00B664ED"/>
    <w:rsid w:val="00B760F1"/>
    <w:rsid w:val="00B7669E"/>
    <w:rsid w:val="00B77DA1"/>
    <w:rsid w:val="00B822A0"/>
    <w:rsid w:val="00B858AE"/>
    <w:rsid w:val="00B85964"/>
    <w:rsid w:val="00B96250"/>
    <w:rsid w:val="00BA0D55"/>
    <w:rsid w:val="00BA37B3"/>
    <w:rsid w:val="00BA4CC6"/>
    <w:rsid w:val="00BA73D9"/>
    <w:rsid w:val="00BB3493"/>
    <w:rsid w:val="00BB7468"/>
    <w:rsid w:val="00BB7967"/>
    <w:rsid w:val="00BB7B19"/>
    <w:rsid w:val="00BC188A"/>
    <w:rsid w:val="00BC1EF8"/>
    <w:rsid w:val="00BC20A0"/>
    <w:rsid w:val="00BC402E"/>
    <w:rsid w:val="00BD0F48"/>
    <w:rsid w:val="00BD71D4"/>
    <w:rsid w:val="00BE390C"/>
    <w:rsid w:val="00BE5896"/>
    <w:rsid w:val="00BE6DDB"/>
    <w:rsid w:val="00BF32E3"/>
    <w:rsid w:val="00BF3C91"/>
    <w:rsid w:val="00BF5010"/>
    <w:rsid w:val="00BF6F18"/>
    <w:rsid w:val="00C03411"/>
    <w:rsid w:val="00C03D5F"/>
    <w:rsid w:val="00C06881"/>
    <w:rsid w:val="00C12708"/>
    <w:rsid w:val="00C13791"/>
    <w:rsid w:val="00C1771F"/>
    <w:rsid w:val="00C230E3"/>
    <w:rsid w:val="00C24DE0"/>
    <w:rsid w:val="00C31BB3"/>
    <w:rsid w:val="00C3233C"/>
    <w:rsid w:val="00C36977"/>
    <w:rsid w:val="00C467DA"/>
    <w:rsid w:val="00C477D9"/>
    <w:rsid w:val="00C52495"/>
    <w:rsid w:val="00C60BA3"/>
    <w:rsid w:val="00C623F7"/>
    <w:rsid w:val="00C62A81"/>
    <w:rsid w:val="00C75B88"/>
    <w:rsid w:val="00C75BC5"/>
    <w:rsid w:val="00C77791"/>
    <w:rsid w:val="00C81670"/>
    <w:rsid w:val="00C81773"/>
    <w:rsid w:val="00C82861"/>
    <w:rsid w:val="00C86896"/>
    <w:rsid w:val="00C907A8"/>
    <w:rsid w:val="00C91B69"/>
    <w:rsid w:val="00C93211"/>
    <w:rsid w:val="00C942EC"/>
    <w:rsid w:val="00C95E16"/>
    <w:rsid w:val="00C96047"/>
    <w:rsid w:val="00C979D0"/>
    <w:rsid w:val="00CA0818"/>
    <w:rsid w:val="00CA15C8"/>
    <w:rsid w:val="00CA2C8F"/>
    <w:rsid w:val="00CA30DA"/>
    <w:rsid w:val="00CA3A24"/>
    <w:rsid w:val="00CB1777"/>
    <w:rsid w:val="00CB33E9"/>
    <w:rsid w:val="00CC10A9"/>
    <w:rsid w:val="00CD6B3E"/>
    <w:rsid w:val="00CE2BF8"/>
    <w:rsid w:val="00CE3280"/>
    <w:rsid w:val="00CE484E"/>
    <w:rsid w:val="00CE5C07"/>
    <w:rsid w:val="00CE656F"/>
    <w:rsid w:val="00CF0DA8"/>
    <w:rsid w:val="00CF2E25"/>
    <w:rsid w:val="00CF4453"/>
    <w:rsid w:val="00CF5D94"/>
    <w:rsid w:val="00CF7D55"/>
    <w:rsid w:val="00CF7E0F"/>
    <w:rsid w:val="00D034D7"/>
    <w:rsid w:val="00D04BE4"/>
    <w:rsid w:val="00D04F79"/>
    <w:rsid w:val="00D06FC7"/>
    <w:rsid w:val="00D10F67"/>
    <w:rsid w:val="00D12565"/>
    <w:rsid w:val="00D14127"/>
    <w:rsid w:val="00D31B6A"/>
    <w:rsid w:val="00D32686"/>
    <w:rsid w:val="00D34E35"/>
    <w:rsid w:val="00D4251D"/>
    <w:rsid w:val="00D54C86"/>
    <w:rsid w:val="00D55A23"/>
    <w:rsid w:val="00D56909"/>
    <w:rsid w:val="00D60B16"/>
    <w:rsid w:val="00D60F02"/>
    <w:rsid w:val="00D66E49"/>
    <w:rsid w:val="00D67982"/>
    <w:rsid w:val="00D70D71"/>
    <w:rsid w:val="00D72F74"/>
    <w:rsid w:val="00D73AFD"/>
    <w:rsid w:val="00D75082"/>
    <w:rsid w:val="00D7529E"/>
    <w:rsid w:val="00D81563"/>
    <w:rsid w:val="00D839C5"/>
    <w:rsid w:val="00D84FFC"/>
    <w:rsid w:val="00D85907"/>
    <w:rsid w:val="00D85B10"/>
    <w:rsid w:val="00D87EBA"/>
    <w:rsid w:val="00D9073E"/>
    <w:rsid w:val="00D9221D"/>
    <w:rsid w:val="00D92801"/>
    <w:rsid w:val="00D958DF"/>
    <w:rsid w:val="00D96DA1"/>
    <w:rsid w:val="00D96E37"/>
    <w:rsid w:val="00DA51E7"/>
    <w:rsid w:val="00DB0260"/>
    <w:rsid w:val="00DB1C78"/>
    <w:rsid w:val="00DB2CDD"/>
    <w:rsid w:val="00DB7D96"/>
    <w:rsid w:val="00DC16D4"/>
    <w:rsid w:val="00DC23FE"/>
    <w:rsid w:val="00DC422B"/>
    <w:rsid w:val="00DC59E6"/>
    <w:rsid w:val="00DC72DC"/>
    <w:rsid w:val="00DD150B"/>
    <w:rsid w:val="00DD5025"/>
    <w:rsid w:val="00DE0AA7"/>
    <w:rsid w:val="00DF1510"/>
    <w:rsid w:val="00DF5A22"/>
    <w:rsid w:val="00E02F1F"/>
    <w:rsid w:val="00E06484"/>
    <w:rsid w:val="00E11838"/>
    <w:rsid w:val="00E11AD9"/>
    <w:rsid w:val="00E14325"/>
    <w:rsid w:val="00E17ED3"/>
    <w:rsid w:val="00E20462"/>
    <w:rsid w:val="00E20A7D"/>
    <w:rsid w:val="00E275D8"/>
    <w:rsid w:val="00E30A09"/>
    <w:rsid w:val="00E30F6A"/>
    <w:rsid w:val="00E3117C"/>
    <w:rsid w:val="00E34A71"/>
    <w:rsid w:val="00E375CA"/>
    <w:rsid w:val="00E5364F"/>
    <w:rsid w:val="00E5590B"/>
    <w:rsid w:val="00E567E8"/>
    <w:rsid w:val="00E64679"/>
    <w:rsid w:val="00E65EBC"/>
    <w:rsid w:val="00E66F4B"/>
    <w:rsid w:val="00E677FE"/>
    <w:rsid w:val="00E67AE7"/>
    <w:rsid w:val="00E732A4"/>
    <w:rsid w:val="00E73432"/>
    <w:rsid w:val="00E7518B"/>
    <w:rsid w:val="00E77778"/>
    <w:rsid w:val="00E77B0C"/>
    <w:rsid w:val="00E77FB8"/>
    <w:rsid w:val="00E834AD"/>
    <w:rsid w:val="00E838B0"/>
    <w:rsid w:val="00E86A7C"/>
    <w:rsid w:val="00E878E1"/>
    <w:rsid w:val="00E87F2C"/>
    <w:rsid w:val="00E921EC"/>
    <w:rsid w:val="00E930F4"/>
    <w:rsid w:val="00E95278"/>
    <w:rsid w:val="00E955E8"/>
    <w:rsid w:val="00EA2273"/>
    <w:rsid w:val="00EA2AF3"/>
    <w:rsid w:val="00EA5604"/>
    <w:rsid w:val="00EA7C3C"/>
    <w:rsid w:val="00EB2DB3"/>
    <w:rsid w:val="00EC3FBB"/>
    <w:rsid w:val="00EC6B7A"/>
    <w:rsid w:val="00ED3A87"/>
    <w:rsid w:val="00ED5B67"/>
    <w:rsid w:val="00EF264C"/>
    <w:rsid w:val="00EF3FEE"/>
    <w:rsid w:val="00EF4CCC"/>
    <w:rsid w:val="00F04B59"/>
    <w:rsid w:val="00F05F57"/>
    <w:rsid w:val="00F0622B"/>
    <w:rsid w:val="00F10A09"/>
    <w:rsid w:val="00F11741"/>
    <w:rsid w:val="00F12B1C"/>
    <w:rsid w:val="00F13380"/>
    <w:rsid w:val="00F13CF8"/>
    <w:rsid w:val="00F14C31"/>
    <w:rsid w:val="00F15855"/>
    <w:rsid w:val="00F200B2"/>
    <w:rsid w:val="00F227DC"/>
    <w:rsid w:val="00F32978"/>
    <w:rsid w:val="00F32CFE"/>
    <w:rsid w:val="00F33ACB"/>
    <w:rsid w:val="00F35CF9"/>
    <w:rsid w:val="00F35FB5"/>
    <w:rsid w:val="00F3775D"/>
    <w:rsid w:val="00F408FE"/>
    <w:rsid w:val="00F43622"/>
    <w:rsid w:val="00F45CB2"/>
    <w:rsid w:val="00F544C0"/>
    <w:rsid w:val="00F55332"/>
    <w:rsid w:val="00F63DB4"/>
    <w:rsid w:val="00F6504A"/>
    <w:rsid w:val="00F65519"/>
    <w:rsid w:val="00F70076"/>
    <w:rsid w:val="00F713C0"/>
    <w:rsid w:val="00F71AF8"/>
    <w:rsid w:val="00F75DDC"/>
    <w:rsid w:val="00F7792F"/>
    <w:rsid w:val="00F80973"/>
    <w:rsid w:val="00F842AA"/>
    <w:rsid w:val="00F8476F"/>
    <w:rsid w:val="00F853E1"/>
    <w:rsid w:val="00F85604"/>
    <w:rsid w:val="00F94B7A"/>
    <w:rsid w:val="00F9597E"/>
    <w:rsid w:val="00F969E6"/>
    <w:rsid w:val="00FA17AC"/>
    <w:rsid w:val="00FA32DE"/>
    <w:rsid w:val="00FA3382"/>
    <w:rsid w:val="00FA595A"/>
    <w:rsid w:val="00FA59CD"/>
    <w:rsid w:val="00FB1740"/>
    <w:rsid w:val="00FC51D9"/>
    <w:rsid w:val="00FC5469"/>
    <w:rsid w:val="00FC6D7D"/>
    <w:rsid w:val="00FD16B0"/>
    <w:rsid w:val="00FD4FED"/>
    <w:rsid w:val="00FE0577"/>
    <w:rsid w:val="00FE163D"/>
    <w:rsid w:val="00FE59EC"/>
    <w:rsid w:val="00FE5B67"/>
    <w:rsid w:val="00FE60D6"/>
    <w:rsid w:val="00FF2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rsid w:val="0006580B"/>
    <w:pPr>
      <w:tabs>
        <w:tab w:val="left" w:pos="864"/>
        <w:tab w:val="right" w:leader="dot" w:pos="9360"/>
      </w:tabs>
      <w:spacing w:line="360" w:lineRule="auto"/>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BB7967"/>
  </w:style>
  <w:style w:type="character" w:styleId="FootnoteReference">
    <w:name w:val="footnote reference"/>
    <w:basedOn w:val="DefaultParagraphFont"/>
    <w:uiPriority w:val="99"/>
    <w:unhideWhenUsed/>
    <w:rsid w:val="00BB79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rsid w:val="0006580B"/>
    <w:pPr>
      <w:tabs>
        <w:tab w:val="left" w:pos="864"/>
        <w:tab w:val="right" w:leader="dot" w:pos="9360"/>
      </w:tabs>
      <w:spacing w:line="360" w:lineRule="auto"/>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BB7967"/>
  </w:style>
  <w:style w:type="character" w:styleId="FootnoteReference">
    <w:name w:val="footnote reference"/>
    <w:basedOn w:val="DefaultParagraphFont"/>
    <w:uiPriority w:val="99"/>
    <w:unhideWhenUsed/>
    <w:rsid w:val="00BB79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image" Target="media/image2.e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58291-6FB0-43B5-9BD3-6D1421F9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42</Pages>
  <Words>11647</Words>
  <Characters>69669</Characters>
  <Application>Microsoft Office Word</Application>
  <DocSecurity>0</DocSecurity>
  <Lines>580</Lines>
  <Paragraphs>162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Patricia Zellner</dc:creator>
  <cp:lastModifiedBy>Joann Parsons</cp:lastModifiedBy>
  <cp:revision>2</cp:revision>
  <cp:lastPrinted>2020-04-22T21:12:00Z</cp:lastPrinted>
  <dcterms:created xsi:type="dcterms:W3CDTF">2020-04-23T12:18:00Z</dcterms:created>
  <dcterms:modified xsi:type="dcterms:W3CDTF">2020-04-23T12:18:00Z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20190166-WS</vt:lpwstr>
  </property>
  <property fmtid="{D5CDD505-2E9C-101B-9397-08002B2CF9AE}" pid="3" name="MasterDocument">
    <vt:bool>false</vt:bool>
  </property>
</Properties>
</file>