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6252C6" w:rsidRDefault="000E4AB3" w:rsidP="000E4AB3">
      <w:pPr>
        <w:pStyle w:val="OrderHeading"/>
      </w:pPr>
      <w:r w:rsidRPr="006252C6">
        <w:t>BEFORE THE FLORIDA PUBLIC SERVICE COMMISSION</w:t>
      </w:r>
    </w:p>
    <w:p w:rsidR="000E4AB3" w:rsidRPr="006252C6" w:rsidRDefault="000E4AB3" w:rsidP="000E4AB3">
      <w:pPr>
        <w:pStyle w:val="OrderBody"/>
      </w:pPr>
    </w:p>
    <w:p w:rsidR="000E4AB3" w:rsidRPr="006252C6" w:rsidRDefault="000E4AB3" w:rsidP="000E4A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4AB3" w:rsidRPr="006252C6" w:rsidTr="008D1D45">
        <w:trPr>
          <w:trHeight w:val="828"/>
        </w:trPr>
        <w:tc>
          <w:tcPr>
            <w:tcW w:w="4788" w:type="dxa"/>
            <w:tcBorders>
              <w:bottom w:val="single" w:sz="8" w:space="0" w:color="auto"/>
              <w:right w:val="double" w:sz="6" w:space="0" w:color="auto"/>
            </w:tcBorders>
            <w:shd w:val="clear" w:color="auto" w:fill="auto"/>
          </w:tcPr>
          <w:p w:rsidR="000E4AB3" w:rsidRPr="006252C6" w:rsidRDefault="000E4AB3" w:rsidP="008D1D45">
            <w:pPr>
              <w:pStyle w:val="OrderBody"/>
              <w:tabs>
                <w:tab w:val="center" w:pos="4320"/>
                <w:tab w:val="right" w:pos="8640"/>
              </w:tabs>
              <w:jc w:val="left"/>
            </w:pPr>
            <w:r w:rsidRPr="006252C6">
              <w:t xml:space="preserve">In re: </w:t>
            </w:r>
            <w:bookmarkStart w:id="0" w:name="SSInRe"/>
            <w:bookmarkEnd w:id="0"/>
            <w:r w:rsidRPr="006252C6">
              <w:t>Application for limited proceeding rate increase in Brevard County, by Aquarina Utilities, Inc.</w:t>
            </w:r>
          </w:p>
        </w:tc>
        <w:tc>
          <w:tcPr>
            <w:tcW w:w="4788" w:type="dxa"/>
            <w:tcBorders>
              <w:left w:val="double" w:sz="6" w:space="0" w:color="auto"/>
            </w:tcBorders>
            <w:shd w:val="clear" w:color="auto" w:fill="auto"/>
          </w:tcPr>
          <w:p w:rsidR="000E4AB3" w:rsidRPr="006252C6" w:rsidRDefault="000E4AB3" w:rsidP="000E4AB3">
            <w:pPr>
              <w:pStyle w:val="OrderBody"/>
            </w:pPr>
            <w:r w:rsidRPr="006252C6">
              <w:t xml:space="preserve">DOCKET NO. </w:t>
            </w:r>
            <w:bookmarkStart w:id="1" w:name="SSDocketNo"/>
            <w:bookmarkEnd w:id="1"/>
            <w:r w:rsidRPr="006252C6">
              <w:t>20190080-WS</w:t>
            </w:r>
          </w:p>
          <w:p w:rsidR="000E4AB3" w:rsidRPr="006252C6" w:rsidRDefault="000E4AB3" w:rsidP="008D1D45">
            <w:pPr>
              <w:pStyle w:val="OrderBody"/>
              <w:tabs>
                <w:tab w:val="center" w:pos="4320"/>
                <w:tab w:val="right" w:pos="8640"/>
              </w:tabs>
              <w:jc w:val="left"/>
            </w:pPr>
            <w:r w:rsidRPr="006252C6">
              <w:t xml:space="preserve">ORDER NO. </w:t>
            </w:r>
            <w:bookmarkStart w:id="2" w:name="OrderNo0158"/>
            <w:r w:rsidR="00744140">
              <w:t>PSC-2020-0158-PAA-WS</w:t>
            </w:r>
            <w:bookmarkEnd w:id="2"/>
          </w:p>
          <w:p w:rsidR="000E4AB3" w:rsidRPr="006252C6" w:rsidRDefault="000E4AB3" w:rsidP="008D1D45">
            <w:pPr>
              <w:pStyle w:val="OrderBody"/>
              <w:tabs>
                <w:tab w:val="center" w:pos="4320"/>
                <w:tab w:val="right" w:pos="8640"/>
              </w:tabs>
              <w:jc w:val="left"/>
            </w:pPr>
            <w:r w:rsidRPr="006252C6">
              <w:t xml:space="preserve">ISSUED: </w:t>
            </w:r>
            <w:r w:rsidR="00744140">
              <w:t>May 15, 2020</w:t>
            </w:r>
          </w:p>
        </w:tc>
      </w:tr>
    </w:tbl>
    <w:p w:rsidR="000E4AB3" w:rsidRPr="006252C6" w:rsidRDefault="000E4AB3" w:rsidP="000E4AB3"/>
    <w:p w:rsidR="000E4AB3" w:rsidRPr="006252C6" w:rsidRDefault="000E4AB3" w:rsidP="000E4AB3"/>
    <w:p w:rsidR="000E4AB3" w:rsidRPr="006252C6" w:rsidRDefault="000E4AB3" w:rsidP="00B67A43">
      <w:pPr>
        <w:ind w:firstLine="720"/>
        <w:jc w:val="both"/>
      </w:pPr>
      <w:bookmarkStart w:id="3" w:name="Commissioners"/>
      <w:bookmarkEnd w:id="3"/>
      <w:r w:rsidRPr="006252C6">
        <w:t>The following Commissioners participated in the disposition of this matter:</w:t>
      </w:r>
    </w:p>
    <w:p w:rsidR="000E4AB3" w:rsidRPr="006252C6" w:rsidRDefault="000E4AB3" w:rsidP="00B67A43"/>
    <w:p w:rsidR="000E4AB3" w:rsidRPr="006252C6" w:rsidRDefault="000E4AB3" w:rsidP="00B67A43">
      <w:pPr>
        <w:jc w:val="center"/>
      </w:pPr>
      <w:r w:rsidRPr="006252C6">
        <w:t>GARY F. CLARK, Chairman</w:t>
      </w:r>
    </w:p>
    <w:p w:rsidR="000E4AB3" w:rsidRPr="006252C6" w:rsidRDefault="000E4AB3" w:rsidP="00B67A43">
      <w:pPr>
        <w:jc w:val="center"/>
      </w:pPr>
      <w:r w:rsidRPr="006252C6">
        <w:t>ART GRAHAM</w:t>
      </w:r>
    </w:p>
    <w:p w:rsidR="000E4AB3" w:rsidRPr="006252C6" w:rsidRDefault="000E4AB3" w:rsidP="00B67A43">
      <w:pPr>
        <w:jc w:val="center"/>
      </w:pPr>
      <w:r w:rsidRPr="006252C6">
        <w:t>JULIE I. BROWN</w:t>
      </w:r>
    </w:p>
    <w:p w:rsidR="000E4AB3" w:rsidRPr="006252C6" w:rsidRDefault="000E4AB3" w:rsidP="00B67A43">
      <w:pPr>
        <w:jc w:val="center"/>
      </w:pPr>
      <w:r w:rsidRPr="006252C6">
        <w:t>DONALD J. POLMANN</w:t>
      </w:r>
    </w:p>
    <w:p w:rsidR="000E4AB3" w:rsidRPr="006252C6" w:rsidRDefault="000E4AB3" w:rsidP="00B67A43">
      <w:pPr>
        <w:jc w:val="center"/>
      </w:pPr>
      <w:r w:rsidRPr="006252C6">
        <w:t>ANDREW GILES FAY</w:t>
      </w:r>
    </w:p>
    <w:p w:rsidR="000E4AB3" w:rsidRPr="006252C6" w:rsidRDefault="000E4AB3" w:rsidP="00B67A43"/>
    <w:p w:rsidR="000E4AB3" w:rsidRPr="006252C6" w:rsidRDefault="000E4AB3" w:rsidP="000E4AB3">
      <w:pPr>
        <w:pStyle w:val="OrderBody"/>
      </w:pPr>
    </w:p>
    <w:bookmarkStart w:id="4" w:name="OrderText"/>
    <w:bookmarkEnd w:id="4"/>
    <w:p w:rsidR="003118DE" w:rsidRPr="006252C6" w:rsidRDefault="000E4AB3" w:rsidP="003118DE">
      <w:pPr>
        <w:pStyle w:val="OrderBody"/>
        <w:jc w:val="center"/>
        <w:rPr>
          <w:rStyle w:val="counderline"/>
          <w:u w:val="single"/>
        </w:rPr>
      </w:pPr>
      <w:r w:rsidRPr="006252C6">
        <w:rPr>
          <w:u w:val="single"/>
          <w:lang w:val="en-CA"/>
        </w:rPr>
        <w:fldChar w:fldCharType="begin"/>
      </w:r>
      <w:r w:rsidRPr="006252C6">
        <w:rPr>
          <w:u w:val="single"/>
          <w:lang w:val="en-CA"/>
        </w:rPr>
        <w:instrText xml:space="preserve"> SEQ CHAPTER \h \r 1</w:instrText>
      </w:r>
      <w:r w:rsidRPr="006252C6">
        <w:rPr>
          <w:u w:val="single"/>
        </w:rPr>
        <w:fldChar w:fldCharType="end"/>
      </w:r>
      <w:r w:rsidRPr="006252C6">
        <w:rPr>
          <w:u w:val="single"/>
        </w:rPr>
        <w:t>NOTICE OF PROPOSED AGENCY ACTION</w:t>
      </w:r>
      <w:r w:rsidR="003118DE" w:rsidRPr="006252C6">
        <w:rPr>
          <w:u w:val="single"/>
        </w:rPr>
        <w:t xml:space="preserve"> </w:t>
      </w:r>
      <w:r w:rsidRPr="006252C6">
        <w:rPr>
          <w:u w:val="single"/>
        </w:rPr>
        <w:t>ORDER</w:t>
      </w:r>
    </w:p>
    <w:p w:rsidR="003118DE" w:rsidRPr="006252C6" w:rsidRDefault="0011282C" w:rsidP="003118DE">
      <w:pPr>
        <w:jc w:val="center"/>
        <w:rPr>
          <w:rStyle w:val="counderline"/>
          <w:color w:val="000000"/>
          <w:u w:val="single"/>
        </w:rPr>
      </w:pPr>
      <w:r w:rsidRPr="006252C6">
        <w:rPr>
          <w:rStyle w:val="counderline"/>
          <w:color w:val="000000"/>
          <w:u w:val="single"/>
        </w:rPr>
        <w:t xml:space="preserve">APPROVING RATE INCREASE FOR </w:t>
      </w:r>
      <w:r w:rsidRPr="006252C6">
        <w:rPr>
          <w:u w:val="single"/>
        </w:rPr>
        <w:t>AQUARINA UTILITIES, INC.</w:t>
      </w:r>
    </w:p>
    <w:p w:rsidR="003118DE" w:rsidRPr="006252C6" w:rsidRDefault="0011282C" w:rsidP="003118DE">
      <w:pPr>
        <w:jc w:val="center"/>
        <w:rPr>
          <w:rStyle w:val="counderline"/>
          <w:color w:val="000000"/>
          <w:u w:val="single"/>
        </w:rPr>
      </w:pPr>
      <w:r w:rsidRPr="006252C6">
        <w:rPr>
          <w:rStyle w:val="counderline"/>
          <w:color w:val="000000"/>
          <w:u w:val="single"/>
        </w:rPr>
        <w:t xml:space="preserve">AND PROCEDURAL </w:t>
      </w:r>
      <w:r w:rsidR="003118DE" w:rsidRPr="006252C6">
        <w:rPr>
          <w:rStyle w:val="counderline"/>
          <w:color w:val="000000"/>
          <w:u w:val="single"/>
        </w:rPr>
        <w:t xml:space="preserve">AGENCY ACTION </w:t>
      </w:r>
      <w:r w:rsidRPr="006252C6">
        <w:rPr>
          <w:rStyle w:val="counderline"/>
          <w:color w:val="000000"/>
          <w:u w:val="single"/>
        </w:rPr>
        <w:t>ORDER</w:t>
      </w:r>
    </w:p>
    <w:p w:rsidR="0011282C" w:rsidRPr="006252C6" w:rsidRDefault="0011282C" w:rsidP="003118DE">
      <w:pPr>
        <w:jc w:val="center"/>
        <w:rPr>
          <w:color w:val="000000"/>
          <w:u w:val="single"/>
        </w:rPr>
      </w:pPr>
      <w:r w:rsidRPr="006252C6">
        <w:rPr>
          <w:rStyle w:val="counderline"/>
          <w:color w:val="000000"/>
          <w:u w:val="single"/>
        </w:rPr>
        <w:t>ON RATE CASE EXPENSE AND TEMPORARY RATES</w:t>
      </w:r>
    </w:p>
    <w:p w:rsidR="000E4AB3" w:rsidRPr="006252C6" w:rsidRDefault="000E4AB3">
      <w:pPr>
        <w:pStyle w:val="OrderBody"/>
        <w:jc w:val="center"/>
        <w:rPr>
          <w:u w:val="single"/>
        </w:rPr>
      </w:pPr>
    </w:p>
    <w:p w:rsidR="000E4AB3" w:rsidRPr="006252C6" w:rsidRDefault="000E4AB3">
      <w:pPr>
        <w:pStyle w:val="OrderBody"/>
      </w:pPr>
    </w:p>
    <w:p w:rsidR="000E4AB3" w:rsidRPr="006252C6" w:rsidRDefault="000E4AB3">
      <w:pPr>
        <w:pStyle w:val="OrderBody"/>
      </w:pPr>
    </w:p>
    <w:p w:rsidR="000E4AB3" w:rsidRPr="006252C6" w:rsidRDefault="000E4AB3">
      <w:pPr>
        <w:pStyle w:val="OrderBody"/>
      </w:pPr>
      <w:r w:rsidRPr="006252C6">
        <w:t>BY THE COMMISSION:</w:t>
      </w:r>
    </w:p>
    <w:p w:rsidR="000E4AB3" w:rsidRPr="006252C6" w:rsidRDefault="000E4AB3">
      <w:pPr>
        <w:pStyle w:val="OrderBody"/>
      </w:pPr>
    </w:p>
    <w:p w:rsidR="000E4AB3" w:rsidRPr="006252C6" w:rsidRDefault="000E4AB3" w:rsidP="008D1D45">
      <w:pPr>
        <w:pStyle w:val="OrderBody"/>
      </w:pPr>
      <w:r w:rsidRPr="006252C6">
        <w:tab/>
        <w:t xml:space="preserve">NOTICE is hereby given by the Florida Public Service Commission (Commission) that the actions discussed herein, except for (1) the reduction of rates after four years based upon the recovery of rate case expense, </w:t>
      </w:r>
      <w:r w:rsidR="003118DE" w:rsidRPr="006252C6">
        <w:t xml:space="preserve">and </w:t>
      </w:r>
      <w:r w:rsidRPr="006252C6">
        <w:t xml:space="preserve">(2) the granting of temporary rates in the event of protest, are preliminary in nature and will become final unless a person whose interests are substantially affected files a petition for a formal proceeding, pursuant to Rule 25-22.029, Florida Administrative Code (F.A.C.). The reduction of rates after four years, </w:t>
      </w:r>
      <w:r w:rsidR="003118DE" w:rsidRPr="006252C6">
        <w:t xml:space="preserve">and </w:t>
      </w:r>
      <w:r w:rsidRPr="006252C6">
        <w:t>the granting of temporary rates in the event of protest are procedural agency actions and subject to reconsideration and appeal as described below under the heading, “NOTICE OF FURTHER PROCEEDINGS OR JUDICIAL REVIEW.”</w:t>
      </w:r>
    </w:p>
    <w:p w:rsidR="00CB5276" w:rsidRPr="006252C6" w:rsidRDefault="00CB5276" w:rsidP="000E4AB3"/>
    <w:p w:rsidR="000E4AB3" w:rsidRPr="006252C6" w:rsidRDefault="000E4AB3" w:rsidP="000E4AB3">
      <w:pPr>
        <w:pStyle w:val="RecommendationMajorSectionHeading"/>
        <w:rPr>
          <w:rFonts w:ascii="Times New Roman" w:hAnsi="Times New Roman" w:cs="Times New Roman"/>
          <w:szCs w:val="24"/>
          <w:u w:val="single"/>
        </w:rPr>
      </w:pPr>
      <w:r w:rsidRPr="006252C6">
        <w:rPr>
          <w:rFonts w:ascii="Times New Roman" w:hAnsi="Times New Roman" w:cs="Times New Roman"/>
          <w:szCs w:val="24"/>
          <w:u w:val="single"/>
        </w:rPr>
        <w:t>Case Background</w:t>
      </w:r>
    </w:p>
    <w:p w:rsidR="000E4AB3" w:rsidRPr="006252C6" w:rsidRDefault="000E4AB3" w:rsidP="000E4AB3">
      <w:pPr>
        <w:spacing w:after="240"/>
        <w:jc w:val="both"/>
        <w:rPr>
          <w:rFonts w:eastAsia="PMingLiU"/>
        </w:rPr>
      </w:pPr>
      <w:r w:rsidRPr="006252C6">
        <w:rPr>
          <w:rFonts w:eastAsia="PMingLiU"/>
        </w:rPr>
        <w:tab/>
        <w:t xml:space="preserve">Aquarina Utilities, Inc., (Aquarina or Utility) is a Class B utility providing water and wastewater services in Brevard County to 320 potable water, 119 non-potable water, and 342 wastewater customers. In its 2019 Annual Report, Aquarina reported operating revenues of </w:t>
      </w:r>
      <w:r w:rsidRPr="006252C6">
        <w:rPr>
          <w:rFonts w:eastAsia="PMingLiU"/>
        </w:rPr>
        <w:lastRenderedPageBreak/>
        <w:t>$192,312 for potable water, $256,822 for non-potable water, and $190,777 for wastewater service. The Utility’s rates were last set in 2019.</w:t>
      </w:r>
      <w:r w:rsidRPr="006252C6">
        <w:rPr>
          <w:vertAlign w:val="superscript"/>
        </w:rPr>
        <w:footnoteReference w:id="1"/>
      </w:r>
    </w:p>
    <w:p w:rsidR="000E4AB3" w:rsidRPr="006252C6" w:rsidRDefault="000E4AB3" w:rsidP="000E4AB3">
      <w:pPr>
        <w:spacing w:after="240"/>
        <w:contextualSpacing/>
        <w:jc w:val="both"/>
      </w:pPr>
      <w:r w:rsidRPr="006252C6">
        <w:rPr>
          <w:rFonts w:eastAsia="PMingLiU"/>
        </w:rPr>
        <w:tab/>
        <w:t>On April 1, 2019, Aquarina filed a request for a limited proceeding rate increase. The minimum filing requirements were met, and the official filing date was established as July 31, 2019. Aquarina is seeking to recover the revenue it lost as a result of Aquarina Golf, Inc., an irrigation customer, leaving the system in August 2019. In addition, the Utility is seeking recognition of capital improvements that have taken place since the last rate case.</w:t>
      </w:r>
    </w:p>
    <w:p w:rsidR="000E4AB3" w:rsidRPr="006252C6" w:rsidRDefault="000E4AB3" w:rsidP="000E4AB3">
      <w:pPr>
        <w:spacing w:after="200"/>
        <w:contextualSpacing/>
        <w:jc w:val="both"/>
      </w:pPr>
    </w:p>
    <w:p w:rsidR="000E4AB3" w:rsidRPr="006252C6" w:rsidRDefault="000E4AB3" w:rsidP="000E4AB3">
      <w:pPr>
        <w:spacing w:after="200"/>
        <w:contextualSpacing/>
        <w:jc w:val="both"/>
      </w:pPr>
      <w:r w:rsidRPr="006252C6">
        <w:tab/>
        <w:t xml:space="preserve">A customer meeting was scheduled for March 26, 2020, in Melbourne Beach, Florida. However, </w:t>
      </w:r>
      <w:r w:rsidRPr="006252C6">
        <w:rPr>
          <w:color w:val="000000"/>
        </w:rPr>
        <w:t>due to travel restrictions implemented by the Department of Management Services (DMS), the customer meeting was cancelled.</w:t>
      </w:r>
      <w:r w:rsidRPr="006252C6">
        <w:t xml:space="preserve"> All customers were notified of the meeting cancellatio</w:t>
      </w:r>
      <w:r w:rsidR="003118DE" w:rsidRPr="006252C6">
        <w:t>n and were advised that they could</w:t>
      </w:r>
      <w:r w:rsidRPr="006252C6">
        <w:t xml:space="preserve"> provide comments via letter, email, phone, fax, or through the Commission’s website. Customers also received a form for mailing in written comments and the Rate Case Overview that would have been distributed at the customer meeting</w:t>
      </w:r>
      <w:r w:rsidR="00DB4A4A">
        <w:t>. Of the eighteen customers who</w:t>
      </w:r>
      <w:r w:rsidRPr="006252C6">
        <w:t xml:space="preserve"> submitted comments, as of April 16, 2020, sixteen expressed concern regarding the proposed rate increase.</w:t>
      </w:r>
    </w:p>
    <w:p w:rsidR="000E4AB3" w:rsidRPr="006252C6" w:rsidRDefault="000E4AB3" w:rsidP="000E4AB3">
      <w:pPr>
        <w:spacing w:after="200"/>
        <w:contextualSpacing/>
        <w:jc w:val="both"/>
      </w:pPr>
    </w:p>
    <w:p w:rsidR="000E4AB3" w:rsidRPr="006252C6" w:rsidRDefault="000E4AB3" w:rsidP="000E4AB3">
      <w:pPr>
        <w:spacing w:after="200"/>
        <w:contextualSpacing/>
        <w:jc w:val="both"/>
      </w:pPr>
      <w:r w:rsidRPr="006252C6">
        <w:tab/>
        <w:t xml:space="preserve">On April 3, 2020, the Office of Public Counsel (OPC) filed a Motion to Reschedule the Customer Meeting and Continue the Docket (Motion). In its Motion, OPC asked </w:t>
      </w:r>
      <w:r w:rsidR="003118DE" w:rsidRPr="006252C6">
        <w:t>us</w:t>
      </w:r>
      <w:r w:rsidRPr="006252C6">
        <w:t xml:space="preserve"> to reschedule all remaining docket dates until a customer meeting could be held, or in the alternative, to reschedule the customer meeting to occur via videoconference</w:t>
      </w:r>
      <w:r w:rsidR="003118DE" w:rsidRPr="006252C6">
        <w:t>.</w:t>
      </w:r>
      <w:r w:rsidRPr="006252C6">
        <w:t xml:space="preserve"> On April 6, 2020, Aquarina filed its Response in Opposition of OPC’s Motion. By Order No. PSC-2020-0109-PCO-WS, issued April 16, 2020, the Prehearing Officer denied OPC’s Motion.</w:t>
      </w:r>
    </w:p>
    <w:p w:rsidR="003118DE" w:rsidRPr="006252C6" w:rsidRDefault="003118DE" w:rsidP="000E4AB3"/>
    <w:p w:rsidR="00D57E57" w:rsidRPr="006252C6" w:rsidRDefault="00DB4A4A" w:rsidP="00245560">
      <w:pPr>
        <w:jc w:val="both"/>
      </w:pPr>
      <w:r>
        <w:tab/>
      </w:r>
      <w:r w:rsidR="000E4AB3" w:rsidRPr="006252C6">
        <w:t xml:space="preserve">This </w:t>
      </w:r>
      <w:r w:rsidR="00FD22D3">
        <w:t>o</w:t>
      </w:r>
      <w:r w:rsidR="003118DE" w:rsidRPr="006252C6">
        <w:t xml:space="preserve">rder </w:t>
      </w:r>
      <w:r w:rsidR="000E4AB3" w:rsidRPr="006252C6">
        <w:t xml:space="preserve">addresses Aquarina’s requested water and wastewater rates. </w:t>
      </w:r>
      <w:r w:rsidR="003118DE" w:rsidRPr="006252C6">
        <w:t xml:space="preserve">We have </w:t>
      </w:r>
      <w:r w:rsidR="000E4AB3" w:rsidRPr="006252C6">
        <w:t>jurisdiction pursuant to Sections 367.081 and 367.0822, Florida Statutes (F.S.).</w:t>
      </w:r>
    </w:p>
    <w:p w:rsidR="000E4AB3" w:rsidRPr="006252C6" w:rsidRDefault="000E4AB3" w:rsidP="000E4AB3"/>
    <w:p w:rsidR="000E4AB3" w:rsidRPr="006252C6" w:rsidRDefault="003118DE" w:rsidP="000E4AB3">
      <w:pPr>
        <w:keepNext/>
        <w:spacing w:after="240"/>
        <w:jc w:val="center"/>
        <w:outlineLvl w:val="0"/>
        <w:rPr>
          <w:b/>
          <w:bCs/>
          <w:kern w:val="32"/>
          <w:u w:val="single"/>
        </w:rPr>
      </w:pPr>
      <w:bookmarkStart w:id="5" w:name="DiscussionOfIssues"/>
      <w:r w:rsidRPr="006252C6">
        <w:rPr>
          <w:b/>
          <w:bCs/>
          <w:kern w:val="32"/>
          <w:u w:val="single"/>
        </w:rPr>
        <w:t xml:space="preserve">Review and Decision </w:t>
      </w:r>
    </w:p>
    <w:bookmarkEnd w:id="5"/>
    <w:p w:rsidR="00C36832" w:rsidRPr="006252C6" w:rsidRDefault="00C36832" w:rsidP="000E4AB3">
      <w:pPr>
        <w:spacing w:after="240"/>
        <w:jc w:val="both"/>
        <w:outlineLvl w:val="0"/>
        <w:rPr>
          <w:b/>
          <w:bCs/>
          <w:kern w:val="32"/>
        </w:rPr>
      </w:pPr>
      <w:r w:rsidRPr="006252C6">
        <w:rPr>
          <w:b/>
          <w:bCs/>
          <w:kern w:val="32"/>
        </w:rPr>
        <w:t>1. Limited Proceeding</w:t>
      </w:r>
    </w:p>
    <w:p w:rsidR="000E4AB3" w:rsidRPr="006252C6" w:rsidRDefault="00441AB7" w:rsidP="000E4AB3">
      <w:pPr>
        <w:spacing w:after="240"/>
        <w:jc w:val="both"/>
      </w:pPr>
      <w:r w:rsidRPr="006252C6">
        <w:rPr>
          <w:b/>
          <w:bCs/>
          <w:i/>
          <w:kern w:val="32"/>
        </w:rPr>
        <w:tab/>
      </w:r>
      <w:r w:rsidR="000E4AB3" w:rsidRPr="006252C6">
        <w:t xml:space="preserve">Limited proceedings generally address specific or significant changes that would adversely affect the normal operating income of the utility and are usually narrow in scope. </w:t>
      </w:r>
      <w:r w:rsidR="00DB4A4A">
        <w:t>We</w:t>
      </w:r>
      <w:r w:rsidRPr="006252C6">
        <w:t xml:space="preserve"> find that </w:t>
      </w:r>
      <w:r w:rsidR="000E4AB3" w:rsidRPr="006252C6">
        <w:t xml:space="preserve">Aquarina’s case is sufficiently narrow in scope to qualify for a limited proceeding. Aquarina has met all minimum filing requirements as set forth in Rule 25-30.445, </w:t>
      </w:r>
      <w:r w:rsidRPr="006252C6">
        <w:t>F.A.C</w:t>
      </w:r>
      <w:r w:rsidR="000E4AB3" w:rsidRPr="006252C6">
        <w:t>.</w:t>
      </w:r>
    </w:p>
    <w:p w:rsidR="000E4AB3" w:rsidRPr="006252C6" w:rsidRDefault="000E4AB3" w:rsidP="000E4AB3">
      <w:pPr>
        <w:jc w:val="both"/>
        <w:outlineLvl w:val="1"/>
        <w:rPr>
          <w:b/>
          <w:bCs/>
          <w:i/>
          <w:iCs/>
        </w:rPr>
      </w:pPr>
      <w:r w:rsidRPr="006252C6">
        <w:rPr>
          <w:b/>
          <w:bCs/>
          <w:i/>
          <w:iCs/>
        </w:rPr>
        <w:t>Secondary Water Quality Standards</w:t>
      </w:r>
    </w:p>
    <w:p w:rsidR="000E4AB3" w:rsidRPr="006252C6" w:rsidRDefault="000E4AB3" w:rsidP="000E4AB3">
      <w:pPr>
        <w:jc w:val="both"/>
        <w:outlineLvl w:val="1"/>
        <w:rPr>
          <w:bCs/>
          <w:iCs/>
        </w:rPr>
      </w:pPr>
    </w:p>
    <w:p w:rsidR="000E4AB3" w:rsidRPr="006252C6" w:rsidRDefault="000E4AB3" w:rsidP="000E4AB3">
      <w:pPr>
        <w:contextualSpacing/>
        <w:jc w:val="both"/>
      </w:pPr>
      <w:r w:rsidRPr="006252C6">
        <w:tab/>
        <w:t>Pursuant to Rule 25-30.445(4)(o), F.A.C., utili</w:t>
      </w:r>
      <w:r w:rsidR="00DB4A4A">
        <w:t>ties are required to provide this</w:t>
      </w:r>
      <w:r w:rsidRPr="006252C6">
        <w:t xml:space="preserve"> Commission with a copy of all customer complaints received by the utility regarding the Florida Department of Environmental Protection (DEP) secondary water quality standards </w:t>
      </w:r>
      <w:r w:rsidR="006252C6">
        <w:t>for</w:t>
      </w:r>
      <w:r w:rsidRPr="006252C6">
        <w:t xml:space="preserve"> the past five years as</w:t>
      </w:r>
      <w:r w:rsidR="00DB4A4A">
        <w:t xml:space="preserve"> well as a copy of its</w:t>
      </w:r>
      <w:r w:rsidRPr="006252C6">
        <w:t xml:space="preserve"> most recent secondary water quality</w:t>
      </w:r>
      <w:r w:rsidR="006252C6">
        <w:t xml:space="preserve"> standards test results. In </w:t>
      </w:r>
      <w:r w:rsidR="00DB4A4A">
        <w:t>the past five years, Aquarina</w:t>
      </w:r>
      <w:r w:rsidRPr="006252C6">
        <w:t xml:space="preserve"> received four complaints concerning grey discolored water. The Utility responded to these complaints stating the discoloration was due to a “slight increase in chlorine residual in the system.” Test results provided by Aquarina, dated October 24, 2018, indicated that the Utility is meeting the DEP’s secondary standards.</w:t>
      </w:r>
    </w:p>
    <w:p w:rsidR="000E4AB3" w:rsidRPr="006252C6" w:rsidRDefault="000E4AB3" w:rsidP="000E4AB3">
      <w:pPr>
        <w:contextualSpacing/>
        <w:jc w:val="both"/>
      </w:pPr>
    </w:p>
    <w:p w:rsidR="000E4AB3" w:rsidRPr="006252C6" w:rsidRDefault="000E4AB3" w:rsidP="000E4AB3">
      <w:pPr>
        <w:contextualSpacing/>
        <w:jc w:val="both"/>
      </w:pPr>
      <w:r w:rsidRPr="006252C6">
        <w:tab/>
      </w:r>
      <w:r w:rsidR="006252C6">
        <w:t xml:space="preserve">We </w:t>
      </w:r>
      <w:r w:rsidRPr="006252C6">
        <w:t>also rev</w:t>
      </w:r>
      <w:r w:rsidR="006252C6">
        <w:t>iewed complaints received by this</w:t>
      </w:r>
      <w:r w:rsidRPr="006252C6">
        <w:t xml:space="preserve"> Commission and the DEP for the same five-year period. None of the complaints received by </w:t>
      </w:r>
      <w:r w:rsidR="006252C6">
        <w:t xml:space="preserve">us concerned </w:t>
      </w:r>
      <w:r w:rsidRPr="006252C6">
        <w:t>the DEP’s secondary water quality standards. However, the DEP received two complaints in February 2016</w:t>
      </w:r>
      <w:r w:rsidR="00DB4A4A">
        <w:t>,</w:t>
      </w:r>
      <w:r w:rsidRPr="006252C6">
        <w:t xml:space="preserve"> </w:t>
      </w:r>
      <w:r w:rsidR="006252C6">
        <w:t xml:space="preserve">regarding </w:t>
      </w:r>
      <w:r w:rsidRPr="006252C6">
        <w:t>secondary standards. The first of these complaints concerned cloudy water, which Aquarina stated was caused by air in the water. The second complaint raised concerns which were addressed in the prior rate case. The DEP conducted a sanitary survey on November 1, 2019, and determined the system to be in compliance with the DEP’s rules and regulations.</w:t>
      </w:r>
    </w:p>
    <w:p w:rsidR="000E4AB3" w:rsidRPr="006252C6" w:rsidRDefault="000E4AB3" w:rsidP="000E4AB3">
      <w:pPr>
        <w:contextualSpacing/>
        <w:jc w:val="both"/>
      </w:pPr>
    </w:p>
    <w:p w:rsidR="000E4AB3" w:rsidRPr="006252C6" w:rsidRDefault="000E4AB3" w:rsidP="000E4AB3">
      <w:pPr>
        <w:contextualSpacing/>
        <w:jc w:val="both"/>
      </w:pPr>
      <w:r w:rsidRPr="006252C6">
        <w:tab/>
        <w:t xml:space="preserve">As </w:t>
      </w:r>
      <w:r w:rsidR="00426D62">
        <w:t xml:space="preserve">discussed </w:t>
      </w:r>
      <w:r w:rsidRPr="006252C6">
        <w:t xml:space="preserve">in the Case Background, a customer meeting was scheduled for March 26, 2020, in Melbourne Beach, Florida, but was cancelled </w:t>
      </w:r>
      <w:r w:rsidRPr="006252C6">
        <w:rPr>
          <w:color w:val="000000"/>
        </w:rPr>
        <w:t>due to travel restrictions implemented by the DMS.</w:t>
      </w:r>
      <w:r w:rsidRPr="006252C6">
        <w:t xml:space="preserve"> Customers received instructions on how to provide comments via letter, email, phone, fax, or through the Commission’s website. Of the eighteen customers that submitted comments, as of April 16, 2020, sixteen expressed concern regarding the proposed rate increase and not water quality.</w:t>
      </w:r>
    </w:p>
    <w:p w:rsidR="000E4AB3" w:rsidRPr="006252C6" w:rsidRDefault="000E4AB3" w:rsidP="000E4AB3">
      <w:pPr>
        <w:contextualSpacing/>
        <w:jc w:val="both"/>
      </w:pPr>
    </w:p>
    <w:p w:rsidR="000E4AB3" w:rsidRPr="006252C6" w:rsidRDefault="000E4AB3" w:rsidP="000E4AB3">
      <w:pPr>
        <w:jc w:val="both"/>
      </w:pPr>
      <w:r w:rsidRPr="006252C6">
        <w:tab/>
        <w:t xml:space="preserve">Aquarina has provided the necessary information to comply with Rule 25-30.445(4)(o), F.A.C. Based on review of the information provided by the Utility, as well as supplemental information gathered throughout the course of this docket, </w:t>
      </w:r>
      <w:r w:rsidR="006252C6">
        <w:t>we find that no</w:t>
      </w:r>
      <w:r w:rsidR="00DB4A4A">
        <w:t xml:space="preserve"> action</w:t>
      </w:r>
      <w:r w:rsidRPr="006252C6">
        <w:t xml:space="preserve"> need</w:t>
      </w:r>
      <w:r w:rsidR="00DB4A4A">
        <w:t>s</w:t>
      </w:r>
      <w:r w:rsidRPr="006252C6">
        <w:t xml:space="preserve"> to be taken with respect to secondary standards.</w:t>
      </w:r>
    </w:p>
    <w:p w:rsidR="000E4AB3" w:rsidRPr="006252C6" w:rsidRDefault="000E4AB3" w:rsidP="000E4AB3">
      <w:pPr>
        <w:jc w:val="both"/>
      </w:pPr>
    </w:p>
    <w:p w:rsidR="000E4AB3" w:rsidRPr="006252C6" w:rsidRDefault="000E4AB3" w:rsidP="000E4AB3">
      <w:pPr>
        <w:jc w:val="both"/>
        <w:outlineLvl w:val="2"/>
        <w:rPr>
          <w:b/>
          <w:bCs/>
          <w:i/>
          <w:iCs/>
        </w:rPr>
      </w:pPr>
      <w:r w:rsidRPr="006252C6">
        <w:rPr>
          <w:b/>
          <w:bCs/>
          <w:i/>
          <w:iCs/>
        </w:rPr>
        <w:t>Rate Base</w:t>
      </w:r>
    </w:p>
    <w:p w:rsidR="000E4AB3" w:rsidRPr="006252C6" w:rsidRDefault="000E4AB3" w:rsidP="000E4AB3">
      <w:pPr>
        <w:jc w:val="both"/>
        <w:outlineLvl w:val="2"/>
        <w:rPr>
          <w:bCs/>
          <w:iCs/>
        </w:rPr>
      </w:pPr>
    </w:p>
    <w:p w:rsidR="000E4AB3" w:rsidRDefault="000E4AB3" w:rsidP="000E4AB3">
      <w:pPr>
        <w:spacing w:after="240"/>
        <w:jc w:val="both"/>
      </w:pPr>
      <w:r w:rsidRPr="006252C6">
        <w:tab/>
        <w:t xml:space="preserve">Since its last rate case, the Utility made capital improvements to its potable and non-potable water systems, </w:t>
      </w:r>
      <w:r w:rsidR="00426D62">
        <w:t xml:space="preserve">and to </w:t>
      </w:r>
      <w:r w:rsidR="00B411BB">
        <w:t xml:space="preserve">its wastewater system; the Utility has asked that these costs </w:t>
      </w:r>
      <w:r w:rsidRPr="006252C6">
        <w:t>be included in rate base as a part of this proceeding. The plant a</w:t>
      </w:r>
      <w:r w:rsidR="00B411BB">
        <w:t>dditions, approved</w:t>
      </w:r>
      <w:r w:rsidRPr="006252C6">
        <w:t xml:space="preserve"> adjustments to accumulated depreciation, depreciation expense</w:t>
      </w:r>
      <w:r w:rsidR="00DB4A4A">
        <w:t>, non-used and useful (U&amp;U),</w:t>
      </w:r>
      <w:r w:rsidR="00DB4A4A" w:rsidRPr="006252C6">
        <w:rPr>
          <w:vertAlign w:val="superscript"/>
        </w:rPr>
        <w:footnoteReference w:id="2"/>
      </w:r>
      <w:r w:rsidRPr="006252C6">
        <w:t xml:space="preserve"> </w:t>
      </w:r>
      <w:r w:rsidR="00DB4A4A">
        <w:t>and</w:t>
      </w:r>
      <w:r w:rsidR="00245560">
        <w:t xml:space="preserve"> </w:t>
      </w:r>
      <w:r w:rsidRPr="006252C6">
        <w:t>taxes other than income (TOTI) are reflected below.</w:t>
      </w:r>
      <w:r w:rsidR="00B411BB">
        <w:t xml:space="preserve"> Because </w:t>
      </w:r>
      <w:r w:rsidRPr="006252C6">
        <w:t>Aquarina no longer provides service to the golf course,</w:t>
      </w:r>
      <w:r w:rsidR="00B411BB">
        <w:t xml:space="preserve"> </w:t>
      </w:r>
      <w:r w:rsidRPr="006252C6">
        <w:t xml:space="preserve">an adjustment is necessary </w:t>
      </w:r>
      <w:r w:rsidR="00B411BB">
        <w:t xml:space="preserve">for the </w:t>
      </w:r>
      <w:r w:rsidRPr="006252C6">
        <w:t>“forced abandonment” of plant dedicated solely to the golf course.</w:t>
      </w:r>
      <w:r w:rsidRPr="006252C6">
        <w:rPr>
          <w:vertAlign w:val="superscript"/>
        </w:rPr>
        <w:footnoteReference w:id="3"/>
      </w:r>
      <w:r w:rsidRPr="006252C6">
        <w:t xml:space="preserve"> Addition</w:t>
      </w:r>
      <w:r w:rsidR="00B411BB">
        <w:t>ally, as a result of approved</w:t>
      </w:r>
      <w:r w:rsidRPr="006252C6">
        <w:t xml:space="preserve"> changes to operating expenses, the Utility’s working capital allowance sh</w:t>
      </w:r>
      <w:r w:rsidR="00B411BB">
        <w:t>all be updated. Our</w:t>
      </w:r>
      <w:r w:rsidRPr="006252C6">
        <w:t xml:space="preserve"> calculations are reflected below.</w:t>
      </w:r>
    </w:p>
    <w:p w:rsidR="00B411BB" w:rsidRDefault="00B411BB" w:rsidP="000E4AB3">
      <w:pPr>
        <w:spacing w:after="240"/>
        <w:jc w:val="both"/>
      </w:pPr>
    </w:p>
    <w:p w:rsidR="00B411BB" w:rsidRDefault="00B411BB" w:rsidP="000E4AB3">
      <w:pPr>
        <w:spacing w:after="240"/>
        <w:jc w:val="both"/>
      </w:pPr>
    </w:p>
    <w:p w:rsidR="00B411BB" w:rsidRPr="006252C6" w:rsidRDefault="00B411BB" w:rsidP="000E4AB3">
      <w:pPr>
        <w:spacing w:after="240"/>
        <w:jc w:val="both"/>
      </w:pPr>
    </w:p>
    <w:p w:rsidR="000E4AB3" w:rsidRPr="006252C6" w:rsidRDefault="000E4AB3" w:rsidP="000E4AB3">
      <w:pPr>
        <w:ind w:left="720"/>
        <w:jc w:val="both"/>
        <w:outlineLvl w:val="3"/>
        <w:rPr>
          <w:bCs/>
          <w:iCs/>
          <w:u w:val="single"/>
        </w:rPr>
      </w:pPr>
      <w:r w:rsidRPr="006252C6">
        <w:rPr>
          <w:bCs/>
          <w:iCs/>
          <w:u w:val="single"/>
        </w:rPr>
        <w:t>Plant Additions</w:t>
      </w:r>
    </w:p>
    <w:p w:rsidR="000E4AB3" w:rsidRPr="006252C6" w:rsidRDefault="000E4AB3" w:rsidP="000E4AB3">
      <w:pPr>
        <w:ind w:left="720"/>
        <w:jc w:val="both"/>
        <w:outlineLvl w:val="3"/>
        <w:rPr>
          <w:bCs/>
          <w:iCs/>
        </w:rPr>
      </w:pPr>
    </w:p>
    <w:p w:rsidR="000E4AB3" w:rsidRPr="006252C6" w:rsidRDefault="000E4AB3" w:rsidP="000E4AB3">
      <w:pPr>
        <w:ind w:left="1440"/>
        <w:jc w:val="both"/>
        <w:outlineLvl w:val="4"/>
        <w:rPr>
          <w:bCs/>
          <w:i/>
          <w:iCs/>
        </w:rPr>
      </w:pPr>
      <w:r w:rsidRPr="006252C6">
        <w:rPr>
          <w:bCs/>
          <w:i/>
          <w:iCs/>
        </w:rPr>
        <w:t>Potable Water System</w:t>
      </w:r>
    </w:p>
    <w:p w:rsidR="000E4AB3" w:rsidRPr="006252C6" w:rsidRDefault="000E4AB3" w:rsidP="000E4AB3">
      <w:pPr>
        <w:ind w:left="1440"/>
        <w:jc w:val="both"/>
        <w:outlineLvl w:val="4"/>
        <w:rPr>
          <w:b/>
          <w:bCs/>
          <w:iCs/>
        </w:rPr>
      </w:pPr>
    </w:p>
    <w:p w:rsidR="000E4AB3" w:rsidRPr="006252C6" w:rsidRDefault="000E4AB3" w:rsidP="000E4AB3">
      <w:pPr>
        <w:jc w:val="both"/>
      </w:pPr>
      <w:r w:rsidRPr="006252C6">
        <w:tab/>
        <w:t xml:space="preserve">Aquarina provided an invoice in the amount of $16,500 for replacement of the water treatment plant’s roof. The Utility stated </w:t>
      </w:r>
      <w:r w:rsidR="00B411BB">
        <w:t xml:space="preserve">that </w:t>
      </w:r>
      <w:r w:rsidRPr="006252C6">
        <w:t xml:space="preserve">the roof was in disrepair and needed to be replaced. </w:t>
      </w:r>
      <w:r w:rsidR="00B411BB">
        <w:t>T</w:t>
      </w:r>
      <w:r w:rsidRPr="006252C6">
        <w:t xml:space="preserve">he Utility noted that the old roof was installed in 2004 and that flat asphalt roofs do not last long on the island. </w:t>
      </w:r>
      <w:r w:rsidR="00B411BB">
        <w:t>We approve</w:t>
      </w:r>
      <w:r w:rsidRPr="006252C6">
        <w:t xml:space="preserve"> the request and the resulting net addition is $4,125 after retirement.</w:t>
      </w:r>
    </w:p>
    <w:p w:rsidR="000E4AB3" w:rsidRPr="006252C6" w:rsidRDefault="000E4AB3" w:rsidP="000E4AB3">
      <w:pPr>
        <w:jc w:val="both"/>
      </w:pPr>
    </w:p>
    <w:p w:rsidR="000E4AB3" w:rsidRPr="006252C6" w:rsidRDefault="000E4AB3" w:rsidP="000E4AB3">
      <w:pPr>
        <w:jc w:val="both"/>
      </w:pPr>
      <w:r w:rsidRPr="006252C6">
        <w:tab/>
        <w:t xml:space="preserve">In the prior rate case, </w:t>
      </w:r>
      <w:r w:rsidR="00B411BB">
        <w:t xml:space="preserve">we </w:t>
      </w:r>
      <w:r w:rsidRPr="006252C6">
        <w:t xml:space="preserve">approved Aquarina’s request to replace its reverse osmosis (RO) water treatment equipment due to the age and unavailability of parts for its existing equipment. Prior to the installation of the new RO equipment in December 2018, the RO service pump required a repair in June 2017 and was subsequently replaced in October 2017. The Utility provided invoices for the repair of the pump and associated fittings, along with the invoice for the new pump. </w:t>
      </w:r>
      <w:r w:rsidR="00B411BB">
        <w:t xml:space="preserve">We find that </w:t>
      </w:r>
      <w:r w:rsidRPr="006252C6">
        <w:t xml:space="preserve">the </w:t>
      </w:r>
      <w:r w:rsidR="00B411BB">
        <w:t>purchases were prudent and note</w:t>
      </w:r>
      <w:r w:rsidRPr="006252C6">
        <w:t xml:space="preserve"> that these additions were not included in the prior rate case. The total requested was $12,976, resulting in a net addition of $6,121 after retirements. </w:t>
      </w:r>
    </w:p>
    <w:p w:rsidR="000E4AB3" w:rsidRPr="006252C6" w:rsidRDefault="000E4AB3" w:rsidP="000E4AB3">
      <w:pPr>
        <w:jc w:val="both"/>
      </w:pPr>
    </w:p>
    <w:p w:rsidR="000E4AB3" w:rsidRPr="006252C6" w:rsidRDefault="000E4AB3" w:rsidP="000E4AB3">
      <w:pPr>
        <w:ind w:left="1440"/>
        <w:jc w:val="both"/>
        <w:outlineLvl w:val="4"/>
        <w:rPr>
          <w:bCs/>
          <w:i/>
          <w:iCs/>
        </w:rPr>
      </w:pPr>
      <w:r w:rsidRPr="006252C6">
        <w:rPr>
          <w:bCs/>
          <w:i/>
          <w:iCs/>
        </w:rPr>
        <w:t>Non-Potable Water System</w:t>
      </w:r>
    </w:p>
    <w:p w:rsidR="000E4AB3" w:rsidRPr="006252C6" w:rsidRDefault="000E4AB3" w:rsidP="000E4AB3">
      <w:pPr>
        <w:ind w:left="1440"/>
        <w:jc w:val="both"/>
        <w:outlineLvl w:val="4"/>
        <w:rPr>
          <w:bCs/>
          <w:iCs/>
        </w:rPr>
      </w:pPr>
    </w:p>
    <w:p w:rsidR="000E4AB3" w:rsidRPr="006252C6" w:rsidRDefault="000E4AB3" w:rsidP="000E4AB3">
      <w:pPr>
        <w:jc w:val="both"/>
      </w:pPr>
      <w:r w:rsidRPr="006252C6">
        <w:tab/>
        <w:t>The Utility provided invoices in the amount of $26,013 for repairs and replacement of pumps that primarily serve</w:t>
      </w:r>
      <w:r w:rsidR="00DB4A4A">
        <w:t>d</w:t>
      </w:r>
      <w:r w:rsidRPr="006252C6">
        <w:t xml:space="preserve"> the golf course</w:t>
      </w:r>
      <w:r w:rsidR="00DB4A4A">
        <w:t xml:space="preserve">. </w:t>
      </w:r>
      <w:r w:rsidRPr="006252C6">
        <w:t xml:space="preserve">A review of the invoices shows the costs were incurred in 2017. </w:t>
      </w:r>
      <w:r w:rsidR="00B411BB">
        <w:t xml:space="preserve">We find that </w:t>
      </w:r>
      <w:r w:rsidRPr="006252C6">
        <w:t>these costs were prudent as the</w:t>
      </w:r>
      <w:r w:rsidR="00B411BB">
        <w:t>y</w:t>
      </w:r>
      <w:r w:rsidRPr="006252C6">
        <w:t xml:space="preserve"> were incurred before the golf course discontinued service in August 2019. As discussed below, </w:t>
      </w:r>
      <w:r w:rsidR="00B411BB">
        <w:t xml:space="preserve">the </w:t>
      </w:r>
      <w:r w:rsidRPr="006252C6">
        <w:t>plant additions dedicated solel</w:t>
      </w:r>
      <w:r w:rsidR="00B411BB">
        <w:t>y to the golf course shall</w:t>
      </w:r>
      <w:r w:rsidRPr="006252C6">
        <w:t xml:space="preserve"> be considered a forced abandonment and amortized. </w:t>
      </w:r>
      <w:r w:rsidR="00B411BB">
        <w:t xml:space="preserve">We find that </w:t>
      </w:r>
      <w:r w:rsidRPr="006252C6">
        <w:t>the remaining purchases were prudent, resulting in a net addition of $1,248 after retirements.</w:t>
      </w:r>
    </w:p>
    <w:p w:rsidR="000E4AB3" w:rsidRPr="006252C6" w:rsidRDefault="000E4AB3" w:rsidP="000E4AB3">
      <w:pPr>
        <w:jc w:val="both"/>
      </w:pPr>
    </w:p>
    <w:p w:rsidR="000E4AB3" w:rsidRPr="006252C6" w:rsidRDefault="000E4AB3" w:rsidP="000E4AB3">
      <w:pPr>
        <w:ind w:left="1440"/>
        <w:jc w:val="both"/>
        <w:outlineLvl w:val="4"/>
        <w:rPr>
          <w:bCs/>
          <w:i/>
          <w:iCs/>
        </w:rPr>
      </w:pPr>
      <w:r w:rsidRPr="006252C6">
        <w:rPr>
          <w:bCs/>
          <w:i/>
          <w:iCs/>
        </w:rPr>
        <w:t>Wastewater System</w:t>
      </w:r>
    </w:p>
    <w:p w:rsidR="000E4AB3" w:rsidRPr="006252C6" w:rsidRDefault="000E4AB3" w:rsidP="000E4AB3">
      <w:pPr>
        <w:ind w:left="1440"/>
        <w:jc w:val="both"/>
        <w:outlineLvl w:val="4"/>
        <w:rPr>
          <w:bCs/>
          <w:iCs/>
        </w:rPr>
      </w:pPr>
    </w:p>
    <w:p w:rsidR="000E4AB3" w:rsidRPr="006252C6" w:rsidRDefault="000E4AB3" w:rsidP="000E4AB3">
      <w:pPr>
        <w:jc w:val="both"/>
      </w:pPr>
      <w:r w:rsidRPr="006252C6">
        <w:tab/>
        <w:t xml:space="preserve">The Utility submitted invoices totaling $19,369 for repairs and replacements of two electrical panels, electrical equipment, and pump. These repairs were needed due to rust and corrosion. The Utility noted that the lift station is on a barrier island and is exposed to corrosive elements. </w:t>
      </w:r>
      <w:r w:rsidR="00BA57EA">
        <w:t xml:space="preserve">We find that the </w:t>
      </w:r>
      <w:r w:rsidRPr="006252C6">
        <w:t>costs were prudent, resulting in a net addition of $4,842 after retirements.</w:t>
      </w:r>
    </w:p>
    <w:p w:rsidR="000E4AB3" w:rsidRPr="006252C6" w:rsidRDefault="000E4AB3" w:rsidP="000E4AB3">
      <w:pPr>
        <w:jc w:val="both"/>
      </w:pPr>
    </w:p>
    <w:p w:rsidR="000E4AB3" w:rsidRPr="006252C6" w:rsidRDefault="000E4AB3" w:rsidP="000E4AB3">
      <w:pPr>
        <w:ind w:left="1440"/>
        <w:jc w:val="both"/>
        <w:outlineLvl w:val="4"/>
        <w:rPr>
          <w:bCs/>
          <w:i/>
          <w:iCs/>
        </w:rPr>
      </w:pPr>
      <w:r w:rsidRPr="006252C6">
        <w:rPr>
          <w:bCs/>
          <w:i/>
          <w:iCs/>
        </w:rPr>
        <w:t>Plant Additions Summary</w:t>
      </w:r>
    </w:p>
    <w:p w:rsidR="000E4AB3" w:rsidRPr="006252C6" w:rsidRDefault="000E4AB3" w:rsidP="000E4AB3">
      <w:pPr>
        <w:ind w:left="1440"/>
        <w:jc w:val="both"/>
        <w:outlineLvl w:val="4"/>
        <w:rPr>
          <w:bCs/>
          <w:iCs/>
        </w:rPr>
      </w:pPr>
    </w:p>
    <w:p w:rsidR="000E4AB3" w:rsidRPr="006252C6" w:rsidRDefault="000E4AB3" w:rsidP="000E4AB3">
      <w:pPr>
        <w:spacing w:after="240"/>
        <w:jc w:val="both"/>
      </w:pPr>
      <w:r w:rsidRPr="006252C6">
        <w:tab/>
        <w:t xml:space="preserve">In total, </w:t>
      </w:r>
      <w:r w:rsidR="00BA57EA">
        <w:t xml:space="preserve">we approve </w:t>
      </w:r>
      <w:r w:rsidRPr="006252C6">
        <w:t xml:space="preserve">a net increase of $10,246 ($4,125 + $6,121) for potable water system additions, $1,248 for non-potable water system additions, and $4,842 for wastewater system additions. </w:t>
      </w:r>
      <w:r w:rsidR="00BA57EA">
        <w:t>T</w:t>
      </w:r>
      <w:r w:rsidRPr="006252C6">
        <w:t xml:space="preserve">he Utility submitted final invoices only for the requested additions. No other bids were obtained due to the limited availability of local vendors. The adjustments for the additions and associated retirements are reflected in Schedule No. 1-D. The non-potable water system additions are discussed in the Forced Abandonment section below. </w:t>
      </w:r>
    </w:p>
    <w:p w:rsidR="000E4AB3" w:rsidRPr="006252C6" w:rsidRDefault="000E4AB3" w:rsidP="00BA57EA">
      <w:pPr>
        <w:spacing w:after="240"/>
        <w:jc w:val="both"/>
        <w:rPr>
          <w:b/>
        </w:rPr>
      </w:pPr>
      <w:r w:rsidRPr="006252C6">
        <w:tab/>
        <w:t xml:space="preserve">Based on the </w:t>
      </w:r>
      <w:r w:rsidR="00BA57EA">
        <w:t xml:space="preserve">approved </w:t>
      </w:r>
      <w:r w:rsidRPr="006252C6">
        <w:t>plant additions, the following corresponding adjustments sh</w:t>
      </w:r>
      <w:r w:rsidR="00BA57EA">
        <w:t xml:space="preserve">all also be made. </w:t>
      </w:r>
      <w:r w:rsidRPr="006252C6">
        <w:t xml:space="preserve"> </w:t>
      </w:r>
    </w:p>
    <w:p w:rsidR="000E4AB3" w:rsidRPr="006252C6" w:rsidRDefault="000E4AB3" w:rsidP="000E4AB3">
      <w:pPr>
        <w:keepNext/>
        <w:jc w:val="center"/>
        <w:rPr>
          <w:b/>
        </w:rPr>
      </w:pPr>
      <w:r w:rsidRPr="006252C6">
        <w:rPr>
          <w:b/>
        </w:rPr>
        <w:t>Corresponding Adjustments</w:t>
      </w:r>
    </w:p>
    <w:tbl>
      <w:tblPr>
        <w:tblStyle w:val="TableGrid1"/>
        <w:tblW w:w="0" w:type="auto"/>
        <w:tblLook w:val="04A0" w:firstRow="1" w:lastRow="0" w:firstColumn="1" w:lastColumn="0" w:noHBand="0" w:noVBand="1"/>
      </w:tblPr>
      <w:tblGrid>
        <w:gridCol w:w="2178"/>
        <w:gridCol w:w="1800"/>
        <w:gridCol w:w="1710"/>
        <w:gridCol w:w="1800"/>
        <w:gridCol w:w="1588"/>
      </w:tblGrid>
      <w:tr w:rsidR="000E4AB3" w:rsidRPr="006252C6" w:rsidTr="008D1D45">
        <w:tc>
          <w:tcPr>
            <w:tcW w:w="2178"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System</w:t>
            </w:r>
          </w:p>
        </w:tc>
        <w:tc>
          <w:tcPr>
            <w:tcW w:w="180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Accumulated Depreciation</w:t>
            </w:r>
          </w:p>
        </w:tc>
        <w:tc>
          <w:tcPr>
            <w:tcW w:w="171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Depreciation Expense</w:t>
            </w:r>
          </w:p>
        </w:tc>
        <w:tc>
          <w:tcPr>
            <w:tcW w:w="180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Non-U&amp;U</w:t>
            </w:r>
          </w:p>
        </w:tc>
        <w:tc>
          <w:tcPr>
            <w:tcW w:w="1588"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TOTI</w:t>
            </w:r>
          </w:p>
        </w:tc>
      </w:tr>
      <w:tr w:rsidR="000E4AB3" w:rsidRPr="006252C6" w:rsidTr="008D1D45">
        <w:tc>
          <w:tcPr>
            <w:tcW w:w="2178"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r w:rsidRPr="006252C6">
              <w:t>Potable Water</w:t>
            </w:r>
          </w:p>
        </w:tc>
        <w:tc>
          <w:tcPr>
            <w:tcW w:w="1800" w:type="dxa"/>
            <w:tcBorders>
              <w:top w:val="single" w:sz="4" w:space="0" w:color="auto"/>
              <w:left w:val="single" w:sz="4" w:space="0" w:color="auto"/>
              <w:bottom w:val="single" w:sz="4" w:space="0" w:color="auto"/>
              <w:right w:val="single" w:sz="4" w:space="0" w:color="auto"/>
            </w:tcBorders>
            <w:hideMark/>
          </w:tcPr>
          <w:p w:rsidR="000E4AB3" w:rsidRPr="006252C6" w:rsidRDefault="000E4AB3" w:rsidP="000E4AB3">
            <w:pPr>
              <w:jc w:val="right"/>
            </w:pPr>
            <w:r w:rsidRPr="006252C6">
              <w:t>$18,233</w:t>
            </w:r>
          </w:p>
        </w:tc>
        <w:tc>
          <w:tcPr>
            <w:tcW w:w="1710"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$349</w:t>
            </w:r>
          </w:p>
        </w:tc>
        <w:tc>
          <w:tcPr>
            <w:tcW w:w="1800"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($1,757)</w:t>
            </w:r>
          </w:p>
        </w:tc>
        <w:tc>
          <w:tcPr>
            <w:tcW w:w="1588"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$134</w:t>
            </w:r>
          </w:p>
        </w:tc>
      </w:tr>
      <w:tr w:rsidR="000E4AB3" w:rsidRPr="006252C6" w:rsidTr="008D1D45">
        <w:tc>
          <w:tcPr>
            <w:tcW w:w="2178" w:type="dxa"/>
            <w:tcBorders>
              <w:top w:val="single" w:sz="4" w:space="0" w:color="auto"/>
              <w:left w:val="single" w:sz="4" w:space="0" w:color="auto"/>
              <w:bottom w:val="single" w:sz="4" w:space="0" w:color="auto"/>
              <w:right w:val="single" w:sz="4" w:space="0" w:color="auto"/>
            </w:tcBorders>
            <w:vAlign w:val="center"/>
          </w:tcPr>
          <w:p w:rsidR="000E4AB3" w:rsidRPr="006252C6" w:rsidRDefault="000E4AB3" w:rsidP="000E4AB3">
            <w:r w:rsidRPr="006252C6">
              <w:t>Non-Potable Water</w:t>
            </w:r>
          </w:p>
        </w:tc>
        <w:tc>
          <w:tcPr>
            <w:tcW w:w="1800" w:type="dxa"/>
            <w:tcBorders>
              <w:top w:val="single" w:sz="4" w:space="0" w:color="auto"/>
              <w:left w:val="single" w:sz="4" w:space="0" w:color="auto"/>
              <w:bottom w:val="single" w:sz="4" w:space="0" w:color="auto"/>
              <w:right w:val="single" w:sz="4" w:space="0" w:color="auto"/>
            </w:tcBorders>
          </w:tcPr>
          <w:p w:rsidR="000E4AB3" w:rsidRPr="006252C6" w:rsidRDefault="000E4AB3" w:rsidP="000E4AB3">
            <w:pPr>
              <w:jc w:val="right"/>
            </w:pPr>
            <w:r w:rsidRPr="006252C6">
              <w:t>$3,555</w:t>
            </w:r>
          </w:p>
        </w:tc>
        <w:tc>
          <w:tcPr>
            <w:tcW w:w="171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$62</w:t>
            </w:r>
          </w:p>
        </w:tc>
        <w:tc>
          <w:tcPr>
            <w:tcW w:w="180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$0</w:t>
            </w:r>
          </w:p>
        </w:tc>
        <w:tc>
          <w:tcPr>
            <w:tcW w:w="1588"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$20</w:t>
            </w:r>
          </w:p>
        </w:tc>
      </w:tr>
      <w:tr w:rsidR="000E4AB3" w:rsidRPr="006252C6" w:rsidTr="008D1D45">
        <w:tc>
          <w:tcPr>
            <w:tcW w:w="2178" w:type="dxa"/>
            <w:tcBorders>
              <w:top w:val="single" w:sz="4" w:space="0" w:color="auto"/>
              <w:left w:val="single" w:sz="4" w:space="0" w:color="auto"/>
              <w:bottom w:val="single" w:sz="4" w:space="0" w:color="auto"/>
              <w:right w:val="single" w:sz="4" w:space="0" w:color="auto"/>
            </w:tcBorders>
            <w:vAlign w:val="center"/>
          </w:tcPr>
          <w:p w:rsidR="000E4AB3" w:rsidRPr="006252C6" w:rsidRDefault="000E4AB3" w:rsidP="000E4AB3">
            <w:r w:rsidRPr="006252C6">
              <w:t>Wastewater</w:t>
            </w:r>
          </w:p>
        </w:tc>
        <w:tc>
          <w:tcPr>
            <w:tcW w:w="1800" w:type="dxa"/>
            <w:tcBorders>
              <w:top w:val="single" w:sz="4" w:space="0" w:color="auto"/>
              <w:left w:val="single" w:sz="4" w:space="0" w:color="auto"/>
              <w:bottom w:val="single" w:sz="4" w:space="0" w:color="auto"/>
              <w:right w:val="single" w:sz="4" w:space="0" w:color="auto"/>
            </w:tcBorders>
          </w:tcPr>
          <w:p w:rsidR="000E4AB3" w:rsidRPr="006252C6" w:rsidRDefault="000E4AB3" w:rsidP="000E4AB3">
            <w:pPr>
              <w:jc w:val="right"/>
            </w:pPr>
            <w:r w:rsidRPr="006252C6">
              <w:t>$13,720</w:t>
            </w:r>
          </w:p>
        </w:tc>
        <w:tc>
          <w:tcPr>
            <w:tcW w:w="171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$269</w:t>
            </w:r>
          </w:p>
        </w:tc>
        <w:tc>
          <w:tcPr>
            <w:tcW w:w="180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$0</w:t>
            </w:r>
          </w:p>
        </w:tc>
        <w:tc>
          <w:tcPr>
            <w:tcW w:w="1588"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$78</w:t>
            </w:r>
          </w:p>
        </w:tc>
      </w:tr>
    </w:tbl>
    <w:p w:rsidR="000E4AB3" w:rsidRPr="006252C6" w:rsidRDefault="000E4AB3" w:rsidP="000E4AB3">
      <w:pPr>
        <w:spacing w:after="240"/>
        <w:jc w:val="both"/>
      </w:pPr>
    </w:p>
    <w:p w:rsidR="000E4AB3" w:rsidRPr="006252C6" w:rsidRDefault="000E4AB3" w:rsidP="000E4AB3">
      <w:pPr>
        <w:spacing w:after="240"/>
        <w:jc w:val="both"/>
      </w:pPr>
      <w:r w:rsidRPr="006252C6">
        <w:tab/>
      </w:r>
      <w:r w:rsidR="00BA57EA">
        <w:t xml:space="preserve">Our </w:t>
      </w:r>
      <w:r w:rsidRPr="006252C6">
        <w:t xml:space="preserve">adjustments to accumulated depreciation and non-U&amp;U are shown in Schedule No. 1-D, and adjustments for depreciation expense and TOTI are shown in Schedule No. 3-D. </w:t>
      </w:r>
      <w:r w:rsidR="00BA57EA">
        <w:t>T</w:t>
      </w:r>
      <w:r w:rsidRPr="006252C6">
        <w:t xml:space="preserve">he </w:t>
      </w:r>
      <w:r w:rsidR="00BA57EA">
        <w:t xml:space="preserve">approved </w:t>
      </w:r>
      <w:r w:rsidRPr="006252C6">
        <w:t xml:space="preserve">potable water TOTI balance of $134 consists of two adjustments, an increase of $165 to recognize additional property taxes, and a decrease of $31 to recognize the application of non-U&amp;U to TOTI.  </w:t>
      </w:r>
    </w:p>
    <w:p w:rsidR="000E4AB3" w:rsidRPr="006252C6" w:rsidRDefault="000E4AB3" w:rsidP="000E4AB3">
      <w:pPr>
        <w:ind w:left="720"/>
        <w:jc w:val="both"/>
        <w:outlineLvl w:val="3"/>
        <w:rPr>
          <w:bCs/>
          <w:iCs/>
          <w:u w:val="single"/>
        </w:rPr>
      </w:pPr>
      <w:r w:rsidRPr="006252C6">
        <w:rPr>
          <w:bCs/>
          <w:iCs/>
          <w:u w:val="single"/>
        </w:rPr>
        <w:t>Forced Abandonment</w:t>
      </w:r>
    </w:p>
    <w:p w:rsidR="000E4AB3" w:rsidRPr="006252C6" w:rsidRDefault="000E4AB3" w:rsidP="000E4AB3">
      <w:pPr>
        <w:ind w:left="720"/>
        <w:jc w:val="both"/>
        <w:outlineLvl w:val="3"/>
        <w:rPr>
          <w:bCs/>
          <w:iCs/>
        </w:rPr>
      </w:pPr>
    </w:p>
    <w:p w:rsidR="000E4AB3" w:rsidRPr="006252C6" w:rsidRDefault="000E4AB3" w:rsidP="000E4AB3">
      <w:pPr>
        <w:spacing w:after="240"/>
        <w:jc w:val="both"/>
      </w:pPr>
      <w:r w:rsidRPr="006252C6">
        <w:tab/>
        <w:t xml:space="preserve">As discussed above, Aquarina requested $10,384 in plant additions for the non-potable water system, of which $1,248 </w:t>
      </w:r>
      <w:r w:rsidR="00BA57EA">
        <w:t xml:space="preserve">is </w:t>
      </w:r>
      <w:r w:rsidRPr="006252C6">
        <w:t xml:space="preserve">included as pro forma in the </w:t>
      </w:r>
      <w:r w:rsidR="00BA57EA">
        <w:t xml:space="preserve">approved </w:t>
      </w:r>
      <w:r w:rsidRPr="006252C6">
        <w:t>rate base. While the remaining non-potable water additions were prudent at this time, they were associated exclusively with the golf course that the Utility is no longer serving.</w:t>
      </w:r>
      <w:r w:rsidR="00BA57EA" w:rsidRPr="006252C6">
        <w:t xml:space="preserve"> </w:t>
      </w:r>
      <w:r w:rsidR="00BA57EA">
        <w:t>T</w:t>
      </w:r>
      <w:r w:rsidRPr="006252C6">
        <w:t>he</w:t>
      </w:r>
      <w:r w:rsidR="00BA57EA">
        <w:t>se</w:t>
      </w:r>
      <w:r w:rsidRPr="006252C6">
        <w:t xml:space="preserve"> plant additions sh</w:t>
      </w:r>
      <w:r w:rsidR="00BA57EA">
        <w:t>all</w:t>
      </w:r>
      <w:r w:rsidRPr="006252C6">
        <w:t xml:space="preserve"> be con</w:t>
      </w:r>
      <w:r w:rsidR="00DB4A4A">
        <w:t xml:space="preserve">sidered a forced abandonment because </w:t>
      </w:r>
      <w:r w:rsidRPr="006252C6">
        <w:t>the Utility is no longer serving the golf course</w:t>
      </w:r>
      <w:r w:rsidR="00DB4A4A">
        <w:t>;</w:t>
      </w:r>
      <w:r w:rsidRPr="006252C6">
        <w:t xml:space="preserve"> the associated costs sh</w:t>
      </w:r>
      <w:r w:rsidR="00BA57EA">
        <w:t>all</w:t>
      </w:r>
      <w:r w:rsidRPr="006252C6">
        <w:t xml:space="preserve"> be amortized as described below. </w:t>
      </w:r>
      <w:r w:rsidR="00BA57EA">
        <w:t>A</w:t>
      </w:r>
      <w:r w:rsidRPr="006252C6">
        <w:t xml:space="preserve">djustments are necessary to recognize additional depreciation </w:t>
      </w:r>
      <w:r w:rsidR="00DB4A4A">
        <w:t>because</w:t>
      </w:r>
      <w:r w:rsidRPr="006252C6">
        <w:t xml:space="preserve"> it has been two years since the plant additions were put into service. </w:t>
      </w:r>
      <w:r w:rsidR="00BA57EA">
        <w:t xml:space="preserve">We </w:t>
      </w:r>
      <w:r w:rsidRPr="006252C6">
        <w:t xml:space="preserve">made an adjustment to reduce the plant additions by $456, to account for an additional year of accumulated depreciation. </w:t>
      </w:r>
    </w:p>
    <w:p w:rsidR="000E4AB3" w:rsidRPr="006252C6" w:rsidRDefault="000E4AB3" w:rsidP="000E4AB3">
      <w:pPr>
        <w:spacing w:after="240"/>
        <w:jc w:val="both"/>
      </w:pPr>
      <w:r w:rsidRPr="006252C6">
        <w:tab/>
        <w:t xml:space="preserve">Aquarina reviewed its records and concluded that no additional plant items were dedicated solely to the golf course. </w:t>
      </w:r>
      <w:r w:rsidR="00BA57EA">
        <w:t xml:space="preserve">Because </w:t>
      </w:r>
      <w:r w:rsidRPr="006252C6">
        <w:t xml:space="preserve">additional plant items cannot be attributed to the golf course, </w:t>
      </w:r>
      <w:r w:rsidR="00BA57EA">
        <w:t xml:space="preserve">we find that the </w:t>
      </w:r>
      <w:r w:rsidRPr="006252C6">
        <w:t xml:space="preserve">total amount of plant to be used in the calculation of the loss on abandonment is $8,679 ($10,384 - $1,248 - $456). </w:t>
      </w:r>
    </w:p>
    <w:p w:rsidR="000E4AB3" w:rsidRPr="006252C6" w:rsidRDefault="000E4AB3" w:rsidP="000E4AB3">
      <w:pPr>
        <w:jc w:val="both"/>
      </w:pPr>
      <w:r w:rsidRPr="006252C6">
        <w:tab/>
        <w:t xml:space="preserve">Rule 25-30.433(10), F.A.C., prescribes the calculation for determining the appropriate amortization period of forced abandonment or the prudent retirement of plant assets prior to the end of their depreciable life. </w:t>
      </w:r>
      <w:r w:rsidR="00BA57EA">
        <w:t xml:space="preserve">We </w:t>
      </w:r>
      <w:r w:rsidRPr="006252C6">
        <w:t xml:space="preserve">calculated the amortization period and expense as established in the rule. </w:t>
      </w:r>
      <w:r w:rsidR="00BA57EA">
        <w:t xml:space="preserve">We approve </w:t>
      </w:r>
      <w:r w:rsidRPr="006252C6">
        <w:t xml:space="preserve">an annual amortization expense of $774 over 11.21 years. To calculate the amortization period, </w:t>
      </w:r>
      <w:r w:rsidR="00BA57EA">
        <w:t>we</w:t>
      </w:r>
      <w:r w:rsidRPr="006252C6">
        <w:t xml:space="preserve"> divided the net book value of $8,679 by the annual amortization expense of $774. </w:t>
      </w:r>
      <w:r w:rsidR="00BA57EA">
        <w:t xml:space="preserve">Our </w:t>
      </w:r>
      <w:r w:rsidRPr="006252C6">
        <w:t xml:space="preserve">calculations are summarized in </w:t>
      </w:r>
      <w:r w:rsidR="00BA57EA">
        <w:t xml:space="preserve">the table below. </w:t>
      </w:r>
    </w:p>
    <w:p w:rsidR="000E4AB3" w:rsidRPr="006252C6" w:rsidRDefault="000E4AB3" w:rsidP="000E4AB3"/>
    <w:p w:rsidR="000E4AB3" w:rsidRDefault="000E4AB3" w:rsidP="000E4AB3">
      <w:pPr>
        <w:jc w:val="both"/>
      </w:pPr>
    </w:p>
    <w:p w:rsidR="00BA57EA" w:rsidRDefault="00BA57EA" w:rsidP="000E4AB3">
      <w:pPr>
        <w:jc w:val="both"/>
      </w:pPr>
    </w:p>
    <w:p w:rsidR="00BA57EA" w:rsidRPr="006252C6" w:rsidRDefault="00BA57EA" w:rsidP="000E4AB3">
      <w:pPr>
        <w:jc w:val="both"/>
      </w:pPr>
    </w:p>
    <w:p w:rsidR="000E4AB3" w:rsidRPr="006252C6" w:rsidRDefault="000E4AB3" w:rsidP="000E4AB3">
      <w:pPr>
        <w:keepNext/>
        <w:jc w:val="center"/>
        <w:rPr>
          <w:b/>
        </w:rPr>
      </w:pPr>
      <w:r w:rsidRPr="006252C6">
        <w:rPr>
          <w:b/>
        </w:rPr>
        <w:t>Forced Abandonment</w:t>
      </w:r>
    </w:p>
    <w:tbl>
      <w:tblPr>
        <w:tblStyle w:val="TableGrid1"/>
        <w:tblW w:w="0" w:type="auto"/>
        <w:jc w:val="center"/>
        <w:tblBorders>
          <w:insideH w:val="none" w:sz="0" w:space="0" w:color="auto"/>
          <w:insideV w:val="none" w:sz="0" w:space="0" w:color="auto"/>
        </w:tblBorders>
        <w:tblLook w:val="04A0" w:firstRow="1" w:lastRow="0" w:firstColumn="1" w:lastColumn="0" w:noHBand="0" w:noVBand="1"/>
      </w:tblPr>
      <w:tblGrid>
        <w:gridCol w:w="3330"/>
        <w:gridCol w:w="1815"/>
      </w:tblGrid>
      <w:tr w:rsidR="000E4AB3" w:rsidRPr="006252C6" w:rsidTr="008D1D45">
        <w:trPr>
          <w:jc w:val="center"/>
        </w:trPr>
        <w:tc>
          <w:tcPr>
            <w:tcW w:w="3330" w:type="dxa"/>
            <w:vAlign w:val="center"/>
            <w:hideMark/>
          </w:tcPr>
          <w:p w:rsidR="000E4AB3" w:rsidRPr="006252C6" w:rsidRDefault="000E4AB3" w:rsidP="000E4AB3">
            <w:r w:rsidRPr="006252C6">
              <w:t>Net Book Value</w:t>
            </w:r>
          </w:p>
        </w:tc>
        <w:tc>
          <w:tcPr>
            <w:tcW w:w="1815" w:type="dxa"/>
            <w:hideMark/>
          </w:tcPr>
          <w:p w:rsidR="000E4AB3" w:rsidRPr="006252C6" w:rsidRDefault="000E4AB3" w:rsidP="000E4AB3">
            <w:pPr>
              <w:jc w:val="right"/>
              <w:rPr>
                <w:u w:val="double"/>
              </w:rPr>
            </w:pPr>
            <w:r w:rsidRPr="006252C6">
              <w:rPr>
                <w:u w:val="double"/>
              </w:rPr>
              <w:t>$8,679</w:t>
            </w:r>
          </w:p>
        </w:tc>
      </w:tr>
      <w:tr w:rsidR="000E4AB3" w:rsidRPr="006252C6" w:rsidTr="008D1D45">
        <w:trPr>
          <w:jc w:val="center"/>
        </w:trPr>
        <w:tc>
          <w:tcPr>
            <w:tcW w:w="3330" w:type="dxa"/>
            <w:vAlign w:val="center"/>
          </w:tcPr>
          <w:p w:rsidR="000E4AB3" w:rsidRPr="006252C6" w:rsidRDefault="000E4AB3" w:rsidP="000E4AB3"/>
        </w:tc>
        <w:tc>
          <w:tcPr>
            <w:tcW w:w="1815" w:type="dxa"/>
          </w:tcPr>
          <w:p w:rsidR="000E4AB3" w:rsidRPr="006252C6" w:rsidRDefault="000E4AB3" w:rsidP="000E4AB3">
            <w:pPr>
              <w:jc w:val="right"/>
              <w:rPr>
                <w:u w:val="double"/>
              </w:rPr>
            </w:pPr>
          </w:p>
        </w:tc>
      </w:tr>
      <w:tr w:rsidR="000E4AB3" w:rsidRPr="006252C6" w:rsidTr="008D1D45">
        <w:trPr>
          <w:jc w:val="center"/>
        </w:trPr>
        <w:tc>
          <w:tcPr>
            <w:tcW w:w="3330" w:type="dxa"/>
            <w:vAlign w:val="center"/>
          </w:tcPr>
          <w:p w:rsidR="000E4AB3" w:rsidRPr="006252C6" w:rsidRDefault="000E4AB3" w:rsidP="000E4AB3">
            <w:r w:rsidRPr="006252C6">
              <w:t>Rate of Return</w:t>
            </w:r>
          </w:p>
        </w:tc>
        <w:tc>
          <w:tcPr>
            <w:tcW w:w="1815" w:type="dxa"/>
          </w:tcPr>
          <w:p w:rsidR="000E4AB3" w:rsidRPr="006252C6" w:rsidRDefault="000E4AB3" w:rsidP="000E4AB3">
            <w:pPr>
              <w:jc w:val="right"/>
              <w:rPr>
                <w:u w:val="double"/>
              </w:rPr>
            </w:pPr>
            <w:r w:rsidRPr="006252C6">
              <w:rPr>
                <w:u w:val="double"/>
              </w:rPr>
              <w:t>3.66%</w:t>
            </w:r>
          </w:p>
        </w:tc>
      </w:tr>
      <w:tr w:rsidR="000E4AB3" w:rsidRPr="006252C6" w:rsidTr="008D1D45">
        <w:trPr>
          <w:jc w:val="center"/>
        </w:trPr>
        <w:tc>
          <w:tcPr>
            <w:tcW w:w="3330" w:type="dxa"/>
            <w:vAlign w:val="center"/>
          </w:tcPr>
          <w:p w:rsidR="000E4AB3" w:rsidRPr="006252C6" w:rsidRDefault="000E4AB3" w:rsidP="000E4AB3"/>
        </w:tc>
        <w:tc>
          <w:tcPr>
            <w:tcW w:w="1815" w:type="dxa"/>
          </w:tcPr>
          <w:p w:rsidR="000E4AB3" w:rsidRPr="006252C6" w:rsidRDefault="000E4AB3" w:rsidP="000E4AB3">
            <w:pPr>
              <w:jc w:val="right"/>
            </w:pPr>
          </w:p>
        </w:tc>
      </w:tr>
      <w:tr w:rsidR="000E4AB3" w:rsidRPr="006252C6" w:rsidTr="008D1D45">
        <w:trPr>
          <w:jc w:val="center"/>
        </w:trPr>
        <w:tc>
          <w:tcPr>
            <w:tcW w:w="3330" w:type="dxa"/>
            <w:vAlign w:val="center"/>
          </w:tcPr>
          <w:p w:rsidR="000E4AB3" w:rsidRPr="006252C6" w:rsidRDefault="000E4AB3" w:rsidP="000E4AB3">
            <w:r w:rsidRPr="006252C6">
              <w:t>Return on Net Book Value</w:t>
            </w:r>
          </w:p>
        </w:tc>
        <w:tc>
          <w:tcPr>
            <w:tcW w:w="1815" w:type="dxa"/>
          </w:tcPr>
          <w:p w:rsidR="000E4AB3" w:rsidRPr="006252C6" w:rsidRDefault="000E4AB3" w:rsidP="000E4AB3">
            <w:pPr>
              <w:jc w:val="right"/>
            </w:pPr>
            <w:r w:rsidRPr="006252C6">
              <w:t>$318</w:t>
            </w:r>
          </w:p>
        </w:tc>
      </w:tr>
      <w:tr w:rsidR="000E4AB3" w:rsidRPr="006252C6" w:rsidTr="008D1D45">
        <w:trPr>
          <w:jc w:val="center"/>
        </w:trPr>
        <w:tc>
          <w:tcPr>
            <w:tcW w:w="3330" w:type="dxa"/>
            <w:vAlign w:val="center"/>
          </w:tcPr>
          <w:p w:rsidR="000E4AB3" w:rsidRPr="006252C6" w:rsidRDefault="000E4AB3" w:rsidP="000E4AB3">
            <w:r w:rsidRPr="006252C6">
              <w:t>Depreciation Expense</w:t>
            </w:r>
          </w:p>
        </w:tc>
        <w:tc>
          <w:tcPr>
            <w:tcW w:w="1815" w:type="dxa"/>
          </w:tcPr>
          <w:p w:rsidR="000E4AB3" w:rsidRPr="006252C6" w:rsidRDefault="000E4AB3" w:rsidP="000E4AB3">
            <w:pPr>
              <w:jc w:val="right"/>
              <w:rPr>
                <w:u w:val="single"/>
              </w:rPr>
            </w:pPr>
            <w:r w:rsidRPr="006252C6">
              <w:rPr>
                <w:u w:val="single"/>
              </w:rPr>
              <w:t>$456</w:t>
            </w:r>
          </w:p>
        </w:tc>
      </w:tr>
      <w:tr w:rsidR="000E4AB3" w:rsidRPr="006252C6" w:rsidTr="008D1D45">
        <w:trPr>
          <w:jc w:val="center"/>
        </w:trPr>
        <w:tc>
          <w:tcPr>
            <w:tcW w:w="3330" w:type="dxa"/>
            <w:vAlign w:val="center"/>
          </w:tcPr>
          <w:p w:rsidR="000E4AB3" w:rsidRPr="006252C6" w:rsidRDefault="000E4AB3" w:rsidP="000E4AB3">
            <w:r w:rsidRPr="006252C6">
              <w:t>Annual Amortization Expense</w:t>
            </w:r>
          </w:p>
        </w:tc>
        <w:tc>
          <w:tcPr>
            <w:tcW w:w="1815" w:type="dxa"/>
          </w:tcPr>
          <w:p w:rsidR="000E4AB3" w:rsidRPr="006252C6" w:rsidRDefault="000E4AB3" w:rsidP="000E4AB3">
            <w:pPr>
              <w:jc w:val="right"/>
              <w:rPr>
                <w:u w:val="double"/>
              </w:rPr>
            </w:pPr>
            <w:r w:rsidRPr="006252C6">
              <w:rPr>
                <w:u w:val="double"/>
              </w:rPr>
              <w:t>$774</w:t>
            </w:r>
          </w:p>
        </w:tc>
      </w:tr>
      <w:tr w:rsidR="000E4AB3" w:rsidRPr="006252C6" w:rsidTr="008D1D45">
        <w:trPr>
          <w:jc w:val="center"/>
        </w:trPr>
        <w:tc>
          <w:tcPr>
            <w:tcW w:w="3330" w:type="dxa"/>
            <w:vAlign w:val="center"/>
          </w:tcPr>
          <w:p w:rsidR="000E4AB3" w:rsidRPr="006252C6" w:rsidRDefault="000E4AB3" w:rsidP="000E4AB3"/>
        </w:tc>
        <w:tc>
          <w:tcPr>
            <w:tcW w:w="1815" w:type="dxa"/>
          </w:tcPr>
          <w:p w:rsidR="000E4AB3" w:rsidRPr="006252C6" w:rsidRDefault="000E4AB3" w:rsidP="000E4AB3">
            <w:pPr>
              <w:jc w:val="right"/>
            </w:pPr>
          </w:p>
        </w:tc>
      </w:tr>
      <w:tr w:rsidR="000E4AB3" w:rsidRPr="006252C6" w:rsidTr="008D1D45">
        <w:trPr>
          <w:trHeight w:val="306"/>
          <w:jc w:val="center"/>
        </w:trPr>
        <w:tc>
          <w:tcPr>
            <w:tcW w:w="3330" w:type="dxa"/>
            <w:vAlign w:val="center"/>
          </w:tcPr>
          <w:p w:rsidR="000E4AB3" w:rsidRPr="006252C6" w:rsidRDefault="000E4AB3" w:rsidP="000E4AB3">
            <w:r w:rsidRPr="006252C6">
              <w:t>Annual Amortization Period</w:t>
            </w:r>
          </w:p>
        </w:tc>
        <w:tc>
          <w:tcPr>
            <w:tcW w:w="1815" w:type="dxa"/>
          </w:tcPr>
          <w:p w:rsidR="000E4AB3" w:rsidRPr="006252C6" w:rsidRDefault="000E4AB3" w:rsidP="000E4AB3">
            <w:pPr>
              <w:jc w:val="right"/>
              <w:rPr>
                <w:u w:val="double"/>
              </w:rPr>
            </w:pPr>
            <w:r w:rsidRPr="006252C6">
              <w:rPr>
                <w:u w:val="double"/>
              </w:rPr>
              <w:t>11.21 Years</w:t>
            </w:r>
          </w:p>
        </w:tc>
      </w:tr>
    </w:tbl>
    <w:p w:rsidR="000E4AB3" w:rsidRPr="006252C6" w:rsidRDefault="000E4AB3" w:rsidP="000E4AB3">
      <w:pPr>
        <w:jc w:val="both"/>
      </w:pPr>
    </w:p>
    <w:p w:rsidR="000E4AB3" w:rsidRPr="006252C6" w:rsidRDefault="000E4AB3" w:rsidP="000E4AB3">
      <w:pPr>
        <w:jc w:val="both"/>
      </w:pPr>
    </w:p>
    <w:p w:rsidR="000E4AB3" w:rsidRPr="006252C6" w:rsidRDefault="000E4AB3" w:rsidP="000E4AB3">
      <w:pPr>
        <w:ind w:left="720"/>
        <w:jc w:val="both"/>
        <w:outlineLvl w:val="3"/>
        <w:rPr>
          <w:bCs/>
          <w:iCs/>
          <w:u w:val="single"/>
        </w:rPr>
      </w:pPr>
      <w:r w:rsidRPr="006252C6">
        <w:rPr>
          <w:bCs/>
          <w:iCs/>
          <w:u w:val="single"/>
        </w:rPr>
        <w:t>Working Capital Allowance</w:t>
      </w:r>
    </w:p>
    <w:p w:rsidR="000E4AB3" w:rsidRPr="006252C6" w:rsidRDefault="000E4AB3" w:rsidP="000E4AB3">
      <w:pPr>
        <w:ind w:left="720"/>
        <w:jc w:val="both"/>
        <w:outlineLvl w:val="3"/>
        <w:rPr>
          <w:bCs/>
          <w:iCs/>
        </w:rPr>
      </w:pPr>
    </w:p>
    <w:p w:rsidR="000E4AB3" w:rsidRPr="006252C6" w:rsidRDefault="000E4AB3" w:rsidP="000E4AB3">
      <w:pPr>
        <w:spacing w:after="240"/>
        <w:jc w:val="both"/>
      </w:pPr>
      <w:r w:rsidRPr="006252C6">
        <w:tab/>
        <w:t xml:space="preserve">Working capital is the short-term, investor-supplied funds that are necessary to meet operating expenses of the utility. Following the same methodology used in the last rate case, </w:t>
      </w:r>
      <w:r w:rsidR="00BA57EA">
        <w:t xml:space="preserve">we </w:t>
      </w:r>
      <w:r w:rsidRPr="006252C6">
        <w:t xml:space="preserve">calculated increases of $122 for potable water, $123 for non-potable water, and $122 for wastewater. </w:t>
      </w:r>
      <w:r w:rsidR="00BA57EA">
        <w:t xml:space="preserve">Thus, we approve </w:t>
      </w:r>
      <w:r w:rsidRPr="006252C6">
        <w:t xml:space="preserve">a working capital allowance of $15,661 for potable water, $23,914 for non-potable water, and $19,058 for wastewater. </w:t>
      </w:r>
    </w:p>
    <w:p w:rsidR="000E4AB3" w:rsidRPr="001D09D4" w:rsidRDefault="000E4AB3" w:rsidP="000E4AB3">
      <w:pPr>
        <w:ind w:left="720"/>
        <w:jc w:val="both"/>
        <w:outlineLvl w:val="3"/>
        <w:rPr>
          <w:bCs/>
          <w:iCs/>
          <w:u w:val="single"/>
        </w:rPr>
      </w:pPr>
      <w:r w:rsidRPr="001D09D4">
        <w:rPr>
          <w:bCs/>
          <w:iCs/>
          <w:u w:val="single"/>
        </w:rPr>
        <w:t>Rate Base Summary</w:t>
      </w:r>
    </w:p>
    <w:p w:rsidR="000E4AB3" w:rsidRPr="006252C6" w:rsidRDefault="000E4AB3" w:rsidP="000E4AB3">
      <w:pPr>
        <w:ind w:left="720"/>
        <w:jc w:val="both"/>
        <w:outlineLvl w:val="3"/>
        <w:rPr>
          <w:bCs/>
          <w:iCs/>
        </w:rPr>
      </w:pPr>
    </w:p>
    <w:p w:rsidR="000E4AB3" w:rsidRPr="006252C6" w:rsidRDefault="000E4AB3" w:rsidP="000E4AB3">
      <w:pPr>
        <w:spacing w:after="240"/>
        <w:jc w:val="both"/>
      </w:pPr>
      <w:r w:rsidRPr="006252C6">
        <w:tab/>
        <w:t xml:space="preserve">Based on the foregoing, </w:t>
      </w:r>
      <w:r w:rsidR="00BA57EA">
        <w:t xml:space="preserve">the approved </w:t>
      </w:r>
      <w:r w:rsidRPr="006252C6">
        <w:t>rate base is $249,211 for potable water, $177,513 for non-potable water, and $63,569 for wastewater. Rate base is shown on Schedule Nos. 1-A, 1-B, and 1-C, and the related adjustments are shown on Schedule No. 1-D.</w:t>
      </w:r>
    </w:p>
    <w:p w:rsidR="000E4AB3" w:rsidRPr="001D09D4" w:rsidRDefault="000E4AB3" w:rsidP="000E4AB3">
      <w:pPr>
        <w:jc w:val="both"/>
        <w:outlineLvl w:val="2"/>
        <w:rPr>
          <w:b/>
          <w:bCs/>
          <w:i/>
          <w:iCs/>
        </w:rPr>
      </w:pPr>
      <w:r w:rsidRPr="004F20D1">
        <w:rPr>
          <w:b/>
          <w:bCs/>
          <w:i/>
          <w:iCs/>
        </w:rPr>
        <w:t>Rate of Return</w:t>
      </w:r>
    </w:p>
    <w:p w:rsidR="000E4AB3" w:rsidRPr="006252C6" w:rsidRDefault="000E4AB3" w:rsidP="000E4AB3">
      <w:pPr>
        <w:jc w:val="both"/>
        <w:outlineLvl w:val="2"/>
        <w:rPr>
          <w:bCs/>
          <w:iCs/>
        </w:rPr>
      </w:pPr>
    </w:p>
    <w:p w:rsidR="000E4AB3" w:rsidRPr="006252C6" w:rsidRDefault="000E4AB3" w:rsidP="000E4AB3">
      <w:pPr>
        <w:spacing w:after="240"/>
        <w:jc w:val="both"/>
      </w:pPr>
      <w:r w:rsidRPr="006252C6">
        <w:tab/>
        <w:t>The capital structure used to determine the cost of capital in this docket is consistent with the capital structure used in the Utility’s last rate case. Rule 25-30.445(4)(e), F.A.C., requires that the weighted average cost of capital be calculated based on the most recent 12-month period and include all the appropriate capi</w:t>
      </w:r>
      <w:r w:rsidR="004F20D1">
        <w:t xml:space="preserve">tal structure components. We </w:t>
      </w:r>
      <w:r w:rsidRPr="006252C6">
        <w:t xml:space="preserve">used the equity cost rate of 10.55 percent from the Utility’s last rate case. </w:t>
      </w:r>
      <w:r w:rsidR="004F20D1">
        <w:t>T</w:t>
      </w:r>
      <w:r w:rsidRPr="006252C6">
        <w:t xml:space="preserve">he capital structure reflects a negative retained earnings balance of $505,064. In the </w:t>
      </w:r>
      <w:r w:rsidR="004F20D1">
        <w:t xml:space="preserve">Utility’s last rate case, we </w:t>
      </w:r>
      <w:r w:rsidRPr="006252C6">
        <w:t>identified negative retained earnings and remov</w:t>
      </w:r>
      <w:r w:rsidR="004F20D1">
        <w:t>ed the negative balance from our</w:t>
      </w:r>
      <w:r w:rsidRPr="006252C6">
        <w:t xml:space="preserve"> calculations. Consistent with the last rate case, </w:t>
      </w:r>
      <w:r w:rsidR="004F20D1">
        <w:t xml:space="preserve">we have </w:t>
      </w:r>
      <w:r w:rsidRPr="006252C6">
        <w:t>removed the negative retained earnings balance of $505,064 for purposes of calculating the Utility’s rate of return.</w:t>
      </w:r>
    </w:p>
    <w:p w:rsidR="000E4AB3" w:rsidRPr="006252C6" w:rsidRDefault="000E4AB3" w:rsidP="000E4AB3">
      <w:pPr>
        <w:spacing w:after="240"/>
        <w:jc w:val="both"/>
      </w:pPr>
      <w:r w:rsidRPr="006252C6">
        <w:tab/>
        <w:t xml:space="preserve">The Utility’s capital structure has been reconciled with </w:t>
      </w:r>
      <w:r w:rsidR="004F20D1">
        <w:t xml:space="preserve">the approved </w:t>
      </w:r>
      <w:r w:rsidRPr="006252C6">
        <w:t xml:space="preserve">rate base. </w:t>
      </w:r>
      <w:r w:rsidR="004F20D1">
        <w:t xml:space="preserve">We </w:t>
      </w:r>
      <w:r w:rsidR="00DB4A4A">
        <w:t xml:space="preserve">approve </w:t>
      </w:r>
      <w:r w:rsidRPr="006252C6">
        <w:t>a return on equity of 10.55 percent, with a range of 9.55 percent to 11.55 percent, and an overall rate of return of 3.66 percent. The return on equity and overall rate of return are shown on Schedule No. 2.</w:t>
      </w:r>
    </w:p>
    <w:p w:rsidR="006A131A" w:rsidRDefault="006A131A" w:rsidP="000E4AB3">
      <w:pPr>
        <w:jc w:val="both"/>
        <w:outlineLvl w:val="2"/>
        <w:rPr>
          <w:b/>
          <w:bCs/>
          <w:i/>
          <w:iCs/>
        </w:rPr>
      </w:pPr>
      <w:bookmarkStart w:id="6" w:name="_Hlk36241006"/>
    </w:p>
    <w:p w:rsidR="006A131A" w:rsidRDefault="006A131A" w:rsidP="000E4AB3">
      <w:pPr>
        <w:jc w:val="both"/>
        <w:outlineLvl w:val="2"/>
        <w:rPr>
          <w:b/>
          <w:bCs/>
          <w:i/>
          <w:iCs/>
        </w:rPr>
      </w:pPr>
    </w:p>
    <w:p w:rsidR="000E4AB3" w:rsidRPr="001D09D4" w:rsidRDefault="000E4AB3" w:rsidP="000E4AB3">
      <w:pPr>
        <w:jc w:val="both"/>
        <w:outlineLvl w:val="2"/>
        <w:rPr>
          <w:b/>
          <w:bCs/>
          <w:i/>
          <w:iCs/>
        </w:rPr>
      </w:pPr>
      <w:r w:rsidRPr="001D09D4">
        <w:rPr>
          <w:b/>
          <w:bCs/>
          <w:i/>
          <w:iCs/>
        </w:rPr>
        <w:t>Operating Expenses</w:t>
      </w:r>
    </w:p>
    <w:p w:rsidR="000E4AB3" w:rsidRPr="006252C6" w:rsidRDefault="000E4AB3" w:rsidP="000E4AB3">
      <w:pPr>
        <w:jc w:val="both"/>
        <w:outlineLvl w:val="2"/>
        <w:rPr>
          <w:bCs/>
          <w:iCs/>
        </w:rPr>
      </w:pPr>
    </w:p>
    <w:p w:rsidR="000E4AB3" w:rsidRPr="006252C6" w:rsidRDefault="000E4AB3" w:rsidP="000E4AB3">
      <w:pPr>
        <w:spacing w:after="240"/>
        <w:jc w:val="both"/>
      </w:pPr>
      <w:r w:rsidRPr="006252C6">
        <w:tab/>
        <w:t xml:space="preserve">The Utility has requested recovery of rate case expense. </w:t>
      </w:r>
      <w:r w:rsidR="004F20D1">
        <w:t xml:space="preserve">We adjusted </w:t>
      </w:r>
      <w:r w:rsidRPr="006252C6">
        <w:t xml:space="preserve">TOTI. </w:t>
      </w:r>
      <w:r w:rsidR="004F20D1">
        <w:t xml:space="preserve">Our </w:t>
      </w:r>
      <w:r w:rsidRPr="006252C6">
        <w:t>adjustments are discussed below.</w:t>
      </w:r>
    </w:p>
    <w:p w:rsidR="000E4AB3" w:rsidRPr="001D09D4" w:rsidRDefault="000E4AB3" w:rsidP="000E4AB3">
      <w:pPr>
        <w:ind w:left="720"/>
        <w:jc w:val="both"/>
        <w:outlineLvl w:val="3"/>
        <w:rPr>
          <w:bCs/>
          <w:iCs/>
          <w:u w:val="single"/>
        </w:rPr>
      </w:pPr>
      <w:r w:rsidRPr="001D09D4">
        <w:rPr>
          <w:bCs/>
          <w:iCs/>
          <w:u w:val="single"/>
        </w:rPr>
        <w:t>Rate Case Expense</w:t>
      </w:r>
    </w:p>
    <w:p w:rsidR="000E4AB3" w:rsidRPr="006252C6" w:rsidRDefault="000E4AB3" w:rsidP="000E4AB3">
      <w:pPr>
        <w:ind w:left="720"/>
        <w:jc w:val="both"/>
        <w:outlineLvl w:val="3"/>
        <w:rPr>
          <w:bCs/>
          <w:iCs/>
        </w:rPr>
      </w:pPr>
    </w:p>
    <w:p w:rsidR="000E4AB3" w:rsidRPr="006252C6" w:rsidRDefault="000E4AB3" w:rsidP="000E4AB3">
      <w:pPr>
        <w:spacing w:after="240"/>
        <w:jc w:val="both"/>
      </w:pPr>
      <w:r w:rsidRPr="006252C6">
        <w:tab/>
        <w:t xml:space="preserve">Aquarina initially submitted $28,296 in rate case expense, with an annual amortization expense of $7,074. </w:t>
      </w:r>
      <w:r w:rsidR="004F20D1">
        <w:t>T</w:t>
      </w:r>
      <w:r w:rsidRPr="006252C6">
        <w:t>he Utility provided updated rate case expenses. The updates reflected actual expenses of $4,841 for legal and $3,518 for the Utility’s rate case consultant through December 2019, with an additional $10,443 in estimated rate case expense. The breakdown of fees is shown below.</w:t>
      </w:r>
    </w:p>
    <w:p w:rsidR="000E4AB3" w:rsidRPr="006252C6" w:rsidRDefault="000E4AB3" w:rsidP="000E4AB3">
      <w:pPr>
        <w:keepNext/>
        <w:jc w:val="center"/>
        <w:rPr>
          <w:b/>
        </w:rPr>
      </w:pPr>
      <w:r w:rsidRPr="006252C6">
        <w:rPr>
          <w:b/>
        </w:rPr>
        <w:t>Rate Case Expense</w:t>
      </w:r>
    </w:p>
    <w:tbl>
      <w:tblPr>
        <w:tblStyle w:val="TableGrid1"/>
        <w:tblW w:w="0" w:type="auto"/>
        <w:jc w:val="center"/>
        <w:tblLook w:val="04A0" w:firstRow="1" w:lastRow="0" w:firstColumn="1" w:lastColumn="0" w:noHBand="0" w:noVBand="1"/>
      </w:tblPr>
      <w:tblGrid>
        <w:gridCol w:w="3585"/>
        <w:gridCol w:w="1620"/>
        <w:gridCol w:w="1545"/>
        <w:gridCol w:w="2220"/>
      </w:tblGrid>
      <w:tr w:rsidR="000E4AB3" w:rsidRPr="006252C6" w:rsidTr="008D1D45">
        <w:trPr>
          <w:jc w:val="center"/>
        </w:trPr>
        <w:tc>
          <w:tcPr>
            <w:tcW w:w="3585"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Expense</w:t>
            </w:r>
          </w:p>
        </w:tc>
        <w:tc>
          <w:tcPr>
            <w:tcW w:w="162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Utility Actual</w:t>
            </w:r>
          </w:p>
        </w:tc>
        <w:tc>
          <w:tcPr>
            <w:tcW w:w="1545"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Utility Estimated</w:t>
            </w:r>
          </w:p>
        </w:tc>
        <w:tc>
          <w:tcPr>
            <w:tcW w:w="222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Total Actual &amp; Est. Rate Case Expense</w:t>
            </w:r>
          </w:p>
        </w:tc>
      </w:tr>
      <w:tr w:rsidR="000E4AB3" w:rsidRPr="006252C6" w:rsidTr="008D1D45">
        <w:trPr>
          <w:jc w:val="center"/>
        </w:trPr>
        <w:tc>
          <w:tcPr>
            <w:tcW w:w="3585" w:type="dxa"/>
            <w:tcBorders>
              <w:top w:val="single" w:sz="4" w:space="0" w:color="auto"/>
              <w:left w:val="single" w:sz="4" w:space="0" w:color="auto"/>
              <w:bottom w:val="single" w:sz="4" w:space="0" w:color="auto"/>
              <w:right w:val="single" w:sz="4" w:space="0" w:color="auto"/>
            </w:tcBorders>
            <w:hideMark/>
          </w:tcPr>
          <w:p w:rsidR="000E4AB3" w:rsidRPr="006252C6" w:rsidRDefault="000E4AB3" w:rsidP="000E4AB3">
            <w:r w:rsidRPr="006252C6">
              <w:t xml:space="preserve">Legal Services &amp; Fees </w:t>
            </w:r>
          </w:p>
          <w:p w:rsidR="000E4AB3" w:rsidRPr="006252C6" w:rsidRDefault="000E4AB3" w:rsidP="000E4AB3">
            <w:r w:rsidRPr="006252C6">
              <w:t>(Dean Mead)</w:t>
            </w:r>
          </w:p>
        </w:tc>
        <w:tc>
          <w:tcPr>
            <w:tcW w:w="1620"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$4,841</w:t>
            </w:r>
          </w:p>
        </w:tc>
        <w:tc>
          <w:tcPr>
            <w:tcW w:w="1545"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$9,163</w:t>
            </w:r>
          </w:p>
        </w:tc>
        <w:tc>
          <w:tcPr>
            <w:tcW w:w="2220"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$14,004</w:t>
            </w:r>
          </w:p>
        </w:tc>
      </w:tr>
      <w:tr w:rsidR="000E4AB3" w:rsidRPr="006252C6" w:rsidTr="008D1D45">
        <w:trPr>
          <w:jc w:val="center"/>
        </w:trPr>
        <w:tc>
          <w:tcPr>
            <w:tcW w:w="3585" w:type="dxa"/>
            <w:tcBorders>
              <w:top w:val="single" w:sz="4" w:space="0" w:color="auto"/>
              <w:left w:val="single" w:sz="4" w:space="0" w:color="auto"/>
              <w:bottom w:val="single" w:sz="4" w:space="0" w:color="auto"/>
              <w:right w:val="single" w:sz="4" w:space="0" w:color="auto"/>
            </w:tcBorders>
          </w:tcPr>
          <w:p w:rsidR="000E4AB3" w:rsidRPr="006252C6" w:rsidRDefault="000E4AB3" w:rsidP="000E4AB3">
            <w:r w:rsidRPr="006252C6">
              <w:t xml:space="preserve">Consulting Services </w:t>
            </w:r>
          </w:p>
          <w:p w:rsidR="000E4AB3" w:rsidRPr="006252C6" w:rsidRDefault="000E4AB3" w:rsidP="000E4AB3">
            <w:r w:rsidRPr="006252C6">
              <w:t>(OCBOA)</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3,518</w:t>
            </w:r>
          </w:p>
        </w:tc>
        <w:tc>
          <w:tcPr>
            <w:tcW w:w="1545"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380</w:t>
            </w:r>
          </w:p>
        </w:tc>
        <w:tc>
          <w:tcPr>
            <w:tcW w:w="22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3,898</w:t>
            </w:r>
          </w:p>
        </w:tc>
      </w:tr>
      <w:tr w:rsidR="000E4AB3" w:rsidRPr="006252C6" w:rsidTr="008D1D45">
        <w:trPr>
          <w:jc w:val="center"/>
        </w:trPr>
        <w:tc>
          <w:tcPr>
            <w:tcW w:w="3585" w:type="dxa"/>
            <w:tcBorders>
              <w:top w:val="single" w:sz="4" w:space="0" w:color="auto"/>
              <w:left w:val="single" w:sz="4" w:space="0" w:color="auto"/>
              <w:bottom w:val="single" w:sz="4" w:space="0" w:color="auto"/>
              <w:right w:val="single" w:sz="4" w:space="0" w:color="auto"/>
            </w:tcBorders>
          </w:tcPr>
          <w:p w:rsidR="000E4AB3" w:rsidRPr="006252C6" w:rsidRDefault="000E4AB3" w:rsidP="000E4AB3">
            <w:r w:rsidRPr="006252C6">
              <w:t>Noticing</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single"/>
              </w:rPr>
              <w:t>0</w:t>
            </w:r>
          </w:p>
        </w:tc>
        <w:tc>
          <w:tcPr>
            <w:tcW w:w="1545"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single"/>
              </w:rPr>
              <w:t>900</w:t>
            </w:r>
          </w:p>
        </w:tc>
        <w:tc>
          <w:tcPr>
            <w:tcW w:w="22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single"/>
              </w:rPr>
              <w:t>900</w:t>
            </w:r>
          </w:p>
        </w:tc>
      </w:tr>
      <w:tr w:rsidR="000E4AB3" w:rsidRPr="006252C6" w:rsidTr="008D1D45">
        <w:trPr>
          <w:jc w:val="center"/>
        </w:trPr>
        <w:tc>
          <w:tcPr>
            <w:tcW w:w="3585" w:type="dxa"/>
            <w:tcBorders>
              <w:top w:val="single" w:sz="4" w:space="0" w:color="auto"/>
              <w:left w:val="single" w:sz="4" w:space="0" w:color="auto"/>
              <w:bottom w:val="single" w:sz="4" w:space="0" w:color="auto"/>
              <w:right w:val="single" w:sz="4" w:space="0" w:color="auto"/>
            </w:tcBorders>
          </w:tcPr>
          <w:p w:rsidR="000E4AB3" w:rsidRPr="006252C6" w:rsidRDefault="000E4AB3" w:rsidP="000E4AB3">
            <w:pPr>
              <w:jc w:val="center"/>
            </w:pPr>
            <w:r w:rsidRPr="006252C6">
              <w:t>Total</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double"/>
              </w:rPr>
              <w:t>$8,359</w:t>
            </w:r>
          </w:p>
        </w:tc>
        <w:tc>
          <w:tcPr>
            <w:tcW w:w="1545"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double"/>
              </w:rPr>
              <w:t>$10,443</w:t>
            </w:r>
          </w:p>
        </w:tc>
        <w:tc>
          <w:tcPr>
            <w:tcW w:w="22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double"/>
              </w:rPr>
              <w:t>$18,802</w:t>
            </w:r>
          </w:p>
        </w:tc>
      </w:tr>
    </w:tbl>
    <w:p w:rsidR="000E4AB3" w:rsidRPr="006252C6" w:rsidRDefault="000E4AB3" w:rsidP="000E4AB3">
      <w:pPr>
        <w:spacing w:after="240"/>
        <w:jc w:val="both"/>
      </w:pPr>
    </w:p>
    <w:p w:rsidR="000E4AB3" w:rsidRPr="006252C6" w:rsidRDefault="000E4AB3" w:rsidP="000E4AB3">
      <w:pPr>
        <w:spacing w:after="240"/>
        <w:jc w:val="both"/>
      </w:pPr>
      <w:r w:rsidRPr="006252C6">
        <w:tab/>
        <w:t xml:space="preserve">Pursuant to Section 376.081(7), F.S., </w:t>
      </w:r>
      <w:r w:rsidR="004F20D1">
        <w:t xml:space="preserve">we must </w:t>
      </w:r>
      <w:r w:rsidRPr="006252C6">
        <w:t xml:space="preserve">determine the reasonableness of rate case expense and disallow all expenses determined to be unreasonable. </w:t>
      </w:r>
      <w:r w:rsidR="004F20D1">
        <w:t xml:space="preserve">We </w:t>
      </w:r>
      <w:r w:rsidRPr="006252C6">
        <w:t xml:space="preserve">examined the requested actual expenses, supporting documentation, and estimated expenses for the current case. Based on </w:t>
      </w:r>
      <w:r w:rsidR="004F20D1">
        <w:t xml:space="preserve">our </w:t>
      </w:r>
      <w:r w:rsidRPr="006252C6">
        <w:t>review, adjustments are necessary to the Utility’s proposed rate case expense.</w:t>
      </w:r>
    </w:p>
    <w:p w:rsidR="000E4AB3" w:rsidRPr="001D09D4" w:rsidRDefault="000E4AB3" w:rsidP="000E4AB3">
      <w:pPr>
        <w:ind w:left="1440"/>
        <w:jc w:val="both"/>
        <w:outlineLvl w:val="4"/>
        <w:rPr>
          <w:bCs/>
          <w:i/>
          <w:iCs/>
        </w:rPr>
      </w:pPr>
      <w:r w:rsidRPr="001D09D4">
        <w:rPr>
          <w:bCs/>
          <w:i/>
          <w:iCs/>
        </w:rPr>
        <w:t>Legal Services</w:t>
      </w:r>
    </w:p>
    <w:p w:rsidR="000E4AB3" w:rsidRPr="006252C6" w:rsidRDefault="000E4AB3" w:rsidP="000E4AB3">
      <w:pPr>
        <w:ind w:left="1440"/>
        <w:jc w:val="both"/>
        <w:outlineLvl w:val="4"/>
        <w:rPr>
          <w:bCs/>
          <w:iCs/>
        </w:rPr>
      </w:pPr>
    </w:p>
    <w:p w:rsidR="000E4AB3" w:rsidRPr="006252C6" w:rsidRDefault="000E4AB3" w:rsidP="000E4AB3">
      <w:pPr>
        <w:spacing w:after="240"/>
        <w:jc w:val="both"/>
      </w:pPr>
      <w:r w:rsidRPr="006252C6">
        <w:tab/>
        <w:t xml:space="preserve">Aquarina requested $14,004 in legal fees and costs. This amount included a $1,200 filing fee. The Utility provided invoices from Dean, Mead, Egerton, Bloodworth, Capouano &amp; Bozarth, P.A. (Dean Mead) through December 2019, showing actual expenses associated with the rate case totaling $4,841, and estimated an additional $9,163 to complete. According to invoices, Dean Mead identified and billed the Utility $532 related to the correction of deficiencies. The Commission has previously disallowed rate case expense associated with correcting deficiencies, as it is duplicative of costs included in the filing fees. As such, </w:t>
      </w:r>
      <w:r w:rsidR="004F20D1">
        <w:t xml:space="preserve">we shall </w:t>
      </w:r>
      <w:r w:rsidRPr="006252C6">
        <w:t xml:space="preserve">reduce actual legal fees by $532. </w:t>
      </w:r>
    </w:p>
    <w:p w:rsidR="000E4AB3" w:rsidRPr="006252C6" w:rsidRDefault="000E4AB3" w:rsidP="000E4AB3">
      <w:pPr>
        <w:spacing w:after="240"/>
        <w:jc w:val="both"/>
      </w:pPr>
      <w:r w:rsidRPr="006252C6">
        <w:tab/>
        <w:t xml:space="preserve">By letter dated March 13, 2020, </w:t>
      </w:r>
      <w:r w:rsidR="004F20D1">
        <w:t xml:space="preserve">our </w:t>
      </w:r>
      <w:r w:rsidRPr="006252C6">
        <w:t>staff informed the Utility that its customer meeting had been cancelled. Dean Mead’s estimate to complete included six hours for travel time and attend</w:t>
      </w:r>
      <w:r w:rsidR="00DB4A4A">
        <w:t>ance of the customer meeting. Because</w:t>
      </w:r>
      <w:r w:rsidRPr="006252C6">
        <w:t xml:space="preserve"> the customer meeting was cancelled, six hours, or $2,280 ($380 x 6) sh</w:t>
      </w:r>
      <w:r w:rsidR="004F20D1">
        <w:t xml:space="preserve">all </w:t>
      </w:r>
      <w:r w:rsidRPr="006252C6">
        <w:t>be removed from the estimate to complete. Dean Mead’s estimate to complete also included 10 hours for travel time and attendance at the Commission Conference. The Commission Conference was changed to a teleconference format in response to COVID-19, and a</w:t>
      </w:r>
      <w:r w:rsidR="00DB4A4A">
        <w:t xml:space="preserve">ll public participation was </w:t>
      </w:r>
      <w:r w:rsidRPr="006252C6">
        <w:t xml:space="preserve">telephonic or by written comment. </w:t>
      </w:r>
      <w:r w:rsidR="004F20D1">
        <w:t xml:space="preserve">Thus, we find four hours to be </w:t>
      </w:r>
      <w:r w:rsidRPr="006252C6">
        <w:t xml:space="preserve"> a more appropriate amount of time to prepare and participate in the Commission Conference telephonically. As such, </w:t>
      </w:r>
      <w:r w:rsidR="004F20D1">
        <w:t>we reduce</w:t>
      </w:r>
      <w:r w:rsidRPr="006252C6">
        <w:t xml:space="preserve"> the request by an additional six hours, or $2,280, to remove travel time. Dean Mead included $658 in travel expenses for the firm to attend the customer meeting and Commission Conference, as well as $525 for Utility expenses to attend the Commission Conference. </w:t>
      </w:r>
      <w:r w:rsidR="00076CF2">
        <w:t>T</w:t>
      </w:r>
      <w:r w:rsidRPr="006252C6">
        <w:t xml:space="preserve">hese expenses </w:t>
      </w:r>
      <w:r w:rsidR="00076CF2">
        <w:t xml:space="preserve">also </w:t>
      </w:r>
      <w:r w:rsidRPr="006252C6">
        <w:t>sh</w:t>
      </w:r>
      <w:r w:rsidR="00076CF2">
        <w:t>all</w:t>
      </w:r>
      <w:r w:rsidRPr="006252C6">
        <w:t xml:space="preserve"> be removed</w:t>
      </w:r>
      <w:r w:rsidR="00076CF2">
        <w:t xml:space="preserve">. </w:t>
      </w:r>
      <w:r w:rsidRPr="006252C6">
        <w:t xml:space="preserve"> Accordingly, </w:t>
      </w:r>
      <w:r w:rsidR="00076CF2">
        <w:t xml:space="preserve">we find </w:t>
      </w:r>
      <w:r w:rsidRPr="006252C6">
        <w:t xml:space="preserve">that the appropriate amount of legal fees is $7,729, which represents a total reduction of $6,275 ($532 + $2,280 + $2,280 + $658 + $525). </w:t>
      </w:r>
    </w:p>
    <w:p w:rsidR="000E4AB3" w:rsidRPr="001D09D4" w:rsidRDefault="000E4AB3" w:rsidP="000E4AB3">
      <w:pPr>
        <w:ind w:left="1440"/>
        <w:jc w:val="both"/>
        <w:outlineLvl w:val="4"/>
        <w:rPr>
          <w:bCs/>
          <w:i/>
          <w:iCs/>
        </w:rPr>
      </w:pPr>
      <w:r w:rsidRPr="001D09D4">
        <w:rPr>
          <w:bCs/>
          <w:i/>
          <w:iCs/>
        </w:rPr>
        <w:t>Consulting Services</w:t>
      </w:r>
    </w:p>
    <w:p w:rsidR="000E4AB3" w:rsidRPr="006252C6" w:rsidRDefault="000E4AB3" w:rsidP="000E4AB3">
      <w:pPr>
        <w:ind w:left="1440"/>
        <w:jc w:val="both"/>
        <w:outlineLvl w:val="4"/>
        <w:rPr>
          <w:bCs/>
          <w:iCs/>
        </w:rPr>
      </w:pPr>
    </w:p>
    <w:p w:rsidR="000E4AB3" w:rsidRPr="006252C6" w:rsidRDefault="000E4AB3" w:rsidP="000E4AB3">
      <w:pPr>
        <w:spacing w:after="240"/>
        <w:jc w:val="both"/>
      </w:pPr>
      <w:r w:rsidRPr="006252C6">
        <w:tab/>
        <w:t xml:space="preserve">The Utility requested actual consulting services expense of $3,518 for services rendered by OCBOA Consulting, LLC through December 2019, and an additional $380 in estimated costs to complete. However, </w:t>
      </w:r>
      <w:r w:rsidR="00076CF2">
        <w:t xml:space="preserve">we only </w:t>
      </w:r>
      <w:r w:rsidRPr="006252C6">
        <w:t xml:space="preserve">received invoices supporting $2,710 of actual costs incurred. As such, </w:t>
      </w:r>
      <w:r w:rsidR="00076CF2">
        <w:t xml:space="preserve">there shall be </w:t>
      </w:r>
      <w:r w:rsidRPr="006252C6">
        <w:t xml:space="preserve">a reduction of $808 to actual consulting fees but </w:t>
      </w:r>
      <w:r w:rsidR="00076CF2">
        <w:t xml:space="preserve">find that </w:t>
      </w:r>
      <w:r w:rsidRPr="006252C6">
        <w:t xml:space="preserve">the additional $380 for the estimated costs to complete is appropriate. Accordingly, </w:t>
      </w:r>
      <w:r w:rsidR="00076CF2">
        <w:t xml:space="preserve">we find that </w:t>
      </w:r>
      <w:r w:rsidRPr="006252C6">
        <w:t>the appropriate amount of consulting services fees is $3,090.</w:t>
      </w:r>
    </w:p>
    <w:p w:rsidR="000E4AB3" w:rsidRPr="001D09D4" w:rsidRDefault="000E4AB3" w:rsidP="000E4AB3">
      <w:pPr>
        <w:ind w:left="1440"/>
        <w:jc w:val="both"/>
        <w:outlineLvl w:val="4"/>
        <w:rPr>
          <w:bCs/>
          <w:i/>
          <w:iCs/>
        </w:rPr>
      </w:pPr>
      <w:r w:rsidRPr="001D09D4">
        <w:rPr>
          <w:bCs/>
          <w:i/>
          <w:iCs/>
        </w:rPr>
        <w:t>Noticing Costs</w:t>
      </w:r>
    </w:p>
    <w:p w:rsidR="000E4AB3" w:rsidRPr="006252C6" w:rsidRDefault="000E4AB3" w:rsidP="000E4AB3">
      <w:pPr>
        <w:ind w:left="1440"/>
        <w:jc w:val="both"/>
        <w:outlineLvl w:val="4"/>
        <w:rPr>
          <w:bCs/>
          <w:iCs/>
        </w:rPr>
      </w:pPr>
    </w:p>
    <w:p w:rsidR="000E4AB3" w:rsidRPr="006252C6" w:rsidRDefault="000E4AB3" w:rsidP="000E4AB3">
      <w:pPr>
        <w:spacing w:after="240"/>
        <w:jc w:val="both"/>
      </w:pPr>
      <w:r w:rsidRPr="006252C6">
        <w:tab/>
        <w:t xml:space="preserve">Aquarina included estimated noticing costs of $900 in its request for rate case expense. The Utility is required by Rule 25-30.446, F.A.C., to provide notices of the customer meeting and of final rates in this case to its customers. </w:t>
      </w:r>
      <w:r w:rsidR="00076CF2">
        <w:t>T</w:t>
      </w:r>
      <w:r w:rsidRPr="006252C6">
        <w:t xml:space="preserve">he Utility </w:t>
      </w:r>
      <w:r w:rsidR="00DB4A4A">
        <w:t xml:space="preserve">is also </w:t>
      </w:r>
      <w:r w:rsidRPr="006252C6">
        <w:t xml:space="preserve">required to provide notice </w:t>
      </w:r>
      <w:r w:rsidR="00DB4A4A">
        <w:t xml:space="preserve">to its customers when its </w:t>
      </w:r>
      <w:r w:rsidRPr="006252C6">
        <w:t xml:space="preserve">rates are reduced to remove the amortized rate case expense. </w:t>
      </w:r>
      <w:r w:rsidR="00076CF2">
        <w:t xml:space="preserve">We have </w:t>
      </w:r>
      <w:r w:rsidRPr="006252C6">
        <w:t xml:space="preserve">reviewed the Utility’s estimated costs and </w:t>
      </w:r>
      <w:r w:rsidR="00076CF2">
        <w:t xml:space="preserve">find </w:t>
      </w:r>
      <w:r w:rsidRPr="006252C6">
        <w:t xml:space="preserve">the estimate </w:t>
      </w:r>
      <w:r w:rsidR="00076CF2">
        <w:t xml:space="preserve">to be </w:t>
      </w:r>
      <w:r w:rsidRPr="006252C6">
        <w:t xml:space="preserve">reasonable. Accordingly, </w:t>
      </w:r>
      <w:r w:rsidR="00076CF2">
        <w:t>we approve noticing costs of</w:t>
      </w:r>
      <w:r w:rsidRPr="006252C6">
        <w:t xml:space="preserve"> $900.</w:t>
      </w:r>
    </w:p>
    <w:p w:rsidR="000E4AB3" w:rsidRPr="001D09D4" w:rsidRDefault="000E4AB3" w:rsidP="000E4AB3">
      <w:pPr>
        <w:ind w:left="1440"/>
        <w:jc w:val="both"/>
        <w:outlineLvl w:val="4"/>
        <w:rPr>
          <w:bCs/>
          <w:i/>
          <w:iCs/>
        </w:rPr>
      </w:pPr>
      <w:r w:rsidRPr="001D09D4">
        <w:rPr>
          <w:bCs/>
          <w:i/>
          <w:iCs/>
        </w:rPr>
        <w:t>Rate Case Expense Summary</w:t>
      </w:r>
    </w:p>
    <w:p w:rsidR="000E4AB3" w:rsidRPr="006252C6" w:rsidRDefault="000E4AB3" w:rsidP="000E4AB3">
      <w:pPr>
        <w:ind w:left="1440"/>
        <w:jc w:val="both"/>
        <w:outlineLvl w:val="4"/>
        <w:rPr>
          <w:bCs/>
          <w:iCs/>
        </w:rPr>
      </w:pPr>
    </w:p>
    <w:p w:rsidR="000E4AB3" w:rsidRPr="006252C6" w:rsidRDefault="000E4AB3" w:rsidP="00076CF2">
      <w:pPr>
        <w:spacing w:after="240"/>
        <w:jc w:val="both"/>
        <w:rPr>
          <w:b/>
        </w:rPr>
      </w:pPr>
      <w:r w:rsidRPr="006252C6">
        <w:tab/>
        <w:t xml:space="preserve">Based on the </w:t>
      </w:r>
      <w:r w:rsidR="00076CF2">
        <w:t>foregoing</w:t>
      </w:r>
      <w:r w:rsidRPr="006252C6">
        <w:t>, Aquarina’s total rate case expense sh</w:t>
      </w:r>
      <w:r w:rsidR="00076CF2">
        <w:t>all</w:t>
      </w:r>
      <w:r w:rsidRPr="006252C6">
        <w:t xml:space="preserve"> be decreased by $7,083 ($6,275 + $808). </w:t>
      </w:r>
      <w:r w:rsidR="00076CF2">
        <w:t xml:space="preserve">With </w:t>
      </w:r>
      <w:r w:rsidRPr="006252C6">
        <w:t xml:space="preserve">these adjustments, the appropriate rate case expense </w:t>
      </w:r>
      <w:r w:rsidR="00DB4A4A">
        <w:t xml:space="preserve">is $11,719; it </w:t>
      </w:r>
      <w:r w:rsidR="00076CF2">
        <w:t>shall</w:t>
      </w:r>
      <w:r w:rsidRPr="006252C6">
        <w:t xml:space="preserve"> be amortized over a four-year period at $2,930 per year, pursuant to Section 367.081(8</w:t>
      </w:r>
      <w:r w:rsidR="00076CF2">
        <w:t>), F.S.</w:t>
      </w:r>
      <w:r w:rsidRPr="006252C6">
        <w:t xml:space="preserve"> Consistent with the last rate case, </w:t>
      </w:r>
      <w:r w:rsidR="00076CF2">
        <w:t xml:space="preserve">we have </w:t>
      </w:r>
      <w:r w:rsidRPr="006252C6">
        <w:t xml:space="preserve">allocated one-third of the annual rate case expense to each of the </w:t>
      </w:r>
      <w:r w:rsidR="00696327">
        <w:t>following: potable water; non-potable water;</w:t>
      </w:r>
      <w:r w:rsidRPr="006252C6">
        <w:t xml:space="preserve"> and wastewater. This results in annual rate case expense of $977 for potable water, non-potable water, and wastewater. A breakdown of rate case expense is shown </w:t>
      </w:r>
      <w:r w:rsidR="00076CF2">
        <w:t xml:space="preserve">below. </w:t>
      </w:r>
    </w:p>
    <w:p w:rsidR="000E4AB3" w:rsidRPr="006252C6" w:rsidRDefault="000E4AB3" w:rsidP="000E4AB3">
      <w:pPr>
        <w:keepNext/>
        <w:jc w:val="center"/>
        <w:rPr>
          <w:b/>
        </w:rPr>
      </w:pPr>
      <w:r w:rsidRPr="006252C6">
        <w:rPr>
          <w:b/>
        </w:rPr>
        <w:t>Rate Case Expense</w:t>
      </w:r>
    </w:p>
    <w:tbl>
      <w:tblPr>
        <w:tblStyle w:val="TableGrid1"/>
        <w:tblW w:w="0" w:type="auto"/>
        <w:jc w:val="center"/>
        <w:tblLook w:val="04A0" w:firstRow="1" w:lastRow="0" w:firstColumn="1" w:lastColumn="0" w:noHBand="0" w:noVBand="1"/>
      </w:tblPr>
      <w:tblGrid>
        <w:gridCol w:w="3315"/>
        <w:gridCol w:w="1620"/>
        <w:gridCol w:w="1620"/>
        <w:gridCol w:w="2415"/>
      </w:tblGrid>
      <w:tr w:rsidR="000E4AB3" w:rsidRPr="006252C6" w:rsidTr="008D1D45">
        <w:trPr>
          <w:jc w:val="center"/>
        </w:trPr>
        <w:tc>
          <w:tcPr>
            <w:tcW w:w="3315"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Expense</w:t>
            </w:r>
          </w:p>
        </w:tc>
        <w:tc>
          <w:tcPr>
            <w:tcW w:w="162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Utility Actual and Est</w:t>
            </w:r>
            <w:r w:rsidR="001A798E">
              <w:rPr>
                <w:b/>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Adjustments</w:t>
            </w:r>
          </w:p>
        </w:tc>
        <w:tc>
          <w:tcPr>
            <w:tcW w:w="2415" w:type="dxa"/>
            <w:tcBorders>
              <w:top w:val="single" w:sz="4" w:space="0" w:color="auto"/>
              <w:left w:val="single" w:sz="4" w:space="0" w:color="auto"/>
              <w:bottom w:val="single" w:sz="4" w:space="0" w:color="auto"/>
              <w:right w:val="single" w:sz="4" w:space="0" w:color="auto"/>
            </w:tcBorders>
            <w:vAlign w:val="center"/>
            <w:hideMark/>
          </w:tcPr>
          <w:p w:rsidR="000E4AB3" w:rsidRPr="006252C6" w:rsidRDefault="000E4AB3" w:rsidP="000E4AB3">
            <w:pPr>
              <w:jc w:val="center"/>
            </w:pPr>
            <w:r w:rsidRPr="006252C6">
              <w:rPr>
                <w:b/>
              </w:rPr>
              <w:t>Total Rate Case Expense</w:t>
            </w:r>
          </w:p>
        </w:tc>
      </w:tr>
      <w:tr w:rsidR="000E4AB3" w:rsidRPr="006252C6" w:rsidTr="008D1D45">
        <w:trPr>
          <w:jc w:val="center"/>
        </w:trPr>
        <w:tc>
          <w:tcPr>
            <w:tcW w:w="3315" w:type="dxa"/>
            <w:tcBorders>
              <w:top w:val="single" w:sz="4" w:space="0" w:color="auto"/>
              <w:left w:val="single" w:sz="4" w:space="0" w:color="auto"/>
              <w:bottom w:val="single" w:sz="4" w:space="0" w:color="auto"/>
              <w:right w:val="single" w:sz="4" w:space="0" w:color="auto"/>
            </w:tcBorders>
            <w:hideMark/>
          </w:tcPr>
          <w:p w:rsidR="000E4AB3" w:rsidRPr="006252C6" w:rsidRDefault="000E4AB3" w:rsidP="000E4AB3">
            <w:r w:rsidRPr="006252C6">
              <w:t xml:space="preserve">Legal Services &amp; Fees </w:t>
            </w:r>
          </w:p>
          <w:p w:rsidR="000E4AB3" w:rsidRPr="006252C6" w:rsidRDefault="000E4AB3" w:rsidP="000E4AB3">
            <w:r w:rsidRPr="006252C6">
              <w:t>(Dean Mead)</w:t>
            </w:r>
          </w:p>
        </w:tc>
        <w:tc>
          <w:tcPr>
            <w:tcW w:w="1620"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$14,004</w:t>
            </w:r>
          </w:p>
        </w:tc>
        <w:tc>
          <w:tcPr>
            <w:tcW w:w="1620"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($6,275)</w:t>
            </w:r>
          </w:p>
        </w:tc>
        <w:tc>
          <w:tcPr>
            <w:tcW w:w="2415" w:type="dxa"/>
            <w:tcBorders>
              <w:top w:val="single" w:sz="4" w:space="0" w:color="auto"/>
              <w:left w:val="single" w:sz="4" w:space="0" w:color="auto"/>
              <w:bottom w:val="single" w:sz="4" w:space="0" w:color="auto"/>
              <w:right w:val="single" w:sz="4" w:space="0" w:color="auto"/>
            </w:tcBorders>
            <w:vAlign w:val="bottom"/>
            <w:hideMark/>
          </w:tcPr>
          <w:p w:rsidR="000E4AB3" w:rsidRPr="006252C6" w:rsidRDefault="000E4AB3" w:rsidP="000E4AB3">
            <w:pPr>
              <w:jc w:val="right"/>
            </w:pPr>
            <w:r w:rsidRPr="006252C6">
              <w:t>$7,729</w:t>
            </w:r>
          </w:p>
        </w:tc>
      </w:tr>
      <w:tr w:rsidR="000E4AB3" w:rsidRPr="006252C6" w:rsidTr="008D1D45">
        <w:trPr>
          <w:jc w:val="center"/>
        </w:trPr>
        <w:tc>
          <w:tcPr>
            <w:tcW w:w="3315" w:type="dxa"/>
            <w:tcBorders>
              <w:top w:val="single" w:sz="4" w:space="0" w:color="auto"/>
              <w:left w:val="single" w:sz="4" w:space="0" w:color="auto"/>
              <w:bottom w:val="single" w:sz="4" w:space="0" w:color="auto"/>
              <w:right w:val="single" w:sz="4" w:space="0" w:color="auto"/>
            </w:tcBorders>
          </w:tcPr>
          <w:p w:rsidR="000E4AB3" w:rsidRPr="006252C6" w:rsidRDefault="000E4AB3" w:rsidP="000E4AB3">
            <w:r w:rsidRPr="006252C6">
              <w:t>Consulting Services (OCBOA)</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3,898</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(808)</w:t>
            </w:r>
          </w:p>
        </w:tc>
        <w:tc>
          <w:tcPr>
            <w:tcW w:w="2415"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t>3,090</w:t>
            </w:r>
          </w:p>
        </w:tc>
      </w:tr>
      <w:tr w:rsidR="000E4AB3" w:rsidRPr="006252C6" w:rsidTr="008D1D45">
        <w:trPr>
          <w:jc w:val="center"/>
        </w:trPr>
        <w:tc>
          <w:tcPr>
            <w:tcW w:w="3315" w:type="dxa"/>
            <w:tcBorders>
              <w:top w:val="single" w:sz="4" w:space="0" w:color="auto"/>
              <w:left w:val="single" w:sz="4" w:space="0" w:color="auto"/>
              <w:bottom w:val="single" w:sz="4" w:space="0" w:color="auto"/>
              <w:right w:val="single" w:sz="4" w:space="0" w:color="auto"/>
            </w:tcBorders>
          </w:tcPr>
          <w:p w:rsidR="000E4AB3" w:rsidRPr="006252C6" w:rsidRDefault="000E4AB3" w:rsidP="000E4AB3">
            <w:r w:rsidRPr="006252C6">
              <w:t>Noticing</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single"/>
              </w:rPr>
              <w:t>900</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single"/>
              </w:rPr>
              <w:t>0</w:t>
            </w:r>
          </w:p>
        </w:tc>
        <w:tc>
          <w:tcPr>
            <w:tcW w:w="2415"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single"/>
              </w:rPr>
              <w:t>900</w:t>
            </w:r>
          </w:p>
        </w:tc>
      </w:tr>
      <w:tr w:rsidR="000E4AB3" w:rsidRPr="006252C6" w:rsidTr="008D1D45">
        <w:trPr>
          <w:jc w:val="center"/>
        </w:trPr>
        <w:tc>
          <w:tcPr>
            <w:tcW w:w="3315" w:type="dxa"/>
            <w:tcBorders>
              <w:top w:val="single" w:sz="4" w:space="0" w:color="auto"/>
              <w:left w:val="single" w:sz="4" w:space="0" w:color="auto"/>
              <w:bottom w:val="single" w:sz="4" w:space="0" w:color="auto"/>
              <w:right w:val="single" w:sz="4" w:space="0" w:color="auto"/>
            </w:tcBorders>
          </w:tcPr>
          <w:p w:rsidR="000E4AB3" w:rsidRPr="006252C6" w:rsidRDefault="000E4AB3" w:rsidP="000E4AB3">
            <w:pPr>
              <w:jc w:val="center"/>
            </w:pPr>
            <w:r w:rsidRPr="006252C6">
              <w:t>Total</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double"/>
              </w:rPr>
              <w:t>$18,802</w:t>
            </w:r>
          </w:p>
        </w:tc>
        <w:tc>
          <w:tcPr>
            <w:tcW w:w="1620"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double"/>
              </w:rPr>
              <w:t>($7,083)</w:t>
            </w:r>
          </w:p>
        </w:tc>
        <w:tc>
          <w:tcPr>
            <w:tcW w:w="2415" w:type="dxa"/>
            <w:tcBorders>
              <w:top w:val="single" w:sz="4" w:space="0" w:color="auto"/>
              <w:left w:val="single" w:sz="4" w:space="0" w:color="auto"/>
              <w:bottom w:val="single" w:sz="4" w:space="0" w:color="auto"/>
              <w:right w:val="single" w:sz="4" w:space="0" w:color="auto"/>
            </w:tcBorders>
            <w:vAlign w:val="bottom"/>
          </w:tcPr>
          <w:p w:rsidR="000E4AB3" w:rsidRPr="006252C6" w:rsidRDefault="000E4AB3" w:rsidP="000E4AB3">
            <w:pPr>
              <w:jc w:val="right"/>
            </w:pPr>
            <w:r w:rsidRPr="006252C6">
              <w:rPr>
                <w:u w:val="double"/>
              </w:rPr>
              <w:t>$11,719</w:t>
            </w:r>
          </w:p>
        </w:tc>
      </w:tr>
    </w:tbl>
    <w:p w:rsidR="000E4AB3" w:rsidRPr="001D09D4" w:rsidRDefault="000E4AB3" w:rsidP="000E4AB3">
      <w:pPr>
        <w:ind w:left="720"/>
        <w:jc w:val="both"/>
        <w:outlineLvl w:val="3"/>
        <w:rPr>
          <w:bCs/>
          <w:iCs/>
          <w:u w:val="single"/>
        </w:rPr>
      </w:pPr>
      <w:r w:rsidRPr="00905562">
        <w:rPr>
          <w:bCs/>
          <w:iCs/>
          <w:u w:val="single"/>
        </w:rPr>
        <w:t>Taxes Other Than Income</w:t>
      </w:r>
    </w:p>
    <w:p w:rsidR="000E4AB3" w:rsidRPr="006252C6" w:rsidRDefault="000E4AB3" w:rsidP="000E4AB3">
      <w:pPr>
        <w:ind w:left="720"/>
        <w:jc w:val="both"/>
        <w:outlineLvl w:val="3"/>
        <w:rPr>
          <w:bCs/>
          <w:iCs/>
        </w:rPr>
      </w:pPr>
    </w:p>
    <w:p w:rsidR="000E4AB3" w:rsidRPr="006252C6" w:rsidRDefault="000E4AB3" w:rsidP="000E4AB3">
      <w:pPr>
        <w:spacing w:after="240"/>
        <w:jc w:val="both"/>
      </w:pPr>
      <w:r w:rsidRPr="006252C6">
        <w:tab/>
        <w:t xml:space="preserve">As discussed above, </w:t>
      </w:r>
      <w:r w:rsidR="00905562">
        <w:t xml:space="preserve">we made </w:t>
      </w:r>
      <w:r w:rsidRPr="006252C6">
        <w:t xml:space="preserve">adjustments of $134 for potable water, $20 for non-potable water, and $78 for wastewater related to an increase of property taxes for pro forma plant. In addition </w:t>
      </w:r>
      <w:r w:rsidR="00905562">
        <w:t xml:space="preserve">we made </w:t>
      </w:r>
      <w:r w:rsidRPr="006252C6">
        <w:t xml:space="preserve">adjustments to regulatory assessment fees (RAFs) to reflect the changes in revenue discussed below. As such, RAFs </w:t>
      </w:r>
      <w:r w:rsidR="00905562">
        <w:t xml:space="preserve">shall </w:t>
      </w:r>
      <w:r w:rsidRPr="006252C6">
        <w:t xml:space="preserve">be increased by $115 for potable water, $95 for non-potable water, and $62 for wastewater, to reflect RAFs of 4.5 percent on the change in revenues. Based on these adjustments, </w:t>
      </w:r>
      <w:r w:rsidR="00905562">
        <w:t xml:space="preserve">we approve </w:t>
      </w:r>
      <w:r w:rsidRPr="006252C6">
        <w:t>TOTI expenses of $21,205 for potable water, $26,026 for non-potable water, and $23,072 wastewater.</w:t>
      </w:r>
      <w:bookmarkEnd w:id="6"/>
    </w:p>
    <w:p w:rsidR="000E4AB3" w:rsidRPr="001D09D4" w:rsidRDefault="000E4AB3" w:rsidP="000E4AB3">
      <w:pPr>
        <w:ind w:left="720"/>
        <w:jc w:val="both"/>
        <w:outlineLvl w:val="3"/>
        <w:rPr>
          <w:bCs/>
          <w:iCs/>
          <w:u w:val="single"/>
        </w:rPr>
      </w:pPr>
      <w:r w:rsidRPr="001D09D4">
        <w:rPr>
          <w:bCs/>
          <w:iCs/>
          <w:u w:val="single"/>
        </w:rPr>
        <w:t>Operating Expense Summary</w:t>
      </w:r>
    </w:p>
    <w:p w:rsidR="000E4AB3" w:rsidRPr="006252C6" w:rsidRDefault="000E4AB3" w:rsidP="000E4AB3">
      <w:pPr>
        <w:ind w:left="720"/>
        <w:jc w:val="both"/>
        <w:outlineLvl w:val="3"/>
        <w:rPr>
          <w:bCs/>
          <w:iCs/>
        </w:rPr>
      </w:pPr>
    </w:p>
    <w:p w:rsidR="000E4AB3" w:rsidRPr="006252C6" w:rsidRDefault="000E4AB3" w:rsidP="000E4AB3">
      <w:pPr>
        <w:spacing w:after="240"/>
        <w:jc w:val="both"/>
      </w:pPr>
      <w:r w:rsidRPr="006252C6">
        <w:tab/>
      </w:r>
      <w:r w:rsidR="00905562">
        <w:t xml:space="preserve">Our </w:t>
      </w:r>
      <w:r w:rsidRPr="006252C6">
        <w:t>adjustments result in operating expenses of $159,246 for potable water, $242,394 for non-potable water, and $172,015 for wastewater. Operating expenses are shown on Schedule Nos. 3-A, 3-B, and 3-C. The adjustments are shown on Schedule No. 3-D.</w:t>
      </w:r>
    </w:p>
    <w:p w:rsidR="000E4AB3" w:rsidRPr="001D09D4" w:rsidRDefault="000E4AB3" w:rsidP="000E4AB3">
      <w:pPr>
        <w:jc w:val="both"/>
        <w:outlineLvl w:val="2"/>
        <w:rPr>
          <w:b/>
          <w:bCs/>
          <w:i/>
          <w:iCs/>
        </w:rPr>
      </w:pPr>
      <w:r w:rsidRPr="001D09D4">
        <w:rPr>
          <w:b/>
          <w:bCs/>
          <w:i/>
          <w:iCs/>
        </w:rPr>
        <w:t>Revenue Requirement</w:t>
      </w:r>
    </w:p>
    <w:p w:rsidR="000E4AB3" w:rsidRPr="006252C6" w:rsidRDefault="000E4AB3" w:rsidP="000E4AB3">
      <w:pPr>
        <w:jc w:val="both"/>
        <w:outlineLvl w:val="2"/>
        <w:rPr>
          <w:bCs/>
          <w:iCs/>
        </w:rPr>
      </w:pPr>
    </w:p>
    <w:p w:rsidR="000E4AB3" w:rsidRPr="006252C6" w:rsidRDefault="000E4AB3" w:rsidP="000E4AB3">
      <w:pPr>
        <w:spacing w:after="240"/>
        <w:jc w:val="both"/>
      </w:pPr>
      <w:r w:rsidRPr="006252C6">
        <w:tab/>
        <w:t xml:space="preserve">The appropriate revenue requirement for potable water is $168,365, resulting in an annual increase of $2,560, or 1.54 percent. The appropriate revenue requirement for non-potable water is $248,891, resulting in an annual increase of $2,108, or 0.85 percent. </w:t>
      </w:r>
    </w:p>
    <w:p w:rsidR="000E4AB3" w:rsidRPr="006252C6" w:rsidRDefault="000E4AB3" w:rsidP="000E4AB3">
      <w:pPr>
        <w:spacing w:after="240"/>
        <w:jc w:val="both"/>
      </w:pPr>
      <w:r w:rsidRPr="006252C6">
        <w:tab/>
      </w:r>
      <w:r w:rsidR="00905562">
        <w:t>I</w:t>
      </w:r>
      <w:r w:rsidRPr="006252C6">
        <w:t xml:space="preserve">n the last rate case the operating ratio methodology was applied to the wastewater system. Aquarina was granted an increase of $10,000. </w:t>
      </w:r>
      <w:r w:rsidR="00905562">
        <w:t xml:space="preserve">Our practice </w:t>
      </w:r>
      <w:r w:rsidRPr="006252C6">
        <w:t xml:space="preserve">was to allow an operating margin of 10 percent, </w:t>
      </w:r>
      <w:r w:rsidR="00905562">
        <w:t xml:space="preserve">with increases </w:t>
      </w:r>
      <w:r w:rsidRPr="006252C6">
        <w:t xml:space="preserve">capped </w:t>
      </w:r>
      <w:r w:rsidR="00905562">
        <w:t xml:space="preserve">at </w:t>
      </w:r>
      <w:r w:rsidRPr="006252C6">
        <w:t xml:space="preserve">$10,000. Consistent with that decision, </w:t>
      </w:r>
      <w:r w:rsidR="00905562">
        <w:t xml:space="preserve">we have </w:t>
      </w:r>
      <w:r w:rsidRPr="006252C6">
        <w:t xml:space="preserve">calculated a revenue requirement of $182,016 for wastewater, resulting in an annual increase of $1,387, or 0.77 percent. </w:t>
      </w:r>
      <w:r w:rsidR="00905562">
        <w:t xml:space="preserve">Our </w:t>
      </w:r>
      <w:r w:rsidRPr="006252C6">
        <w:t xml:space="preserve">revenue requirement calculations are shown in </w:t>
      </w:r>
      <w:r w:rsidR="00384666">
        <w:t xml:space="preserve">the tables below. </w:t>
      </w:r>
    </w:p>
    <w:p w:rsidR="000E4AB3" w:rsidRPr="006252C6" w:rsidRDefault="000E4AB3" w:rsidP="000E4AB3">
      <w:pPr>
        <w:keepNext/>
        <w:jc w:val="center"/>
        <w:rPr>
          <w:b/>
        </w:rPr>
      </w:pPr>
      <w:r w:rsidRPr="006252C6">
        <w:rPr>
          <w:b/>
        </w:rPr>
        <w:t>Potable Water Revenue Requirement</w:t>
      </w:r>
    </w:p>
    <w:tbl>
      <w:tblPr>
        <w:tblStyle w:val="TableGrid1"/>
        <w:tblW w:w="5707" w:type="dxa"/>
        <w:jc w:val="center"/>
        <w:tblBorders>
          <w:insideH w:val="none" w:sz="0" w:space="0" w:color="auto"/>
          <w:insideV w:val="none" w:sz="0" w:space="0" w:color="auto"/>
        </w:tblBorders>
        <w:tblLook w:val="04A0" w:firstRow="1" w:lastRow="0" w:firstColumn="1" w:lastColumn="0" w:noHBand="0" w:noVBand="1"/>
      </w:tblPr>
      <w:tblGrid>
        <w:gridCol w:w="4087"/>
        <w:gridCol w:w="1620"/>
      </w:tblGrid>
      <w:tr w:rsidR="000E4AB3" w:rsidRPr="006252C6" w:rsidTr="008D1D45">
        <w:trPr>
          <w:trHeight w:val="386"/>
          <w:jc w:val="center"/>
        </w:trPr>
        <w:tc>
          <w:tcPr>
            <w:tcW w:w="4087" w:type="dxa"/>
          </w:tcPr>
          <w:p w:rsidR="000E4AB3" w:rsidRPr="006252C6" w:rsidRDefault="000E4AB3" w:rsidP="000E4AB3">
            <w:r w:rsidRPr="006252C6">
              <w:t>Adjusted Rate Base</w:t>
            </w:r>
          </w:p>
        </w:tc>
        <w:tc>
          <w:tcPr>
            <w:tcW w:w="1620" w:type="dxa"/>
          </w:tcPr>
          <w:p w:rsidR="000E4AB3" w:rsidRPr="006252C6" w:rsidRDefault="000E4AB3" w:rsidP="000E4AB3">
            <w:pPr>
              <w:jc w:val="right"/>
            </w:pPr>
            <w:r w:rsidRPr="006252C6">
              <w:t>$249,211</w:t>
            </w:r>
          </w:p>
        </w:tc>
      </w:tr>
      <w:tr w:rsidR="000E4AB3" w:rsidRPr="006252C6" w:rsidTr="008D1D45">
        <w:trPr>
          <w:trHeight w:val="360"/>
          <w:jc w:val="center"/>
        </w:trPr>
        <w:tc>
          <w:tcPr>
            <w:tcW w:w="4087" w:type="dxa"/>
          </w:tcPr>
          <w:p w:rsidR="000E4AB3" w:rsidRPr="006252C6" w:rsidRDefault="000E4AB3" w:rsidP="000E4AB3">
            <w:r w:rsidRPr="006252C6">
              <w:t>Rate of Return</w:t>
            </w:r>
          </w:p>
        </w:tc>
        <w:tc>
          <w:tcPr>
            <w:tcW w:w="1620" w:type="dxa"/>
          </w:tcPr>
          <w:p w:rsidR="000E4AB3" w:rsidRPr="006252C6" w:rsidRDefault="000E4AB3" w:rsidP="000E4AB3">
            <w:pPr>
              <w:jc w:val="right"/>
            </w:pPr>
            <w:r w:rsidRPr="006252C6">
              <w:rPr>
                <w:u w:val="single"/>
              </w:rPr>
              <w:t>x 3.66%</w:t>
            </w:r>
          </w:p>
        </w:tc>
      </w:tr>
      <w:tr w:rsidR="000E4AB3" w:rsidRPr="006252C6" w:rsidTr="008D1D45">
        <w:trPr>
          <w:trHeight w:val="351"/>
          <w:jc w:val="center"/>
        </w:trPr>
        <w:tc>
          <w:tcPr>
            <w:tcW w:w="4087" w:type="dxa"/>
          </w:tcPr>
          <w:p w:rsidR="000E4AB3" w:rsidRPr="006252C6" w:rsidRDefault="000E4AB3" w:rsidP="000E4AB3">
            <w:r w:rsidRPr="006252C6">
              <w:t>Return on Rate Base</w:t>
            </w:r>
          </w:p>
        </w:tc>
        <w:tc>
          <w:tcPr>
            <w:tcW w:w="1620" w:type="dxa"/>
          </w:tcPr>
          <w:p w:rsidR="000E4AB3" w:rsidRPr="006252C6" w:rsidRDefault="000E4AB3" w:rsidP="000E4AB3">
            <w:pPr>
              <w:jc w:val="right"/>
              <w:rPr>
                <w:u w:val="single"/>
              </w:rPr>
            </w:pPr>
            <w:r w:rsidRPr="006252C6">
              <w:t>$9,119</w:t>
            </w:r>
          </w:p>
        </w:tc>
      </w:tr>
      <w:tr w:rsidR="000E4AB3" w:rsidRPr="006252C6" w:rsidTr="008D1D45">
        <w:trPr>
          <w:trHeight w:val="369"/>
          <w:jc w:val="center"/>
        </w:trPr>
        <w:tc>
          <w:tcPr>
            <w:tcW w:w="4087" w:type="dxa"/>
          </w:tcPr>
          <w:p w:rsidR="000E4AB3" w:rsidRPr="006252C6" w:rsidRDefault="000E4AB3" w:rsidP="000E4AB3">
            <w:r w:rsidRPr="006252C6">
              <w:t>Adjusted O&amp;M Expense</w:t>
            </w:r>
          </w:p>
        </w:tc>
        <w:tc>
          <w:tcPr>
            <w:tcW w:w="1620" w:type="dxa"/>
          </w:tcPr>
          <w:p w:rsidR="000E4AB3" w:rsidRPr="006252C6" w:rsidRDefault="000E4AB3" w:rsidP="000E4AB3">
            <w:pPr>
              <w:jc w:val="right"/>
              <w:rPr>
                <w:u w:val="double"/>
              </w:rPr>
            </w:pPr>
            <w:r w:rsidRPr="006252C6">
              <w:t>125,287</w:t>
            </w:r>
          </w:p>
        </w:tc>
      </w:tr>
      <w:tr w:rsidR="000E4AB3" w:rsidRPr="006252C6" w:rsidTr="008D1D45">
        <w:trPr>
          <w:trHeight w:val="351"/>
          <w:jc w:val="center"/>
        </w:trPr>
        <w:tc>
          <w:tcPr>
            <w:tcW w:w="4087" w:type="dxa"/>
          </w:tcPr>
          <w:p w:rsidR="000E4AB3" w:rsidRPr="006252C6" w:rsidRDefault="000E4AB3" w:rsidP="000E4AB3">
            <w:r w:rsidRPr="006252C6">
              <w:t>Net Depreciation Expense</w:t>
            </w:r>
          </w:p>
        </w:tc>
        <w:tc>
          <w:tcPr>
            <w:tcW w:w="1620" w:type="dxa"/>
          </w:tcPr>
          <w:p w:rsidR="000E4AB3" w:rsidRPr="006252C6" w:rsidRDefault="000E4AB3" w:rsidP="000E4AB3">
            <w:pPr>
              <w:jc w:val="right"/>
              <w:rPr>
                <w:u w:val="double"/>
              </w:rPr>
            </w:pPr>
            <w:r w:rsidRPr="006252C6">
              <w:t>12,754</w:t>
            </w:r>
          </w:p>
        </w:tc>
      </w:tr>
      <w:tr w:rsidR="000E4AB3" w:rsidRPr="006252C6" w:rsidTr="008D1D45">
        <w:trPr>
          <w:trHeight w:val="369"/>
          <w:jc w:val="center"/>
        </w:trPr>
        <w:tc>
          <w:tcPr>
            <w:tcW w:w="4087" w:type="dxa"/>
          </w:tcPr>
          <w:p w:rsidR="000E4AB3" w:rsidRPr="006252C6" w:rsidRDefault="000E4AB3" w:rsidP="000E4AB3">
            <w:r w:rsidRPr="006252C6">
              <w:t>Taxes Other Than Income</w:t>
            </w:r>
          </w:p>
        </w:tc>
        <w:tc>
          <w:tcPr>
            <w:tcW w:w="1620" w:type="dxa"/>
          </w:tcPr>
          <w:p w:rsidR="000E4AB3" w:rsidRPr="006252C6" w:rsidRDefault="000E4AB3" w:rsidP="000E4AB3">
            <w:pPr>
              <w:jc w:val="right"/>
              <w:rPr>
                <w:u w:val="double"/>
              </w:rPr>
            </w:pPr>
            <w:r w:rsidRPr="006252C6">
              <w:rPr>
                <w:u w:val="single"/>
              </w:rPr>
              <w:t>21,205</w:t>
            </w:r>
          </w:p>
        </w:tc>
      </w:tr>
      <w:tr w:rsidR="000E4AB3" w:rsidRPr="006252C6" w:rsidTr="008D1D45">
        <w:trPr>
          <w:trHeight w:val="351"/>
          <w:jc w:val="center"/>
        </w:trPr>
        <w:tc>
          <w:tcPr>
            <w:tcW w:w="4087" w:type="dxa"/>
          </w:tcPr>
          <w:p w:rsidR="000E4AB3" w:rsidRPr="006252C6" w:rsidRDefault="000E4AB3" w:rsidP="000E4AB3">
            <w:r w:rsidRPr="006252C6">
              <w:t>Revenue Requirement</w:t>
            </w:r>
          </w:p>
        </w:tc>
        <w:tc>
          <w:tcPr>
            <w:tcW w:w="1620" w:type="dxa"/>
          </w:tcPr>
          <w:p w:rsidR="000E4AB3" w:rsidRPr="006252C6" w:rsidRDefault="000E4AB3" w:rsidP="000E4AB3">
            <w:pPr>
              <w:jc w:val="right"/>
              <w:rPr>
                <w:u w:val="double"/>
              </w:rPr>
            </w:pPr>
            <w:r w:rsidRPr="006252C6">
              <w:t>$168,365</w:t>
            </w:r>
          </w:p>
        </w:tc>
      </w:tr>
      <w:tr w:rsidR="000E4AB3" w:rsidRPr="006252C6" w:rsidTr="008D1D45">
        <w:trPr>
          <w:trHeight w:val="369"/>
          <w:jc w:val="center"/>
        </w:trPr>
        <w:tc>
          <w:tcPr>
            <w:tcW w:w="4087" w:type="dxa"/>
          </w:tcPr>
          <w:p w:rsidR="000E4AB3" w:rsidRPr="006252C6" w:rsidRDefault="000E4AB3" w:rsidP="000E4AB3">
            <w:r w:rsidRPr="006252C6">
              <w:t>Less Adjusted Test Year Revenues</w:t>
            </w:r>
          </w:p>
        </w:tc>
        <w:tc>
          <w:tcPr>
            <w:tcW w:w="1620" w:type="dxa"/>
          </w:tcPr>
          <w:p w:rsidR="000E4AB3" w:rsidRPr="006252C6" w:rsidRDefault="000E4AB3" w:rsidP="000E4AB3">
            <w:pPr>
              <w:jc w:val="right"/>
              <w:rPr>
                <w:u w:val="double"/>
              </w:rPr>
            </w:pPr>
            <w:r w:rsidRPr="006252C6">
              <w:rPr>
                <w:u w:val="single"/>
              </w:rPr>
              <w:t>165,805</w:t>
            </w:r>
          </w:p>
        </w:tc>
      </w:tr>
      <w:tr w:rsidR="000E4AB3" w:rsidRPr="006252C6" w:rsidTr="008D1D45">
        <w:trPr>
          <w:trHeight w:val="351"/>
          <w:jc w:val="center"/>
        </w:trPr>
        <w:tc>
          <w:tcPr>
            <w:tcW w:w="4087" w:type="dxa"/>
          </w:tcPr>
          <w:p w:rsidR="000E4AB3" w:rsidRPr="006252C6" w:rsidRDefault="000E4AB3" w:rsidP="000E4AB3">
            <w:r w:rsidRPr="006252C6">
              <w:t>Annual Increase</w:t>
            </w:r>
          </w:p>
        </w:tc>
        <w:tc>
          <w:tcPr>
            <w:tcW w:w="1620" w:type="dxa"/>
          </w:tcPr>
          <w:p w:rsidR="000E4AB3" w:rsidRPr="006252C6" w:rsidRDefault="000E4AB3" w:rsidP="000E4AB3">
            <w:pPr>
              <w:jc w:val="right"/>
              <w:rPr>
                <w:u w:val="double"/>
              </w:rPr>
            </w:pPr>
            <w:r w:rsidRPr="006252C6">
              <w:rPr>
                <w:u w:val="double"/>
              </w:rPr>
              <w:t>$2,560</w:t>
            </w:r>
          </w:p>
        </w:tc>
      </w:tr>
      <w:tr w:rsidR="000E4AB3" w:rsidRPr="006252C6" w:rsidTr="008D1D45">
        <w:trPr>
          <w:trHeight w:val="369"/>
          <w:jc w:val="center"/>
        </w:trPr>
        <w:tc>
          <w:tcPr>
            <w:tcW w:w="4087" w:type="dxa"/>
          </w:tcPr>
          <w:p w:rsidR="000E4AB3" w:rsidRPr="006252C6" w:rsidRDefault="000E4AB3" w:rsidP="000E4AB3">
            <w:r w:rsidRPr="006252C6">
              <w:t>Percent Increase</w:t>
            </w:r>
          </w:p>
        </w:tc>
        <w:tc>
          <w:tcPr>
            <w:tcW w:w="1620" w:type="dxa"/>
          </w:tcPr>
          <w:p w:rsidR="000E4AB3" w:rsidRPr="006252C6" w:rsidRDefault="000E4AB3" w:rsidP="000E4AB3">
            <w:pPr>
              <w:jc w:val="right"/>
              <w:rPr>
                <w:u w:val="double"/>
              </w:rPr>
            </w:pPr>
            <w:r w:rsidRPr="006252C6">
              <w:rPr>
                <w:u w:val="double"/>
              </w:rPr>
              <w:t>1.54%</w:t>
            </w:r>
          </w:p>
        </w:tc>
      </w:tr>
    </w:tbl>
    <w:p w:rsidR="00905562" w:rsidRDefault="00905562" w:rsidP="000E4AB3">
      <w:pPr>
        <w:keepNext/>
        <w:jc w:val="center"/>
        <w:rPr>
          <w:b/>
        </w:rPr>
      </w:pPr>
    </w:p>
    <w:p w:rsidR="004A27C5" w:rsidRDefault="004A27C5" w:rsidP="000E4AB3">
      <w:pPr>
        <w:keepNext/>
        <w:jc w:val="center"/>
        <w:rPr>
          <w:b/>
        </w:rPr>
      </w:pPr>
    </w:p>
    <w:p w:rsidR="000E4AB3" w:rsidRPr="006252C6" w:rsidRDefault="000E4AB3" w:rsidP="000E4AB3">
      <w:pPr>
        <w:keepNext/>
        <w:jc w:val="center"/>
        <w:rPr>
          <w:b/>
        </w:rPr>
      </w:pPr>
      <w:r w:rsidRPr="006252C6">
        <w:rPr>
          <w:b/>
        </w:rPr>
        <w:t>Non-Potable Water Revenue Requirement</w:t>
      </w:r>
    </w:p>
    <w:tbl>
      <w:tblPr>
        <w:tblStyle w:val="TableGrid1"/>
        <w:tblW w:w="5707" w:type="dxa"/>
        <w:jc w:val="center"/>
        <w:tblBorders>
          <w:insideH w:val="none" w:sz="0" w:space="0" w:color="auto"/>
          <w:insideV w:val="none" w:sz="0" w:space="0" w:color="auto"/>
        </w:tblBorders>
        <w:tblLook w:val="04A0" w:firstRow="1" w:lastRow="0" w:firstColumn="1" w:lastColumn="0" w:noHBand="0" w:noVBand="1"/>
      </w:tblPr>
      <w:tblGrid>
        <w:gridCol w:w="4087"/>
        <w:gridCol w:w="1620"/>
      </w:tblGrid>
      <w:tr w:rsidR="000E4AB3" w:rsidRPr="006252C6" w:rsidTr="008D1D45">
        <w:trPr>
          <w:trHeight w:val="386"/>
          <w:jc w:val="center"/>
        </w:trPr>
        <w:tc>
          <w:tcPr>
            <w:tcW w:w="4087" w:type="dxa"/>
          </w:tcPr>
          <w:p w:rsidR="000E4AB3" w:rsidRPr="006252C6" w:rsidRDefault="000E4AB3" w:rsidP="000E4AB3">
            <w:r w:rsidRPr="006252C6">
              <w:t>Adjusted Rate Base</w:t>
            </w:r>
          </w:p>
        </w:tc>
        <w:tc>
          <w:tcPr>
            <w:tcW w:w="1620" w:type="dxa"/>
          </w:tcPr>
          <w:p w:rsidR="000E4AB3" w:rsidRPr="006252C6" w:rsidRDefault="000E4AB3" w:rsidP="000E4AB3">
            <w:pPr>
              <w:jc w:val="right"/>
            </w:pPr>
            <w:r w:rsidRPr="006252C6">
              <w:t>$177,513</w:t>
            </w:r>
          </w:p>
        </w:tc>
      </w:tr>
      <w:tr w:rsidR="000E4AB3" w:rsidRPr="006252C6" w:rsidTr="008D1D45">
        <w:trPr>
          <w:trHeight w:val="360"/>
          <w:jc w:val="center"/>
        </w:trPr>
        <w:tc>
          <w:tcPr>
            <w:tcW w:w="4087" w:type="dxa"/>
          </w:tcPr>
          <w:p w:rsidR="000E4AB3" w:rsidRPr="006252C6" w:rsidRDefault="000E4AB3" w:rsidP="000E4AB3">
            <w:r w:rsidRPr="006252C6">
              <w:t>Rate of Return</w:t>
            </w:r>
          </w:p>
        </w:tc>
        <w:tc>
          <w:tcPr>
            <w:tcW w:w="1620" w:type="dxa"/>
          </w:tcPr>
          <w:p w:rsidR="000E4AB3" w:rsidRPr="006252C6" w:rsidRDefault="000E4AB3" w:rsidP="000E4AB3">
            <w:pPr>
              <w:jc w:val="right"/>
              <w:rPr>
                <w:u w:val="single"/>
              </w:rPr>
            </w:pPr>
            <w:r w:rsidRPr="006252C6">
              <w:rPr>
                <w:u w:val="single"/>
              </w:rPr>
              <w:t>x 3.66%</w:t>
            </w:r>
          </w:p>
        </w:tc>
      </w:tr>
      <w:tr w:rsidR="000E4AB3" w:rsidRPr="006252C6" w:rsidTr="008D1D45">
        <w:trPr>
          <w:trHeight w:val="351"/>
          <w:jc w:val="center"/>
        </w:trPr>
        <w:tc>
          <w:tcPr>
            <w:tcW w:w="4087" w:type="dxa"/>
          </w:tcPr>
          <w:p w:rsidR="000E4AB3" w:rsidRPr="006252C6" w:rsidRDefault="000E4AB3" w:rsidP="000E4AB3">
            <w:r w:rsidRPr="006252C6">
              <w:t>Return on Rate Base</w:t>
            </w:r>
          </w:p>
        </w:tc>
        <w:tc>
          <w:tcPr>
            <w:tcW w:w="1620" w:type="dxa"/>
          </w:tcPr>
          <w:p w:rsidR="000E4AB3" w:rsidRPr="006252C6" w:rsidRDefault="000E4AB3" w:rsidP="000E4AB3">
            <w:pPr>
              <w:jc w:val="right"/>
            </w:pPr>
            <w:r w:rsidRPr="006252C6">
              <w:t>$6,497</w:t>
            </w:r>
          </w:p>
        </w:tc>
      </w:tr>
      <w:tr w:rsidR="000E4AB3" w:rsidRPr="006252C6" w:rsidTr="008D1D45">
        <w:trPr>
          <w:trHeight w:val="369"/>
          <w:jc w:val="center"/>
        </w:trPr>
        <w:tc>
          <w:tcPr>
            <w:tcW w:w="4087" w:type="dxa"/>
          </w:tcPr>
          <w:p w:rsidR="000E4AB3" w:rsidRPr="006252C6" w:rsidRDefault="000E4AB3" w:rsidP="000E4AB3">
            <w:r w:rsidRPr="006252C6">
              <w:t>Adjusted O&amp;M Expense</w:t>
            </w:r>
          </w:p>
        </w:tc>
        <w:tc>
          <w:tcPr>
            <w:tcW w:w="1620" w:type="dxa"/>
          </w:tcPr>
          <w:p w:rsidR="000E4AB3" w:rsidRPr="006252C6" w:rsidRDefault="000E4AB3" w:rsidP="000E4AB3">
            <w:pPr>
              <w:jc w:val="right"/>
            </w:pPr>
            <w:r w:rsidRPr="006252C6">
              <w:t>191,309</w:t>
            </w:r>
          </w:p>
        </w:tc>
      </w:tr>
      <w:tr w:rsidR="000E4AB3" w:rsidRPr="006252C6" w:rsidTr="008D1D45">
        <w:trPr>
          <w:trHeight w:val="351"/>
          <w:jc w:val="center"/>
        </w:trPr>
        <w:tc>
          <w:tcPr>
            <w:tcW w:w="4087" w:type="dxa"/>
          </w:tcPr>
          <w:p w:rsidR="000E4AB3" w:rsidRPr="006252C6" w:rsidRDefault="000E4AB3" w:rsidP="000E4AB3">
            <w:r w:rsidRPr="006252C6">
              <w:t>Net Depreciation Expense</w:t>
            </w:r>
          </w:p>
        </w:tc>
        <w:tc>
          <w:tcPr>
            <w:tcW w:w="1620" w:type="dxa"/>
          </w:tcPr>
          <w:p w:rsidR="000E4AB3" w:rsidRPr="006252C6" w:rsidRDefault="000E4AB3" w:rsidP="000E4AB3">
            <w:pPr>
              <w:jc w:val="right"/>
            </w:pPr>
            <w:r w:rsidRPr="006252C6">
              <w:t>24,285</w:t>
            </w:r>
          </w:p>
        </w:tc>
      </w:tr>
      <w:tr w:rsidR="000E4AB3" w:rsidRPr="006252C6" w:rsidTr="008D1D45">
        <w:trPr>
          <w:trHeight w:val="369"/>
          <w:jc w:val="center"/>
        </w:trPr>
        <w:tc>
          <w:tcPr>
            <w:tcW w:w="4087" w:type="dxa"/>
          </w:tcPr>
          <w:p w:rsidR="000E4AB3" w:rsidRPr="006252C6" w:rsidRDefault="000E4AB3" w:rsidP="000E4AB3">
            <w:r w:rsidRPr="006252C6">
              <w:t>Amortization</w:t>
            </w:r>
          </w:p>
        </w:tc>
        <w:tc>
          <w:tcPr>
            <w:tcW w:w="1620" w:type="dxa"/>
          </w:tcPr>
          <w:p w:rsidR="000E4AB3" w:rsidRPr="006252C6" w:rsidRDefault="000E4AB3" w:rsidP="000E4AB3">
            <w:pPr>
              <w:jc w:val="right"/>
            </w:pPr>
            <w:r w:rsidRPr="006252C6">
              <w:t>774</w:t>
            </w:r>
          </w:p>
        </w:tc>
      </w:tr>
      <w:tr w:rsidR="000E4AB3" w:rsidRPr="006252C6" w:rsidTr="008D1D45">
        <w:trPr>
          <w:trHeight w:val="351"/>
          <w:jc w:val="center"/>
        </w:trPr>
        <w:tc>
          <w:tcPr>
            <w:tcW w:w="4087" w:type="dxa"/>
          </w:tcPr>
          <w:p w:rsidR="000E4AB3" w:rsidRPr="006252C6" w:rsidRDefault="000E4AB3" w:rsidP="000E4AB3">
            <w:r w:rsidRPr="006252C6">
              <w:t>Taxes Other Than Income</w:t>
            </w:r>
          </w:p>
        </w:tc>
        <w:tc>
          <w:tcPr>
            <w:tcW w:w="1620" w:type="dxa"/>
          </w:tcPr>
          <w:p w:rsidR="000E4AB3" w:rsidRPr="006252C6" w:rsidRDefault="000E4AB3" w:rsidP="000E4AB3">
            <w:pPr>
              <w:jc w:val="right"/>
            </w:pPr>
            <w:r w:rsidRPr="006252C6">
              <w:rPr>
                <w:u w:val="single"/>
              </w:rPr>
              <w:t>26,026</w:t>
            </w:r>
          </w:p>
        </w:tc>
      </w:tr>
      <w:tr w:rsidR="000E4AB3" w:rsidRPr="006252C6" w:rsidTr="008D1D45">
        <w:trPr>
          <w:trHeight w:val="369"/>
          <w:jc w:val="center"/>
        </w:trPr>
        <w:tc>
          <w:tcPr>
            <w:tcW w:w="4087" w:type="dxa"/>
          </w:tcPr>
          <w:p w:rsidR="000E4AB3" w:rsidRPr="006252C6" w:rsidRDefault="000E4AB3" w:rsidP="000E4AB3">
            <w:r w:rsidRPr="006252C6">
              <w:t>Revenue Requirement</w:t>
            </w:r>
          </w:p>
        </w:tc>
        <w:tc>
          <w:tcPr>
            <w:tcW w:w="1620" w:type="dxa"/>
          </w:tcPr>
          <w:p w:rsidR="000E4AB3" w:rsidRPr="006252C6" w:rsidRDefault="000E4AB3" w:rsidP="000E4AB3">
            <w:pPr>
              <w:jc w:val="right"/>
              <w:rPr>
                <w:u w:val="single"/>
              </w:rPr>
            </w:pPr>
            <w:r w:rsidRPr="006252C6">
              <w:t>$248,891</w:t>
            </w:r>
          </w:p>
        </w:tc>
      </w:tr>
      <w:tr w:rsidR="000E4AB3" w:rsidRPr="006252C6" w:rsidTr="008D1D45">
        <w:trPr>
          <w:trHeight w:val="351"/>
          <w:jc w:val="center"/>
        </w:trPr>
        <w:tc>
          <w:tcPr>
            <w:tcW w:w="4087" w:type="dxa"/>
          </w:tcPr>
          <w:p w:rsidR="000E4AB3" w:rsidRPr="006252C6" w:rsidRDefault="000E4AB3" w:rsidP="000E4AB3">
            <w:r w:rsidRPr="006252C6">
              <w:t>Less Adjusted Test Year Revenues</w:t>
            </w:r>
          </w:p>
        </w:tc>
        <w:tc>
          <w:tcPr>
            <w:tcW w:w="1620" w:type="dxa"/>
          </w:tcPr>
          <w:p w:rsidR="000E4AB3" w:rsidRPr="006252C6" w:rsidRDefault="000E4AB3" w:rsidP="000E4AB3">
            <w:pPr>
              <w:jc w:val="right"/>
              <w:rPr>
                <w:u w:val="double"/>
              </w:rPr>
            </w:pPr>
            <w:r w:rsidRPr="006252C6">
              <w:rPr>
                <w:u w:val="single"/>
              </w:rPr>
              <w:t>246,783</w:t>
            </w:r>
          </w:p>
        </w:tc>
      </w:tr>
      <w:tr w:rsidR="000E4AB3" w:rsidRPr="006252C6" w:rsidTr="008D1D45">
        <w:trPr>
          <w:trHeight w:val="333"/>
          <w:jc w:val="center"/>
        </w:trPr>
        <w:tc>
          <w:tcPr>
            <w:tcW w:w="4087" w:type="dxa"/>
          </w:tcPr>
          <w:p w:rsidR="000E4AB3" w:rsidRPr="006252C6" w:rsidRDefault="000E4AB3" w:rsidP="000E4AB3">
            <w:r w:rsidRPr="006252C6">
              <w:t>Annual Increase</w:t>
            </w:r>
          </w:p>
        </w:tc>
        <w:tc>
          <w:tcPr>
            <w:tcW w:w="1620" w:type="dxa"/>
          </w:tcPr>
          <w:p w:rsidR="000E4AB3" w:rsidRPr="006252C6" w:rsidRDefault="000E4AB3" w:rsidP="000E4AB3">
            <w:pPr>
              <w:jc w:val="right"/>
            </w:pPr>
            <w:r w:rsidRPr="006252C6">
              <w:rPr>
                <w:u w:val="double"/>
              </w:rPr>
              <w:t>$2,108</w:t>
            </w:r>
          </w:p>
        </w:tc>
      </w:tr>
      <w:tr w:rsidR="000E4AB3" w:rsidRPr="006252C6" w:rsidTr="008D1D45">
        <w:trPr>
          <w:trHeight w:val="333"/>
          <w:jc w:val="center"/>
        </w:trPr>
        <w:tc>
          <w:tcPr>
            <w:tcW w:w="4087" w:type="dxa"/>
          </w:tcPr>
          <w:p w:rsidR="000E4AB3" w:rsidRPr="006252C6" w:rsidRDefault="000E4AB3" w:rsidP="000E4AB3">
            <w:r w:rsidRPr="006252C6">
              <w:t>Percent Increase</w:t>
            </w:r>
          </w:p>
        </w:tc>
        <w:tc>
          <w:tcPr>
            <w:tcW w:w="1620" w:type="dxa"/>
          </w:tcPr>
          <w:p w:rsidR="000E4AB3" w:rsidRPr="006252C6" w:rsidRDefault="000E4AB3" w:rsidP="000E4AB3">
            <w:pPr>
              <w:jc w:val="right"/>
              <w:rPr>
                <w:u w:val="double"/>
              </w:rPr>
            </w:pPr>
            <w:r w:rsidRPr="006252C6">
              <w:rPr>
                <w:u w:val="double"/>
              </w:rPr>
              <w:t>0.85%</w:t>
            </w:r>
          </w:p>
        </w:tc>
      </w:tr>
    </w:tbl>
    <w:p w:rsidR="00384666" w:rsidRDefault="00384666" w:rsidP="000E4AB3">
      <w:pPr>
        <w:keepNext/>
        <w:jc w:val="center"/>
        <w:rPr>
          <w:b/>
        </w:rPr>
      </w:pPr>
    </w:p>
    <w:p w:rsidR="000E4AB3" w:rsidRPr="006252C6" w:rsidRDefault="000E4AB3" w:rsidP="000E4AB3">
      <w:pPr>
        <w:keepNext/>
        <w:jc w:val="center"/>
        <w:rPr>
          <w:b/>
        </w:rPr>
      </w:pPr>
      <w:r w:rsidRPr="006252C6">
        <w:rPr>
          <w:b/>
        </w:rPr>
        <w:t>Wastewater Revenue Requirement</w:t>
      </w:r>
    </w:p>
    <w:tbl>
      <w:tblPr>
        <w:tblStyle w:val="TableGrid1"/>
        <w:tblW w:w="5707" w:type="dxa"/>
        <w:jc w:val="center"/>
        <w:tblBorders>
          <w:insideH w:val="none" w:sz="0" w:space="0" w:color="auto"/>
          <w:insideV w:val="none" w:sz="0" w:space="0" w:color="auto"/>
        </w:tblBorders>
        <w:tblLook w:val="04A0" w:firstRow="1" w:lastRow="0" w:firstColumn="1" w:lastColumn="0" w:noHBand="0" w:noVBand="1"/>
      </w:tblPr>
      <w:tblGrid>
        <w:gridCol w:w="4087"/>
        <w:gridCol w:w="1620"/>
      </w:tblGrid>
      <w:tr w:rsidR="000E4AB3" w:rsidRPr="006252C6" w:rsidTr="008D1D45">
        <w:trPr>
          <w:trHeight w:val="386"/>
          <w:jc w:val="center"/>
        </w:trPr>
        <w:tc>
          <w:tcPr>
            <w:tcW w:w="4087" w:type="dxa"/>
          </w:tcPr>
          <w:p w:rsidR="000E4AB3" w:rsidRPr="006252C6" w:rsidRDefault="000E4AB3" w:rsidP="000E4AB3">
            <w:r w:rsidRPr="006252C6">
              <w:t>Adjusted O&amp;M</w:t>
            </w:r>
          </w:p>
        </w:tc>
        <w:tc>
          <w:tcPr>
            <w:tcW w:w="1620" w:type="dxa"/>
          </w:tcPr>
          <w:p w:rsidR="000E4AB3" w:rsidRPr="006252C6" w:rsidRDefault="000E4AB3" w:rsidP="000E4AB3">
            <w:pPr>
              <w:jc w:val="right"/>
            </w:pPr>
            <w:r w:rsidRPr="006252C6">
              <w:t>$152,466</w:t>
            </w:r>
          </w:p>
        </w:tc>
      </w:tr>
      <w:tr w:rsidR="000E4AB3" w:rsidRPr="006252C6" w:rsidTr="008D1D45">
        <w:trPr>
          <w:trHeight w:val="360"/>
          <w:jc w:val="center"/>
        </w:trPr>
        <w:tc>
          <w:tcPr>
            <w:tcW w:w="4087" w:type="dxa"/>
          </w:tcPr>
          <w:p w:rsidR="000E4AB3" w:rsidRPr="006252C6" w:rsidRDefault="000E4AB3" w:rsidP="000E4AB3">
            <w:r w:rsidRPr="006252C6">
              <w:t>Operating Margin (%)</w:t>
            </w:r>
          </w:p>
        </w:tc>
        <w:tc>
          <w:tcPr>
            <w:tcW w:w="1620" w:type="dxa"/>
          </w:tcPr>
          <w:p w:rsidR="000E4AB3" w:rsidRPr="006252C6" w:rsidRDefault="000E4AB3" w:rsidP="000E4AB3">
            <w:pPr>
              <w:jc w:val="right"/>
              <w:rPr>
                <w:u w:val="single"/>
              </w:rPr>
            </w:pPr>
            <w:r w:rsidRPr="006252C6">
              <w:rPr>
                <w:u w:val="single"/>
              </w:rPr>
              <w:t>x 6.56%</w:t>
            </w:r>
          </w:p>
        </w:tc>
      </w:tr>
      <w:tr w:rsidR="000E4AB3" w:rsidRPr="006252C6" w:rsidTr="008D1D45">
        <w:trPr>
          <w:trHeight w:val="351"/>
          <w:jc w:val="center"/>
        </w:trPr>
        <w:tc>
          <w:tcPr>
            <w:tcW w:w="4087" w:type="dxa"/>
          </w:tcPr>
          <w:p w:rsidR="000E4AB3" w:rsidRPr="006252C6" w:rsidRDefault="000E4AB3" w:rsidP="000E4AB3">
            <w:r w:rsidRPr="006252C6">
              <w:t>Operating Margin ($10,000 Cap)</w:t>
            </w:r>
          </w:p>
        </w:tc>
        <w:tc>
          <w:tcPr>
            <w:tcW w:w="1620" w:type="dxa"/>
          </w:tcPr>
          <w:p w:rsidR="000E4AB3" w:rsidRPr="006252C6" w:rsidRDefault="000E4AB3" w:rsidP="000E4AB3">
            <w:pPr>
              <w:jc w:val="right"/>
            </w:pPr>
            <w:r w:rsidRPr="006252C6">
              <w:t>$10,000</w:t>
            </w:r>
          </w:p>
        </w:tc>
      </w:tr>
      <w:tr w:rsidR="000E4AB3" w:rsidRPr="006252C6" w:rsidTr="008D1D45">
        <w:trPr>
          <w:trHeight w:val="369"/>
          <w:jc w:val="center"/>
        </w:trPr>
        <w:tc>
          <w:tcPr>
            <w:tcW w:w="4087" w:type="dxa"/>
          </w:tcPr>
          <w:p w:rsidR="000E4AB3" w:rsidRPr="006252C6" w:rsidRDefault="000E4AB3" w:rsidP="000E4AB3">
            <w:r w:rsidRPr="006252C6">
              <w:t>Adjusted O&amp;M Expense</w:t>
            </w:r>
          </w:p>
        </w:tc>
        <w:tc>
          <w:tcPr>
            <w:tcW w:w="1620" w:type="dxa"/>
          </w:tcPr>
          <w:p w:rsidR="000E4AB3" w:rsidRPr="006252C6" w:rsidRDefault="000E4AB3" w:rsidP="000E4AB3">
            <w:pPr>
              <w:jc w:val="right"/>
            </w:pPr>
            <w:r w:rsidRPr="006252C6">
              <w:t>152,466</w:t>
            </w:r>
          </w:p>
        </w:tc>
      </w:tr>
      <w:tr w:rsidR="000E4AB3" w:rsidRPr="006252C6" w:rsidTr="008D1D45">
        <w:trPr>
          <w:trHeight w:val="351"/>
          <w:jc w:val="center"/>
        </w:trPr>
        <w:tc>
          <w:tcPr>
            <w:tcW w:w="4087" w:type="dxa"/>
          </w:tcPr>
          <w:p w:rsidR="000E4AB3" w:rsidRPr="006252C6" w:rsidRDefault="000E4AB3" w:rsidP="000E4AB3">
            <w:r w:rsidRPr="006252C6">
              <w:t>Net Depreciation Expense</w:t>
            </w:r>
          </w:p>
        </w:tc>
        <w:tc>
          <w:tcPr>
            <w:tcW w:w="1620" w:type="dxa"/>
          </w:tcPr>
          <w:p w:rsidR="000E4AB3" w:rsidRPr="006252C6" w:rsidRDefault="000E4AB3" w:rsidP="000E4AB3">
            <w:pPr>
              <w:jc w:val="right"/>
            </w:pPr>
            <w:r w:rsidRPr="006252C6">
              <w:t>(3,523)</w:t>
            </w:r>
          </w:p>
        </w:tc>
      </w:tr>
      <w:tr w:rsidR="000E4AB3" w:rsidRPr="006252C6" w:rsidTr="008D1D45">
        <w:trPr>
          <w:trHeight w:val="369"/>
          <w:jc w:val="center"/>
        </w:trPr>
        <w:tc>
          <w:tcPr>
            <w:tcW w:w="4087" w:type="dxa"/>
          </w:tcPr>
          <w:p w:rsidR="000E4AB3" w:rsidRPr="006252C6" w:rsidRDefault="000E4AB3" w:rsidP="000E4AB3">
            <w:r w:rsidRPr="006252C6">
              <w:t>Taxes Other Than Income</w:t>
            </w:r>
          </w:p>
        </w:tc>
        <w:tc>
          <w:tcPr>
            <w:tcW w:w="1620" w:type="dxa"/>
          </w:tcPr>
          <w:p w:rsidR="000E4AB3" w:rsidRPr="006252C6" w:rsidRDefault="000E4AB3" w:rsidP="000E4AB3">
            <w:pPr>
              <w:jc w:val="right"/>
              <w:rPr>
                <w:u w:val="single"/>
              </w:rPr>
            </w:pPr>
            <w:r w:rsidRPr="006252C6">
              <w:rPr>
                <w:u w:val="single"/>
              </w:rPr>
              <w:t>23,072</w:t>
            </w:r>
          </w:p>
        </w:tc>
      </w:tr>
      <w:tr w:rsidR="000E4AB3" w:rsidRPr="006252C6" w:rsidTr="008D1D45">
        <w:trPr>
          <w:trHeight w:val="351"/>
          <w:jc w:val="center"/>
        </w:trPr>
        <w:tc>
          <w:tcPr>
            <w:tcW w:w="4087" w:type="dxa"/>
          </w:tcPr>
          <w:p w:rsidR="000E4AB3" w:rsidRPr="006252C6" w:rsidRDefault="000E4AB3" w:rsidP="000E4AB3">
            <w:r w:rsidRPr="006252C6">
              <w:t>Revenue Requirement</w:t>
            </w:r>
          </w:p>
        </w:tc>
        <w:tc>
          <w:tcPr>
            <w:tcW w:w="1620" w:type="dxa"/>
          </w:tcPr>
          <w:p w:rsidR="000E4AB3" w:rsidRPr="006252C6" w:rsidRDefault="000E4AB3" w:rsidP="000E4AB3">
            <w:pPr>
              <w:jc w:val="right"/>
              <w:rPr>
                <w:u w:val="single"/>
              </w:rPr>
            </w:pPr>
            <w:r w:rsidRPr="006252C6">
              <w:t>$182,016</w:t>
            </w:r>
          </w:p>
        </w:tc>
      </w:tr>
      <w:tr w:rsidR="000E4AB3" w:rsidRPr="006252C6" w:rsidTr="008D1D45">
        <w:trPr>
          <w:trHeight w:val="369"/>
          <w:jc w:val="center"/>
        </w:trPr>
        <w:tc>
          <w:tcPr>
            <w:tcW w:w="4087" w:type="dxa"/>
          </w:tcPr>
          <w:p w:rsidR="000E4AB3" w:rsidRPr="006252C6" w:rsidRDefault="000E4AB3" w:rsidP="000E4AB3">
            <w:r w:rsidRPr="006252C6">
              <w:t>Less Adjusted Test Year Revenues</w:t>
            </w:r>
          </w:p>
        </w:tc>
        <w:tc>
          <w:tcPr>
            <w:tcW w:w="1620" w:type="dxa"/>
          </w:tcPr>
          <w:p w:rsidR="000E4AB3" w:rsidRPr="006252C6" w:rsidRDefault="000E4AB3" w:rsidP="000E4AB3">
            <w:pPr>
              <w:jc w:val="right"/>
            </w:pPr>
            <w:r w:rsidRPr="006252C6">
              <w:rPr>
                <w:u w:val="single"/>
              </w:rPr>
              <w:t>180,628</w:t>
            </w:r>
          </w:p>
        </w:tc>
      </w:tr>
      <w:tr w:rsidR="000E4AB3" w:rsidRPr="006252C6" w:rsidTr="008D1D45">
        <w:trPr>
          <w:trHeight w:val="351"/>
          <w:jc w:val="center"/>
        </w:trPr>
        <w:tc>
          <w:tcPr>
            <w:tcW w:w="4087" w:type="dxa"/>
          </w:tcPr>
          <w:p w:rsidR="000E4AB3" w:rsidRPr="006252C6" w:rsidRDefault="000E4AB3" w:rsidP="000E4AB3">
            <w:r w:rsidRPr="006252C6">
              <w:t>Annual Increase</w:t>
            </w:r>
          </w:p>
        </w:tc>
        <w:tc>
          <w:tcPr>
            <w:tcW w:w="1620" w:type="dxa"/>
          </w:tcPr>
          <w:p w:rsidR="000E4AB3" w:rsidRPr="006252C6" w:rsidRDefault="000E4AB3" w:rsidP="000E4AB3">
            <w:pPr>
              <w:jc w:val="right"/>
              <w:rPr>
                <w:u w:val="single"/>
              </w:rPr>
            </w:pPr>
            <w:r w:rsidRPr="006252C6">
              <w:rPr>
                <w:u w:val="double"/>
              </w:rPr>
              <w:t>$1,387</w:t>
            </w:r>
          </w:p>
        </w:tc>
      </w:tr>
      <w:tr w:rsidR="000E4AB3" w:rsidRPr="006252C6" w:rsidTr="008D1D45">
        <w:trPr>
          <w:trHeight w:val="378"/>
          <w:jc w:val="center"/>
        </w:trPr>
        <w:tc>
          <w:tcPr>
            <w:tcW w:w="4087" w:type="dxa"/>
          </w:tcPr>
          <w:p w:rsidR="000E4AB3" w:rsidRPr="006252C6" w:rsidRDefault="000E4AB3" w:rsidP="000E4AB3">
            <w:r w:rsidRPr="006252C6">
              <w:t>Percent Increase</w:t>
            </w:r>
          </w:p>
        </w:tc>
        <w:tc>
          <w:tcPr>
            <w:tcW w:w="1620" w:type="dxa"/>
          </w:tcPr>
          <w:p w:rsidR="000E4AB3" w:rsidRPr="006252C6" w:rsidRDefault="000E4AB3" w:rsidP="000E4AB3">
            <w:pPr>
              <w:jc w:val="right"/>
              <w:rPr>
                <w:u w:val="double"/>
              </w:rPr>
            </w:pPr>
            <w:r w:rsidRPr="006252C6">
              <w:rPr>
                <w:u w:val="double"/>
              </w:rPr>
              <w:t>0.77%</w:t>
            </w:r>
          </w:p>
        </w:tc>
      </w:tr>
    </w:tbl>
    <w:p w:rsidR="000E4AB3" w:rsidRPr="006252C6" w:rsidRDefault="000E4AB3" w:rsidP="000E4AB3"/>
    <w:p w:rsidR="000E4AB3" w:rsidRPr="006252C6" w:rsidRDefault="000E4AB3" w:rsidP="00905562">
      <w:pPr>
        <w:spacing w:after="240"/>
        <w:jc w:val="both"/>
        <w:outlineLvl w:val="0"/>
      </w:pPr>
      <w:r w:rsidRPr="001D09D4">
        <w:rPr>
          <w:b/>
          <w:bCs/>
          <w:kern w:val="32"/>
        </w:rPr>
        <w:fldChar w:fldCharType="begin"/>
      </w:r>
      <w:r w:rsidRPr="001D09D4">
        <w:rPr>
          <w:b/>
          <w:bCs/>
          <w:kern w:val="32"/>
        </w:rPr>
        <w:instrText xml:space="preserve"> SEQ Issue \* MERGEFORMAT </w:instrText>
      </w:r>
      <w:r w:rsidRPr="001D09D4">
        <w:rPr>
          <w:b/>
          <w:bCs/>
          <w:kern w:val="32"/>
        </w:rPr>
        <w:fldChar w:fldCharType="separate"/>
      </w:r>
      <w:r w:rsidR="00744140">
        <w:rPr>
          <w:b/>
          <w:bCs/>
          <w:noProof/>
          <w:kern w:val="32"/>
        </w:rPr>
        <w:t>1</w:t>
      </w:r>
      <w:r w:rsidRPr="001D09D4">
        <w:rPr>
          <w:b/>
          <w:bCs/>
          <w:noProof/>
          <w:kern w:val="32"/>
        </w:rPr>
        <w:fldChar w:fldCharType="end"/>
      </w:r>
      <w:r w:rsidR="001D09D4" w:rsidRPr="001D09D4">
        <w:rPr>
          <w:b/>
          <w:bCs/>
          <w:noProof/>
          <w:kern w:val="32"/>
        </w:rPr>
        <w:t xml:space="preserve">. </w:t>
      </w:r>
      <w:r w:rsidR="001D09D4" w:rsidRPr="001D09D4">
        <w:rPr>
          <w:b/>
          <w:bCs/>
          <w:kern w:val="32"/>
        </w:rPr>
        <w:t>Rates</w:t>
      </w:r>
    </w:p>
    <w:p w:rsidR="000E4AB3" w:rsidRPr="001D09D4" w:rsidRDefault="000E4AB3" w:rsidP="000E4AB3">
      <w:pPr>
        <w:jc w:val="both"/>
        <w:rPr>
          <w:b/>
          <w:bCs/>
          <w:i/>
        </w:rPr>
      </w:pPr>
      <w:r w:rsidRPr="0077007E">
        <w:rPr>
          <w:b/>
          <w:bCs/>
          <w:i/>
        </w:rPr>
        <w:t>Non-Potable Water Rates</w:t>
      </w:r>
    </w:p>
    <w:p w:rsidR="000E4AB3" w:rsidRPr="006252C6" w:rsidRDefault="000E4AB3" w:rsidP="000E4AB3">
      <w:pPr>
        <w:jc w:val="both"/>
        <w:rPr>
          <w:bCs/>
        </w:rPr>
      </w:pPr>
    </w:p>
    <w:p w:rsidR="000E4AB3" w:rsidRPr="006252C6" w:rsidRDefault="000E4AB3" w:rsidP="000E4AB3">
      <w:pPr>
        <w:jc w:val="both"/>
        <w:rPr>
          <w:bCs/>
        </w:rPr>
      </w:pPr>
      <w:r w:rsidRPr="006252C6">
        <w:rPr>
          <w:bCs/>
        </w:rPr>
        <w:tab/>
        <w:t xml:space="preserve">The Utility’s non-potable system provides water for irrigation </w:t>
      </w:r>
      <w:r w:rsidR="0077007E">
        <w:rPr>
          <w:bCs/>
        </w:rPr>
        <w:t xml:space="preserve">and </w:t>
      </w:r>
      <w:r w:rsidRPr="006252C6">
        <w:rPr>
          <w:bCs/>
        </w:rPr>
        <w:t xml:space="preserve">for </w:t>
      </w:r>
      <w:r w:rsidR="00696327">
        <w:rPr>
          <w:bCs/>
        </w:rPr>
        <w:t xml:space="preserve">fire </w:t>
      </w:r>
      <w:r w:rsidRPr="006252C6">
        <w:rPr>
          <w:bCs/>
        </w:rPr>
        <w:t xml:space="preserve">hydrants located throughout the Utility’s service area. In its 2015 rate case, the Utility was concerned that the non-potable water rates were set too high </w:t>
      </w:r>
      <w:r w:rsidR="0077007E">
        <w:rPr>
          <w:bCs/>
        </w:rPr>
        <w:t xml:space="preserve">and </w:t>
      </w:r>
      <w:r w:rsidRPr="006252C6">
        <w:rPr>
          <w:bCs/>
        </w:rPr>
        <w:t xml:space="preserve">would contribute to customers seeking an alternative water supply for irrigation. In addition, the Utility indicated that the Commission-approved non-potable water rates for irrigation, which are based on a separate revenue requirement, </w:t>
      </w:r>
      <w:r w:rsidR="0077007E">
        <w:rPr>
          <w:bCs/>
        </w:rPr>
        <w:t xml:space="preserve">did not reflect </w:t>
      </w:r>
      <w:r w:rsidRPr="006252C6">
        <w:rPr>
          <w:bCs/>
        </w:rPr>
        <w:t xml:space="preserve">that the non-potable system provides water to fire hydrants. In 2019, the golf course constructed its own source of water for irrigation and disconnected from the Utility’s non-potable water system. Because the fire protection benefits all customers, the Utility indicated that some of the non-potable water revenues should be shifted to the other services. The Utility is seeking to recover lost non-potable water revenues due to the loss of the golf course irrigation customer.   </w:t>
      </w:r>
    </w:p>
    <w:p w:rsidR="000E4AB3" w:rsidRPr="006252C6" w:rsidRDefault="000E4AB3" w:rsidP="000E4AB3">
      <w:pPr>
        <w:jc w:val="both"/>
        <w:rPr>
          <w:bCs/>
        </w:rPr>
      </w:pPr>
    </w:p>
    <w:p w:rsidR="000E4AB3" w:rsidRPr="006252C6" w:rsidRDefault="000E4AB3" w:rsidP="000E4AB3">
      <w:pPr>
        <w:spacing w:after="240"/>
        <w:jc w:val="both"/>
        <w:rPr>
          <w:bCs/>
        </w:rPr>
      </w:pPr>
      <w:r w:rsidRPr="006252C6">
        <w:rPr>
          <w:bCs/>
        </w:rPr>
        <w:tab/>
      </w:r>
      <w:r w:rsidR="0077007E">
        <w:rPr>
          <w:bCs/>
        </w:rPr>
        <w:t xml:space="preserve">We </w:t>
      </w:r>
      <w:r w:rsidRPr="006252C6">
        <w:rPr>
          <w:bCs/>
        </w:rPr>
        <w:t xml:space="preserve">recognize </w:t>
      </w:r>
      <w:r w:rsidR="0077007E">
        <w:rPr>
          <w:bCs/>
        </w:rPr>
        <w:t xml:space="preserve">that </w:t>
      </w:r>
      <w:r w:rsidRPr="006252C6">
        <w:rPr>
          <w:bCs/>
        </w:rPr>
        <w:t xml:space="preserve">the additional burden will be placed on the remaining non-potable water customers </w:t>
      </w:r>
      <w:r w:rsidR="0077007E">
        <w:rPr>
          <w:bCs/>
        </w:rPr>
        <w:t xml:space="preserve">because of </w:t>
      </w:r>
      <w:r w:rsidRPr="006252C6">
        <w:rPr>
          <w:bCs/>
        </w:rPr>
        <w:t xml:space="preserve">the loss of the golf course as a customer. </w:t>
      </w:r>
      <w:r w:rsidR="0077007E">
        <w:rPr>
          <w:bCs/>
        </w:rPr>
        <w:t>We also recognize</w:t>
      </w:r>
      <w:r w:rsidRPr="006252C6">
        <w:rPr>
          <w:bCs/>
        </w:rPr>
        <w:t xml:space="preserve"> the Utility’s ongoing concern about the level of non-potable water rates. </w:t>
      </w:r>
      <w:r w:rsidR="0077007E">
        <w:rPr>
          <w:bCs/>
        </w:rPr>
        <w:t>However, as discussed above, t</w:t>
      </w:r>
      <w:r w:rsidRPr="006252C6">
        <w:rPr>
          <w:bCs/>
        </w:rPr>
        <w:t xml:space="preserve">he non-potable water system is also the fire flow system. </w:t>
      </w:r>
      <w:r w:rsidR="0077007E">
        <w:rPr>
          <w:bCs/>
        </w:rPr>
        <w:t xml:space="preserve">We have </w:t>
      </w:r>
      <w:r w:rsidRPr="006252C6">
        <w:rPr>
          <w:bCs/>
        </w:rPr>
        <w:t>determined in prior dockets that the non-potable water distribution system is first and foremost a fire protection system and benefits all customers.</w:t>
      </w:r>
      <w:r w:rsidRPr="006252C6">
        <w:rPr>
          <w:bCs/>
          <w:vertAlign w:val="superscript"/>
        </w:rPr>
        <w:footnoteReference w:id="4"/>
      </w:r>
      <w:r w:rsidRPr="006252C6">
        <w:rPr>
          <w:bCs/>
        </w:rPr>
        <w:t xml:space="preserve"> If customers were to continue leaving the non-potable water system and find other irrigation sources, then the purpose of the non-potable water system would be just for fire flow and the cost would be ultimately borne by the general body of ratepayers.  </w:t>
      </w:r>
    </w:p>
    <w:p w:rsidR="000E4AB3" w:rsidRPr="006252C6" w:rsidRDefault="000E4AB3" w:rsidP="000E4AB3">
      <w:pPr>
        <w:spacing w:after="240"/>
        <w:jc w:val="both"/>
        <w:rPr>
          <w:bCs/>
        </w:rPr>
      </w:pPr>
      <w:r w:rsidRPr="006252C6">
        <w:rPr>
          <w:bCs/>
        </w:rPr>
        <w:tab/>
      </w:r>
      <w:r w:rsidR="0077007E">
        <w:rPr>
          <w:bCs/>
        </w:rPr>
        <w:t>I</w:t>
      </w:r>
      <w:r w:rsidRPr="006252C6">
        <w:rPr>
          <w:bCs/>
        </w:rPr>
        <w:t xml:space="preserve">t is important to find a balance in terms of cost recovery for the non-potable water system. Because the system functions as fire protection and benefits the general body of ratepayers, </w:t>
      </w:r>
      <w:r w:rsidR="0077007E">
        <w:rPr>
          <w:bCs/>
        </w:rPr>
        <w:t xml:space="preserve">we find it </w:t>
      </w:r>
      <w:r w:rsidRPr="006252C6">
        <w:rPr>
          <w:bCs/>
        </w:rPr>
        <w:t xml:space="preserve">appropriate to allocate a portion of the non-potable water revenue requirement to the other services. </w:t>
      </w:r>
      <w:r w:rsidR="0077007E">
        <w:rPr>
          <w:bCs/>
        </w:rPr>
        <w:t>Moreover, t</w:t>
      </w:r>
      <w:r w:rsidR="00696327">
        <w:rPr>
          <w:bCs/>
        </w:rPr>
        <w:t>he non-potable water rates must</w:t>
      </w:r>
      <w:r w:rsidRPr="006252C6">
        <w:rPr>
          <w:bCs/>
        </w:rPr>
        <w:t xml:space="preserve"> be restructured to account for the loss of the golf course and associated billing determinants. </w:t>
      </w:r>
    </w:p>
    <w:p w:rsidR="000E4AB3" w:rsidRPr="006252C6" w:rsidRDefault="000E4AB3" w:rsidP="000E4AB3">
      <w:pPr>
        <w:spacing w:after="240"/>
        <w:jc w:val="both"/>
        <w:rPr>
          <w:bCs/>
        </w:rPr>
      </w:pPr>
      <w:r w:rsidRPr="006252C6">
        <w:rPr>
          <w:bCs/>
        </w:rPr>
        <w:tab/>
      </w:r>
      <w:r w:rsidR="0077007E">
        <w:rPr>
          <w:bCs/>
        </w:rPr>
        <w:t xml:space="preserve">The approved </w:t>
      </w:r>
      <w:r w:rsidRPr="006252C6">
        <w:rPr>
          <w:bCs/>
        </w:rPr>
        <w:t xml:space="preserve">non-potable water revenue requirement is $248,891, which is an incremental increase above the Phase II revenue requirement approved in the Utility’s last rate case. The incremental increase represents pro forma items and rate case expense for the instant docket. However, subsequent to approval of the Phase II revenue requirement, the Utility had a price index increase in 2018 for the non-potable water system, which is not accounted for in the </w:t>
      </w:r>
      <w:r w:rsidR="0077007E">
        <w:rPr>
          <w:bCs/>
        </w:rPr>
        <w:t xml:space="preserve">approved </w:t>
      </w:r>
      <w:r w:rsidRPr="006252C6">
        <w:rPr>
          <w:bCs/>
        </w:rPr>
        <w:t xml:space="preserve">revenue requirement. In past dockets relating to rate restructuring because of a loss in billing determinants, </w:t>
      </w:r>
      <w:r w:rsidR="0077007E">
        <w:rPr>
          <w:bCs/>
        </w:rPr>
        <w:t xml:space="preserve">we </w:t>
      </w:r>
      <w:r w:rsidRPr="006252C6">
        <w:rPr>
          <w:bCs/>
        </w:rPr>
        <w:t>approved restr</w:t>
      </w:r>
      <w:r w:rsidR="0077007E">
        <w:rPr>
          <w:bCs/>
        </w:rPr>
        <w:t>uctured rates that allowed a u</w:t>
      </w:r>
      <w:r w:rsidRPr="006252C6">
        <w:rPr>
          <w:bCs/>
        </w:rPr>
        <w:t>tility to recover a prior approved revenue requirement and any additional revenue increases as a result of an index or pass-through adjustment.</w:t>
      </w:r>
      <w:r w:rsidRPr="006252C6">
        <w:rPr>
          <w:bCs/>
          <w:vertAlign w:val="superscript"/>
        </w:rPr>
        <w:footnoteReference w:id="5"/>
      </w:r>
      <w:r w:rsidRPr="006252C6">
        <w:rPr>
          <w:bCs/>
        </w:rPr>
        <w:t xml:space="preserve"> The incremental increase for the 2018 price index was $2,457. Therefore, the non-potable water revenue requirement for purposes of restructuring th</w:t>
      </w:r>
      <w:r w:rsidR="0077007E">
        <w:rPr>
          <w:bCs/>
        </w:rPr>
        <w:t>e non-potable water rates shall</w:t>
      </w:r>
      <w:r w:rsidRPr="006252C6">
        <w:rPr>
          <w:bCs/>
        </w:rPr>
        <w:t xml:space="preserve"> be adjusted to $251,348 ($248,891 + $2,457).</w:t>
      </w:r>
    </w:p>
    <w:p w:rsidR="000E4AB3" w:rsidRPr="006252C6" w:rsidRDefault="008D1D45" w:rsidP="000E4AB3">
      <w:pPr>
        <w:spacing w:after="240"/>
        <w:jc w:val="both"/>
        <w:rPr>
          <w:bCs/>
        </w:rPr>
      </w:pPr>
      <w:r w:rsidRPr="006252C6">
        <w:rPr>
          <w:bCs/>
        </w:rPr>
        <w:tab/>
      </w:r>
      <w:r w:rsidR="000E4AB3" w:rsidRPr="006252C6">
        <w:rPr>
          <w:bCs/>
        </w:rPr>
        <w:t xml:space="preserve">The appropriate billing determinants for restructuring the non-potable water rates are the 2019 billing determinants, which are 5,160 equivalent residential connections (based on the number of metered irrigation customers) and 86,496,944 gallons. Based on 2019 billing determinants, excluding the golf course, the existing rates, and 2019 miscellaneous revenues of $769, </w:t>
      </w:r>
      <w:r w:rsidR="00245560">
        <w:rPr>
          <w:bCs/>
        </w:rPr>
        <w:t xml:space="preserve">we find </w:t>
      </w:r>
      <w:r w:rsidR="000E4AB3" w:rsidRPr="006252C6">
        <w:rPr>
          <w:bCs/>
        </w:rPr>
        <w:t xml:space="preserve">non-potable water revenues to be $194,852. This is $56,496 ($251,348 - $194,852) less than the adjusted revenue requirement for restructuring the non-potable water rates. </w:t>
      </w:r>
      <w:r w:rsidR="009F69A4">
        <w:rPr>
          <w:bCs/>
        </w:rPr>
        <w:t>T</w:t>
      </w:r>
      <w:r w:rsidR="000E4AB3" w:rsidRPr="006252C6">
        <w:rPr>
          <w:bCs/>
        </w:rPr>
        <w:t>he non-potable water rates sh</w:t>
      </w:r>
      <w:r w:rsidR="009F69A4">
        <w:rPr>
          <w:bCs/>
        </w:rPr>
        <w:t>all</w:t>
      </w:r>
      <w:r w:rsidR="000E4AB3" w:rsidRPr="006252C6">
        <w:rPr>
          <w:bCs/>
        </w:rPr>
        <w:t xml:space="preserve"> be restructured with revenues of $194,852, excluding miscellaneous revenues. The reve</w:t>
      </w:r>
      <w:r w:rsidR="009F69A4">
        <w:rPr>
          <w:bCs/>
        </w:rPr>
        <w:t>nue difference of $56,496 shall</w:t>
      </w:r>
      <w:r w:rsidR="000E4AB3" w:rsidRPr="006252C6">
        <w:rPr>
          <w:bCs/>
        </w:rPr>
        <w:t xml:space="preserve"> be equally distributed between the potable water and wastewater services to recognize that the non-potable water system benefits all customers because of fire flow and to try to minimize any additional customer loss due to the level of non-potable water rates. </w:t>
      </w:r>
    </w:p>
    <w:p w:rsidR="000E4AB3" w:rsidRPr="001D09D4" w:rsidRDefault="000E4AB3" w:rsidP="000E4AB3">
      <w:pPr>
        <w:jc w:val="both"/>
        <w:rPr>
          <w:b/>
          <w:bCs/>
          <w:i/>
        </w:rPr>
      </w:pPr>
      <w:r w:rsidRPr="001D09D4">
        <w:rPr>
          <w:b/>
          <w:bCs/>
          <w:i/>
        </w:rPr>
        <w:t xml:space="preserve">Potable Water </w:t>
      </w:r>
      <w:r w:rsidR="008D1D45" w:rsidRPr="001D09D4">
        <w:rPr>
          <w:b/>
          <w:bCs/>
          <w:i/>
        </w:rPr>
        <w:t>and Wastewater Rates</w:t>
      </w:r>
    </w:p>
    <w:p w:rsidR="008D1D45" w:rsidRPr="006252C6" w:rsidRDefault="008D1D45" w:rsidP="000E4AB3">
      <w:pPr>
        <w:jc w:val="both"/>
        <w:rPr>
          <w:bCs/>
        </w:rPr>
      </w:pPr>
    </w:p>
    <w:p w:rsidR="000E4AB3" w:rsidRPr="006252C6" w:rsidRDefault="008D1D45" w:rsidP="000E4AB3">
      <w:pPr>
        <w:jc w:val="both"/>
        <w:rPr>
          <w:rFonts w:eastAsiaTheme="minorHAnsi"/>
        </w:rPr>
      </w:pPr>
      <w:r w:rsidRPr="006252C6">
        <w:rPr>
          <w:rFonts w:eastAsiaTheme="minorHAnsi"/>
        </w:rPr>
        <w:tab/>
      </w:r>
      <w:r w:rsidR="000E4AB3" w:rsidRPr="006252C6">
        <w:rPr>
          <w:rFonts w:eastAsiaTheme="minorHAnsi"/>
        </w:rPr>
        <w:t xml:space="preserve">As discussed above, </w:t>
      </w:r>
      <w:r w:rsidR="009F69A4">
        <w:rPr>
          <w:rFonts w:eastAsiaTheme="minorHAnsi"/>
        </w:rPr>
        <w:t xml:space="preserve">the approved </w:t>
      </w:r>
      <w:r w:rsidR="000E4AB3" w:rsidRPr="006252C6">
        <w:rPr>
          <w:rFonts w:eastAsiaTheme="minorHAnsi"/>
        </w:rPr>
        <w:t xml:space="preserve">revenue requirements are incremental increases to the Commission-approved Phase II revenue requirements. Subsequent to the implementation of Phase II rates, the Utility had a price index adjustment for the potable water and wastewater systems, which is not reflected in the Phase II revenue requirement calculations. As a result, </w:t>
      </w:r>
      <w:r w:rsidR="009F69A4">
        <w:rPr>
          <w:rFonts w:eastAsiaTheme="minorHAnsi"/>
        </w:rPr>
        <w:t>the Phase II rates shall</w:t>
      </w:r>
      <w:r w:rsidR="000E4AB3" w:rsidRPr="006252C6">
        <w:rPr>
          <w:rFonts w:eastAsiaTheme="minorHAnsi"/>
        </w:rPr>
        <w:t xml:space="preserve"> be used as the basis for determining the incremental increase to be added to the Utility’s current rates. Since the implementation of Phase I rates, the Utility’s potable water system has been overearning and being netted against the wastewater system’s revenues. </w:t>
      </w:r>
    </w:p>
    <w:p w:rsidR="000E4AB3" w:rsidRPr="006252C6" w:rsidRDefault="000E4AB3" w:rsidP="000E4AB3">
      <w:pPr>
        <w:jc w:val="both"/>
        <w:rPr>
          <w:rFonts w:eastAsiaTheme="minorHAnsi"/>
        </w:rPr>
      </w:pPr>
    </w:p>
    <w:p w:rsidR="000E4AB3" w:rsidRDefault="008D1D45" w:rsidP="000E4AB3">
      <w:pPr>
        <w:jc w:val="both"/>
        <w:rPr>
          <w:rFonts w:eastAsiaTheme="minorHAnsi"/>
        </w:rPr>
      </w:pPr>
      <w:r w:rsidRPr="006252C6">
        <w:rPr>
          <w:rFonts w:eastAsiaTheme="minorHAnsi"/>
        </w:rPr>
        <w:tab/>
      </w:r>
      <w:r w:rsidR="000E4AB3" w:rsidRPr="006252C6">
        <w:rPr>
          <w:rFonts w:eastAsiaTheme="minorHAnsi"/>
        </w:rPr>
        <w:t xml:space="preserve">When there are overearnings for a water and wastewater system, it has been </w:t>
      </w:r>
      <w:r w:rsidR="009F69A4">
        <w:rPr>
          <w:rFonts w:eastAsiaTheme="minorHAnsi"/>
        </w:rPr>
        <w:t xml:space="preserve">our </w:t>
      </w:r>
      <w:r w:rsidR="000E4AB3" w:rsidRPr="006252C6">
        <w:rPr>
          <w:rFonts w:eastAsiaTheme="minorHAnsi"/>
        </w:rPr>
        <w:t xml:space="preserve">practice to avoid decreasing water rates by netting the revenues of the water and wastewater systems if the customer bases are similar. Decreasing the potable water rates undermines conservation efforts. </w:t>
      </w:r>
      <w:r w:rsidR="009F69A4">
        <w:rPr>
          <w:rFonts w:eastAsiaTheme="minorHAnsi"/>
        </w:rPr>
        <w:t xml:space="preserve">Because there is a </w:t>
      </w:r>
      <w:r w:rsidR="000E4AB3" w:rsidRPr="006252C6">
        <w:rPr>
          <w:rFonts w:eastAsiaTheme="minorHAnsi"/>
        </w:rPr>
        <w:t xml:space="preserve">minimal difference between potable water and wastewater customers, </w:t>
      </w:r>
      <w:r w:rsidR="009F69A4">
        <w:rPr>
          <w:rFonts w:eastAsiaTheme="minorHAnsi"/>
        </w:rPr>
        <w:t xml:space="preserve">we </w:t>
      </w:r>
      <w:r w:rsidR="000E4AB3" w:rsidRPr="006252C6">
        <w:rPr>
          <w:rFonts w:eastAsiaTheme="minorHAnsi"/>
        </w:rPr>
        <w:t xml:space="preserve">approved netting the potable water overearnings with the wastewater system increase in order to avoid decreasing potable water rates. Therefore, for Phase I, the potable water rates remained unchanged. The netting was also done with the Phase II revenues since the potable water was still overearning, but not as much as with Phase I. When Phase II rates were designed, some of the wastewater revenues that were netted with the potable water system in Phase I were shifted back to the wastewater system.  </w:t>
      </w:r>
    </w:p>
    <w:p w:rsidR="009F69A4" w:rsidRPr="006252C6" w:rsidRDefault="009F69A4" w:rsidP="000E4AB3">
      <w:pPr>
        <w:jc w:val="both"/>
        <w:rPr>
          <w:rFonts w:eastAsiaTheme="minorHAnsi"/>
        </w:rPr>
      </w:pPr>
    </w:p>
    <w:p w:rsidR="000E4AB3" w:rsidRPr="006252C6" w:rsidRDefault="00696327" w:rsidP="000E4AB3">
      <w:pPr>
        <w:jc w:val="both"/>
        <w:rPr>
          <w:rFonts w:eastAsiaTheme="minorHAnsi"/>
        </w:rPr>
      </w:pPr>
      <w:r>
        <w:rPr>
          <w:rFonts w:eastAsiaTheme="minorHAnsi"/>
        </w:rPr>
        <w:tab/>
      </w:r>
      <w:r w:rsidR="000E4AB3" w:rsidRPr="006252C6">
        <w:rPr>
          <w:rFonts w:eastAsiaTheme="minorHAnsi"/>
        </w:rPr>
        <w:t>As discussed above, potable wate</w:t>
      </w:r>
      <w:r w:rsidR="009F69A4">
        <w:rPr>
          <w:rFonts w:eastAsiaTheme="minorHAnsi"/>
        </w:rPr>
        <w:t>r and wastewater revenues shall</w:t>
      </w:r>
      <w:r w:rsidR="000E4AB3" w:rsidRPr="006252C6">
        <w:rPr>
          <w:rFonts w:eastAsiaTheme="minorHAnsi"/>
        </w:rPr>
        <w:t xml:space="preserve"> each be increased by revenues of $28,248 ($56,496/2) to reflect the reallocation of non-potable water revenues.</w:t>
      </w:r>
      <w:r w:rsidR="00245560">
        <w:rPr>
          <w:rFonts w:eastAsiaTheme="minorHAnsi"/>
        </w:rPr>
        <w:t xml:space="preserve"> The approved</w:t>
      </w:r>
      <w:r w:rsidR="000E4AB3" w:rsidRPr="006252C6">
        <w:rPr>
          <w:rFonts w:eastAsiaTheme="minorHAnsi"/>
        </w:rPr>
        <w:t xml:space="preserve"> revenue requirement of $168,365 for potable water is less than the revenues of $170,848 generated by the Phase II potable water rates. With the reallocation of non-potable water revenues, the potable water system has an increase of $25,765 ($28,248 - $2,483) and does not show an overearnings or a need for netting revenues with the wastewater system. For the wastew</w:t>
      </w:r>
      <w:r w:rsidR="009F69A4">
        <w:rPr>
          <w:rFonts w:eastAsiaTheme="minorHAnsi"/>
        </w:rPr>
        <w:t>ater system, the increase shall</w:t>
      </w:r>
      <w:r w:rsidR="000E4AB3" w:rsidRPr="006252C6">
        <w:rPr>
          <w:rFonts w:eastAsiaTheme="minorHAnsi"/>
        </w:rPr>
        <w:t xml:space="preserve"> be $34,679, which is the $5,043 returned from </w:t>
      </w:r>
      <w:r w:rsidR="009F69A4">
        <w:rPr>
          <w:rFonts w:eastAsiaTheme="minorHAnsi"/>
        </w:rPr>
        <w:t xml:space="preserve">the </w:t>
      </w:r>
      <w:r w:rsidR="000E4AB3" w:rsidRPr="006252C6">
        <w:rPr>
          <w:rFonts w:eastAsiaTheme="minorHAnsi"/>
        </w:rPr>
        <w:t xml:space="preserve">potable water system, the $1,387 for the limited proceeding incremental increase, and the $28,248 allocated from the non-potable water system. </w:t>
      </w:r>
      <w:r w:rsidR="009F69A4">
        <w:rPr>
          <w:rFonts w:eastAsiaTheme="minorHAnsi"/>
        </w:rPr>
        <w:t xml:space="preserve">The </w:t>
      </w:r>
      <w:r w:rsidR="000E4AB3" w:rsidRPr="006252C6">
        <w:rPr>
          <w:rFonts w:eastAsiaTheme="minorHAnsi"/>
        </w:rPr>
        <w:t xml:space="preserve">Table </w:t>
      </w:r>
      <w:r w:rsidR="009F69A4">
        <w:rPr>
          <w:rFonts w:eastAsiaTheme="minorHAnsi"/>
        </w:rPr>
        <w:t>below</w:t>
      </w:r>
      <w:r w:rsidR="000E4AB3" w:rsidRPr="006252C6">
        <w:rPr>
          <w:rFonts w:eastAsiaTheme="minorHAnsi"/>
        </w:rPr>
        <w:t xml:space="preserve"> reflects the revenues </w:t>
      </w:r>
      <w:r w:rsidR="009F69A4">
        <w:rPr>
          <w:rFonts w:eastAsiaTheme="minorHAnsi"/>
        </w:rPr>
        <w:t>we</w:t>
      </w:r>
      <w:r w:rsidR="000E4AB3" w:rsidRPr="006252C6">
        <w:rPr>
          <w:rFonts w:eastAsiaTheme="minorHAnsi"/>
        </w:rPr>
        <w:t xml:space="preserve"> used </w:t>
      </w:r>
      <w:r w:rsidR="00245560">
        <w:rPr>
          <w:rFonts w:eastAsiaTheme="minorHAnsi"/>
        </w:rPr>
        <w:t xml:space="preserve">to </w:t>
      </w:r>
      <w:r w:rsidR="000E4AB3" w:rsidRPr="006252C6">
        <w:rPr>
          <w:rFonts w:eastAsiaTheme="minorHAnsi"/>
        </w:rPr>
        <w:t>design rates.</w:t>
      </w:r>
    </w:p>
    <w:p w:rsidR="000E4AB3" w:rsidRPr="006252C6" w:rsidRDefault="000E4AB3" w:rsidP="000E4AB3">
      <w:pPr>
        <w:jc w:val="both"/>
        <w:rPr>
          <w:rFonts w:eastAsiaTheme="minorHAnsi"/>
        </w:rPr>
      </w:pPr>
    </w:p>
    <w:p w:rsidR="000E4AB3" w:rsidRDefault="000E4AB3" w:rsidP="000E4AB3">
      <w:pPr>
        <w:jc w:val="center"/>
        <w:rPr>
          <w:rFonts w:eastAsiaTheme="minorHAnsi"/>
          <w:b/>
        </w:rPr>
      </w:pPr>
    </w:p>
    <w:p w:rsidR="009F69A4" w:rsidRDefault="009F69A4" w:rsidP="000E4AB3">
      <w:pPr>
        <w:jc w:val="center"/>
        <w:rPr>
          <w:rFonts w:eastAsiaTheme="minorHAnsi"/>
          <w:b/>
        </w:rPr>
      </w:pPr>
    </w:p>
    <w:p w:rsidR="009F69A4" w:rsidRDefault="009F69A4" w:rsidP="000E4AB3">
      <w:pPr>
        <w:jc w:val="center"/>
        <w:rPr>
          <w:rFonts w:eastAsiaTheme="minorHAnsi"/>
          <w:b/>
        </w:rPr>
      </w:pPr>
    </w:p>
    <w:p w:rsidR="009F69A4" w:rsidRDefault="009F69A4" w:rsidP="000E4AB3">
      <w:pPr>
        <w:jc w:val="center"/>
        <w:rPr>
          <w:rFonts w:eastAsiaTheme="minorHAnsi"/>
          <w:b/>
        </w:rPr>
      </w:pPr>
    </w:p>
    <w:p w:rsidR="009F69A4" w:rsidRDefault="009F69A4" w:rsidP="000E4AB3">
      <w:pPr>
        <w:jc w:val="center"/>
        <w:rPr>
          <w:rFonts w:eastAsiaTheme="minorHAnsi"/>
          <w:b/>
        </w:rPr>
      </w:pPr>
    </w:p>
    <w:p w:rsidR="009F69A4" w:rsidRDefault="009F69A4" w:rsidP="000E4AB3">
      <w:pPr>
        <w:jc w:val="center"/>
        <w:rPr>
          <w:rFonts w:eastAsiaTheme="minorHAnsi"/>
          <w:b/>
        </w:rPr>
      </w:pPr>
    </w:p>
    <w:p w:rsidR="009F69A4" w:rsidRDefault="009F69A4" w:rsidP="000E4AB3">
      <w:pPr>
        <w:jc w:val="center"/>
        <w:rPr>
          <w:rFonts w:eastAsiaTheme="minorHAnsi"/>
          <w:b/>
        </w:rPr>
      </w:pPr>
    </w:p>
    <w:p w:rsidR="009F69A4" w:rsidRDefault="009F69A4" w:rsidP="000E4AB3">
      <w:pPr>
        <w:jc w:val="center"/>
        <w:rPr>
          <w:rFonts w:eastAsiaTheme="minorHAnsi"/>
          <w:b/>
        </w:rPr>
      </w:pPr>
    </w:p>
    <w:p w:rsidR="009F69A4" w:rsidRPr="006252C6" w:rsidRDefault="009F69A4" w:rsidP="000E4AB3">
      <w:pPr>
        <w:jc w:val="center"/>
        <w:rPr>
          <w:rFonts w:eastAsiaTheme="minorHAnsi"/>
          <w:b/>
        </w:rPr>
      </w:pPr>
    </w:p>
    <w:p w:rsidR="000E4AB3" w:rsidRPr="006252C6" w:rsidRDefault="000E4AB3" w:rsidP="000E4AB3">
      <w:pPr>
        <w:jc w:val="center"/>
        <w:rPr>
          <w:rFonts w:eastAsiaTheme="minorHAnsi"/>
          <w:b/>
        </w:rPr>
      </w:pPr>
      <w:r w:rsidRPr="006252C6">
        <w:rPr>
          <w:rFonts w:eastAsiaTheme="minorHAnsi"/>
          <w:b/>
        </w:rPr>
        <w:t xml:space="preserve">Approved Phase II and </w:t>
      </w:r>
    </w:p>
    <w:p w:rsidR="000E4AB3" w:rsidRPr="006252C6" w:rsidRDefault="009F69A4" w:rsidP="000E4AB3">
      <w:pPr>
        <w:jc w:val="center"/>
        <w:rPr>
          <w:rFonts w:eastAsiaTheme="minorHAnsi"/>
          <w:b/>
        </w:rPr>
      </w:pPr>
      <w:r>
        <w:rPr>
          <w:rFonts w:eastAsiaTheme="minorHAnsi"/>
          <w:b/>
        </w:rPr>
        <w:t xml:space="preserve">Approved </w:t>
      </w:r>
      <w:r w:rsidR="000E4AB3" w:rsidRPr="006252C6">
        <w:rPr>
          <w:rFonts w:eastAsiaTheme="minorHAnsi"/>
          <w:b/>
        </w:rPr>
        <w:t>Revenue Requirements for Rate Setting</w:t>
      </w:r>
    </w:p>
    <w:tbl>
      <w:tblPr>
        <w:tblStyle w:val="TableGrid2"/>
        <w:tblW w:w="9389" w:type="dxa"/>
        <w:jc w:val="center"/>
        <w:tblLook w:val="04A0" w:firstRow="1" w:lastRow="0" w:firstColumn="1" w:lastColumn="0" w:noHBand="0" w:noVBand="1"/>
      </w:tblPr>
      <w:tblGrid>
        <w:gridCol w:w="390"/>
        <w:gridCol w:w="4069"/>
        <w:gridCol w:w="1116"/>
        <w:gridCol w:w="1349"/>
        <w:gridCol w:w="1116"/>
        <w:gridCol w:w="1349"/>
      </w:tblGrid>
      <w:tr w:rsidR="000E4AB3" w:rsidRPr="006252C6" w:rsidTr="008D1D45">
        <w:trPr>
          <w:trHeight w:val="325"/>
          <w:jc w:val="center"/>
        </w:trPr>
        <w:tc>
          <w:tcPr>
            <w:tcW w:w="318" w:type="dxa"/>
          </w:tcPr>
          <w:p w:rsidR="000E4AB3" w:rsidRPr="006252C6" w:rsidRDefault="000E4AB3" w:rsidP="000E4AB3">
            <w:pPr>
              <w:jc w:val="center"/>
              <w:rPr>
                <w:rFonts w:ascii="Times New Roman" w:hAnsi="Times New Roman" w:cs="Times New Roman"/>
              </w:rPr>
            </w:pPr>
          </w:p>
        </w:tc>
        <w:tc>
          <w:tcPr>
            <w:tcW w:w="4349" w:type="dxa"/>
            <w:vAlign w:val="center"/>
          </w:tcPr>
          <w:p w:rsidR="000E4AB3" w:rsidRPr="006252C6" w:rsidRDefault="000E4AB3" w:rsidP="000E4AB3">
            <w:pPr>
              <w:jc w:val="center"/>
              <w:rPr>
                <w:rFonts w:ascii="Times New Roman" w:hAnsi="Times New Roman" w:cs="Times New Roman"/>
              </w:rPr>
            </w:pPr>
          </w:p>
        </w:tc>
        <w:tc>
          <w:tcPr>
            <w:tcW w:w="2361" w:type="dxa"/>
            <w:gridSpan w:val="2"/>
            <w:vAlign w:val="center"/>
          </w:tcPr>
          <w:p w:rsidR="000E4AB3" w:rsidRPr="006252C6" w:rsidRDefault="000E4AB3" w:rsidP="000E4AB3">
            <w:pPr>
              <w:jc w:val="center"/>
              <w:rPr>
                <w:rFonts w:ascii="Times New Roman" w:hAnsi="Times New Roman" w:cs="Times New Roman"/>
                <w:b/>
              </w:rPr>
            </w:pPr>
            <w:r w:rsidRPr="006252C6">
              <w:rPr>
                <w:rFonts w:ascii="Times New Roman" w:hAnsi="Times New Roman" w:cs="Times New Roman"/>
                <w:b/>
              </w:rPr>
              <w:t>Phase II</w:t>
            </w:r>
          </w:p>
        </w:tc>
        <w:tc>
          <w:tcPr>
            <w:tcW w:w="2361" w:type="dxa"/>
            <w:gridSpan w:val="2"/>
            <w:vAlign w:val="center"/>
          </w:tcPr>
          <w:p w:rsidR="000E4AB3" w:rsidRPr="006252C6" w:rsidRDefault="000E4AB3" w:rsidP="000E4AB3">
            <w:pPr>
              <w:jc w:val="center"/>
              <w:rPr>
                <w:rFonts w:ascii="Times New Roman" w:hAnsi="Times New Roman" w:cs="Times New Roman"/>
                <w:b/>
              </w:rPr>
            </w:pPr>
            <w:r w:rsidRPr="006252C6">
              <w:rPr>
                <w:rFonts w:ascii="Times New Roman" w:hAnsi="Times New Roman" w:cs="Times New Roman"/>
                <w:b/>
              </w:rPr>
              <w:t>Limited Proceeding</w:t>
            </w:r>
          </w:p>
        </w:tc>
      </w:tr>
      <w:tr w:rsidR="000E4AB3" w:rsidRPr="006252C6" w:rsidTr="008D1D45">
        <w:trPr>
          <w:trHeight w:val="222"/>
          <w:jc w:val="center"/>
        </w:trPr>
        <w:tc>
          <w:tcPr>
            <w:tcW w:w="318" w:type="dxa"/>
          </w:tcPr>
          <w:p w:rsidR="000E4AB3" w:rsidRPr="006252C6" w:rsidRDefault="000E4AB3" w:rsidP="000E4AB3">
            <w:pPr>
              <w:rPr>
                <w:rFonts w:ascii="Times New Roman" w:hAnsi="Times New Roman" w:cs="Times New Roman"/>
              </w:rPr>
            </w:pPr>
          </w:p>
        </w:tc>
        <w:tc>
          <w:tcPr>
            <w:tcW w:w="4349" w:type="dxa"/>
          </w:tcPr>
          <w:p w:rsidR="000E4AB3" w:rsidRPr="006252C6" w:rsidRDefault="000E4AB3" w:rsidP="000E4AB3">
            <w:pPr>
              <w:rPr>
                <w:rFonts w:ascii="Times New Roman" w:hAnsi="Times New Roman" w:cs="Times New Roman"/>
              </w:rPr>
            </w:pPr>
          </w:p>
        </w:tc>
        <w:tc>
          <w:tcPr>
            <w:tcW w:w="1052" w:type="dxa"/>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Potable Water</w:t>
            </w:r>
          </w:p>
        </w:tc>
        <w:tc>
          <w:tcPr>
            <w:tcW w:w="1309"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Wastewater</w:t>
            </w:r>
          </w:p>
        </w:tc>
        <w:tc>
          <w:tcPr>
            <w:tcW w:w="1052" w:type="dxa"/>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Potable Water</w:t>
            </w:r>
          </w:p>
        </w:tc>
        <w:tc>
          <w:tcPr>
            <w:tcW w:w="1309"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Wastewater</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A</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Commission-Approved/Staff Recommended Revenue Requirement</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$165,805</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$180,628</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$168,365</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$182,016</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B</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Revenue generated from rates</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$170,848</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$167,070</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$170,848</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$175,585</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C</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Revenue Increase/Decrease (A - B)</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($5,043)</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$13,558</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($2,483)</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$6,431</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D</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 xml:space="preserve">Netting </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$5,043</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($5,043)</w:t>
            </w:r>
          </w:p>
        </w:tc>
        <w:tc>
          <w:tcPr>
            <w:tcW w:w="1052"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 xml:space="preserve">       --</w:t>
            </w:r>
          </w:p>
        </w:tc>
        <w:tc>
          <w:tcPr>
            <w:tcW w:w="1309"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 xml:space="preserve">         --</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E</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Reallocation of Non-Potable Revenues</w:t>
            </w:r>
          </w:p>
        </w:tc>
        <w:tc>
          <w:tcPr>
            <w:tcW w:w="1052"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 xml:space="preserve">       --</w:t>
            </w:r>
          </w:p>
        </w:tc>
        <w:tc>
          <w:tcPr>
            <w:tcW w:w="1309"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 xml:space="preserve">         --</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$28,248</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$28,248</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F</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Total Revenue Increase (C + E)</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$0</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$8,515</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$25,765</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$34,679</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G</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Percent Increase to Rates (F / B)</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0%</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5.10%</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15.08%</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19.75%</w:t>
            </w:r>
          </w:p>
        </w:tc>
      </w:tr>
      <w:tr w:rsidR="000E4AB3" w:rsidRPr="006252C6" w:rsidTr="008D1D45">
        <w:trPr>
          <w:trHeight w:val="222"/>
          <w:jc w:val="center"/>
        </w:trPr>
        <w:tc>
          <w:tcPr>
            <w:tcW w:w="318" w:type="dxa"/>
            <w:vAlign w:val="bottom"/>
          </w:tcPr>
          <w:p w:rsidR="000E4AB3" w:rsidRPr="006252C6" w:rsidRDefault="000E4AB3" w:rsidP="000E4AB3">
            <w:pPr>
              <w:jc w:val="center"/>
              <w:rPr>
                <w:rFonts w:ascii="Times New Roman" w:hAnsi="Times New Roman" w:cs="Times New Roman"/>
              </w:rPr>
            </w:pPr>
            <w:r w:rsidRPr="006252C6">
              <w:rPr>
                <w:rFonts w:ascii="Times New Roman" w:hAnsi="Times New Roman" w:cs="Times New Roman"/>
              </w:rPr>
              <w:t>H</w:t>
            </w:r>
          </w:p>
        </w:tc>
        <w:tc>
          <w:tcPr>
            <w:tcW w:w="4349" w:type="dxa"/>
          </w:tcPr>
          <w:p w:rsidR="000E4AB3" w:rsidRPr="006252C6" w:rsidRDefault="000E4AB3" w:rsidP="000E4AB3">
            <w:pPr>
              <w:rPr>
                <w:rFonts w:ascii="Times New Roman" w:hAnsi="Times New Roman" w:cs="Times New Roman"/>
              </w:rPr>
            </w:pPr>
            <w:r w:rsidRPr="006252C6">
              <w:rPr>
                <w:rFonts w:ascii="Times New Roman" w:hAnsi="Times New Roman" w:cs="Times New Roman"/>
              </w:rPr>
              <w:t>Revenue Requirement for Rate Setting (B + F)</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$170,848</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$175,585</w:t>
            </w:r>
          </w:p>
        </w:tc>
        <w:tc>
          <w:tcPr>
            <w:tcW w:w="1052"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$196,613</w:t>
            </w:r>
          </w:p>
        </w:tc>
        <w:tc>
          <w:tcPr>
            <w:tcW w:w="1309" w:type="dxa"/>
            <w:vAlign w:val="bottom"/>
          </w:tcPr>
          <w:p w:rsidR="000E4AB3" w:rsidRPr="006252C6" w:rsidRDefault="000E4AB3" w:rsidP="000E4AB3">
            <w:pPr>
              <w:jc w:val="right"/>
              <w:rPr>
                <w:rFonts w:ascii="Times New Roman" w:hAnsi="Times New Roman" w:cs="Times New Roman"/>
              </w:rPr>
            </w:pPr>
            <w:r w:rsidRPr="006252C6">
              <w:rPr>
                <w:rFonts w:ascii="Times New Roman" w:hAnsi="Times New Roman" w:cs="Times New Roman"/>
              </w:rPr>
              <w:t>$210,264</w:t>
            </w:r>
          </w:p>
        </w:tc>
      </w:tr>
    </w:tbl>
    <w:p w:rsidR="000E4AB3" w:rsidRPr="006252C6" w:rsidRDefault="000E4AB3" w:rsidP="000E4AB3">
      <w:pPr>
        <w:jc w:val="both"/>
        <w:rPr>
          <w:rFonts w:eastAsiaTheme="minorHAnsi"/>
        </w:rPr>
      </w:pPr>
    </w:p>
    <w:p w:rsidR="000E4AB3" w:rsidRPr="006252C6" w:rsidRDefault="000E4AB3" w:rsidP="000E4AB3">
      <w:pPr>
        <w:jc w:val="both"/>
        <w:rPr>
          <w:rFonts w:eastAsiaTheme="minorHAnsi"/>
        </w:rPr>
      </w:pPr>
    </w:p>
    <w:p w:rsidR="000E4AB3" w:rsidRPr="006252C6" w:rsidRDefault="008D1D45" w:rsidP="008D1D45">
      <w:pPr>
        <w:jc w:val="both"/>
        <w:rPr>
          <w:rFonts w:eastAsiaTheme="minorHAnsi"/>
        </w:rPr>
      </w:pPr>
      <w:r w:rsidRPr="006252C6">
        <w:rPr>
          <w:rFonts w:eastAsiaTheme="minorHAnsi"/>
        </w:rPr>
        <w:tab/>
      </w:r>
      <w:r w:rsidR="000E4AB3" w:rsidRPr="006252C6">
        <w:rPr>
          <w:rFonts w:eastAsiaTheme="minorHAnsi"/>
        </w:rPr>
        <w:t>For the limited proceeding, an allocation of non-potable water revenues to the potable water system results in an increase of 15.08 percent for the potable water system. The revenue increase of $25,765, excluding miscellaneous revenues of $3,413, results in 15.39 percent increase. For wastewater rates, an allocation of non-potable water revenues and return of revenues from potable water system results in an increase of 19.75 percent for the wastewater system. The revenue increase of $34,679, excluding miscellaneous revenues of $655, results in a 19.82 percent increase. The 15.39 percent increase for potable water and the 19.</w:t>
      </w:r>
      <w:r w:rsidR="009F69A4">
        <w:rPr>
          <w:rFonts w:eastAsiaTheme="minorHAnsi"/>
        </w:rPr>
        <w:t>82 percent for wastewater shall</w:t>
      </w:r>
      <w:r w:rsidR="000E4AB3" w:rsidRPr="006252C6">
        <w:rPr>
          <w:rFonts w:eastAsiaTheme="minorHAnsi"/>
        </w:rPr>
        <w:t xml:space="preserve"> be applied as an across-the-board increase to the Phase II rates (excluding the 2018 index). </w:t>
      </w:r>
    </w:p>
    <w:p w:rsidR="008D1D45" w:rsidRPr="006252C6" w:rsidRDefault="008D1D45" w:rsidP="008D1D45">
      <w:pPr>
        <w:jc w:val="both"/>
        <w:rPr>
          <w:rFonts w:eastAsiaTheme="minorHAnsi"/>
        </w:rPr>
      </w:pPr>
    </w:p>
    <w:p w:rsidR="000E4AB3" w:rsidRPr="006252C6" w:rsidRDefault="008D1D45" w:rsidP="000E4AB3">
      <w:pPr>
        <w:jc w:val="both"/>
        <w:rPr>
          <w:rFonts w:eastAsiaTheme="minorHAnsi"/>
        </w:rPr>
      </w:pPr>
      <w:r w:rsidRPr="006252C6">
        <w:rPr>
          <w:rFonts w:eastAsiaTheme="minorHAnsi"/>
        </w:rPr>
        <w:tab/>
      </w:r>
      <w:r w:rsidR="000E4AB3" w:rsidRPr="006252C6">
        <w:rPr>
          <w:rFonts w:eastAsiaTheme="minorHAnsi"/>
        </w:rPr>
        <w:t xml:space="preserve">Subsequent to the implementation of the Phase II rates, the Utility was approved for a 2019 price index increase effective August 9, 2019. In order to maintain the price index increase, the incremental difference between the Phase II (excluding the 2018 index) and limited proceeding rates </w:t>
      </w:r>
      <w:r w:rsidR="009F69A4">
        <w:rPr>
          <w:rFonts w:eastAsiaTheme="minorHAnsi"/>
        </w:rPr>
        <w:t xml:space="preserve">shall </w:t>
      </w:r>
      <w:r w:rsidR="000E4AB3" w:rsidRPr="006252C6">
        <w:rPr>
          <w:rFonts w:eastAsiaTheme="minorHAnsi"/>
        </w:rPr>
        <w:t xml:space="preserve">be added to the Utility’s current potable water and wastewater rates. </w:t>
      </w:r>
    </w:p>
    <w:p w:rsidR="000E4AB3" w:rsidRPr="006252C6" w:rsidRDefault="000E4AB3" w:rsidP="000E4AB3">
      <w:pPr>
        <w:jc w:val="both"/>
        <w:rPr>
          <w:rFonts w:eastAsiaTheme="minorHAnsi"/>
        </w:rPr>
      </w:pPr>
    </w:p>
    <w:p w:rsidR="009F69A4" w:rsidRPr="006252C6" w:rsidRDefault="008D1D45" w:rsidP="000E4AB3">
      <w:pPr>
        <w:spacing w:after="240"/>
        <w:jc w:val="both"/>
        <w:rPr>
          <w:rFonts w:eastAsiaTheme="minorHAnsi"/>
        </w:rPr>
      </w:pPr>
      <w:r w:rsidRPr="006252C6">
        <w:rPr>
          <w:rFonts w:eastAsiaTheme="minorHAnsi"/>
        </w:rPr>
        <w:tab/>
      </w:r>
      <w:r w:rsidR="000E4AB3" w:rsidRPr="006252C6">
        <w:rPr>
          <w:rFonts w:eastAsiaTheme="minorHAnsi"/>
        </w:rPr>
        <w:t>The appropriate rates for Aquarina are shown on Schedule Nos.</w:t>
      </w:r>
      <w:r w:rsidR="009F69A4">
        <w:rPr>
          <w:rFonts w:eastAsiaTheme="minorHAnsi"/>
        </w:rPr>
        <w:t xml:space="preserve"> 4-A and 4-B. The Utility shall</w:t>
      </w:r>
      <w:r w:rsidR="000E4AB3" w:rsidRPr="006252C6">
        <w:rPr>
          <w:rFonts w:eastAsiaTheme="minorHAnsi"/>
        </w:rPr>
        <w:t xml:space="preserve"> file revised tariff sheets and a proposed customer notice to reflect the approved rates. The ap</w:t>
      </w:r>
      <w:r w:rsidR="009F69A4">
        <w:rPr>
          <w:rFonts w:eastAsiaTheme="minorHAnsi"/>
        </w:rPr>
        <w:t>proved rates shall</w:t>
      </w:r>
      <w:r w:rsidR="000E4AB3" w:rsidRPr="006252C6">
        <w:rPr>
          <w:rFonts w:eastAsiaTheme="minorHAnsi"/>
        </w:rPr>
        <w:t xml:space="preserve"> be effective for service rendered on or after the stamped approval date on the tariff sheets pursuant to Rule 25-30.475(1), F.A.C. In add</w:t>
      </w:r>
      <w:r w:rsidR="009F69A4">
        <w:rPr>
          <w:rFonts w:eastAsiaTheme="minorHAnsi"/>
        </w:rPr>
        <w:t>ition, the approved rates shall</w:t>
      </w:r>
      <w:r w:rsidR="000E4AB3" w:rsidRPr="006252C6">
        <w:rPr>
          <w:rFonts w:eastAsiaTheme="minorHAnsi"/>
        </w:rPr>
        <w:t xml:space="preserve"> not be implemented until </w:t>
      </w:r>
      <w:r w:rsidR="009F69A4">
        <w:rPr>
          <w:rFonts w:eastAsiaTheme="minorHAnsi"/>
        </w:rPr>
        <w:t xml:space="preserve">our </w:t>
      </w:r>
      <w:r w:rsidR="000E4AB3" w:rsidRPr="006252C6">
        <w:rPr>
          <w:rFonts w:eastAsiaTheme="minorHAnsi"/>
        </w:rPr>
        <w:t>staff has approved the proposed customer notice and the notice has been received by t</w:t>
      </w:r>
      <w:r w:rsidR="009F69A4">
        <w:rPr>
          <w:rFonts w:eastAsiaTheme="minorHAnsi"/>
        </w:rPr>
        <w:t>he customers. The Utility shall</w:t>
      </w:r>
      <w:r w:rsidR="000E4AB3" w:rsidRPr="006252C6">
        <w:rPr>
          <w:rFonts w:eastAsiaTheme="minorHAnsi"/>
        </w:rPr>
        <w:t xml:space="preserve"> provide proof of the date notice was given within 10 days of the date of the notice.</w:t>
      </w:r>
    </w:p>
    <w:p w:rsidR="002D6E42" w:rsidRPr="002D6E42" w:rsidRDefault="008D1D45" w:rsidP="00F633BD">
      <w:pPr>
        <w:keepNext/>
        <w:spacing w:after="240"/>
        <w:jc w:val="both"/>
        <w:outlineLvl w:val="0"/>
        <w:rPr>
          <w:b/>
        </w:rPr>
      </w:pPr>
      <w:r w:rsidRPr="00B40D67">
        <w:rPr>
          <w:b/>
          <w:bCs/>
          <w:kern w:val="32"/>
        </w:rPr>
        <w:fldChar w:fldCharType="begin"/>
      </w:r>
      <w:r w:rsidRPr="00B40D67">
        <w:rPr>
          <w:b/>
          <w:bCs/>
          <w:kern w:val="32"/>
        </w:rPr>
        <w:instrText xml:space="preserve"> SEQ Issue \* MERGEFORMAT </w:instrText>
      </w:r>
      <w:r w:rsidRPr="00B40D67">
        <w:rPr>
          <w:b/>
          <w:bCs/>
          <w:kern w:val="32"/>
        </w:rPr>
        <w:fldChar w:fldCharType="separate"/>
      </w:r>
      <w:r w:rsidR="00744140">
        <w:rPr>
          <w:b/>
          <w:bCs/>
          <w:noProof/>
          <w:kern w:val="32"/>
        </w:rPr>
        <w:t>2</w:t>
      </w:r>
      <w:r w:rsidRPr="00B40D67">
        <w:rPr>
          <w:b/>
          <w:bCs/>
          <w:noProof/>
          <w:kern w:val="32"/>
        </w:rPr>
        <w:fldChar w:fldCharType="end"/>
      </w:r>
      <w:r w:rsidR="001D09D4" w:rsidRPr="00B40D67">
        <w:rPr>
          <w:b/>
          <w:bCs/>
          <w:noProof/>
          <w:kern w:val="32"/>
        </w:rPr>
        <w:t xml:space="preserve">. </w:t>
      </w:r>
      <w:r w:rsidR="001D09D4" w:rsidRPr="00B40D67">
        <w:rPr>
          <w:b/>
          <w:color w:val="000000"/>
        </w:rPr>
        <w:t>Initial Customer D</w:t>
      </w:r>
      <w:r w:rsidRPr="00B40D67">
        <w:rPr>
          <w:b/>
          <w:color w:val="000000"/>
        </w:rPr>
        <w:t>eposits</w:t>
      </w:r>
    </w:p>
    <w:p w:rsidR="008D1D45" w:rsidRPr="006252C6" w:rsidRDefault="002D6E42" w:rsidP="00F633BD">
      <w:pPr>
        <w:keepNext/>
        <w:jc w:val="both"/>
      </w:pPr>
      <w:r>
        <w:tab/>
      </w:r>
      <w:r w:rsidR="008D1D45" w:rsidRPr="006252C6">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t xml:space="preserve">we have </w:t>
      </w:r>
      <w:r w:rsidR="008D1D45" w:rsidRPr="006252C6">
        <w:t>set initial customer deposits equal to two times the average estimated bill.</w:t>
      </w:r>
      <w:r w:rsidR="008D1D45" w:rsidRPr="006252C6">
        <w:rPr>
          <w:color w:val="000000"/>
        </w:rPr>
        <w:t xml:space="preserve"> </w:t>
      </w:r>
      <w:r w:rsidR="008D1D45" w:rsidRPr="006252C6">
        <w:t xml:space="preserve">Currently, the Utility’s initial deposit for residential water is $68 for the 5/8 inch x 3/4 inch meter size and two times the estimated bill for the general service meter sizes. For wastewater, the Utility’s initial deposit for residential wastewater is $62 for the 5/8 inch x 3/4 inch meter size and two times the estimated bill for the general service meter sizes. However, these amounts do not cover two months’ average bills based on </w:t>
      </w:r>
      <w:r>
        <w:t xml:space="preserve">the approved </w:t>
      </w:r>
      <w:r w:rsidR="008D1D45" w:rsidRPr="006252C6">
        <w:t xml:space="preserve">rates. The Utility’s average monthly residential water usage is 2,236 gallons per customer. The Utility’s average monthly residential wastewater usage is 2,217 gallons per customer. Therefore, the average residential monthly bill based on </w:t>
      </w:r>
      <w:r>
        <w:t xml:space="preserve">the approved </w:t>
      </w:r>
      <w:r w:rsidR="008D1D45" w:rsidRPr="006252C6">
        <w:t xml:space="preserve">rates is approximately $41.20 for water and $43.65 for wastewater.  </w:t>
      </w:r>
    </w:p>
    <w:p w:rsidR="008D1D45" w:rsidRPr="006252C6" w:rsidRDefault="008D1D45" w:rsidP="008D1D45">
      <w:pPr>
        <w:jc w:val="both"/>
      </w:pPr>
    </w:p>
    <w:p w:rsidR="008D1D45" w:rsidRPr="006252C6" w:rsidRDefault="008D1D45" w:rsidP="008D1D45">
      <w:pPr>
        <w:spacing w:after="240"/>
        <w:jc w:val="both"/>
      </w:pPr>
      <w:r w:rsidRPr="006252C6">
        <w:tab/>
      </w:r>
      <w:r w:rsidR="002D6E42">
        <w:t xml:space="preserve">Thus, </w:t>
      </w:r>
      <w:r w:rsidRPr="006252C6">
        <w:t xml:space="preserve">the initial customer deposits for the residential </w:t>
      </w:r>
      <w:r w:rsidR="002D6E42">
        <w:t>5/8 inch x 3/4 inch meter shall</w:t>
      </w:r>
      <w:r w:rsidRPr="006252C6">
        <w:t xml:space="preserve"> be $82 for water and $87 for wastewater. The initial customer deposits for all other residential meter sizes and all ge</w:t>
      </w:r>
      <w:r w:rsidR="002D6E42">
        <w:t>neral service meter sizes shall</w:t>
      </w:r>
      <w:r w:rsidRPr="006252C6">
        <w:t xml:space="preserve"> be two times the average estimated bill for water and wastewater. The approved </w:t>
      </w:r>
      <w:r w:rsidR="002D6E42">
        <w:t>initial customer deposits shall</w:t>
      </w:r>
      <w:r w:rsidRPr="006252C6">
        <w:t xml:space="preserve"> be effective for services rendered or connections made on or after the stamped approval date on the tariff sheets pursuant to Rule 25-3</w:t>
      </w:r>
      <w:r w:rsidR="002D6E42">
        <w:t>0.475, F.A.C. The Utility shall</w:t>
      </w:r>
      <w:r w:rsidRPr="006252C6">
        <w:t xml:space="preserve"> collect the approved deposits until authorized to change them in a subsequent proceeding.</w:t>
      </w:r>
    </w:p>
    <w:p w:rsidR="0023523F" w:rsidRPr="0023523F" w:rsidRDefault="00C115B0" w:rsidP="008D1D45">
      <w:pPr>
        <w:spacing w:after="240"/>
        <w:jc w:val="both"/>
        <w:rPr>
          <w:b/>
          <w:color w:val="000000"/>
        </w:rPr>
      </w:pPr>
      <w:r w:rsidRPr="00681C67">
        <w:rPr>
          <w:b/>
          <w:bCs/>
          <w:kern w:val="32"/>
        </w:rPr>
        <w:t xml:space="preserve">4. </w:t>
      </w:r>
      <w:r w:rsidRPr="00681C67">
        <w:rPr>
          <w:b/>
          <w:color w:val="000000"/>
        </w:rPr>
        <w:t>Removal of the Amortized Rate Case E</w:t>
      </w:r>
      <w:r w:rsidR="008D1D45" w:rsidRPr="00681C67">
        <w:rPr>
          <w:b/>
          <w:color w:val="000000"/>
        </w:rPr>
        <w:t>xpense</w:t>
      </w:r>
      <w:r w:rsidR="0023523F">
        <w:rPr>
          <w:b/>
          <w:color w:val="000000"/>
        </w:rPr>
        <w:t xml:space="preserve"> </w:t>
      </w:r>
      <w:r w:rsidR="0023523F" w:rsidRPr="006252C6">
        <w:rPr>
          <w:color w:val="000000"/>
        </w:rPr>
        <w:t>(Procedural Agency Action)</w:t>
      </w:r>
    </w:p>
    <w:p w:rsidR="000E4AB3" w:rsidRPr="006252C6" w:rsidRDefault="00681C67" w:rsidP="00681C67">
      <w:pPr>
        <w:jc w:val="both"/>
        <w:rPr>
          <w:color w:val="000000"/>
        </w:rPr>
      </w:pPr>
      <w:r>
        <w:rPr>
          <w:b/>
          <w:bCs/>
          <w:i/>
          <w:iCs/>
        </w:rPr>
        <w:tab/>
      </w:r>
      <w:r>
        <w:rPr>
          <w:color w:val="000000"/>
        </w:rPr>
        <w:t>The water rates shall</w:t>
      </w:r>
      <w:r w:rsidR="008D1D45" w:rsidRPr="006252C6">
        <w:rPr>
          <w:color w:val="000000"/>
        </w:rPr>
        <w:t xml:space="preserve"> be reduced, as shown on Schedule Nos. 4-A and 4-B, to remove the annual amortization of rate case expense grossed-up for RA</w:t>
      </w:r>
      <w:r>
        <w:rPr>
          <w:color w:val="000000"/>
        </w:rPr>
        <w:t>Fs. The decrease in rates shall</w:t>
      </w:r>
      <w:r w:rsidR="008D1D45" w:rsidRPr="006252C6">
        <w:rPr>
          <w:color w:val="000000"/>
        </w:rPr>
        <w:t xml:space="preserve"> become effective immediately following the expiration of the rate case expense recovery period, pursuant to Section 367.081(8), F.S. Aquarina sh</w:t>
      </w:r>
      <w:r>
        <w:rPr>
          <w:color w:val="000000"/>
        </w:rPr>
        <w:t>all</w:t>
      </w:r>
      <w:r w:rsidR="008D1D45" w:rsidRPr="006252C6">
        <w:rPr>
          <w:color w:val="000000"/>
        </w:rPr>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w:t>
      </w:r>
      <w:r>
        <w:rPr>
          <w:color w:val="000000"/>
        </w:rPr>
        <w:t>adjustment, separate data shall</w:t>
      </w:r>
      <w:r w:rsidR="008D1D45" w:rsidRPr="006252C6">
        <w:rPr>
          <w:color w:val="000000"/>
        </w:rPr>
        <w:t xml:space="preserve"> be filed for the price index and/or pass-through increase or decrease and the reduction in the rates due to the amortized rate case expense.</w:t>
      </w:r>
    </w:p>
    <w:p w:rsidR="008D1D45" w:rsidRPr="006252C6" w:rsidRDefault="008D1D45" w:rsidP="00681C67">
      <w:pPr>
        <w:jc w:val="both"/>
        <w:rPr>
          <w:color w:val="000000"/>
        </w:rPr>
      </w:pPr>
    </w:p>
    <w:p w:rsidR="008D1D45" w:rsidRPr="006252C6" w:rsidRDefault="008D1D45" w:rsidP="00C115B0">
      <w:pPr>
        <w:spacing w:after="240"/>
        <w:jc w:val="both"/>
        <w:outlineLvl w:val="0"/>
      </w:pPr>
      <w:r w:rsidRPr="00C115B0">
        <w:rPr>
          <w:b/>
          <w:bCs/>
          <w:kern w:val="32"/>
        </w:rPr>
        <w:fldChar w:fldCharType="begin"/>
      </w:r>
      <w:r w:rsidRPr="00C115B0">
        <w:rPr>
          <w:b/>
          <w:bCs/>
          <w:kern w:val="32"/>
        </w:rPr>
        <w:instrText xml:space="preserve"> SEQ Issue \* MERGEFORMAT </w:instrText>
      </w:r>
      <w:r w:rsidRPr="00C115B0">
        <w:rPr>
          <w:b/>
          <w:bCs/>
          <w:kern w:val="32"/>
        </w:rPr>
        <w:fldChar w:fldCharType="separate"/>
      </w:r>
      <w:r w:rsidR="00744140">
        <w:rPr>
          <w:b/>
          <w:bCs/>
          <w:noProof/>
          <w:kern w:val="32"/>
        </w:rPr>
        <w:t>3</w:t>
      </w:r>
      <w:r w:rsidRPr="00C115B0">
        <w:rPr>
          <w:b/>
          <w:bCs/>
          <w:noProof/>
          <w:kern w:val="32"/>
        </w:rPr>
        <w:fldChar w:fldCharType="end"/>
      </w:r>
      <w:r w:rsidR="00C115B0">
        <w:rPr>
          <w:b/>
          <w:bCs/>
          <w:noProof/>
          <w:kern w:val="32"/>
        </w:rPr>
        <w:t>.</w:t>
      </w:r>
      <w:r w:rsidR="00C115B0" w:rsidRPr="00C115B0">
        <w:rPr>
          <w:b/>
          <w:bCs/>
          <w:noProof/>
          <w:kern w:val="32"/>
        </w:rPr>
        <w:t xml:space="preserve"> Temporary Rates</w:t>
      </w:r>
      <w:r w:rsidR="0023523F">
        <w:rPr>
          <w:b/>
          <w:bCs/>
          <w:noProof/>
          <w:kern w:val="32"/>
        </w:rPr>
        <w:t xml:space="preserve"> </w:t>
      </w:r>
      <w:r w:rsidR="0023523F" w:rsidRPr="006252C6">
        <w:rPr>
          <w:color w:val="000000"/>
        </w:rPr>
        <w:t>(Procedural Agency Action)</w:t>
      </w:r>
    </w:p>
    <w:p w:rsidR="008D1D45" w:rsidRPr="006252C6" w:rsidRDefault="00681C67" w:rsidP="008D1D45">
      <w:pPr>
        <w:spacing w:after="240"/>
        <w:jc w:val="both"/>
      </w:pPr>
      <w:r>
        <w:rPr>
          <w:b/>
          <w:i/>
        </w:rPr>
        <w:tab/>
      </w:r>
      <w:r w:rsidR="00FD22D3" w:rsidRPr="00FD22D3">
        <w:t>By this</w:t>
      </w:r>
      <w:r w:rsidR="008D1D45" w:rsidRPr="00FD22D3">
        <w:t xml:space="preserve"> </w:t>
      </w:r>
      <w:r w:rsidR="00FD22D3">
        <w:t>o</w:t>
      </w:r>
      <w:r>
        <w:t xml:space="preserve">rder </w:t>
      </w:r>
      <w:r w:rsidR="00FD22D3">
        <w:t xml:space="preserve">the Commission </w:t>
      </w:r>
      <w:r w:rsidR="008D1D45" w:rsidRPr="006252C6">
        <w:t>proposes an increase in rates. A timely protest might delay what may be a justified rate increase resulting in an unrecoverable loss of revenue to the Utility. Therefore, pursuant to Section 367.081(2), F.S., which requires th</w:t>
      </w:r>
      <w:r>
        <w:t>is</w:t>
      </w:r>
      <w:r w:rsidR="008D1D45" w:rsidRPr="006252C6">
        <w:t xml:space="preserve"> Commission to “fix rates which are just, reasonable, compensatory, and not unfairly discriminatory,” and consistent with prior Commission orders, in the event of a protest f</w:t>
      </w:r>
      <w:r w:rsidR="00696327">
        <w:t>iled by a party other than the U</w:t>
      </w:r>
      <w:r w:rsidR="008D1D45" w:rsidRPr="006252C6">
        <w:t xml:space="preserve">tility, </w:t>
      </w:r>
      <w:r>
        <w:t xml:space="preserve">the approved </w:t>
      </w:r>
      <w:r w:rsidR="008D1D45" w:rsidRPr="006252C6">
        <w:t xml:space="preserve">rates </w:t>
      </w:r>
      <w:r>
        <w:t xml:space="preserve">shall </w:t>
      </w:r>
      <w:r w:rsidR="008D1D45" w:rsidRPr="006252C6">
        <w:t>be approved as tem</w:t>
      </w:r>
      <w:r>
        <w:t>porary rates. The Utility shall</w:t>
      </w:r>
      <w:r w:rsidR="008D1D45" w:rsidRPr="006252C6">
        <w:t xml:space="preserve"> file revised tariff sheets and a proposed customer notice to reflect the Commission-approved </w:t>
      </w:r>
      <w:r>
        <w:t>rates. The approved rates shall</w:t>
      </w:r>
      <w:r w:rsidR="008D1D45" w:rsidRPr="006252C6">
        <w:t xml:space="preserve"> be effective for service rendered on or after the stamped approval date on the tariff sheet, pursuant to Rule 25-30.475(1), F.A.C. In addi</w:t>
      </w:r>
      <w:r>
        <w:t>tion, the temporary rates shall</w:t>
      </w:r>
      <w:r w:rsidR="008D1D45" w:rsidRPr="006252C6">
        <w:t xml:space="preserve"> not be implemented until </w:t>
      </w:r>
      <w:r>
        <w:t xml:space="preserve">our </w:t>
      </w:r>
      <w:r w:rsidR="008D1D45" w:rsidRPr="006252C6">
        <w:t xml:space="preserve">staff has approved the proposed notice, and the notice has been received by the customers. The </w:t>
      </w:r>
      <w:r>
        <w:t xml:space="preserve">approved </w:t>
      </w:r>
      <w:r w:rsidR="008D1D45" w:rsidRPr="006252C6">
        <w:t>rates</w:t>
      </w:r>
      <w:r>
        <w:t xml:space="preserve"> collected by the Utility shall</w:t>
      </w:r>
      <w:r w:rsidR="008D1D45" w:rsidRPr="006252C6">
        <w:t xml:space="preserve"> be subject to the refund provisions discussed below.</w:t>
      </w:r>
    </w:p>
    <w:p w:rsidR="008D1D45" w:rsidRPr="006252C6" w:rsidRDefault="00681C67" w:rsidP="008D1D45">
      <w:pPr>
        <w:spacing w:after="120"/>
        <w:jc w:val="both"/>
      </w:pPr>
      <w:r>
        <w:tab/>
        <w:t>The Utility shall</w:t>
      </w:r>
      <w:r w:rsidR="008D1D45" w:rsidRPr="006252C6">
        <w:t xml:space="preserve"> be authorized to collect the temporary rates upon </w:t>
      </w:r>
      <w:r>
        <w:t xml:space="preserve">our </w:t>
      </w:r>
      <w:r w:rsidR="008D1D45" w:rsidRPr="006252C6">
        <w:t xml:space="preserve">staff’s approval of an appropriate security for the potential refund and the proposed </w:t>
      </w:r>
      <w:r>
        <w:t>customer notice. Security shall</w:t>
      </w:r>
      <w:r w:rsidR="008D1D45" w:rsidRPr="006252C6">
        <w:t xml:space="preserve"> be in the form of a bond or letter of credit in the amount of $4,915. Alternatively, the Utility could establish an escrow agreement with an independent financial institution.</w:t>
      </w:r>
    </w:p>
    <w:p w:rsidR="008D1D45" w:rsidRPr="006252C6" w:rsidRDefault="008D1D45" w:rsidP="008D1D45"/>
    <w:p w:rsidR="008D1D45" w:rsidRPr="006252C6" w:rsidRDefault="008D1D45" w:rsidP="008D1D45">
      <w:pPr>
        <w:spacing w:after="240"/>
        <w:jc w:val="both"/>
      </w:pPr>
      <w:r w:rsidRPr="006252C6">
        <w:tab/>
        <w:t>If the Utility chooses a b</w:t>
      </w:r>
      <w:r w:rsidR="00681C67">
        <w:t>ond as security, the bond shall</w:t>
      </w:r>
      <w:r w:rsidRPr="006252C6">
        <w:t xml:space="preserve"> contain wording to the effect that it will be terminated only under the following conditions: </w:t>
      </w:r>
    </w:p>
    <w:p w:rsidR="008D1D45" w:rsidRPr="006252C6" w:rsidRDefault="008D1D45" w:rsidP="008D1D45">
      <w:pPr>
        <w:numPr>
          <w:ilvl w:val="0"/>
          <w:numId w:val="1"/>
        </w:numPr>
        <w:jc w:val="both"/>
      </w:pPr>
      <w:r w:rsidRPr="006252C6">
        <w:t>The Commission approves the rate increase; or,</w:t>
      </w:r>
    </w:p>
    <w:p w:rsidR="008D1D45" w:rsidRPr="006252C6" w:rsidRDefault="008D1D45" w:rsidP="008D1D45">
      <w:pPr>
        <w:ind w:left="1080"/>
        <w:jc w:val="both"/>
      </w:pPr>
    </w:p>
    <w:p w:rsidR="008D1D45" w:rsidRPr="006252C6" w:rsidRDefault="008D1D45" w:rsidP="008D1D45">
      <w:pPr>
        <w:numPr>
          <w:ilvl w:val="0"/>
          <w:numId w:val="1"/>
        </w:numPr>
        <w:spacing w:after="240"/>
        <w:jc w:val="both"/>
      </w:pPr>
      <w:r w:rsidRPr="006252C6">
        <w:t>If the Commission denies the increase, the utility shall refund the amount collected that is attributable to the increase.</w:t>
      </w:r>
    </w:p>
    <w:p w:rsidR="008D1D45" w:rsidRPr="006252C6" w:rsidRDefault="008D1D45" w:rsidP="008D1D45">
      <w:pPr>
        <w:jc w:val="both"/>
      </w:pPr>
      <w:r w:rsidRPr="006252C6">
        <w:tab/>
        <w:t>If the utility chooses a letter of</w:t>
      </w:r>
      <w:r w:rsidR="00681C67">
        <w:t xml:space="preserve"> credit as a security, it shall</w:t>
      </w:r>
      <w:r w:rsidRPr="006252C6">
        <w:t xml:space="preserve"> contain the following conditions:</w:t>
      </w:r>
    </w:p>
    <w:p w:rsidR="008D1D45" w:rsidRPr="006252C6" w:rsidRDefault="008D1D45" w:rsidP="008D1D45">
      <w:pPr>
        <w:jc w:val="both"/>
      </w:pPr>
    </w:p>
    <w:p w:rsidR="008D1D45" w:rsidRPr="006252C6" w:rsidRDefault="008D1D45" w:rsidP="008D1D45">
      <w:pPr>
        <w:numPr>
          <w:ilvl w:val="0"/>
          <w:numId w:val="2"/>
        </w:numPr>
        <w:jc w:val="both"/>
      </w:pPr>
      <w:r w:rsidRPr="006252C6">
        <w:t>The letter of credit is irrevocable for the period it is in effect.</w:t>
      </w:r>
    </w:p>
    <w:p w:rsidR="008D1D45" w:rsidRPr="006252C6" w:rsidRDefault="008D1D45" w:rsidP="008D1D45">
      <w:pPr>
        <w:jc w:val="both"/>
      </w:pPr>
    </w:p>
    <w:p w:rsidR="008D1D45" w:rsidRPr="006252C6" w:rsidRDefault="008D1D45" w:rsidP="008D1D45">
      <w:pPr>
        <w:numPr>
          <w:ilvl w:val="0"/>
          <w:numId w:val="2"/>
        </w:numPr>
        <w:jc w:val="both"/>
      </w:pPr>
      <w:r w:rsidRPr="006252C6">
        <w:t>The letter of credit will be in effect until a final Commission order is rendered, either approving or denying the rate increase.</w:t>
      </w:r>
    </w:p>
    <w:p w:rsidR="008D1D45" w:rsidRPr="006252C6" w:rsidRDefault="008D1D45" w:rsidP="008D1D45">
      <w:pPr>
        <w:ind w:left="1080"/>
        <w:jc w:val="both"/>
      </w:pPr>
    </w:p>
    <w:p w:rsidR="008D1D45" w:rsidRPr="006252C6" w:rsidRDefault="008D1D45" w:rsidP="008D1D45">
      <w:r w:rsidRPr="006252C6">
        <w:tab/>
        <w:t>If security is provided through an escrow agreement,</w:t>
      </w:r>
      <w:r w:rsidR="00681C67">
        <w:t xml:space="preserve"> the following conditions shall</w:t>
      </w:r>
      <w:r w:rsidRPr="006252C6">
        <w:t xml:space="preserve"> be part of the agreement:</w:t>
      </w:r>
    </w:p>
    <w:p w:rsidR="008D1D45" w:rsidRPr="006252C6" w:rsidRDefault="008D1D45" w:rsidP="008D1D45"/>
    <w:p w:rsidR="008D1D45" w:rsidRPr="006252C6" w:rsidRDefault="008D1D45" w:rsidP="008D1D45">
      <w:pPr>
        <w:numPr>
          <w:ilvl w:val="0"/>
          <w:numId w:val="3"/>
        </w:numPr>
        <w:jc w:val="both"/>
      </w:pPr>
      <w:r w:rsidRPr="006252C6">
        <w:t>The Commission Clerk, or his or her designee, must be a signatory to the escrow agreement.</w:t>
      </w:r>
    </w:p>
    <w:p w:rsidR="008D1D45" w:rsidRPr="006252C6" w:rsidRDefault="008D1D45" w:rsidP="008D1D45">
      <w:pPr>
        <w:ind w:left="1080"/>
        <w:jc w:val="both"/>
      </w:pPr>
    </w:p>
    <w:p w:rsidR="008D1D45" w:rsidRPr="006252C6" w:rsidRDefault="00696327" w:rsidP="008D1D45">
      <w:pPr>
        <w:numPr>
          <w:ilvl w:val="0"/>
          <w:numId w:val="3"/>
        </w:numPr>
        <w:jc w:val="both"/>
      </w:pPr>
      <w:r>
        <w:t>No money</w:t>
      </w:r>
      <w:r w:rsidR="008D1D45" w:rsidRPr="006252C6">
        <w:t xml:space="preserve"> in the escrow account may be w</w:t>
      </w:r>
      <w:r>
        <w:t>ithdrawn by the U</w:t>
      </w:r>
      <w:r w:rsidR="008D1D45" w:rsidRPr="006252C6">
        <w:t>tility without the prior written authorization of the Commission Clerk, or his or her designee.</w:t>
      </w:r>
    </w:p>
    <w:p w:rsidR="008D1D45" w:rsidRPr="006252C6" w:rsidRDefault="008D1D45" w:rsidP="008D1D45">
      <w:pPr>
        <w:ind w:left="1080"/>
        <w:jc w:val="both"/>
      </w:pPr>
    </w:p>
    <w:p w:rsidR="008D1D45" w:rsidRPr="006252C6" w:rsidRDefault="008D1D45" w:rsidP="008D1D45">
      <w:pPr>
        <w:numPr>
          <w:ilvl w:val="0"/>
          <w:numId w:val="3"/>
        </w:numPr>
        <w:jc w:val="both"/>
      </w:pPr>
      <w:r w:rsidRPr="006252C6">
        <w:t>The escrow account shall be an interest-bearing account.</w:t>
      </w:r>
    </w:p>
    <w:p w:rsidR="008D1D45" w:rsidRPr="006252C6" w:rsidRDefault="008D1D45" w:rsidP="008D1D45">
      <w:pPr>
        <w:ind w:left="1080"/>
        <w:jc w:val="both"/>
      </w:pPr>
    </w:p>
    <w:p w:rsidR="008D1D45" w:rsidRPr="006252C6" w:rsidRDefault="008D1D45" w:rsidP="008D1D45">
      <w:pPr>
        <w:numPr>
          <w:ilvl w:val="0"/>
          <w:numId w:val="3"/>
        </w:numPr>
        <w:jc w:val="both"/>
      </w:pPr>
      <w:r w:rsidRPr="006252C6">
        <w:t>If a refund to the customers is required, all interest earned by the escrow account shall be distributed to the customers.</w:t>
      </w:r>
    </w:p>
    <w:p w:rsidR="008D1D45" w:rsidRPr="006252C6" w:rsidRDefault="008D1D45" w:rsidP="008D1D45">
      <w:pPr>
        <w:ind w:left="1080"/>
        <w:jc w:val="both"/>
      </w:pPr>
    </w:p>
    <w:p w:rsidR="008D1D45" w:rsidRPr="006252C6" w:rsidRDefault="008D1D45" w:rsidP="008D1D45">
      <w:pPr>
        <w:numPr>
          <w:ilvl w:val="0"/>
          <w:numId w:val="3"/>
        </w:numPr>
        <w:jc w:val="both"/>
      </w:pPr>
      <w:r w:rsidRPr="006252C6">
        <w:t>If a refund to the customers is not required, the interest earned by the escr</w:t>
      </w:r>
      <w:r w:rsidR="00696327">
        <w:t>ow account shall revert to the U</w:t>
      </w:r>
      <w:r w:rsidRPr="006252C6">
        <w:t>tility.</w:t>
      </w:r>
    </w:p>
    <w:p w:rsidR="008D1D45" w:rsidRPr="006252C6" w:rsidRDefault="008D1D45" w:rsidP="008D1D45">
      <w:pPr>
        <w:ind w:left="1080"/>
        <w:jc w:val="both"/>
      </w:pPr>
    </w:p>
    <w:p w:rsidR="008D1D45" w:rsidRPr="006252C6" w:rsidRDefault="008D1D45" w:rsidP="008D1D45">
      <w:pPr>
        <w:numPr>
          <w:ilvl w:val="0"/>
          <w:numId w:val="3"/>
        </w:numPr>
        <w:jc w:val="both"/>
      </w:pPr>
      <w:r w:rsidRPr="006252C6">
        <w:t>All information on the escrow account shall be available from the holder of the escrow account to a Commission representative at all times.</w:t>
      </w:r>
    </w:p>
    <w:p w:rsidR="008D1D45" w:rsidRPr="006252C6" w:rsidRDefault="008D1D45" w:rsidP="008D1D45">
      <w:pPr>
        <w:ind w:left="1080"/>
        <w:jc w:val="both"/>
      </w:pPr>
    </w:p>
    <w:p w:rsidR="008D1D45" w:rsidRPr="006252C6" w:rsidRDefault="008D1D45" w:rsidP="008D1D45">
      <w:pPr>
        <w:numPr>
          <w:ilvl w:val="0"/>
          <w:numId w:val="3"/>
        </w:numPr>
        <w:jc w:val="both"/>
      </w:pPr>
      <w:r w:rsidRPr="006252C6">
        <w:t>The amount of revenue subject to refund shall be deposited in the escrow account within seven days of receipt.</w:t>
      </w:r>
    </w:p>
    <w:p w:rsidR="008D1D45" w:rsidRPr="006252C6" w:rsidRDefault="008D1D45" w:rsidP="008D1D45">
      <w:pPr>
        <w:ind w:left="1080"/>
        <w:jc w:val="both"/>
      </w:pPr>
    </w:p>
    <w:p w:rsidR="008D1D45" w:rsidRPr="006252C6" w:rsidRDefault="008D1D45" w:rsidP="008D1D45">
      <w:pPr>
        <w:numPr>
          <w:ilvl w:val="0"/>
          <w:numId w:val="3"/>
        </w:numPr>
        <w:jc w:val="both"/>
      </w:pPr>
      <w:r w:rsidRPr="006252C6">
        <w:t xml:space="preserve">This escrow account is established by the direction of the Florida Public Service Commission for the purpose(s) set forth in its order requiring such account. Pursuant to </w:t>
      </w:r>
      <w:r w:rsidRPr="006252C6">
        <w:rPr>
          <w:i/>
        </w:rPr>
        <w:t>Cosentino v. Elson</w:t>
      </w:r>
      <w:r w:rsidRPr="006252C6">
        <w:t>, 263 So. 2d 253 (Fla. 3d DCA 1972), escrow accounts are not subject to garnishments.</w:t>
      </w:r>
    </w:p>
    <w:p w:rsidR="008D1D45" w:rsidRPr="006252C6" w:rsidRDefault="008D1D45" w:rsidP="008D1D45">
      <w:pPr>
        <w:ind w:left="1080"/>
        <w:jc w:val="both"/>
      </w:pPr>
    </w:p>
    <w:p w:rsidR="008D1D45" w:rsidRPr="006252C6" w:rsidRDefault="008D1D45" w:rsidP="008D1D45">
      <w:pPr>
        <w:numPr>
          <w:ilvl w:val="0"/>
          <w:numId w:val="3"/>
        </w:numPr>
        <w:jc w:val="both"/>
      </w:pPr>
      <w:r w:rsidRPr="006252C6">
        <w:t>The account must specify by whom and on whose behalf such monies were paid.</w:t>
      </w:r>
    </w:p>
    <w:p w:rsidR="008D1D45" w:rsidRPr="006252C6" w:rsidRDefault="008D1D45" w:rsidP="008D1D45">
      <w:pPr>
        <w:ind w:left="1080"/>
        <w:jc w:val="both"/>
      </w:pPr>
    </w:p>
    <w:p w:rsidR="008D1D45" w:rsidRPr="006252C6" w:rsidRDefault="00681C67" w:rsidP="008D1D45">
      <w:pPr>
        <w:spacing w:after="120"/>
        <w:jc w:val="both"/>
      </w:pPr>
      <w:r>
        <w:tab/>
        <w:t>In no instance shall</w:t>
      </w:r>
      <w:r w:rsidR="008D1D45" w:rsidRPr="006252C6">
        <w:t xml:space="preserve"> the maintenance and administrative costs associated with the refund be borne by the customers. These costs are t</w:t>
      </w:r>
      <w:r>
        <w:t>he responsibility of, and shall</w:t>
      </w:r>
      <w:r w:rsidR="008D1D45" w:rsidRPr="006252C6">
        <w:t xml:space="preserve"> be borne by, the Utility. </w:t>
      </w:r>
      <w:r>
        <w:t xml:space="preserve">Without respect to </w:t>
      </w:r>
      <w:r w:rsidR="008D1D45" w:rsidRPr="006252C6">
        <w:t>the form of security chosen by the Utility, an account of all mon</w:t>
      </w:r>
      <w:r>
        <w:t xml:space="preserve">ey </w:t>
      </w:r>
      <w:r w:rsidR="008D1D45" w:rsidRPr="006252C6">
        <w:t>received as a re</w:t>
      </w:r>
      <w:r w:rsidR="004D097C">
        <w:t>sult of the rate increase shall</w:t>
      </w:r>
      <w:r w:rsidR="008D1D45" w:rsidRPr="006252C6">
        <w:t xml:space="preserve"> be maintained by the Utility. If a refund i</w:t>
      </w:r>
      <w:r w:rsidR="004D097C">
        <w:t>s ultimately required, it shall</w:t>
      </w:r>
      <w:r w:rsidR="008D1D45" w:rsidRPr="006252C6">
        <w:t xml:space="preserve"> be paid with interest calculated pursuant to Rule 25-30.360(4), F.A.C.</w:t>
      </w:r>
    </w:p>
    <w:p w:rsidR="008D1D45" w:rsidRPr="006252C6" w:rsidRDefault="004D097C" w:rsidP="004D097C">
      <w:pPr>
        <w:jc w:val="both"/>
      </w:pPr>
      <w:r>
        <w:tab/>
        <w:t>The Utility shall</w:t>
      </w:r>
      <w:r w:rsidR="008D1D45" w:rsidRPr="006252C6">
        <w:t xml:space="preserve"> maintain a record of the amount of the bond, and the amount of revenues that are subject to refund. In addition, after the increased rates are in effect, pursuant to Rule 25-30.360(6), F.A.C.</w:t>
      </w:r>
      <w:r w:rsidR="00696327">
        <w:t>, the U</w:t>
      </w:r>
      <w:r>
        <w:t>tility shall</w:t>
      </w:r>
      <w:r w:rsidR="008D1D45" w:rsidRPr="006252C6">
        <w:t xml:space="preserve"> file reports with the Office of Commission Clerk no later than the 20th of every month indicating the monthly and total amount of money subject to refund at the end of the precedin</w:t>
      </w:r>
      <w:r>
        <w:t>g month. The report filed shall</w:t>
      </w:r>
      <w:r w:rsidR="008D1D45" w:rsidRPr="006252C6">
        <w:t xml:space="preserve"> also indicate the status of the security being used to guarantee repayment of any potential refund.</w:t>
      </w:r>
    </w:p>
    <w:p w:rsidR="008D1D45" w:rsidRPr="006252C6" w:rsidRDefault="008D1D45" w:rsidP="008D1D45"/>
    <w:p w:rsidR="008D1D45" w:rsidRPr="006252C6" w:rsidRDefault="008D1D45" w:rsidP="008D1D45">
      <w:pPr>
        <w:pStyle w:val="OrderBody"/>
      </w:pPr>
      <w:r w:rsidRPr="006252C6">
        <w:tab/>
        <w:t>Based on the foregoing, it is</w:t>
      </w:r>
    </w:p>
    <w:p w:rsidR="008D1D45" w:rsidRPr="006252C6" w:rsidRDefault="008D1D45" w:rsidP="008D1D45">
      <w:pPr>
        <w:pStyle w:val="OrderBody"/>
      </w:pPr>
    </w:p>
    <w:p w:rsidR="00C36832" w:rsidRDefault="008D1D45" w:rsidP="00C36832">
      <w:pPr>
        <w:jc w:val="both"/>
      </w:pPr>
      <w:r w:rsidRPr="006252C6">
        <w:tab/>
        <w:t>ORDERED by the Florida Public Service Commission that</w:t>
      </w:r>
      <w:r w:rsidR="00C36832" w:rsidRPr="006252C6">
        <w:t xml:space="preserve"> </w:t>
      </w:r>
      <w:r w:rsidR="00C36832" w:rsidRPr="006252C6">
        <w:rPr>
          <w:rFonts w:eastAsia="PMingLiU"/>
        </w:rPr>
        <w:t>Aquarina Utilities, Inc.</w:t>
      </w:r>
      <w:r w:rsidR="00C36832" w:rsidRPr="006252C6">
        <w:t xml:space="preserve">’s request for a limited proceeding rate increase is approved as modified. </w:t>
      </w:r>
      <w:r w:rsidR="00441AB7" w:rsidRPr="006252C6">
        <w:t>A</w:t>
      </w:r>
      <w:r w:rsidR="00C36832" w:rsidRPr="006252C6">
        <w:t xml:space="preserve">n annual increase of $2,560 or 1.54 percent, </w:t>
      </w:r>
      <w:r w:rsidR="00441AB7" w:rsidRPr="006252C6">
        <w:t xml:space="preserve">is approved </w:t>
      </w:r>
      <w:r w:rsidR="00C36832" w:rsidRPr="006252C6">
        <w:t xml:space="preserve">for potable water, resulting in an adjusted revenue requirement of $168,365. </w:t>
      </w:r>
      <w:r w:rsidR="00441AB7" w:rsidRPr="006252C6">
        <w:t>A</w:t>
      </w:r>
      <w:r w:rsidR="00C36832" w:rsidRPr="006252C6">
        <w:t>n annual increase of $2,108, or 0.85 per</w:t>
      </w:r>
      <w:r w:rsidR="00441AB7" w:rsidRPr="006252C6">
        <w:t xml:space="preserve">cent, is approved for non-potable water, </w:t>
      </w:r>
      <w:r w:rsidR="00C36832" w:rsidRPr="006252C6">
        <w:t>resulting in an adjusted r</w:t>
      </w:r>
      <w:r w:rsidR="00441AB7" w:rsidRPr="006252C6">
        <w:t>evenue requirement of $248,891. A</w:t>
      </w:r>
      <w:r w:rsidR="00C36832" w:rsidRPr="006252C6">
        <w:t xml:space="preserve">n annual increase of $1,387, or 0.77 percent, </w:t>
      </w:r>
      <w:r w:rsidR="00441AB7" w:rsidRPr="006252C6">
        <w:t xml:space="preserve">is approved for wastewater </w:t>
      </w:r>
      <w:r w:rsidR="00C36832" w:rsidRPr="006252C6">
        <w:t xml:space="preserve">resulting in an adjusted revenue requirement of $182,016. The adjusted revenue requirements are reflected on Schedule Nos. 3-A, 3-B, and 3-C. </w:t>
      </w:r>
      <w:r w:rsidR="00441AB7" w:rsidRPr="006252C6">
        <w:t xml:space="preserve"> It is further</w:t>
      </w:r>
    </w:p>
    <w:p w:rsidR="00905562" w:rsidRDefault="00905562" w:rsidP="00C36832">
      <w:pPr>
        <w:jc w:val="both"/>
      </w:pPr>
    </w:p>
    <w:p w:rsidR="00905562" w:rsidRDefault="00905562" w:rsidP="00905562">
      <w:pPr>
        <w:jc w:val="both"/>
        <w:rPr>
          <w:rFonts w:eastAsiaTheme="minorHAnsi"/>
        </w:rPr>
      </w:pPr>
      <w:r>
        <w:tab/>
        <w:t xml:space="preserve">ORDERED that </w:t>
      </w:r>
      <w:r>
        <w:rPr>
          <w:rFonts w:eastAsiaTheme="minorHAnsi"/>
        </w:rPr>
        <w:t>t</w:t>
      </w:r>
      <w:r w:rsidRPr="006252C6">
        <w:rPr>
          <w:rFonts w:eastAsiaTheme="minorHAnsi"/>
        </w:rPr>
        <w:t>he app</w:t>
      </w:r>
      <w:r>
        <w:rPr>
          <w:rFonts w:eastAsiaTheme="minorHAnsi"/>
        </w:rPr>
        <w:t xml:space="preserve">roved </w:t>
      </w:r>
      <w:r w:rsidRPr="006252C6">
        <w:rPr>
          <w:rFonts w:eastAsiaTheme="minorHAnsi"/>
        </w:rPr>
        <w:t>rates for Aquarina</w:t>
      </w:r>
      <w:r>
        <w:rPr>
          <w:rFonts w:eastAsiaTheme="minorHAnsi"/>
        </w:rPr>
        <w:t xml:space="preserve"> </w:t>
      </w:r>
      <w:r w:rsidRPr="006252C6">
        <w:rPr>
          <w:rFonts w:eastAsia="PMingLiU"/>
        </w:rPr>
        <w:t>Utilities, Inc.</w:t>
      </w:r>
      <w:r w:rsidRPr="006252C6">
        <w:rPr>
          <w:rFonts w:eastAsiaTheme="minorHAnsi"/>
        </w:rPr>
        <w:t xml:space="preserve"> are shown on Schedule Nos.</w:t>
      </w:r>
      <w:r>
        <w:rPr>
          <w:rFonts w:eastAsiaTheme="minorHAnsi"/>
        </w:rPr>
        <w:t xml:space="preserve"> 4-A and 4-B. The Utility shall</w:t>
      </w:r>
      <w:r w:rsidRPr="006252C6">
        <w:rPr>
          <w:rFonts w:eastAsiaTheme="minorHAnsi"/>
        </w:rPr>
        <w:t xml:space="preserve"> file revised tariff sheets and a proposed customer notice to reflect the approved </w:t>
      </w:r>
      <w:r>
        <w:rPr>
          <w:rFonts w:eastAsiaTheme="minorHAnsi"/>
        </w:rPr>
        <w:t>rates. The approved rates shall</w:t>
      </w:r>
      <w:r w:rsidRPr="006252C6">
        <w:rPr>
          <w:rFonts w:eastAsiaTheme="minorHAnsi"/>
        </w:rPr>
        <w:t xml:space="preserve"> be effective for service rendered on or after the stamped approval date on the tariff sheets pursuant to Rule 25-30.475(1), F.A.C. In add</w:t>
      </w:r>
      <w:r>
        <w:rPr>
          <w:rFonts w:eastAsiaTheme="minorHAnsi"/>
        </w:rPr>
        <w:t>ition, the approved rates shall</w:t>
      </w:r>
      <w:r w:rsidRPr="006252C6">
        <w:rPr>
          <w:rFonts w:eastAsiaTheme="minorHAnsi"/>
        </w:rPr>
        <w:t xml:space="preserve"> not be implemented until </w:t>
      </w:r>
      <w:r>
        <w:rPr>
          <w:rFonts w:eastAsiaTheme="minorHAnsi"/>
        </w:rPr>
        <w:t xml:space="preserve">our </w:t>
      </w:r>
      <w:r w:rsidRPr="006252C6">
        <w:rPr>
          <w:rFonts w:eastAsiaTheme="minorHAnsi"/>
        </w:rPr>
        <w:t>staff has approved the proposed customer notice and the notice has been received by t</w:t>
      </w:r>
      <w:r>
        <w:rPr>
          <w:rFonts w:eastAsiaTheme="minorHAnsi"/>
        </w:rPr>
        <w:t xml:space="preserve">he customers. </w:t>
      </w:r>
      <w:r w:rsidRPr="006252C6">
        <w:rPr>
          <w:rFonts w:eastAsiaTheme="minorHAnsi"/>
        </w:rPr>
        <w:t>Aquarina</w:t>
      </w:r>
      <w:r>
        <w:rPr>
          <w:rFonts w:eastAsiaTheme="minorHAnsi"/>
        </w:rPr>
        <w:t xml:space="preserve"> </w:t>
      </w:r>
      <w:r w:rsidRPr="006252C6">
        <w:rPr>
          <w:rFonts w:eastAsia="PMingLiU"/>
        </w:rPr>
        <w:t>Utilities, Inc.</w:t>
      </w:r>
      <w:r>
        <w:rPr>
          <w:rFonts w:eastAsiaTheme="minorHAnsi"/>
        </w:rPr>
        <w:t xml:space="preserve"> shall</w:t>
      </w:r>
      <w:r w:rsidRPr="006252C6">
        <w:rPr>
          <w:rFonts w:eastAsiaTheme="minorHAnsi"/>
        </w:rPr>
        <w:t xml:space="preserve"> provide proof of the date notice was given within 10 days of the date of the notice. </w:t>
      </w:r>
      <w:r>
        <w:rPr>
          <w:rFonts w:eastAsiaTheme="minorHAnsi"/>
        </w:rPr>
        <w:t>It is further,</w:t>
      </w:r>
    </w:p>
    <w:p w:rsidR="00905562" w:rsidRDefault="00905562" w:rsidP="00905562">
      <w:pPr>
        <w:jc w:val="both"/>
        <w:rPr>
          <w:rFonts w:eastAsiaTheme="minorHAnsi"/>
        </w:rPr>
      </w:pPr>
    </w:p>
    <w:p w:rsidR="009F69A4" w:rsidRPr="003B1864" w:rsidRDefault="00905562" w:rsidP="009F69A4">
      <w:pPr>
        <w:spacing w:after="240"/>
        <w:jc w:val="both"/>
      </w:pPr>
      <w:r>
        <w:rPr>
          <w:rFonts w:eastAsiaTheme="minorHAnsi"/>
        </w:rPr>
        <w:tab/>
      </w:r>
      <w:r w:rsidRPr="00B40D67">
        <w:rPr>
          <w:rFonts w:eastAsiaTheme="minorHAnsi"/>
        </w:rPr>
        <w:t>ORDERED that</w:t>
      </w:r>
      <w:r>
        <w:rPr>
          <w:rFonts w:eastAsiaTheme="minorHAnsi"/>
        </w:rPr>
        <w:t xml:space="preserve"> </w:t>
      </w:r>
      <w:r w:rsidR="009F69A4">
        <w:t>t</w:t>
      </w:r>
      <w:r w:rsidR="009F69A4" w:rsidRPr="006252C6">
        <w:t xml:space="preserve">he initial customer deposits for the residential </w:t>
      </w:r>
      <w:r w:rsidR="009F69A4">
        <w:t>5/8 inch x 3/4 inch meter shall</w:t>
      </w:r>
      <w:r w:rsidR="009F69A4" w:rsidRPr="006252C6">
        <w:t xml:space="preserve"> be $82 for water and $87 for wastewater. The initial customer deposits for all other residential meter sizes and all ge</w:t>
      </w:r>
      <w:r w:rsidR="009F69A4">
        <w:t>neral service meter sizes shall</w:t>
      </w:r>
      <w:r w:rsidR="009F69A4" w:rsidRPr="006252C6">
        <w:t xml:space="preserve"> be two times the average estimated bill for water and wastewater. The approved </w:t>
      </w:r>
      <w:r w:rsidR="009F69A4">
        <w:t>initial customer deposits shall</w:t>
      </w:r>
      <w:r w:rsidR="009F69A4" w:rsidRPr="006252C6">
        <w:t xml:space="preserve"> be effective for services rendered</w:t>
      </w:r>
      <w:r w:rsidR="00696327">
        <w:t>,</w:t>
      </w:r>
      <w:r w:rsidR="009F69A4" w:rsidRPr="006252C6">
        <w:t xml:space="preserve"> or connections made</w:t>
      </w:r>
      <w:r w:rsidR="00696327">
        <w:t>,</w:t>
      </w:r>
      <w:r w:rsidR="009F69A4" w:rsidRPr="006252C6">
        <w:t xml:space="preserve"> on or after the stamped approval date on the tariff sheets pursuant to Rule 25-30.475, F.A.C. </w:t>
      </w:r>
      <w:r w:rsidR="00B40D67" w:rsidRPr="006252C6">
        <w:rPr>
          <w:rFonts w:eastAsiaTheme="minorHAnsi"/>
        </w:rPr>
        <w:t>Aquarina</w:t>
      </w:r>
      <w:r w:rsidR="00B40D67">
        <w:rPr>
          <w:rFonts w:eastAsiaTheme="minorHAnsi"/>
        </w:rPr>
        <w:t xml:space="preserve"> </w:t>
      </w:r>
      <w:r w:rsidR="00B40D67" w:rsidRPr="006252C6">
        <w:rPr>
          <w:rFonts w:eastAsia="PMingLiU"/>
        </w:rPr>
        <w:t>Utilities, Inc.</w:t>
      </w:r>
      <w:r w:rsidR="009F69A4" w:rsidRPr="006252C6">
        <w:t xml:space="preserve"> </w:t>
      </w:r>
      <w:r w:rsidR="009F69A4">
        <w:t xml:space="preserve">shall </w:t>
      </w:r>
      <w:r w:rsidR="009F69A4" w:rsidRPr="006252C6">
        <w:t>collect the approved depo</w:t>
      </w:r>
      <w:r w:rsidR="009F69A4" w:rsidRPr="003B1864">
        <w:t xml:space="preserve">sits until authorized to change them in a subsequent proceeding. </w:t>
      </w:r>
      <w:r w:rsidR="00B40D67" w:rsidRPr="003B1864">
        <w:t>It is further</w:t>
      </w:r>
    </w:p>
    <w:p w:rsidR="003B1864" w:rsidRDefault="00B40D67" w:rsidP="003B1864">
      <w:pPr>
        <w:jc w:val="both"/>
        <w:rPr>
          <w:color w:val="000000"/>
        </w:rPr>
      </w:pPr>
      <w:r w:rsidRPr="003B1864">
        <w:rPr>
          <w:rFonts w:eastAsiaTheme="minorHAnsi"/>
        </w:rPr>
        <w:tab/>
        <w:t>ORDERED that</w:t>
      </w:r>
      <w:r>
        <w:rPr>
          <w:rFonts w:eastAsiaTheme="minorHAnsi"/>
        </w:rPr>
        <w:t xml:space="preserve"> </w:t>
      </w:r>
      <w:r w:rsidR="003B1864">
        <w:rPr>
          <w:color w:val="000000"/>
        </w:rPr>
        <w:t>the water rates shall</w:t>
      </w:r>
      <w:r w:rsidR="003B1864" w:rsidRPr="006252C6">
        <w:rPr>
          <w:color w:val="000000"/>
        </w:rPr>
        <w:t xml:space="preserve"> be reduced, as shown on Schedule Nos. 4-A and 4-B, to remove the annual amortization of rate case expense grossed-up for RAFs. The decrease in rate</w:t>
      </w:r>
      <w:r w:rsidR="003B1864">
        <w:rPr>
          <w:color w:val="000000"/>
        </w:rPr>
        <w:t>s shall</w:t>
      </w:r>
      <w:r w:rsidR="003B1864" w:rsidRPr="006252C6">
        <w:rPr>
          <w:color w:val="000000"/>
        </w:rPr>
        <w:t xml:space="preserve"> become effective immediately following the expiration of the rate case expense recovery period. </w:t>
      </w:r>
      <w:r w:rsidR="003B1864" w:rsidRPr="006252C6">
        <w:rPr>
          <w:rFonts w:eastAsiaTheme="minorHAnsi"/>
        </w:rPr>
        <w:t>Aquarina</w:t>
      </w:r>
      <w:r w:rsidR="003B1864">
        <w:rPr>
          <w:rFonts w:eastAsiaTheme="minorHAnsi"/>
        </w:rPr>
        <w:t xml:space="preserve"> </w:t>
      </w:r>
      <w:r w:rsidR="003B1864" w:rsidRPr="006252C6">
        <w:rPr>
          <w:rFonts w:eastAsia="PMingLiU"/>
        </w:rPr>
        <w:t>Utilities, Inc.</w:t>
      </w:r>
      <w:r w:rsidR="003B1864">
        <w:rPr>
          <w:rFonts w:eastAsia="PMingLiU"/>
        </w:rPr>
        <w:t xml:space="preserve"> </w:t>
      </w:r>
      <w:r w:rsidR="003B1864">
        <w:rPr>
          <w:color w:val="000000"/>
        </w:rPr>
        <w:t xml:space="preserve">shall </w:t>
      </w:r>
      <w:r w:rsidR="003B1864" w:rsidRPr="006252C6">
        <w:rPr>
          <w:color w:val="000000"/>
        </w:rPr>
        <w:t xml:space="preserve">file revised tariffs and a proposed customer notice setting forth the lower rates and the reason for the reduction no later than one month prior to the actual date of the required rate reduction. If </w:t>
      </w:r>
      <w:r w:rsidR="003B1864" w:rsidRPr="006252C6">
        <w:rPr>
          <w:rFonts w:eastAsiaTheme="minorHAnsi"/>
        </w:rPr>
        <w:t>Aquarina</w:t>
      </w:r>
      <w:r w:rsidR="003B1864">
        <w:rPr>
          <w:rFonts w:eastAsiaTheme="minorHAnsi"/>
        </w:rPr>
        <w:t xml:space="preserve"> </w:t>
      </w:r>
      <w:r w:rsidR="003B1864" w:rsidRPr="006252C6">
        <w:rPr>
          <w:rFonts w:eastAsia="PMingLiU"/>
        </w:rPr>
        <w:t>Utilities, Inc.</w:t>
      </w:r>
      <w:r w:rsidR="003B1864">
        <w:rPr>
          <w:rFonts w:eastAsia="PMingLiU"/>
        </w:rPr>
        <w:t xml:space="preserve"> </w:t>
      </w:r>
      <w:r w:rsidR="003B1864" w:rsidRPr="006252C6">
        <w:rPr>
          <w:color w:val="000000"/>
        </w:rPr>
        <w:t xml:space="preserve">files this reduction in conjunction with a price index or pass-through rate </w:t>
      </w:r>
      <w:r w:rsidR="003B1864">
        <w:rPr>
          <w:color w:val="000000"/>
        </w:rPr>
        <w:t>adjustment, separate data shall</w:t>
      </w:r>
      <w:r w:rsidR="003B1864" w:rsidRPr="006252C6">
        <w:rPr>
          <w:color w:val="000000"/>
        </w:rPr>
        <w:t xml:space="preserve"> be filed for the price index and/or pass-through increase or decrease and the reduction in the rates due to the amortized rate case expense. </w:t>
      </w:r>
      <w:r w:rsidR="003B1864" w:rsidRPr="00681C67">
        <w:rPr>
          <w:b/>
          <w:i/>
          <w:color w:val="000000"/>
        </w:rPr>
        <w:t>(Procedural Agency Action)</w:t>
      </w:r>
      <w:r w:rsidR="003B1864" w:rsidRPr="006252C6">
        <w:rPr>
          <w:color w:val="000000"/>
        </w:rPr>
        <w:t xml:space="preserve"> </w:t>
      </w:r>
      <w:r w:rsidR="003B1864">
        <w:rPr>
          <w:color w:val="000000"/>
        </w:rPr>
        <w:t>It is further</w:t>
      </w:r>
    </w:p>
    <w:p w:rsidR="003B1864" w:rsidRDefault="003B1864" w:rsidP="003B1864">
      <w:pPr>
        <w:jc w:val="both"/>
        <w:rPr>
          <w:color w:val="000000"/>
        </w:rPr>
      </w:pPr>
    </w:p>
    <w:p w:rsidR="000A10F2" w:rsidRPr="006252C6" w:rsidRDefault="003B1864" w:rsidP="000A10F2">
      <w:pPr>
        <w:spacing w:after="240"/>
        <w:jc w:val="both"/>
      </w:pPr>
      <w:r>
        <w:rPr>
          <w:color w:val="000000"/>
        </w:rPr>
        <w:tab/>
      </w:r>
      <w:r w:rsidRPr="00681C67">
        <w:rPr>
          <w:color w:val="000000"/>
        </w:rPr>
        <w:t>ORDERED that</w:t>
      </w:r>
      <w:r w:rsidR="00696327">
        <w:rPr>
          <w:color w:val="000000"/>
        </w:rPr>
        <w:t>,</w:t>
      </w:r>
      <w:r w:rsidR="00696327" w:rsidRPr="00696327">
        <w:t xml:space="preserve"> </w:t>
      </w:r>
      <w:r w:rsidR="00696327" w:rsidRPr="006252C6">
        <w:t xml:space="preserve">in the event of a protest filed by a substantially affected </w:t>
      </w:r>
      <w:r w:rsidR="00696327">
        <w:t>person or party,</w:t>
      </w:r>
      <w:r>
        <w:rPr>
          <w:color w:val="000000"/>
        </w:rPr>
        <w:t xml:space="preserve"> </w:t>
      </w:r>
      <w:r w:rsidR="00681C67">
        <w:t>the approved rates shall</w:t>
      </w:r>
      <w:r w:rsidR="00681C67" w:rsidRPr="006252C6">
        <w:t xml:space="preserve"> be approved for the Utility on a tem</w:t>
      </w:r>
      <w:r w:rsidR="00696327">
        <w:t>porary basis, subject to refund.</w:t>
      </w:r>
      <w:r w:rsidR="00681C67" w:rsidRPr="006252C6">
        <w:t xml:space="preserve"> </w:t>
      </w:r>
      <w:r w:rsidR="00681C67">
        <w:t>Aquarina shall</w:t>
      </w:r>
      <w:r w:rsidR="00681C67" w:rsidRPr="006252C6">
        <w:t xml:space="preserve"> file revised tariff sheets and a proposed customer notice to reflect the Commission-approved </w:t>
      </w:r>
      <w:r w:rsidR="00681C67">
        <w:t>rates. The approved rates shall</w:t>
      </w:r>
      <w:r w:rsidR="00681C67" w:rsidRPr="006252C6">
        <w:t xml:space="preserve"> be effective for service rendered on or after the stamped approval date on the tariff sheet, pursuant to Rule 25-30.475(1), F.A.C. In addi</w:t>
      </w:r>
      <w:r w:rsidR="00681C67">
        <w:t>tion, the temporary rates shall</w:t>
      </w:r>
      <w:r w:rsidR="00681C67" w:rsidRPr="006252C6">
        <w:t xml:space="preserve"> not be implemented until </w:t>
      </w:r>
      <w:r w:rsidR="00681C67">
        <w:t xml:space="preserve">our </w:t>
      </w:r>
      <w:r w:rsidR="00681C67" w:rsidRPr="006252C6">
        <w:t>staff has approved the proposed notice, and the notice has been received by the customers. Prior to implementation of any tem</w:t>
      </w:r>
      <w:r w:rsidR="00681C67">
        <w:t>porary rates, the Utility shall</w:t>
      </w:r>
      <w:r w:rsidR="00681C67" w:rsidRPr="006252C6">
        <w:t xml:space="preserve"> provide appropriate security. If the </w:t>
      </w:r>
      <w:r w:rsidR="00681C67">
        <w:t xml:space="preserve">approved </w:t>
      </w:r>
      <w:r w:rsidR="00681C67" w:rsidRPr="006252C6">
        <w:t>rates are approved on a temporary basis, the rate</w:t>
      </w:r>
      <w:r w:rsidR="00681C67">
        <w:t>s collected by Aquarina shall</w:t>
      </w:r>
      <w:r w:rsidR="00681C67" w:rsidRPr="006252C6">
        <w:t xml:space="preserve"> be subject to the refund </w:t>
      </w:r>
      <w:r w:rsidR="00681C67">
        <w:t>as</w:t>
      </w:r>
      <w:r w:rsidR="00FD22D3">
        <w:t xml:space="preserve"> set forth in the body of this o</w:t>
      </w:r>
      <w:r w:rsidR="00681C67">
        <w:t xml:space="preserve">rder. </w:t>
      </w:r>
      <w:r w:rsidR="00681C67" w:rsidRPr="006252C6">
        <w:t>In addition, after the increased rates are in effect, pursuant to Rule 25-30.36</w:t>
      </w:r>
      <w:r w:rsidR="00681C67">
        <w:t>0(6), F.A.C., the Utility shall</w:t>
      </w:r>
      <w:r w:rsidR="00681C67" w:rsidRPr="006252C6">
        <w:t xml:space="preserve"> file reports with the Commission Clerk’s office no later than the 20th of every month indicating the monthly and total amount of money subject to refund at the end of the precedin</w:t>
      </w:r>
      <w:r w:rsidR="00681C67">
        <w:t>g month. The report filed shall</w:t>
      </w:r>
      <w:r w:rsidR="00681C67" w:rsidRPr="006252C6">
        <w:t xml:space="preserve"> also indicate the status of the security being used to guarantee repayment of any potential refund. </w:t>
      </w:r>
      <w:r w:rsidR="00681C67" w:rsidRPr="00681C67">
        <w:rPr>
          <w:b/>
          <w:i/>
          <w:color w:val="000000"/>
        </w:rPr>
        <w:t>(Procedural Agency Action)</w:t>
      </w:r>
      <w:r w:rsidR="00681C67" w:rsidRPr="006252C6">
        <w:rPr>
          <w:color w:val="000000"/>
        </w:rPr>
        <w:t xml:space="preserve"> </w:t>
      </w:r>
      <w:r w:rsidR="00681C67">
        <w:t>It is further</w:t>
      </w:r>
      <w:r w:rsidR="004D097C" w:rsidRPr="000A10F2">
        <w:t xml:space="preserve"> </w:t>
      </w:r>
    </w:p>
    <w:p w:rsidR="008D1D45" w:rsidRPr="006252C6" w:rsidRDefault="008D1D45" w:rsidP="008D1D45">
      <w:pPr>
        <w:pStyle w:val="OrderBody"/>
      </w:pPr>
      <w:r w:rsidRPr="006252C6">
        <w:tab/>
        <w:t>ORDER</w:t>
      </w:r>
      <w:r w:rsidR="00FD22D3">
        <w:t>ED that the provisions of this o</w:t>
      </w:r>
      <w:r w:rsidRPr="006252C6">
        <w:t>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D1D45" w:rsidRPr="006252C6" w:rsidRDefault="008D1D45" w:rsidP="008D1D45">
      <w:pPr>
        <w:pStyle w:val="OrderBody"/>
      </w:pPr>
    </w:p>
    <w:p w:rsidR="008D1D45" w:rsidRPr="006252C6" w:rsidRDefault="008D1D45" w:rsidP="008D1D45">
      <w:pPr>
        <w:pStyle w:val="OrderBody"/>
      </w:pPr>
      <w:r w:rsidRPr="006252C6">
        <w:tab/>
        <w:t xml:space="preserve">ORDERED </w:t>
      </w:r>
      <w:r w:rsidR="004D097C">
        <w:t xml:space="preserve">that </w:t>
      </w:r>
      <w:r w:rsidR="00FD22D3">
        <w:t>in the event this o</w:t>
      </w:r>
      <w:r w:rsidR="004D097C" w:rsidRPr="006252C6">
        <w:t xml:space="preserve">rder becomes final, this docket shall </w:t>
      </w:r>
      <w:r w:rsidR="004D097C" w:rsidRPr="004D097C">
        <w:t xml:space="preserve">remain open for our staff’s verification that the revised tariff sheets and customer notice have been filed by the Utility and approved by our staff. Once these actions are complete, this docket shall </w:t>
      </w:r>
      <w:r w:rsidR="004D097C">
        <w:t xml:space="preserve"> be closed administratively</w:t>
      </w:r>
      <w:r w:rsidRPr="006252C6">
        <w:t>.</w:t>
      </w:r>
    </w:p>
    <w:p w:rsidR="008D1D45" w:rsidRPr="006252C6" w:rsidRDefault="008D1D45" w:rsidP="008D1D45">
      <w:pPr>
        <w:pStyle w:val="OrderBody"/>
      </w:pPr>
    </w:p>
    <w:p w:rsidR="008D1D45" w:rsidRDefault="008D1D45" w:rsidP="008D1D45">
      <w:pPr>
        <w:pStyle w:val="OrderBody"/>
        <w:keepNext/>
        <w:keepLines/>
      </w:pPr>
      <w:r w:rsidRPr="006252C6">
        <w:tab/>
        <w:t xml:space="preserve">By ORDER of the Florida Public Service Commission this </w:t>
      </w:r>
      <w:bookmarkStart w:id="7" w:name="replaceDate"/>
      <w:bookmarkEnd w:id="7"/>
      <w:r w:rsidR="00744140">
        <w:rPr>
          <w:u w:val="single"/>
        </w:rPr>
        <w:t>15th</w:t>
      </w:r>
      <w:r w:rsidR="00744140">
        <w:t xml:space="preserve"> day of </w:t>
      </w:r>
      <w:r w:rsidR="00744140">
        <w:rPr>
          <w:u w:val="single"/>
        </w:rPr>
        <w:t>May</w:t>
      </w:r>
      <w:r w:rsidR="00744140">
        <w:t xml:space="preserve">, </w:t>
      </w:r>
      <w:r w:rsidR="00744140">
        <w:rPr>
          <w:u w:val="single"/>
        </w:rPr>
        <w:t>2020</w:t>
      </w:r>
      <w:r w:rsidR="00744140">
        <w:t>.</w:t>
      </w:r>
    </w:p>
    <w:p w:rsidR="00744140" w:rsidRPr="00744140" w:rsidRDefault="00744140" w:rsidP="008D1D45">
      <w:pPr>
        <w:pStyle w:val="OrderBody"/>
        <w:keepNext/>
        <w:keepLines/>
      </w:pPr>
    </w:p>
    <w:p w:rsidR="008D1D45" w:rsidRPr="006252C6" w:rsidRDefault="008D1D45" w:rsidP="008D1D45">
      <w:pPr>
        <w:pStyle w:val="OrderBody"/>
        <w:keepNext/>
        <w:keepLines/>
      </w:pPr>
    </w:p>
    <w:p w:rsidR="008D1D45" w:rsidRPr="006252C6" w:rsidRDefault="008D1D45" w:rsidP="008D1D4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D1D45" w:rsidRPr="006252C6" w:rsidTr="008D1D45">
        <w:tc>
          <w:tcPr>
            <w:tcW w:w="720" w:type="dxa"/>
            <w:shd w:val="clear" w:color="auto" w:fill="auto"/>
          </w:tcPr>
          <w:p w:rsidR="008D1D45" w:rsidRPr="006252C6" w:rsidRDefault="008D1D45" w:rsidP="008D1D45">
            <w:pPr>
              <w:pStyle w:val="OrderBody"/>
              <w:keepNext/>
              <w:keepLines/>
            </w:pPr>
            <w:bookmarkStart w:id="8" w:name="bkmrkSignature" w:colFirst="0" w:colLast="0"/>
          </w:p>
        </w:tc>
        <w:tc>
          <w:tcPr>
            <w:tcW w:w="4320" w:type="dxa"/>
            <w:tcBorders>
              <w:bottom w:val="single" w:sz="4" w:space="0" w:color="auto"/>
            </w:tcBorders>
            <w:shd w:val="clear" w:color="auto" w:fill="auto"/>
          </w:tcPr>
          <w:p w:rsidR="008D1D45" w:rsidRPr="006252C6" w:rsidRDefault="00744140" w:rsidP="008D1D45">
            <w:pPr>
              <w:pStyle w:val="OrderBody"/>
              <w:keepNext/>
              <w:keepLines/>
            </w:pPr>
            <w:r>
              <w:t>/s/ Adam J. Teitzman</w:t>
            </w:r>
            <w:bookmarkStart w:id="9" w:name="_GoBack"/>
            <w:bookmarkEnd w:id="9"/>
          </w:p>
        </w:tc>
      </w:tr>
      <w:bookmarkEnd w:id="8"/>
      <w:tr w:rsidR="008D1D45" w:rsidRPr="006252C6" w:rsidTr="008D1D45">
        <w:tc>
          <w:tcPr>
            <w:tcW w:w="720" w:type="dxa"/>
            <w:shd w:val="clear" w:color="auto" w:fill="auto"/>
          </w:tcPr>
          <w:p w:rsidR="008D1D45" w:rsidRPr="006252C6" w:rsidRDefault="008D1D45" w:rsidP="008D1D45">
            <w:pPr>
              <w:pStyle w:val="OrderBody"/>
              <w:keepNext/>
              <w:keepLines/>
            </w:pPr>
          </w:p>
        </w:tc>
        <w:tc>
          <w:tcPr>
            <w:tcW w:w="4320" w:type="dxa"/>
            <w:tcBorders>
              <w:top w:val="single" w:sz="4" w:space="0" w:color="auto"/>
            </w:tcBorders>
            <w:shd w:val="clear" w:color="auto" w:fill="auto"/>
          </w:tcPr>
          <w:p w:rsidR="008D1D45" w:rsidRPr="006252C6" w:rsidRDefault="008D1D45" w:rsidP="008D1D45">
            <w:pPr>
              <w:pStyle w:val="OrderBody"/>
              <w:keepNext/>
              <w:keepLines/>
            </w:pPr>
            <w:r w:rsidRPr="006252C6">
              <w:t>ADAM J. TEITZMAN</w:t>
            </w:r>
          </w:p>
          <w:p w:rsidR="008D1D45" w:rsidRPr="006252C6" w:rsidRDefault="008D1D45" w:rsidP="008D1D45">
            <w:pPr>
              <w:pStyle w:val="OrderBody"/>
              <w:keepNext/>
              <w:keepLines/>
            </w:pPr>
            <w:r w:rsidRPr="006252C6">
              <w:t>Commission Clerk</w:t>
            </w:r>
          </w:p>
        </w:tc>
      </w:tr>
    </w:tbl>
    <w:p w:rsidR="008D1D45" w:rsidRPr="006252C6" w:rsidRDefault="008D1D45" w:rsidP="008D1D45">
      <w:pPr>
        <w:pStyle w:val="OrderSigInfo"/>
        <w:keepNext/>
        <w:keepLines/>
        <w:rPr>
          <w:szCs w:val="24"/>
        </w:rPr>
      </w:pPr>
      <w:r w:rsidRPr="006252C6">
        <w:rPr>
          <w:szCs w:val="24"/>
        </w:rPr>
        <w:t>Florida Public Service Commission</w:t>
      </w:r>
    </w:p>
    <w:p w:rsidR="008D1D45" w:rsidRPr="006252C6" w:rsidRDefault="008D1D45" w:rsidP="008D1D45">
      <w:pPr>
        <w:pStyle w:val="OrderSigInfo"/>
        <w:keepNext/>
        <w:keepLines/>
        <w:rPr>
          <w:szCs w:val="24"/>
        </w:rPr>
      </w:pPr>
      <w:r w:rsidRPr="006252C6">
        <w:rPr>
          <w:szCs w:val="24"/>
        </w:rPr>
        <w:t>2540 Shumard Oak Boulevard</w:t>
      </w:r>
    </w:p>
    <w:p w:rsidR="008D1D45" w:rsidRPr="006252C6" w:rsidRDefault="008D1D45" w:rsidP="008D1D45">
      <w:pPr>
        <w:pStyle w:val="OrderSigInfo"/>
        <w:keepNext/>
        <w:keepLines/>
        <w:rPr>
          <w:szCs w:val="24"/>
        </w:rPr>
      </w:pPr>
      <w:r w:rsidRPr="006252C6">
        <w:rPr>
          <w:szCs w:val="24"/>
        </w:rPr>
        <w:t>Tallahassee, Florida 32399</w:t>
      </w:r>
    </w:p>
    <w:p w:rsidR="008D1D45" w:rsidRPr="006252C6" w:rsidRDefault="008D1D45" w:rsidP="008D1D45">
      <w:pPr>
        <w:pStyle w:val="OrderSigInfo"/>
        <w:keepNext/>
        <w:keepLines/>
        <w:rPr>
          <w:szCs w:val="24"/>
        </w:rPr>
      </w:pPr>
      <w:r w:rsidRPr="006252C6">
        <w:rPr>
          <w:szCs w:val="24"/>
        </w:rPr>
        <w:t>(850) 413</w:t>
      </w:r>
      <w:r w:rsidRPr="006252C6">
        <w:rPr>
          <w:szCs w:val="24"/>
        </w:rPr>
        <w:noBreakHyphen/>
        <w:t>6770</w:t>
      </w:r>
    </w:p>
    <w:p w:rsidR="008D1D45" w:rsidRPr="006252C6" w:rsidRDefault="008D1D45" w:rsidP="008D1D45">
      <w:pPr>
        <w:pStyle w:val="OrderSigInfo"/>
        <w:keepNext/>
        <w:keepLines/>
        <w:rPr>
          <w:szCs w:val="24"/>
        </w:rPr>
      </w:pPr>
      <w:r w:rsidRPr="006252C6">
        <w:rPr>
          <w:szCs w:val="24"/>
        </w:rPr>
        <w:t>www.floridapsc.com</w:t>
      </w:r>
    </w:p>
    <w:p w:rsidR="008D1D45" w:rsidRPr="006252C6" w:rsidRDefault="008D1D45" w:rsidP="008D1D45">
      <w:pPr>
        <w:pStyle w:val="OrderSigInfo"/>
        <w:keepNext/>
        <w:keepLines/>
        <w:rPr>
          <w:szCs w:val="24"/>
        </w:rPr>
      </w:pPr>
    </w:p>
    <w:p w:rsidR="008D1D45" w:rsidRPr="006252C6" w:rsidRDefault="008D1D45" w:rsidP="008D1D45">
      <w:pPr>
        <w:pStyle w:val="OrderSigInfo"/>
        <w:keepNext/>
        <w:keepLines/>
        <w:rPr>
          <w:szCs w:val="24"/>
        </w:rPr>
      </w:pPr>
      <w:r w:rsidRPr="006252C6">
        <w:rPr>
          <w:szCs w:val="24"/>
        </w:rPr>
        <w:t>Copies furnished:  A copy of this document is provided to the parties of record at the time of issuance and, if applicable, interested persons.</w:t>
      </w:r>
    </w:p>
    <w:p w:rsidR="008D1D45" w:rsidRPr="006252C6" w:rsidRDefault="008D1D45" w:rsidP="008D1D45">
      <w:pPr>
        <w:pStyle w:val="OrderBody"/>
        <w:keepNext/>
        <w:keepLines/>
      </w:pPr>
    </w:p>
    <w:p w:rsidR="008D1D45" w:rsidRPr="006252C6" w:rsidRDefault="008D1D45" w:rsidP="008D1D45">
      <w:pPr>
        <w:pStyle w:val="OrderBody"/>
        <w:keepNext/>
        <w:keepLines/>
      </w:pPr>
    </w:p>
    <w:p w:rsidR="008D1D45" w:rsidRPr="006252C6" w:rsidRDefault="008D1D45" w:rsidP="008D1D45">
      <w:pPr>
        <w:pStyle w:val="OrderBody"/>
        <w:keepNext/>
        <w:keepLines/>
      </w:pPr>
      <w:r w:rsidRPr="006252C6">
        <w:t>CWM</w:t>
      </w:r>
    </w:p>
    <w:p w:rsidR="008D1D45" w:rsidRPr="006252C6" w:rsidRDefault="008D1D45" w:rsidP="008D1D45">
      <w:pPr>
        <w:pStyle w:val="OrderBody"/>
      </w:pPr>
    </w:p>
    <w:p w:rsidR="008D1D45" w:rsidRPr="006252C6" w:rsidRDefault="008D1D45" w:rsidP="008D1D45">
      <w:pPr>
        <w:pStyle w:val="OrderBody"/>
      </w:pPr>
    </w:p>
    <w:p w:rsidR="008D1D45" w:rsidRPr="006252C6" w:rsidRDefault="008D1D45" w:rsidP="008D1D45">
      <w:pPr>
        <w:pStyle w:val="CenterUnderline"/>
      </w:pPr>
      <w:r w:rsidRPr="006252C6">
        <w:t>NOTICE OF FURTHER PROCEEDINGS OR JUDICIAL REVIEW</w:t>
      </w:r>
    </w:p>
    <w:p w:rsidR="008D1D45" w:rsidRPr="006252C6" w:rsidRDefault="008D1D45" w:rsidP="008D1D45">
      <w:pPr>
        <w:pStyle w:val="CenterUnderline"/>
      </w:pPr>
    </w:p>
    <w:p w:rsidR="008D1D45" w:rsidRPr="006252C6" w:rsidRDefault="008D1D45" w:rsidP="008D1D45">
      <w:pPr>
        <w:pStyle w:val="OrderBody"/>
      </w:pPr>
      <w:r w:rsidRPr="006252C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1D45" w:rsidRPr="006252C6" w:rsidRDefault="008D1D45" w:rsidP="008D1D45">
      <w:pPr>
        <w:pStyle w:val="OrderBody"/>
      </w:pPr>
    </w:p>
    <w:p w:rsidR="008D1D45" w:rsidRPr="006252C6" w:rsidRDefault="008D1D45" w:rsidP="008D1D45">
      <w:pPr>
        <w:pStyle w:val="OrderBody"/>
      </w:pPr>
      <w:r w:rsidRPr="006252C6">
        <w:tab/>
        <w:t xml:space="preserve">As identified in the body of this order, our actions are preliminary in nature, except for (1) the reduction of rates after four years based upon the recovery of rate case expense, </w:t>
      </w:r>
      <w:r w:rsidR="0011282C" w:rsidRPr="006252C6">
        <w:t xml:space="preserve">and </w:t>
      </w:r>
      <w:r w:rsidRPr="006252C6">
        <w:t>(2) the granting of temporary</w:t>
      </w:r>
      <w:r w:rsidR="0011282C" w:rsidRPr="006252C6">
        <w:t xml:space="preserve"> rates in the event of protest.</w:t>
      </w:r>
      <w:r w:rsidR="00257A5D">
        <w:t xml:space="preserve"> </w:t>
      </w:r>
      <w:r w:rsidRPr="006252C6">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744140">
        <w:rPr>
          <w:u w:val="single"/>
        </w:rPr>
        <w:t>June 5, 2020</w:t>
      </w:r>
      <w:r w:rsidRPr="006252C6">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D1D45" w:rsidRPr="006252C6" w:rsidRDefault="008D1D45" w:rsidP="008D1D45">
      <w:pPr>
        <w:pStyle w:val="OrderBody"/>
      </w:pPr>
    </w:p>
    <w:p w:rsidR="008D1D45" w:rsidRPr="006252C6" w:rsidRDefault="008D1D45" w:rsidP="008D1D45">
      <w:pPr>
        <w:pStyle w:val="OrderBody"/>
      </w:pPr>
      <w:r w:rsidRPr="006252C6">
        <w:tab/>
        <w:t>Any objection or protest filed in this docket before the issuance date of this order is considered abandoned unless it satisfies the foregoing conditions and is renewed within the specified protest period.</w:t>
      </w:r>
    </w:p>
    <w:p w:rsidR="008D1D45" w:rsidRPr="006252C6" w:rsidRDefault="008D1D45" w:rsidP="008D1D45">
      <w:pPr>
        <w:pStyle w:val="OrderBody"/>
      </w:pPr>
    </w:p>
    <w:p w:rsidR="008D1D45" w:rsidRPr="006252C6" w:rsidRDefault="008D1D45" w:rsidP="008D1D45">
      <w:pPr>
        <w:pStyle w:val="OrderBody"/>
      </w:pPr>
      <w:r w:rsidRPr="006252C6">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1D45" w:rsidRPr="006252C6" w:rsidRDefault="008D1D45" w:rsidP="008D1D45">
      <w:pPr>
        <w:pStyle w:val="OrderBody"/>
      </w:pPr>
    </w:p>
    <w:p w:rsidR="008D1D45" w:rsidRPr="006252C6" w:rsidRDefault="008D1D45" w:rsidP="008D1D45">
      <w:pPr>
        <w:pStyle w:val="OrderBody"/>
        <w:sectPr w:rsidR="008D1D45" w:rsidRPr="006252C6">
          <w:headerReference w:type="default" r:id="rId7"/>
          <w:footerReference w:type="first" r:id="rId8"/>
          <w:pgSz w:w="12240" w:h="15840" w:code="1"/>
          <w:pgMar w:top="1440" w:right="1440" w:bottom="1440" w:left="1440" w:header="720" w:footer="720" w:gutter="0"/>
          <w:cols w:space="720"/>
          <w:titlePg/>
          <w:docGrid w:linePitch="360"/>
        </w:sectPr>
      </w:pPr>
    </w:p>
    <w:tbl>
      <w:tblPr>
        <w:tblW w:w="9458" w:type="dxa"/>
        <w:jc w:val="center"/>
        <w:tblLook w:val="04A0" w:firstRow="1" w:lastRow="0" w:firstColumn="1" w:lastColumn="0" w:noHBand="0" w:noVBand="1"/>
      </w:tblPr>
      <w:tblGrid>
        <w:gridCol w:w="440"/>
        <w:gridCol w:w="3844"/>
        <w:gridCol w:w="2143"/>
        <w:gridCol w:w="1793"/>
        <w:gridCol w:w="1336"/>
      </w:tblGrid>
      <w:tr w:rsidR="008D1D45" w:rsidRPr="006252C6" w:rsidTr="008D1D45">
        <w:trPr>
          <w:trHeight w:val="315"/>
          <w:jc w:val="center"/>
        </w:trPr>
        <w:tc>
          <w:tcPr>
            <w:tcW w:w="6427" w:type="dxa"/>
            <w:gridSpan w:val="3"/>
            <w:tcBorders>
              <w:top w:val="single" w:sz="8" w:space="0" w:color="auto"/>
              <w:left w:val="single" w:sz="8" w:space="0" w:color="auto"/>
              <w:bottom w:val="nil"/>
              <w:right w:val="nil"/>
            </w:tcBorders>
            <w:shd w:val="clear" w:color="000000" w:fill="FFFFFF"/>
            <w:noWrap/>
            <w:vAlign w:val="bottom"/>
            <w:hideMark/>
          </w:tcPr>
          <w:p w:rsidR="008D1D45" w:rsidRPr="006252C6" w:rsidRDefault="008D1D45" w:rsidP="008D1D45">
            <w:pPr>
              <w:rPr>
                <w:b/>
                <w:bCs/>
              </w:rPr>
            </w:pPr>
            <w:r w:rsidRPr="006252C6">
              <w:rPr>
                <w:b/>
                <w:bCs/>
              </w:rPr>
              <w:t>AQUARINA UTILITIES, INC.</w:t>
            </w:r>
          </w:p>
        </w:tc>
        <w:tc>
          <w:tcPr>
            <w:tcW w:w="3031" w:type="dxa"/>
            <w:gridSpan w:val="2"/>
            <w:tcBorders>
              <w:top w:val="single" w:sz="8" w:space="0" w:color="auto"/>
              <w:left w:val="nil"/>
              <w:bottom w:val="nil"/>
              <w:right w:val="single" w:sz="8" w:space="0" w:color="000000"/>
            </w:tcBorders>
            <w:shd w:val="clear" w:color="000000" w:fill="FFFFFF"/>
            <w:noWrap/>
            <w:vAlign w:val="center"/>
            <w:hideMark/>
          </w:tcPr>
          <w:p w:rsidR="008D1D45" w:rsidRPr="006252C6" w:rsidRDefault="008D1D45" w:rsidP="008D1D45">
            <w:pPr>
              <w:jc w:val="right"/>
              <w:rPr>
                <w:b/>
                <w:bCs/>
              </w:rPr>
            </w:pPr>
            <w:r w:rsidRPr="006252C6">
              <w:rPr>
                <w:b/>
                <w:bCs/>
              </w:rPr>
              <w:t>SCHEDULE NO. 1-A</w:t>
            </w:r>
          </w:p>
        </w:tc>
      </w:tr>
      <w:tr w:rsidR="008D1D45" w:rsidRPr="006252C6" w:rsidTr="008D1D45">
        <w:trPr>
          <w:trHeight w:val="315"/>
          <w:jc w:val="center"/>
        </w:trPr>
        <w:tc>
          <w:tcPr>
            <w:tcW w:w="6427" w:type="dxa"/>
            <w:gridSpan w:val="3"/>
            <w:tcBorders>
              <w:top w:val="nil"/>
              <w:left w:val="single" w:sz="8" w:space="0" w:color="auto"/>
              <w:bottom w:val="nil"/>
              <w:right w:val="nil"/>
            </w:tcBorders>
            <w:shd w:val="clear" w:color="000000" w:fill="FFFFFF"/>
            <w:noWrap/>
            <w:vAlign w:val="bottom"/>
            <w:hideMark/>
          </w:tcPr>
          <w:p w:rsidR="008D1D45" w:rsidRPr="006252C6" w:rsidRDefault="008D1D45" w:rsidP="008D1D45">
            <w:pPr>
              <w:rPr>
                <w:b/>
                <w:bCs/>
              </w:rPr>
            </w:pPr>
            <w:r w:rsidRPr="006252C6">
              <w:rPr>
                <w:b/>
                <w:bCs/>
              </w:rPr>
              <w:t>SCHEDULE OF POTABLE WATER RATE BASE</w:t>
            </w:r>
          </w:p>
        </w:tc>
        <w:tc>
          <w:tcPr>
            <w:tcW w:w="3031" w:type="dxa"/>
            <w:gridSpan w:val="2"/>
            <w:tcBorders>
              <w:top w:val="nil"/>
              <w:left w:val="nil"/>
              <w:bottom w:val="nil"/>
              <w:right w:val="single" w:sz="8" w:space="0" w:color="000000"/>
            </w:tcBorders>
            <w:shd w:val="clear" w:color="000000" w:fill="FFFFFF"/>
            <w:noWrap/>
            <w:vAlign w:val="center"/>
            <w:hideMark/>
          </w:tcPr>
          <w:p w:rsidR="008D1D45" w:rsidRPr="006252C6" w:rsidRDefault="008D1D45" w:rsidP="008D1D45">
            <w:pPr>
              <w:jc w:val="right"/>
              <w:rPr>
                <w:b/>
                <w:bCs/>
              </w:rPr>
            </w:pPr>
            <w:r w:rsidRPr="006252C6">
              <w:rPr>
                <w:b/>
                <w:bCs/>
              </w:rPr>
              <w:t>DOCKET NO. 20190080-WS</w:t>
            </w:r>
          </w:p>
        </w:tc>
      </w:tr>
      <w:tr w:rsidR="008D1D45" w:rsidRPr="006252C6" w:rsidTr="008D1D45">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single" w:sz="8" w:space="0" w:color="auto"/>
              <w:right w:val="nil"/>
            </w:tcBorders>
            <w:shd w:val="clear" w:color="000000" w:fill="FFFFFF"/>
            <w:noWrap/>
            <w:vAlign w:val="bottom"/>
            <w:hideMark/>
          </w:tcPr>
          <w:p w:rsidR="008D1D45" w:rsidRPr="006252C6" w:rsidRDefault="008D1D45" w:rsidP="008D1D45">
            <w:pPr>
              <w:rPr>
                <w:b/>
                <w:bCs/>
              </w:rPr>
            </w:pPr>
            <w:r w:rsidRPr="006252C6">
              <w:rPr>
                <w:b/>
                <w:bCs/>
              </w:rPr>
              <w:t> </w:t>
            </w:r>
          </w:p>
        </w:tc>
        <w:tc>
          <w:tcPr>
            <w:tcW w:w="2143" w:type="dxa"/>
            <w:tcBorders>
              <w:top w:val="nil"/>
              <w:left w:val="nil"/>
              <w:bottom w:val="single" w:sz="8" w:space="0" w:color="auto"/>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single" w:sz="8" w:space="0" w:color="auto"/>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single" w:sz="8" w:space="0" w:color="auto"/>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4D097C" w:rsidRDefault="008D1D45" w:rsidP="008D1D45">
            <w:pPr>
              <w:jc w:val="center"/>
              <w:rPr>
                <w:b/>
                <w:bCs/>
                <w:sz w:val="20"/>
                <w:szCs w:val="20"/>
              </w:rPr>
            </w:pPr>
            <w:r w:rsidRPr="004D097C">
              <w:rPr>
                <w:b/>
                <w:bCs/>
                <w:sz w:val="20"/>
                <w:szCs w:val="20"/>
              </w:rPr>
              <w:t>BALANCE</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center"/>
              <w:rPr>
                <w:b/>
                <w:bCs/>
              </w:rPr>
            </w:pPr>
          </w:p>
        </w:tc>
        <w:tc>
          <w:tcPr>
            <w:tcW w:w="1238" w:type="dxa"/>
            <w:tcBorders>
              <w:top w:val="nil"/>
              <w:left w:val="nil"/>
              <w:bottom w:val="nil"/>
              <w:right w:val="single" w:sz="8" w:space="0" w:color="auto"/>
            </w:tcBorders>
            <w:shd w:val="clear" w:color="000000" w:fill="FFFFFF"/>
            <w:noWrap/>
            <w:vAlign w:val="bottom"/>
            <w:hideMark/>
          </w:tcPr>
          <w:p w:rsidR="008D1D45" w:rsidRPr="004D097C" w:rsidRDefault="008D1D45" w:rsidP="008D1D45">
            <w:pPr>
              <w:jc w:val="center"/>
              <w:rPr>
                <w:b/>
                <w:bCs/>
                <w:sz w:val="20"/>
                <w:szCs w:val="20"/>
              </w:rPr>
            </w:pPr>
            <w:r w:rsidRPr="004D097C">
              <w:rPr>
                <w:b/>
                <w:bCs/>
                <w:sz w:val="20"/>
                <w:szCs w:val="20"/>
              </w:rPr>
              <w:t>BALANCE</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4D097C" w:rsidRDefault="008D1D45" w:rsidP="008D1D45">
            <w:pPr>
              <w:jc w:val="center"/>
              <w:rPr>
                <w:b/>
                <w:bCs/>
                <w:sz w:val="20"/>
                <w:szCs w:val="20"/>
              </w:rPr>
            </w:pPr>
            <w:r w:rsidRPr="004D097C">
              <w:rPr>
                <w:b/>
                <w:bCs/>
                <w:sz w:val="20"/>
                <w:szCs w:val="20"/>
              </w:rPr>
              <w:t xml:space="preserve">PER </w:t>
            </w:r>
          </w:p>
        </w:tc>
        <w:tc>
          <w:tcPr>
            <w:tcW w:w="1793" w:type="dxa"/>
            <w:tcBorders>
              <w:top w:val="nil"/>
              <w:left w:val="nil"/>
              <w:bottom w:val="nil"/>
              <w:right w:val="nil"/>
            </w:tcBorders>
            <w:shd w:val="clear" w:color="000000" w:fill="FFFFFF"/>
            <w:noWrap/>
            <w:vAlign w:val="bottom"/>
            <w:hideMark/>
          </w:tcPr>
          <w:p w:rsidR="008D1D45" w:rsidRPr="004D097C" w:rsidRDefault="008D1D45" w:rsidP="008D1D45">
            <w:pPr>
              <w:jc w:val="center"/>
              <w:rPr>
                <w:b/>
                <w:bCs/>
                <w:sz w:val="20"/>
                <w:szCs w:val="20"/>
              </w:rPr>
            </w:pPr>
            <w:r w:rsidRPr="004D097C">
              <w:rPr>
                <w:b/>
                <w:bCs/>
                <w:sz w:val="20"/>
                <w:szCs w:val="20"/>
              </w:rPr>
              <w:t>ADJUSTMENTS</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center"/>
              <w:rPr>
                <w:b/>
                <w:bCs/>
              </w:rPr>
            </w:pPr>
          </w:p>
        </w:tc>
      </w:tr>
      <w:tr w:rsidR="008D1D45" w:rsidRPr="006252C6" w:rsidTr="008D1D45">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single" w:sz="8" w:space="0" w:color="auto"/>
              <w:right w:val="nil"/>
            </w:tcBorders>
            <w:shd w:val="clear" w:color="000000" w:fill="FFFFFF"/>
            <w:noWrap/>
            <w:vAlign w:val="bottom"/>
            <w:hideMark/>
          </w:tcPr>
          <w:p w:rsidR="008D1D45" w:rsidRPr="006252C6" w:rsidRDefault="008D1D45" w:rsidP="008D1D45">
            <w:pPr>
              <w:rPr>
                <w:b/>
                <w:bCs/>
              </w:rPr>
            </w:pPr>
            <w:r w:rsidRPr="006252C6">
              <w:rPr>
                <w:b/>
                <w:bCs/>
              </w:rPr>
              <w:t>DESCRIPTION</w:t>
            </w:r>
          </w:p>
        </w:tc>
        <w:tc>
          <w:tcPr>
            <w:tcW w:w="2143" w:type="dxa"/>
            <w:tcBorders>
              <w:top w:val="nil"/>
              <w:left w:val="nil"/>
              <w:bottom w:val="single" w:sz="8" w:space="0" w:color="auto"/>
              <w:right w:val="nil"/>
            </w:tcBorders>
            <w:shd w:val="clear" w:color="000000" w:fill="FFFFFF"/>
            <w:noWrap/>
            <w:vAlign w:val="bottom"/>
            <w:hideMark/>
          </w:tcPr>
          <w:p w:rsidR="008D1D45" w:rsidRPr="004D097C" w:rsidRDefault="008D1D45" w:rsidP="008D1D45">
            <w:pPr>
              <w:jc w:val="center"/>
              <w:rPr>
                <w:b/>
                <w:bCs/>
                <w:sz w:val="20"/>
                <w:szCs w:val="20"/>
              </w:rPr>
            </w:pPr>
            <w:r w:rsidRPr="004D097C">
              <w:rPr>
                <w:b/>
                <w:bCs/>
                <w:sz w:val="20"/>
                <w:szCs w:val="20"/>
              </w:rPr>
              <w:t>2015 SARC Phase II</w:t>
            </w:r>
          </w:p>
        </w:tc>
        <w:tc>
          <w:tcPr>
            <w:tcW w:w="1793" w:type="dxa"/>
            <w:tcBorders>
              <w:top w:val="nil"/>
              <w:left w:val="nil"/>
              <w:bottom w:val="single" w:sz="8" w:space="0" w:color="auto"/>
              <w:right w:val="nil"/>
            </w:tcBorders>
            <w:shd w:val="clear" w:color="000000" w:fill="FFFFFF"/>
            <w:noWrap/>
            <w:vAlign w:val="bottom"/>
            <w:hideMark/>
          </w:tcPr>
          <w:p w:rsidR="008D1D45" w:rsidRPr="004D097C" w:rsidRDefault="008D1D45" w:rsidP="008D1D45">
            <w:pPr>
              <w:jc w:val="center"/>
              <w:rPr>
                <w:b/>
                <w:bCs/>
                <w:sz w:val="20"/>
                <w:szCs w:val="20"/>
              </w:rPr>
            </w:pPr>
            <w:r w:rsidRPr="004D097C">
              <w:rPr>
                <w:b/>
                <w:bCs/>
                <w:sz w:val="20"/>
                <w:szCs w:val="20"/>
              </w:rPr>
              <w:t>TO UTIL. BAL.</w:t>
            </w:r>
          </w:p>
        </w:tc>
        <w:tc>
          <w:tcPr>
            <w:tcW w:w="1238" w:type="dxa"/>
            <w:tcBorders>
              <w:top w:val="nil"/>
              <w:left w:val="nil"/>
              <w:bottom w:val="single" w:sz="8" w:space="0" w:color="auto"/>
              <w:right w:val="single" w:sz="8" w:space="0" w:color="auto"/>
            </w:tcBorders>
            <w:shd w:val="clear" w:color="000000" w:fill="FFFFFF"/>
            <w:noWrap/>
            <w:vAlign w:val="bottom"/>
            <w:hideMark/>
          </w:tcPr>
          <w:p w:rsidR="008D1D45" w:rsidRPr="006252C6" w:rsidRDefault="008D1D45" w:rsidP="008D1D45">
            <w:pPr>
              <w:jc w:val="center"/>
              <w:rPr>
                <w:b/>
                <w:bCs/>
              </w:rPr>
            </w:pP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pPr>
              <w:rPr>
                <w:b/>
                <w:bCs/>
              </w:rPr>
            </w:pPr>
            <w:r w:rsidRPr="006252C6">
              <w:rPr>
                <w:b/>
                <w:bCs/>
              </w:rPr>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center"/>
              <w:rPr>
                <w:b/>
                <w:bCs/>
              </w:rPr>
            </w:pPr>
            <w:r w:rsidRPr="006252C6">
              <w:rPr>
                <w:b/>
                <w:bCs/>
              </w:rPr>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center"/>
              <w:rPr>
                <w:b/>
                <w:bCs/>
              </w:rPr>
            </w:pPr>
            <w:r w:rsidRPr="006252C6">
              <w:rPr>
                <w:b/>
                <w:bCs/>
              </w:rPr>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center"/>
              <w:rPr>
                <w:b/>
                <w:bCs/>
              </w:rPr>
            </w:pPr>
            <w:r w:rsidRPr="006252C6">
              <w:rPr>
                <w:b/>
                <w:bCs/>
              </w:rPr>
              <w:t>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1.</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UTILITY PLANT IN SERVICE</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$1,462,628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$10,246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pPr>
            <w:r w:rsidRPr="006252C6">
              <w:t xml:space="preserve">$1,472,874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15"/>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2.</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LAND &amp; LAND RIGHTS</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37,582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0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pPr>
            <w:r w:rsidRPr="006252C6">
              <w:t xml:space="preserve">37,582 </w:t>
            </w:r>
          </w:p>
        </w:tc>
      </w:tr>
      <w:tr w:rsidR="008D1D45" w:rsidRPr="006252C6" w:rsidTr="008D1D45">
        <w:trPr>
          <w:trHeight w:val="315"/>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15"/>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3.</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NON-USED AND USEFUL COMPONENT</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(68,910)</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(1,757)</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pPr>
            <w:r w:rsidRPr="006252C6">
              <w:t>(70,667)</w:t>
            </w:r>
          </w:p>
        </w:tc>
      </w:tr>
      <w:tr w:rsidR="008D1D45" w:rsidRPr="006252C6" w:rsidTr="008D1D45">
        <w:trPr>
          <w:trHeight w:val="315"/>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15"/>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4.</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ACCUMULATED DEPRECIATION</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(1,035,947)</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18,233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pPr>
            <w:r w:rsidRPr="006252C6">
              <w:t>(1,017,714)</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5.</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xml:space="preserve">CIAC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(337,868)</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0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pPr>
            <w:r w:rsidRPr="006252C6">
              <w:t>(337,868)</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6.</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AMORTIZATION OF CIAC</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149,343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pPr>
            <w:r w:rsidRPr="006252C6">
              <w:t xml:space="preserve">0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pPr>
            <w:r w:rsidRPr="006252C6">
              <w:t xml:space="preserve">149,343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7.</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WORKING CAPITAL ALLOWANCE</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rPr>
                <w:u w:val="single"/>
              </w:rPr>
            </w:pPr>
            <w:r w:rsidRPr="006252C6">
              <w:rPr>
                <w:u w:val="single"/>
              </w:rPr>
              <w:t xml:space="preserve">15,539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rPr>
                <w:u w:val="single"/>
              </w:rPr>
            </w:pPr>
            <w:r w:rsidRPr="006252C6">
              <w:rPr>
                <w:u w:val="single"/>
              </w:rPr>
              <w:t xml:space="preserve">122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rPr>
                <w:u w:val="single"/>
              </w:rPr>
            </w:pPr>
            <w:r w:rsidRPr="006252C6">
              <w:rPr>
                <w:u w:val="single"/>
              </w:rPr>
              <w:t xml:space="preserve">15,661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r w:rsidRPr="006252C6">
              <w:t> </w:t>
            </w:r>
          </w:p>
        </w:tc>
      </w:tr>
      <w:tr w:rsidR="008D1D45" w:rsidRPr="006252C6" w:rsidTr="008D1D45">
        <w:trPr>
          <w:trHeight w:val="300"/>
          <w:jc w:val="center"/>
        </w:trPr>
        <w:tc>
          <w:tcPr>
            <w:tcW w:w="440" w:type="dxa"/>
            <w:tcBorders>
              <w:top w:val="nil"/>
              <w:left w:val="single" w:sz="8" w:space="0" w:color="auto"/>
              <w:bottom w:val="nil"/>
              <w:right w:val="nil"/>
            </w:tcBorders>
            <w:shd w:val="clear" w:color="000000" w:fill="FFFFFF"/>
            <w:noWrap/>
            <w:vAlign w:val="bottom"/>
            <w:hideMark/>
          </w:tcPr>
          <w:p w:rsidR="008D1D45" w:rsidRPr="006252C6" w:rsidRDefault="008D1D45" w:rsidP="008D1D45">
            <w:pPr>
              <w:jc w:val="right"/>
              <w:rPr>
                <w:color w:val="000000"/>
              </w:rPr>
            </w:pPr>
            <w:r w:rsidRPr="006252C6">
              <w:rPr>
                <w:color w:val="000000"/>
              </w:rPr>
              <w:t>8.</w:t>
            </w:r>
          </w:p>
        </w:tc>
        <w:tc>
          <w:tcPr>
            <w:tcW w:w="3844" w:type="dxa"/>
            <w:tcBorders>
              <w:top w:val="nil"/>
              <w:left w:val="nil"/>
              <w:bottom w:val="nil"/>
              <w:right w:val="nil"/>
            </w:tcBorders>
            <w:shd w:val="clear" w:color="000000" w:fill="FFFFFF"/>
            <w:noWrap/>
            <w:vAlign w:val="bottom"/>
            <w:hideMark/>
          </w:tcPr>
          <w:p w:rsidR="008D1D45" w:rsidRPr="006252C6" w:rsidRDefault="008D1D45" w:rsidP="008D1D45">
            <w:r w:rsidRPr="006252C6">
              <w:t>WATER RATE BASE</w:t>
            </w:r>
          </w:p>
        </w:tc>
        <w:tc>
          <w:tcPr>
            <w:tcW w:w="2143" w:type="dxa"/>
            <w:tcBorders>
              <w:top w:val="nil"/>
              <w:left w:val="nil"/>
              <w:bottom w:val="nil"/>
              <w:right w:val="nil"/>
            </w:tcBorders>
            <w:shd w:val="clear" w:color="000000" w:fill="FFFFFF"/>
            <w:noWrap/>
            <w:vAlign w:val="bottom"/>
            <w:hideMark/>
          </w:tcPr>
          <w:p w:rsidR="008D1D45" w:rsidRPr="006252C6" w:rsidRDefault="008D1D45" w:rsidP="008D1D45">
            <w:pPr>
              <w:jc w:val="right"/>
              <w:rPr>
                <w:u w:val="double"/>
              </w:rPr>
            </w:pPr>
            <w:r w:rsidRPr="006252C6">
              <w:rPr>
                <w:u w:val="double"/>
              </w:rPr>
              <w:t xml:space="preserve">$222,367 </w:t>
            </w:r>
          </w:p>
        </w:tc>
        <w:tc>
          <w:tcPr>
            <w:tcW w:w="1793" w:type="dxa"/>
            <w:tcBorders>
              <w:top w:val="nil"/>
              <w:left w:val="nil"/>
              <w:bottom w:val="nil"/>
              <w:right w:val="nil"/>
            </w:tcBorders>
            <w:shd w:val="clear" w:color="000000" w:fill="FFFFFF"/>
            <w:noWrap/>
            <w:vAlign w:val="bottom"/>
            <w:hideMark/>
          </w:tcPr>
          <w:p w:rsidR="008D1D45" w:rsidRPr="006252C6" w:rsidRDefault="008D1D45" w:rsidP="008D1D45">
            <w:pPr>
              <w:jc w:val="right"/>
              <w:rPr>
                <w:u w:val="double"/>
              </w:rPr>
            </w:pPr>
            <w:r w:rsidRPr="006252C6">
              <w:rPr>
                <w:u w:val="double"/>
              </w:rPr>
              <w:t xml:space="preserve">$26,844 </w:t>
            </w:r>
          </w:p>
        </w:tc>
        <w:tc>
          <w:tcPr>
            <w:tcW w:w="1238" w:type="dxa"/>
            <w:tcBorders>
              <w:top w:val="nil"/>
              <w:left w:val="nil"/>
              <w:bottom w:val="nil"/>
              <w:right w:val="single" w:sz="8" w:space="0" w:color="auto"/>
            </w:tcBorders>
            <w:shd w:val="clear" w:color="000000" w:fill="FFFFFF"/>
            <w:noWrap/>
            <w:vAlign w:val="bottom"/>
            <w:hideMark/>
          </w:tcPr>
          <w:p w:rsidR="008D1D45" w:rsidRPr="006252C6" w:rsidRDefault="008D1D45" w:rsidP="008D1D45">
            <w:pPr>
              <w:jc w:val="right"/>
              <w:rPr>
                <w:u w:val="double"/>
              </w:rPr>
            </w:pPr>
            <w:r w:rsidRPr="006252C6">
              <w:rPr>
                <w:u w:val="double"/>
              </w:rPr>
              <w:t xml:space="preserve">$249,211 </w:t>
            </w:r>
          </w:p>
        </w:tc>
      </w:tr>
      <w:tr w:rsidR="008D1D45" w:rsidRPr="006252C6" w:rsidTr="008D1D45">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rsidR="008D1D45" w:rsidRPr="006252C6" w:rsidRDefault="008D1D45" w:rsidP="008D1D45">
            <w:r w:rsidRPr="006252C6">
              <w:t> </w:t>
            </w:r>
          </w:p>
        </w:tc>
        <w:tc>
          <w:tcPr>
            <w:tcW w:w="3844" w:type="dxa"/>
            <w:tcBorders>
              <w:top w:val="nil"/>
              <w:left w:val="nil"/>
              <w:bottom w:val="single" w:sz="8" w:space="0" w:color="auto"/>
              <w:right w:val="nil"/>
            </w:tcBorders>
            <w:shd w:val="clear" w:color="000000" w:fill="FFFFFF"/>
            <w:noWrap/>
            <w:vAlign w:val="bottom"/>
            <w:hideMark/>
          </w:tcPr>
          <w:p w:rsidR="008D1D45" w:rsidRPr="006252C6" w:rsidRDefault="008D1D45" w:rsidP="008D1D45">
            <w:r w:rsidRPr="006252C6">
              <w:t> </w:t>
            </w:r>
          </w:p>
        </w:tc>
        <w:tc>
          <w:tcPr>
            <w:tcW w:w="2143" w:type="dxa"/>
            <w:tcBorders>
              <w:top w:val="nil"/>
              <w:left w:val="nil"/>
              <w:bottom w:val="single" w:sz="8" w:space="0" w:color="auto"/>
              <w:right w:val="nil"/>
            </w:tcBorders>
            <w:shd w:val="clear" w:color="000000" w:fill="FFFFFF"/>
            <w:noWrap/>
            <w:vAlign w:val="bottom"/>
            <w:hideMark/>
          </w:tcPr>
          <w:p w:rsidR="008D1D45" w:rsidRPr="006252C6" w:rsidRDefault="008D1D45" w:rsidP="008D1D45">
            <w:r w:rsidRPr="006252C6">
              <w:t> </w:t>
            </w:r>
          </w:p>
        </w:tc>
        <w:tc>
          <w:tcPr>
            <w:tcW w:w="1793" w:type="dxa"/>
            <w:tcBorders>
              <w:top w:val="nil"/>
              <w:left w:val="nil"/>
              <w:bottom w:val="single" w:sz="8" w:space="0" w:color="auto"/>
              <w:right w:val="nil"/>
            </w:tcBorders>
            <w:shd w:val="clear" w:color="000000" w:fill="FFFFFF"/>
            <w:noWrap/>
            <w:vAlign w:val="bottom"/>
            <w:hideMark/>
          </w:tcPr>
          <w:p w:rsidR="008D1D45" w:rsidRPr="006252C6" w:rsidRDefault="008D1D45" w:rsidP="008D1D45">
            <w:r w:rsidRPr="006252C6">
              <w:t> </w:t>
            </w:r>
          </w:p>
        </w:tc>
        <w:tc>
          <w:tcPr>
            <w:tcW w:w="1238" w:type="dxa"/>
            <w:tcBorders>
              <w:top w:val="nil"/>
              <w:left w:val="nil"/>
              <w:bottom w:val="single" w:sz="8" w:space="0" w:color="auto"/>
              <w:right w:val="single" w:sz="8" w:space="0" w:color="auto"/>
            </w:tcBorders>
            <w:shd w:val="clear" w:color="000000" w:fill="FFFFFF"/>
            <w:noWrap/>
            <w:vAlign w:val="bottom"/>
            <w:hideMark/>
          </w:tcPr>
          <w:p w:rsidR="008D1D45" w:rsidRPr="006252C6" w:rsidRDefault="008D1D45" w:rsidP="008D1D45">
            <w:r w:rsidRPr="006252C6">
              <w:t> </w:t>
            </w:r>
          </w:p>
        </w:tc>
      </w:tr>
    </w:tbl>
    <w:p w:rsidR="008D1D45" w:rsidRPr="006252C6" w:rsidRDefault="008D1D45" w:rsidP="008D1D45">
      <w:pPr>
        <w:pStyle w:val="OrderBody"/>
      </w:pPr>
    </w:p>
    <w:p w:rsidR="008D1D45" w:rsidRPr="006252C6" w:rsidRDefault="008D1D45" w:rsidP="008D1D45">
      <w:pPr>
        <w:pStyle w:val="OrderBody"/>
        <w:sectPr w:rsidR="008D1D45" w:rsidRPr="006252C6">
          <w:headerReference w:type="first" r:id="rId9"/>
          <w:pgSz w:w="12240" w:h="15840" w:code="1"/>
          <w:pgMar w:top="1440" w:right="1440" w:bottom="1440" w:left="1440" w:header="720" w:footer="720" w:gutter="0"/>
          <w:cols w:space="720"/>
          <w:titlePg/>
          <w:docGrid w:linePitch="360"/>
        </w:sectPr>
      </w:pPr>
    </w:p>
    <w:tbl>
      <w:tblPr>
        <w:tblW w:w="9458" w:type="dxa"/>
        <w:jc w:val="center"/>
        <w:tblLook w:val="04A0" w:firstRow="1" w:lastRow="0" w:firstColumn="1" w:lastColumn="0" w:noHBand="0" w:noVBand="1"/>
      </w:tblPr>
      <w:tblGrid>
        <w:gridCol w:w="440"/>
        <w:gridCol w:w="3870"/>
        <w:gridCol w:w="2139"/>
        <w:gridCol w:w="1814"/>
        <w:gridCol w:w="1195"/>
      </w:tblGrid>
      <w:tr w:rsidR="00662CDA" w:rsidRPr="006252C6" w:rsidTr="0011282C">
        <w:trPr>
          <w:trHeight w:val="315"/>
          <w:jc w:val="center"/>
        </w:trPr>
        <w:tc>
          <w:tcPr>
            <w:tcW w:w="4310" w:type="dxa"/>
            <w:gridSpan w:val="2"/>
            <w:tcBorders>
              <w:top w:val="single" w:sz="8" w:space="0" w:color="auto"/>
              <w:left w:val="single" w:sz="8" w:space="0" w:color="auto"/>
              <w:bottom w:val="nil"/>
              <w:right w:val="nil"/>
            </w:tcBorders>
            <w:shd w:val="clear" w:color="000000" w:fill="FFFFFF"/>
            <w:noWrap/>
            <w:vAlign w:val="bottom"/>
            <w:hideMark/>
          </w:tcPr>
          <w:p w:rsidR="00662CDA" w:rsidRPr="006252C6" w:rsidRDefault="00662CDA" w:rsidP="0011282C">
            <w:pPr>
              <w:rPr>
                <w:b/>
                <w:bCs/>
              </w:rPr>
            </w:pPr>
            <w:r w:rsidRPr="006252C6">
              <w:rPr>
                <w:b/>
                <w:bCs/>
              </w:rPr>
              <w:t>AQUARINA UTILITIES, INC.</w:t>
            </w:r>
          </w:p>
        </w:tc>
        <w:tc>
          <w:tcPr>
            <w:tcW w:w="2139" w:type="dxa"/>
            <w:tcBorders>
              <w:top w:val="single" w:sz="8" w:space="0" w:color="auto"/>
              <w:left w:val="nil"/>
              <w:bottom w:val="nil"/>
              <w:right w:val="nil"/>
            </w:tcBorders>
            <w:shd w:val="clear" w:color="000000" w:fill="FFFFFF"/>
            <w:noWrap/>
            <w:vAlign w:val="bottom"/>
            <w:hideMark/>
          </w:tcPr>
          <w:p w:rsidR="00662CDA" w:rsidRPr="006252C6" w:rsidRDefault="00662CDA" w:rsidP="0011282C">
            <w:r w:rsidRPr="006252C6">
              <w:t> </w:t>
            </w:r>
          </w:p>
        </w:tc>
        <w:tc>
          <w:tcPr>
            <w:tcW w:w="3009" w:type="dxa"/>
            <w:gridSpan w:val="2"/>
            <w:tcBorders>
              <w:top w:val="single" w:sz="8" w:space="0" w:color="auto"/>
              <w:left w:val="nil"/>
              <w:bottom w:val="nil"/>
              <w:right w:val="single" w:sz="8" w:space="0" w:color="000000"/>
            </w:tcBorders>
            <w:shd w:val="clear" w:color="000000" w:fill="FFFFFF"/>
            <w:noWrap/>
            <w:vAlign w:val="center"/>
            <w:hideMark/>
          </w:tcPr>
          <w:p w:rsidR="00662CDA" w:rsidRPr="006252C6" w:rsidRDefault="00662CDA" w:rsidP="0011282C">
            <w:pPr>
              <w:jc w:val="right"/>
              <w:rPr>
                <w:b/>
                <w:bCs/>
              </w:rPr>
            </w:pPr>
            <w:r w:rsidRPr="006252C6">
              <w:rPr>
                <w:b/>
                <w:bCs/>
              </w:rPr>
              <w:t>SCHEDULE NO. 1-B</w:t>
            </w:r>
          </w:p>
        </w:tc>
      </w:tr>
      <w:tr w:rsidR="00662CDA" w:rsidRPr="006252C6" w:rsidTr="0011282C">
        <w:trPr>
          <w:trHeight w:val="315"/>
          <w:jc w:val="center"/>
        </w:trPr>
        <w:tc>
          <w:tcPr>
            <w:tcW w:w="6449" w:type="dxa"/>
            <w:gridSpan w:val="3"/>
            <w:tcBorders>
              <w:top w:val="nil"/>
              <w:left w:val="single" w:sz="8" w:space="0" w:color="auto"/>
              <w:bottom w:val="nil"/>
              <w:right w:val="nil"/>
            </w:tcBorders>
            <w:shd w:val="clear" w:color="000000" w:fill="FFFFFF"/>
            <w:noWrap/>
            <w:vAlign w:val="bottom"/>
            <w:hideMark/>
          </w:tcPr>
          <w:p w:rsidR="00662CDA" w:rsidRPr="006252C6" w:rsidRDefault="00662CDA" w:rsidP="0011282C">
            <w:pPr>
              <w:rPr>
                <w:b/>
                <w:bCs/>
              </w:rPr>
            </w:pPr>
            <w:r w:rsidRPr="006252C6">
              <w:rPr>
                <w:b/>
                <w:bCs/>
              </w:rPr>
              <w:t>SCHEDULE OF NON-POTABLE WATER RATE BASE</w:t>
            </w:r>
          </w:p>
        </w:tc>
        <w:tc>
          <w:tcPr>
            <w:tcW w:w="3009" w:type="dxa"/>
            <w:gridSpan w:val="2"/>
            <w:tcBorders>
              <w:top w:val="nil"/>
              <w:left w:val="nil"/>
              <w:bottom w:val="nil"/>
              <w:right w:val="single" w:sz="8" w:space="0" w:color="000000"/>
            </w:tcBorders>
            <w:shd w:val="clear" w:color="000000" w:fill="FFFFFF"/>
            <w:noWrap/>
            <w:vAlign w:val="center"/>
            <w:hideMark/>
          </w:tcPr>
          <w:p w:rsidR="00662CDA" w:rsidRPr="006252C6" w:rsidRDefault="00662CDA" w:rsidP="0011282C">
            <w:pPr>
              <w:jc w:val="right"/>
              <w:rPr>
                <w:b/>
                <w:bCs/>
              </w:rPr>
            </w:pPr>
            <w:r w:rsidRPr="006252C6">
              <w:rPr>
                <w:b/>
                <w:bCs/>
              </w:rPr>
              <w:t>DOCKET NO. 20190080-WS</w:t>
            </w:r>
          </w:p>
        </w:tc>
      </w:tr>
      <w:tr w:rsidR="00662CDA" w:rsidRPr="006252C6" w:rsidTr="0011282C">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single" w:sz="8" w:space="0" w:color="auto"/>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single" w:sz="8" w:space="0" w:color="auto"/>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single" w:sz="8" w:space="0" w:color="auto"/>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single" w:sz="8" w:space="0" w:color="auto"/>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4D097C" w:rsidRDefault="00662CDA" w:rsidP="0011282C">
            <w:pPr>
              <w:jc w:val="center"/>
              <w:rPr>
                <w:b/>
                <w:bCs/>
                <w:sz w:val="20"/>
                <w:szCs w:val="20"/>
              </w:rPr>
            </w:pPr>
            <w:r w:rsidRPr="004D097C">
              <w:rPr>
                <w:b/>
                <w:bCs/>
                <w:sz w:val="20"/>
                <w:szCs w:val="20"/>
              </w:rPr>
              <w:t>BALANCE</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center"/>
              <w:rPr>
                <w:b/>
                <w:bCs/>
              </w:rPr>
            </w:pPr>
          </w:p>
        </w:tc>
        <w:tc>
          <w:tcPr>
            <w:tcW w:w="1195" w:type="dxa"/>
            <w:tcBorders>
              <w:top w:val="nil"/>
              <w:left w:val="nil"/>
              <w:bottom w:val="nil"/>
              <w:right w:val="single" w:sz="8" w:space="0" w:color="auto"/>
            </w:tcBorders>
            <w:shd w:val="clear" w:color="000000" w:fill="FFFFFF"/>
            <w:noWrap/>
            <w:vAlign w:val="bottom"/>
            <w:hideMark/>
          </w:tcPr>
          <w:p w:rsidR="00662CDA" w:rsidRPr="004D097C" w:rsidRDefault="00662CDA" w:rsidP="0011282C">
            <w:pPr>
              <w:jc w:val="center"/>
              <w:rPr>
                <w:b/>
                <w:bCs/>
                <w:sz w:val="20"/>
                <w:szCs w:val="20"/>
              </w:rPr>
            </w:pPr>
            <w:r w:rsidRPr="004D097C">
              <w:rPr>
                <w:b/>
                <w:bCs/>
                <w:sz w:val="20"/>
                <w:szCs w:val="20"/>
              </w:rPr>
              <w:t>BALANCE</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4D097C" w:rsidRDefault="00662CDA" w:rsidP="0011282C">
            <w:pPr>
              <w:jc w:val="center"/>
              <w:rPr>
                <w:b/>
                <w:bCs/>
                <w:sz w:val="20"/>
                <w:szCs w:val="20"/>
              </w:rPr>
            </w:pPr>
            <w:r w:rsidRPr="004D097C">
              <w:rPr>
                <w:b/>
                <w:bCs/>
                <w:sz w:val="20"/>
                <w:szCs w:val="20"/>
              </w:rPr>
              <w:t xml:space="preserve">PER </w:t>
            </w:r>
          </w:p>
        </w:tc>
        <w:tc>
          <w:tcPr>
            <w:tcW w:w="1814" w:type="dxa"/>
            <w:tcBorders>
              <w:top w:val="nil"/>
              <w:left w:val="nil"/>
              <w:bottom w:val="nil"/>
              <w:right w:val="nil"/>
            </w:tcBorders>
            <w:shd w:val="clear" w:color="000000" w:fill="FFFFFF"/>
            <w:noWrap/>
            <w:vAlign w:val="bottom"/>
            <w:hideMark/>
          </w:tcPr>
          <w:p w:rsidR="00662CDA" w:rsidRPr="004D097C" w:rsidRDefault="00662CDA" w:rsidP="0011282C">
            <w:pPr>
              <w:jc w:val="center"/>
              <w:rPr>
                <w:b/>
                <w:bCs/>
                <w:sz w:val="20"/>
                <w:szCs w:val="20"/>
              </w:rPr>
            </w:pPr>
            <w:r w:rsidRPr="004D097C">
              <w:rPr>
                <w:b/>
                <w:bCs/>
                <w:sz w:val="20"/>
                <w:szCs w:val="20"/>
              </w:rPr>
              <w:t>ADJUSTMENTS</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center"/>
              <w:rPr>
                <w:b/>
                <w:bCs/>
              </w:rPr>
            </w:pPr>
          </w:p>
        </w:tc>
      </w:tr>
      <w:tr w:rsidR="00662CDA" w:rsidRPr="006252C6" w:rsidTr="0011282C">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single" w:sz="8" w:space="0" w:color="auto"/>
              <w:right w:val="nil"/>
            </w:tcBorders>
            <w:shd w:val="clear" w:color="000000" w:fill="FFFFFF"/>
            <w:noWrap/>
            <w:vAlign w:val="bottom"/>
            <w:hideMark/>
          </w:tcPr>
          <w:p w:rsidR="00662CDA" w:rsidRPr="006252C6" w:rsidRDefault="00662CDA" w:rsidP="0011282C">
            <w:pPr>
              <w:rPr>
                <w:b/>
                <w:bCs/>
              </w:rPr>
            </w:pPr>
            <w:r w:rsidRPr="006252C6">
              <w:rPr>
                <w:b/>
                <w:bCs/>
              </w:rPr>
              <w:t>DESCRIPTION</w:t>
            </w:r>
          </w:p>
        </w:tc>
        <w:tc>
          <w:tcPr>
            <w:tcW w:w="2139" w:type="dxa"/>
            <w:tcBorders>
              <w:top w:val="nil"/>
              <w:left w:val="nil"/>
              <w:bottom w:val="single" w:sz="8" w:space="0" w:color="auto"/>
              <w:right w:val="nil"/>
            </w:tcBorders>
            <w:shd w:val="clear" w:color="000000" w:fill="FFFFFF"/>
            <w:noWrap/>
            <w:vAlign w:val="bottom"/>
            <w:hideMark/>
          </w:tcPr>
          <w:p w:rsidR="00662CDA" w:rsidRPr="004D097C" w:rsidRDefault="00662CDA" w:rsidP="0011282C">
            <w:pPr>
              <w:jc w:val="center"/>
              <w:rPr>
                <w:b/>
                <w:bCs/>
                <w:sz w:val="20"/>
                <w:szCs w:val="20"/>
              </w:rPr>
            </w:pPr>
            <w:r w:rsidRPr="004D097C">
              <w:rPr>
                <w:b/>
                <w:bCs/>
                <w:sz w:val="20"/>
                <w:szCs w:val="20"/>
              </w:rPr>
              <w:t>2015 SARC Phase II</w:t>
            </w:r>
          </w:p>
        </w:tc>
        <w:tc>
          <w:tcPr>
            <w:tcW w:w="1814" w:type="dxa"/>
            <w:tcBorders>
              <w:top w:val="nil"/>
              <w:left w:val="nil"/>
              <w:bottom w:val="single" w:sz="8" w:space="0" w:color="auto"/>
              <w:right w:val="nil"/>
            </w:tcBorders>
            <w:shd w:val="clear" w:color="000000" w:fill="FFFFFF"/>
            <w:noWrap/>
            <w:vAlign w:val="bottom"/>
            <w:hideMark/>
          </w:tcPr>
          <w:p w:rsidR="00662CDA" w:rsidRPr="004D097C" w:rsidRDefault="00662CDA" w:rsidP="0011282C">
            <w:pPr>
              <w:jc w:val="center"/>
              <w:rPr>
                <w:b/>
                <w:bCs/>
                <w:sz w:val="20"/>
                <w:szCs w:val="20"/>
              </w:rPr>
            </w:pPr>
            <w:r w:rsidRPr="004D097C">
              <w:rPr>
                <w:b/>
                <w:bCs/>
                <w:sz w:val="20"/>
                <w:szCs w:val="20"/>
              </w:rPr>
              <w:t>TO UTIL. BAL.</w:t>
            </w:r>
          </w:p>
        </w:tc>
        <w:tc>
          <w:tcPr>
            <w:tcW w:w="1195" w:type="dxa"/>
            <w:tcBorders>
              <w:top w:val="nil"/>
              <w:left w:val="nil"/>
              <w:bottom w:val="single" w:sz="8" w:space="0" w:color="auto"/>
              <w:right w:val="single" w:sz="8" w:space="0" w:color="auto"/>
            </w:tcBorders>
            <w:shd w:val="clear" w:color="000000" w:fill="FFFFFF"/>
            <w:noWrap/>
            <w:vAlign w:val="bottom"/>
            <w:hideMark/>
          </w:tcPr>
          <w:p w:rsidR="00662CDA" w:rsidRPr="006252C6" w:rsidRDefault="00662CDA" w:rsidP="0011282C">
            <w:pPr>
              <w:jc w:val="center"/>
              <w:rPr>
                <w:b/>
                <w:bCs/>
              </w:rPr>
            </w:pP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pPr>
              <w:rPr>
                <w:b/>
                <w:bCs/>
              </w:rPr>
            </w:pPr>
            <w:r w:rsidRPr="006252C6">
              <w:rPr>
                <w:b/>
                <w:bCs/>
              </w:rPr>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center"/>
              <w:rPr>
                <w:b/>
                <w:bCs/>
              </w:rPr>
            </w:pPr>
            <w:r w:rsidRPr="006252C6">
              <w:rPr>
                <w:b/>
                <w:bCs/>
              </w:rPr>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center"/>
              <w:rPr>
                <w:b/>
                <w:bCs/>
              </w:rPr>
            </w:pPr>
            <w:r w:rsidRPr="006252C6">
              <w:rPr>
                <w:b/>
                <w:bCs/>
              </w:rPr>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center"/>
              <w:rPr>
                <w:b/>
                <w:bCs/>
              </w:rPr>
            </w:pPr>
            <w:r w:rsidRPr="006252C6">
              <w:rPr>
                <w:b/>
                <w:bCs/>
              </w:rPr>
              <w:t>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1.</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UTILITY PLANT IN SERVICE</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$945,345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$1,248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pPr>
            <w:r w:rsidRPr="006252C6">
              <w:t xml:space="preserve">$946,593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15"/>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2.</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LAND &amp; LAND RIGHTS</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24,498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0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pPr>
            <w:r w:rsidRPr="006252C6">
              <w:t xml:space="preserve">24,498 </w:t>
            </w:r>
          </w:p>
        </w:tc>
      </w:tr>
      <w:tr w:rsidR="00662CDA" w:rsidRPr="006252C6" w:rsidTr="0011282C">
        <w:trPr>
          <w:trHeight w:val="315"/>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15"/>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3.</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NON-USED AND USEFUL COMPONENT</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0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0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pPr>
            <w:r w:rsidRPr="006252C6">
              <w:t xml:space="preserve">0 </w:t>
            </w:r>
          </w:p>
        </w:tc>
      </w:tr>
      <w:tr w:rsidR="00662CDA" w:rsidRPr="006252C6" w:rsidTr="0011282C">
        <w:trPr>
          <w:trHeight w:val="315"/>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15"/>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4.</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ACCUMULATED DEPRECIATION</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(805,374)</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3,555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pPr>
            <w:r w:rsidRPr="006252C6">
              <w:t>(801,818)</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5.</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xml:space="preserve">CIAC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(35,785)</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0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pPr>
            <w:r w:rsidRPr="006252C6">
              <w:t>(35,785)</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6.</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AMORTIZATION OF CIAC</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20,111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pPr>
            <w:r w:rsidRPr="006252C6">
              <w:t xml:space="preserve">0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pPr>
            <w:r w:rsidRPr="006252C6">
              <w:t xml:space="preserve">20,111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7.</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WORKING CAPITAL ALLOWANCE</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rPr>
                <w:u w:val="single"/>
              </w:rPr>
            </w:pPr>
            <w:r w:rsidRPr="006252C6">
              <w:rPr>
                <w:u w:val="single"/>
              </w:rPr>
              <w:t xml:space="preserve">23,791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rPr>
                <w:u w:val="single"/>
              </w:rPr>
            </w:pPr>
            <w:r w:rsidRPr="006252C6">
              <w:rPr>
                <w:u w:val="single"/>
              </w:rPr>
              <w:t xml:space="preserve">123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rPr>
                <w:u w:val="single"/>
              </w:rPr>
            </w:pPr>
            <w:r w:rsidRPr="006252C6">
              <w:rPr>
                <w:u w:val="single"/>
              </w:rPr>
              <w:t xml:space="preserve">23,914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r w:rsidRPr="006252C6">
              <w:t> </w:t>
            </w:r>
          </w:p>
        </w:tc>
      </w:tr>
      <w:tr w:rsidR="00662CDA" w:rsidRPr="006252C6" w:rsidTr="0011282C">
        <w:trPr>
          <w:trHeight w:val="300"/>
          <w:jc w:val="center"/>
        </w:trPr>
        <w:tc>
          <w:tcPr>
            <w:tcW w:w="440" w:type="dxa"/>
            <w:tcBorders>
              <w:top w:val="nil"/>
              <w:left w:val="single" w:sz="8" w:space="0" w:color="auto"/>
              <w:bottom w:val="nil"/>
              <w:right w:val="nil"/>
            </w:tcBorders>
            <w:shd w:val="clear" w:color="000000" w:fill="FFFFFF"/>
            <w:noWrap/>
            <w:vAlign w:val="bottom"/>
            <w:hideMark/>
          </w:tcPr>
          <w:p w:rsidR="00662CDA" w:rsidRPr="006252C6" w:rsidRDefault="00662CDA" w:rsidP="0011282C">
            <w:pPr>
              <w:jc w:val="right"/>
            </w:pPr>
            <w:r w:rsidRPr="006252C6">
              <w:t>8.</w:t>
            </w:r>
          </w:p>
        </w:tc>
        <w:tc>
          <w:tcPr>
            <w:tcW w:w="3870" w:type="dxa"/>
            <w:tcBorders>
              <w:top w:val="nil"/>
              <w:left w:val="nil"/>
              <w:bottom w:val="nil"/>
              <w:right w:val="nil"/>
            </w:tcBorders>
            <w:shd w:val="clear" w:color="000000" w:fill="FFFFFF"/>
            <w:noWrap/>
            <w:vAlign w:val="bottom"/>
            <w:hideMark/>
          </w:tcPr>
          <w:p w:rsidR="00662CDA" w:rsidRPr="006252C6" w:rsidRDefault="00662CDA" w:rsidP="0011282C">
            <w:r w:rsidRPr="006252C6">
              <w:t>WATER RATE BASE</w:t>
            </w:r>
          </w:p>
        </w:tc>
        <w:tc>
          <w:tcPr>
            <w:tcW w:w="2139" w:type="dxa"/>
            <w:tcBorders>
              <w:top w:val="nil"/>
              <w:left w:val="nil"/>
              <w:bottom w:val="nil"/>
              <w:right w:val="nil"/>
            </w:tcBorders>
            <w:shd w:val="clear" w:color="000000" w:fill="FFFFFF"/>
            <w:noWrap/>
            <w:vAlign w:val="bottom"/>
            <w:hideMark/>
          </w:tcPr>
          <w:p w:rsidR="00662CDA" w:rsidRPr="006252C6" w:rsidRDefault="00662CDA" w:rsidP="0011282C">
            <w:pPr>
              <w:jc w:val="right"/>
              <w:rPr>
                <w:u w:val="double"/>
              </w:rPr>
            </w:pPr>
            <w:r w:rsidRPr="006252C6">
              <w:rPr>
                <w:u w:val="double"/>
              </w:rPr>
              <w:t xml:space="preserve">$172,587 </w:t>
            </w:r>
          </w:p>
        </w:tc>
        <w:tc>
          <w:tcPr>
            <w:tcW w:w="1814" w:type="dxa"/>
            <w:tcBorders>
              <w:top w:val="nil"/>
              <w:left w:val="nil"/>
              <w:bottom w:val="nil"/>
              <w:right w:val="nil"/>
            </w:tcBorders>
            <w:shd w:val="clear" w:color="000000" w:fill="FFFFFF"/>
            <w:noWrap/>
            <w:vAlign w:val="bottom"/>
            <w:hideMark/>
          </w:tcPr>
          <w:p w:rsidR="00662CDA" w:rsidRPr="006252C6" w:rsidRDefault="00662CDA" w:rsidP="0011282C">
            <w:pPr>
              <w:jc w:val="right"/>
              <w:rPr>
                <w:u w:val="double"/>
              </w:rPr>
            </w:pPr>
            <w:r w:rsidRPr="006252C6">
              <w:rPr>
                <w:u w:val="double"/>
              </w:rPr>
              <w:t xml:space="preserve">$4,926 </w:t>
            </w:r>
          </w:p>
        </w:tc>
        <w:tc>
          <w:tcPr>
            <w:tcW w:w="1195" w:type="dxa"/>
            <w:tcBorders>
              <w:top w:val="nil"/>
              <w:left w:val="nil"/>
              <w:bottom w:val="nil"/>
              <w:right w:val="single" w:sz="8" w:space="0" w:color="auto"/>
            </w:tcBorders>
            <w:shd w:val="clear" w:color="000000" w:fill="FFFFFF"/>
            <w:noWrap/>
            <w:vAlign w:val="bottom"/>
            <w:hideMark/>
          </w:tcPr>
          <w:p w:rsidR="00662CDA" w:rsidRPr="006252C6" w:rsidRDefault="00662CDA" w:rsidP="0011282C">
            <w:pPr>
              <w:jc w:val="right"/>
              <w:rPr>
                <w:u w:val="double"/>
              </w:rPr>
            </w:pPr>
            <w:r w:rsidRPr="006252C6">
              <w:rPr>
                <w:u w:val="double"/>
              </w:rPr>
              <w:t xml:space="preserve">$177,513 </w:t>
            </w:r>
          </w:p>
        </w:tc>
      </w:tr>
      <w:tr w:rsidR="00662CDA" w:rsidRPr="006252C6" w:rsidTr="0011282C">
        <w:trPr>
          <w:trHeight w:val="315"/>
          <w:jc w:val="center"/>
        </w:trPr>
        <w:tc>
          <w:tcPr>
            <w:tcW w:w="440" w:type="dxa"/>
            <w:tcBorders>
              <w:top w:val="nil"/>
              <w:left w:val="single" w:sz="8" w:space="0" w:color="auto"/>
              <w:bottom w:val="single" w:sz="8" w:space="0" w:color="auto"/>
              <w:right w:val="nil"/>
            </w:tcBorders>
            <w:shd w:val="clear" w:color="000000" w:fill="FFFFFF"/>
            <w:noWrap/>
            <w:vAlign w:val="bottom"/>
            <w:hideMark/>
          </w:tcPr>
          <w:p w:rsidR="00662CDA" w:rsidRPr="006252C6" w:rsidRDefault="00662CDA" w:rsidP="0011282C">
            <w:r w:rsidRPr="006252C6">
              <w:t> </w:t>
            </w:r>
          </w:p>
        </w:tc>
        <w:tc>
          <w:tcPr>
            <w:tcW w:w="3870" w:type="dxa"/>
            <w:tcBorders>
              <w:top w:val="nil"/>
              <w:left w:val="nil"/>
              <w:bottom w:val="single" w:sz="8" w:space="0" w:color="auto"/>
              <w:right w:val="nil"/>
            </w:tcBorders>
            <w:shd w:val="clear" w:color="000000" w:fill="FFFFFF"/>
            <w:noWrap/>
            <w:vAlign w:val="bottom"/>
            <w:hideMark/>
          </w:tcPr>
          <w:p w:rsidR="00662CDA" w:rsidRPr="006252C6" w:rsidRDefault="00662CDA" w:rsidP="0011282C">
            <w:r w:rsidRPr="006252C6">
              <w:t> </w:t>
            </w:r>
          </w:p>
        </w:tc>
        <w:tc>
          <w:tcPr>
            <w:tcW w:w="2139" w:type="dxa"/>
            <w:tcBorders>
              <w:top w:val="nil"/>
              <w:left w:val="nil"/>
              <w:bottom w:val="single" w:sz="8" w:space="0" w:color="auto"/>
              <w:right w:val="nil"/>
            </w:tcBorders>
            <w:shd w:val="clear" w:color="000000" w:fill="FFFFFF"/>
            <w:noWrap/>
            <w:vAlign w:val="bottom"/>
            <w:hideMark/>
          </w:tcPr>
          <w:p w:rsidR="00662CDA" w:rsidRPr="006252C6" w:rsidRDefault="00662CDA" w:rsidP="0011282C">
            <w:r w:rsidRPr="006252C6">
              <w:t> </w:t>
            </w:r>
          </w:p>
        </w:tc>
        <w:tc>
          <w:tcPr>
            <w:tcW w:w="1814" w:type="dxa"/>
            <w:tcBorders>
              <w:top w:val="nil"/>
              <w:left w:val="nil"/>
              <w:bottom w:val="single" w:sz="8" w:space="0" w:color="auto"/>
              <w:right w:val="nil"/>
            </w:tcBorders>
            <w:shd w:val="clear" w:color="000000" w:fill="FFFFFF"/>
            <w:noWrap/>
            <w:vAlign w:val="bottom"/>
            <w:hideMark/>
          </w:tcPr>
          <w:p w:rsidR="00662CDA" w:rsidRPr="006252C6" w:rsidRDefault="00662CDA" w:rsidP="0011282C">
            <w:r w:rsidRPr="006252C6">
              <w:t> </w:t>
            </w:r>
          </w:p>
        </w:tc>
        <w:tc>
          <w:tcPr>
            <w:tcW w:w="1195" w:type="dxa"/>
            <w:tcBorders>
              <w:top w:val="nil"/>
              <w:left w:val="nil"/>
              <w:bottom w:val="single" w:sz="8" w:space="0" w:color="auto"/>
              <w:right w:val="single" w:sz="8" w:space="0" w:color="auto"/>
            </w:tcBorders>
            <w:shd w:val="clear" w:color="000000" w:fill="FFFFFF"/>
            <w:noWrap/>
            <w:vAlign w:val="bottom"/>
            <w:hideMark/>
          </w:tcPr>
          <w:p w:rsidR="00662CDA" w:rsidRPr="006252C6" w:rsidRDefault="00662CDA" w:rsidP="0011282C">
            <w:r w:rsidRPr="006252C6">
              <w:t> </w:t>
            </w:r>
          </w:p>
        </w:tc>
      </w:tr>
    </w:tbl>
    <w:p w:rsidR="008D1D45" w:rsidRPr="006252C6" w:rsidRDefault="008D1D45"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headerReference w:type="first" r:id="rId10"/>
          <w:pgSz w:w="12240" w:h="15840" w:code="1"/>
          <w:pgMar w:top="1440" w:right="1440" w:bottom="1440" w:left="1440" w:header="720" w:footer="720" w:gutter="0"/>
          <w:cols w:space="720"/>
          <w:titlePg/>
          <w:docGrid w:linePitch="360"/>
        </w:sectPr>
      </w:pPr>
    </w:p>
    <w:p w:rsidR="00662CDA" w:rsidRDefault="00662CDA" w:rsidP="008D1D45">
      <w:pPr>
        <w:pStyle w:val="OrderBody"/>
      </w:pPr>
    </w:p>
    <w:tbl>
      <w:tblPr>
        <w:tblW w:w="9458" w:type="dxa"/>
        <w:tblInd w:w="118" w:type="dxa"/>
        <w:tblLook w:val="04A0" w:firstRow="1" w:lastRow="0" w:firstColumn="1" w:lastColumn="0" w:noHBand="0" w:noVBand="1"/>
      </w:tblPr>
      <w:tblGrid>
        <w:gridCol w:w="439"/>
        <w:gridCol w:w="3871"/>
        <w:gridCol w:w="2130"/>
        <w:gridCol w:w="1780"/>
        <w:gridCol w:w="1238"/>
      </w:tblGrid>
      <w:tr w:rsidR="00F633BD" w:rsidTr="00F633BD">
        <w:trPr>
          <w:trHeight w:val="300"/>
        </w:trPr>
        <w:tc>
          <w:tcPr>
            <w:tcW w:w="4310" w:type="dxa"/>
            <w:gridSpan w:val="2"/>
            <w:tcBorders>
              <w:top w:val="single" w:sz="8" w:space="0" w:color="auto"/>
              <w:left w:val="single" w:sz="8" w:space="0" w:color="auto"/>
              <w:bottom w:val="nil"/>
              <w:right w:val="nil"/>
            </w:tcBorders>
            <w:shd w:val="clear" w:color="000000" w:fill="FFFFFF"/>
            <w:noWrap/>
            <w:vAlign w:val="bottom"/>
            <w:hideMark/>
          </w:tcPr>
          <w:p w:rsidR="00F633BD" w:rsidRPr="00F33CDE" w:rsidRDefault="00F633BD" w:rsidP="00F633BD">
            <w:pPr>
              <w:rPr>
                <w:b/>
                <w:bCs/>
                <w:sz w:val="20"/>
                <w:szCs w:val="20"/>
              </w:rPr>
            </w:pPr>
            <w:r w:rsidRPr="00F33CDE">
              <w:rPr>
                <w:b/>
                <w:bCs/>
                <w:sz w:val="20"/>
                <w:szCs w:val="20"/>
              </w:rPr>
              <w:t>AQUARINA UTILITIES, INC.</w:t>
            </w:r>
          </w:p>
        </w:tc>
        <w:tc>
          <w:tcPr>
            <w:tcW w:w="2130" w:type="dxa"/>
            <w:tcBorders>
              <w:top w:val="single" w:sz="8" w:space="0" w:color="auto"/>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3018" w:type="dxa"/>
            <w:gridSpan w:val="2"/>
            <w:tcBorders>
              <w:top w:val="single" w:sz="8" w:space="0" w:color="auto"/>
              <w:left w:val="nil"/>
              <w:bottom w:val="nil"/>
              <w:right w:val="single" w:sz="8" w:space="0" w:color="000000"/>
            </w:tcBorders>
            <w:shd w:val="clear" w:color="000000" w:fill="FFFFFF"/>
            <w:noWrap/>
            <w:vAlign w:val="center"/>
            <w:hideMark/>
          </w:tcPr>
          <w:p w:rsidR="00F633BD" w:rsidRPr="00F33CDE" w:rsidRDefault="00F633BD" w:rsidP="00F633BD">
            <w:pPr>
              <w:jc w:val="right"/>
              <w:rPr>
                <w:b/>
                <w:bCs/>
                <w:sz w:val="20"/>
                <w:szCs w:val="20"/>
              </w:rPr>
            </w:pPr>
            <w:r w:rsidRPr="00F33CDE">
              <w:rPr>
                <w:b/>
                <w:bCs/>
                <w:sz w:val="20"/>
                <w:szCs w:val="20"/>
              </w:rPr>
              <w:t>SCHEDULE NO. 1-</w:t>
            </w:r>
            <w:r>
              <w:rPr>
                <w:b/>
                <w:bCs/>
                <w:sz w:val="20"/>
                <w:szCs w:val="20"/>
              </w:rPr>
              <w:t>C</w:t>
            </w:r>
          </w:p>
        </w:tc>
      </w:tr>
      <w:tr w:rsidR="00F633BD" w:rsidTr="00F633BD">
        <w:trPr>
          <w:trHeight w:val="300"/>
        </w:trPr>
        <w:tc>
          <w:tcPr>
            <w:tcW w:w="6440" w:type="dxa"/>
            <w:gridSpan w:val="3"/>
            <w:tcBorders>
              <w:top w:val="nil"/>
              <w:left w:val="single" w:sz="8" w:space="0" w:color="auto"/>
              <w:bottom w:val="nil"/>
              <w:right w:val="nil"/>
            </w:tcBorders>
            <w:shd w:val="clear" w:color="000000" w:fill="FFFFFF"/>
            <w:noWrap/>
            <w:vAlign w:val="bottom"/>
            <w:hideMark/>
          </w:tcPr>
          <w:p w:rsidR="00F633BD" w:rsidRPr="00F33CDE" w:rsidRDefault="00F633BD" w:rsidP="00F633BD">
            <w:pPr>
              <w:rPr>
                <w:b/>
                <w:bCs/>
                <w:sz w:val="20"/>
                <w:szCs w:val="20"/>
              </w:rPr>
            </w:pPr>
            <w:r w:rsidRPr="00F33CDE">
              <w:rPr>
                <w:b/>
                <w:bCs/>
                <w:sz w:val="20"/>
                <w:szCs w:val="20"/>
              </w:rPr>
              <w:t>SCHEDULE OF WASTEWATER RATE BASE</w:t>
            </w:r>
          </w:p>
        </w:tc>
        <w:tc>
          <w:tcPr>
            <w:tcW w:w="3018" w:type="dxa"/>
            <w:gridSpan w:val="2"/>
            <w:tcBorders>
              <w:top w:val="nil"/>
              <w:left w:val="nil"/>
              <w:bottom w:val="nil"/>
              <w:right w:val="single" w:sz="8" w:space="0" w:color="000000"/>
            </w:tcBorders>
            <w:shd w:val="clear" w:color="000000" w:fill="FFFFFF"/>
            <w:noWrap/>
            <w:vAlign w:val="center"/>
            <w:hideMark/>
          </w:tcPr>
          <w:p w:rsidR="00F633BD" w:rsidRPr="00F33CDE" w:rsidRDefault="00F633BD" w:rsidP="00F633BD">
            <w:pPr>
              <w:jc w:val="right"/>
              <w:rPr>
                <w:b/>
                <w:bCs/>
                <w:sz w:val="20"/>
                <w:szCs w:val="20"/>
              </w:rPr>
            </w:pPr>
            <w:r w:rsidRPr="00F33CDE">
              <w:rPr>
                <w:b/>
                <w:bCs/>
                <w:sz w:val="20"/>
                <w:szCs w:val="20"/>
              </w:rPr>
              <w:t>DOCKET NO. 20190080-WS</w:t>
            </w:r>
          </w:p>
        </w:tc>
      </w:tr>
      <w:tr w:rsidR="00F633BD" w:rsidTr="00F633BD">
        <w:trPr>
          <w:trHeight w:val="315"/>
        </w:trPr>
        <w:tc>
          <w:tcPr>
            <w:tcW w:w="439" w:type="dxa"/>
            <w:tcBorders>
              <w:top w:val="nil"/>
              <w:left w:val="single" w:sz="8" w:space="0" w:color="auto"/>
              <w:bottom w:val="single" w:sz="8" w:space="0" w:color="auto"/>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3871" w:type="dxa"/>
            <w:tcBorders>
              <w:top w:val="nil"/>
              <w:left w:val="nil"/>
              <w:bottom w:val="single" w:sz="8" w:space="0" w:color="auto"/>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2130" w:type="dxa"/>
            <w:tcBorders>
              <w:top w:val="nil"/>
              <w:left w:val="nil"/>
              <w:bottom w:val="single" w:sz="8" w:space="0" w:color="auto"/>
              <w:right w:val="nil"/>
            </w:tcBorders>
            <w:shd w:val="clear" w:color="000000" w:fill="FFFFFF"/>
            <w:noWrap/>
            <w:vAlign w:val="bottom"/>
            <w:hideMark/>
          </w:tcPr>
          <w:p w:rsidR="00F633BD" w:rsidRDefault="00F633BD" w:rsidP="00F633BD">
            <w:pPr>
              <w:rPr>
                <w:rFonts w:ascii="SWISS" w:hAnsi="SWISS" w:cs="Arial"/>
                <w:sz w:val="20"/>
                <w:szCs w:val="20"/>
              </w:rPr>
            </w:pPr>
            <w:r>
              <w:rPr>
                <w:rFonts w:ascii="SWISS" w:hAnsi="SWISS" w:cs="Arial"/>
                <w:sz w:val="20"/>
                <w:szCs w:val="20"/>
              </w:rPr>
              <w:t> </w:t>
            </w:r>
          </w:p>
        </w:tc>
        <w:tc>
          <w:tcPr>
            <w:tcW w:w="1780" w:type="dxa"/>
            <w:tcBorders>
              <w:top w:val="nil"/>
              <w:left w:val="nil"/>
              <w:bottom w:val="single" w:sz="8" w:space="0" w:color="auto"/>
              <w:right w:val="nil"/>
            </w:tcBorders>
            <w:shd w:val="clear" w:color="000000" w:fill="FFFFFF"/>
            <w:noWrap/>
            <w:vAlign w:val="bottom"/>
            <w:hideMark/>
          </w:tcPr>
          <w:p w:rsidR="00F633BD" w:rsidRDefault="00F633BD" w:rsidP="00F633BD">
            <w:pPr>
              <w:rPr>
                <w:rFonts w:ascii="SWISS" w:hAnsi="SWISS" w:cs="Arial"/>
                <w:sz w:val="20"/>
                <w:szCs w:val="20"/>
              </w:rPr>
            </w:pPr>
            <w:r>
              <w:rPr>
                <w:rFonts w:ascii="SWISS" w:hAnsi="SWISS" w:cs="Arial"/>
                <w:sz w:val="20"/>
                <w:szCs w:val="20"/>
              </w:rPr>
              <w:t> </w:t>
            </w:r>
          </w:p>
        </w:tc>
        <w:tc>
          <w:tcPr>
            <w:tcW w:w="1238" w:type="dxa"/>
            <w:tcBorders>
              <w:top w:val="nil"/>
              <w:left w:val="nil"/>
              <w:bottom w:val="single" w:sz="8" w:space="0" w:color="auto"/>
              <w:right w:val="single" w:sz="8" w:space="0" w:color="auto"/>
            </w:tcBorders>
            <w:shd w:val="clear" w:color="000000" w:fill="FFFFFF"/>
            <w:noWrap/>
            <w:vAlign w:val="bottom"/>
            <w:hideMark/>
          </w:tcPr>
          <w:p w:rsidR="00F633BD" w:rsidRDefault="00F633BD" w:rsidP="00F633BD">
            <w:pPr>
              <w:rPr>
                <w:rFonts w:ascii="SWISS" w:hAnsi="SWISS" w:cs="Arial"/>
                <w:sz w:val="20"/>
                <w:szCs w:val="20"/>
              </w:rPr>
            </w:pPr>
            <w:r>
              <w:rPr>
                <w:rFonts w:ascii="SWISS" w:hAnsi="SWISS" w:cs="Arial"/>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rFonts w:ascii="Arial" w:hAnsi="Arial" w:cs="Arial"/>
                <w:sz w:val="20"/>
                <w:szCs w:val="20"/>
              </w:rPr>
            </w:pPr>
            <w:r w:rsidRPr="00F33CDE">
              <w:rPr>
                <w:rFonts w:ascii="Arial" w:hAnsi="Arial" w:cs="Arial"/>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BALANCE</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STAFF</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BALANCE</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rFonts w:ascii="Arial" w:hAnsi="Arial" w:cs="Arial"/>
              </w:rPr>
            </w:pPr>
            <w:r w:rsidRPr="00F33CDE">
              <w:rPr>
                <w:rFonts w:ascii="Arial" w:hAnsi="Arial" w:cs="Arial"/>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 xml:space="preserve">PER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ADJUSTMENTS</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PER</w:t>
            </w:r>
          </w:p>
        </w:tc>
      </w:tr>
      <w:tr w:rsidR="00F633BD" w:rsidTr="00F633BD">
        <w:trPr>
          <w:trHeight w:val="315"/>
        </w:trPr>
        <w:tc>
          <w:tcPr>
            <w:tcW w:w="439" w:type="dxa"/>
            <w:tcBorders>
              <w:top w:val="nil"/>
              <w:left w:val="single" w:sz="8" w:space="0" w:color="auto"/>
              <w:bottom w:val="single" w:sz="8" w:space="0" w:color="auto"/>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3871" w:type="dxa"/>
            <w:tcBorders>
              <w:top w:val="nil"/>
              <w:left w:val="nil"/>
              <w:bottom w:val="single" w:sz="8" w:space="0" w:color="auto"/>
              <w:right w:val="nil"/>
            </w:tcBorders>
            <w:shd w:val="clear" w:color="000000" w:fill="FFFFFF"/>
            <w:noWrap/>
            <w:vAlign w:val="bottom"/>
            <w:hideMark/>
          </w:tcPr>
          <w:p w:rsidR="00F633BD" w:rsidRPr="00F33CDE" w:rsidRDefault="00F633BD" w:rsidP="00F633BD">
            <w:pPr>
              <w:rPr>
                <w:rFonts w:ascii="Arial" w:hAnsi="Arial" w:cs="Arial"/>
                <w:b/>
                <w:bCs/>
                <w:sz w:val="20"/>
                <w:szCs w:val="20"/>
              </w:rPr>
            </w:pPr>
            <w:r w:rsidRPr="00F33CDE">
              <w:rPr>
                <w:rFonts w:ascii="Arial" w:hAnsi="Arial" w:cs="Arial"/>
                <w:b/>
                <w:bCs/>
                <w:sz w:val="20"/>
                <w:szCs w:val="20"/>
              </w:rPr>
              <w:t>DESCRIPTION</w:t>
            </w:r>
          </w:p>
        </w:tc>
        <w:tc>
          <w:tcPr>
            <w:tcW w:w="2130" w:type="dxa"/>
            <w:tcBorders>
              <w:top w:val="nil"/>
              <w:left w:val="nil"/>
              <w:bottom w:val="single" w:sz="8" w:space="0" w:color="auto"/>
              <w:right w:val="nil"/>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2015 SARC Phase II</w:t>
            </w:r>
          </w:p>
        </w:tc>
        <w:tc>
          <w:tcPr>
            <w:tcW w:w="1780" w:type="dxa"/>
            <w:tcBorders>
              <w:top w:val="nil"/>
              <w:left w:val="nil"/>
              <w:bottom w:val="single" w:sz="8" w:space="0" w:color="auto"/>
              <w:right w:val="nil"/>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TO UTIL. BAL.</w:t>
            </w:r>
          </w:p>
        </w:tc>
        <w:tc>
          <w:tcPr>
            <w:tcW w:w="1238" w:type="dxa"/>
            <w:tcBorders>
              <w:top w:val="nil"/>
              <w:left w:val="nil"/>
              <w:bottom w:val="single" w:sz="8" w:space="0" w:color="auto"/>
              <w:right w:val="single" w:sz="8" w:space="0" w:color="auto"/>
            </w:tcBorders>
            <w:shd w:val="clear" w:color="000000" w:fill="FFFFFF"/>
            <w:noWrap/>
            <w:vAlign w:val="bottom"/>
            <w:hideMark/>
          </w:tcPr>
          <w:p w:rsidR="00F633BD" w:rsidRPr="00F33CDE" w:rsidRDefault="00F633BD" w:rsidP="00F633BD">
            <w:pPr>
              <w:jc w:val="center"/>
              <w:rPr>
                <w:rFonts w:ascii="Arial" w:hAnsi="Arial" w:cs="Arial"/>
                <w:b/>
                <w:bCs/>
                <w:sz w:val="20"/>
                <w:szCs w:val="20"/>
              </w:rPr>
            </w:pPr>
            <w:r w:rsidRPr="00F33CDE">
              <w:rPr>
                <w:rFonts w:ascii="Arial" w:hAnsi="Arial" w:cs="Arial"/>
                <w:b/>
                <w:bCs/>
                <w:sz w:val="20"/>
                <w:szCs w:val="20"/>
              </w:rPr>
              <w:t>STAFF</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3871" w:type="dxa"/>
            <w:tcBorders>
              <w:top w:val="nil"/>
              <w:left w:val="nil"/>
              <w:bottom w:val="nil"/>
              <w:right w:val="nil"/>
            </w:tcBorders>
            <w:shd w:val="clear" w:color="000000" w:fill="FFFFFF"/>
            <w:noWrap/>
            <w:vAlign w:val="bottom"/>
            <w:hideMark/>
          </w:tcPr>
          <w:p w:rsidR="00F633BD" w:rsidRDefault="00F633BD" w:rsidP="00F633BD">
            <w:pPr>
              <w:rPr>
                <w:rFonts w:ascii="SWISS" w:hAnsi="SWISS" w:cs="Arial"/>
                <w:b/>
                <w:bCs/>
                <w:sz w:val="20"/>
                <w:szCs w:val="20"/>
              </w:rPr>
            </w:pPr>
            <w:r>
              <w:rPr>
                <w:rFonts w:ascii="SWISS" w:hAnsi="SWISS" w:cs="Arial"/>
                <w:b/>
                <w:bCs/>
                <w:sz w:val="20"/>
                <w:szCs w:val="20"/>
              </w:rPr>
              <w:t> </w:t>
            </w:r>
          </w:p>
        </w:tc>
        <w:tc>
          <w:tcPr>
            <w:tcW w:w="2130" w:type="dxa"/>
            <w:tcBorders>
              <w:top w:val="nil"/>
              <w:left w:val="nil"/>
              <w:bottom w:val="nil"/>
              <w:right w:val="nil"/>
            </w:tcBorders>
            <w:shd w:val="clear" w:color="000000" w:fill="FFFFFF"/>
            <w:noWrap/>
            <w:vAlign w:val="bottom"/>
            <w:hideMark/>
          </w:tcPr>
          <w:p w:rsidR="00F633BD" w:rsidRDefault="00F633BD" w:rsidP="00F633BD">
            <w:pPr>
              <w:jc w:val="center"/>
              <w:rPr>
                <w:rFonts w:ascii="SWISS" w:hAnsi="SWISS" w:cs="Arial"/>
                <w:b/>
                <w:bCs/>
                <w:sz w:val="20"/>
                <w:szCs w:val="20"/>
              </w:rPr>
            </w:pPr>
            <w:r>
              <w:rPr>
                <w:rFonts w:ascii="SWISS" w:hAnsi="SWISS" w:cs="Arial"/>
                <w:b/>
                <w:bCs/>
                <w:sz w:val="20"/>
                <w:szCs w:val="20"/>
              </w:rPr>
              <w:t> </w:t>
            </w:r>
          </w:p>
        </w:tc>
        <w:tc>
          <w:tcPr>
            <w:tcW w:w="1780" w:type="dxa"/>
            <w:tcBorders>
              <w:top w:val="nil"/>
              <w:left w:val="nil"/>
              <w:bottom w:val="nil"/>
              <w:right w:val="nil"/>
            </w:tcBorders>
            <w:shd w:val="clear" w:color="000000" w:fill="FFFFFF"/>
            <w:noWrap/>
            <w:vAlign w:val="bottom"/>
            <w:hideMark/>
          </w:tcPr>
          <w:p w:rsidR="00F633BD" w:rsidRDefault="00F633BD" w:rsidP="00F633BD">
            <w:pPr>
              <w:jc w:val="center"/>
              <w:rPr>
                <w:rFonts w:ascii="SWISS" w:hAnsi="SWISS" w:cs="Arial"/>
                <w:b/>
                <w:bCs/>
                <w:sz w:val="20"/>
                <w:szCs w:val="20"/>
              </w:rPr>
            </w:pPr>
            <w:r>
              <w:rPr>
                <w:rFonts w:ascii="SWISS" w:hAnsi="SWISS" w:cs="Arial"/>
                <w:b/>
                <w:bCs/>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Default="00F633BD" w:rsidP="00F633BD">
            <w:pPr>
              <w:jc w:val="center"/>
              <w:rPr>
                <w:rFonts w:ascii="SWISS" w:hAnsi="SWISS" w:cs="Arial"/>
                <w:b/>
                <w:bCs/>
                <w:sz w:val="20"/>
                <w:szCs w:val="20"/>
              </w:rPr>
            </w:pPr>
            <w:r>
              <w:rPr>
                <w:rFonts w:ascii="SWISS" w:hAnsi="SWISS" w:cs="Arial"/>
                <w:b/>
                <w:bCs/>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1.</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UTILITY PLANT IN SERVICE</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$1,625,299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$4,842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$1,630,142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2.</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LAND &amp; LAND RIGHTS</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33,680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33,680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3.</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NON-USED AND USEFUL COMPONENT</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(65,542)</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(65,542)</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4.</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ACCUMULATED DEPRECIATION</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(1,320,255)</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13,720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(1,306,535)</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5.</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CIAC</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(597,343)</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(597,343)</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6.</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AMORTIZATION OF CIAC</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350,109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0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350,109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7.</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WORKING CAPITAL ALLOWANCE</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sidRPr="00F33CDE">
              <w:rPr>
                <w:sz w:val="20"/>
                <w:szCs w:val="20"/>
                <w:u w:val="single"/>
              </w:rPr>
              <w:t xml:space="preserve">18,936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sidRPr="00F33CDE">
              <w:rPr>
                <w:sz w:val="20"/>
                <w:szCs w:val="20"/>
                <w:u w:val="single"/>
              </w:rPr>
              <w:t xml:space="preserve">122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single"/>
              </w:rPr>
            </w:pPr>
            <w:r w:rsidRPr="00F33CDE">
              <w:rPr>
                <w:sz w:val="20"/>
                <w:szCs w:val="20"/>
                <w:u w:val="single"/>
              </w:rPr>
              <w:t xml:space="preserve">19,058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r w:rsidRPr="00F33CDE">
              <w:t> </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Tr="00F633BD">
        <w:trPr>
          <w:trHeight w:val="300"/>
        </w:trPr>
        <w:tc>
          <w:tcPr>
            <w:tcW w:w="439"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8.</w:t>
            </w:r>
          </w:p>
        </w:tc>
        <w:tc>
          <w:tcPr>
            <w:tcW w:w="3871"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WASTEWATER RATE BASE</w:t>
            </w:r>
          </w:p>
        </w:tc>
        <w:tc>
          <w:tcPr>
            <w:tcW w:w="213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 xml:space="preserve">$44,885 </w:t>
            </w:r>
          </w:p>
        </w:tc>
        <w:tc>
          <w:tcPr>
            <w:tcW w:w="1780"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 xml:space="preserve">$18,684 </w:t>
            </w:r>
          </w:p>
        </w:tc>
        <w:tc>
          <w:tcPr>
            <w:tcW w:w="1238"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 xml:space="preserve">$63,569 </w:t>
            </w:r>
          </w:p>
        </w:tc>
      </w:tr>
      <w:tr w:rsidR="00F633BD" w:rsidTr="00F633BD">
        <w:trPr>
          <w:trHeight w:val="315"/>
        </w:trPr>
        <w:tc>
          <w:tcPr>
            <w:tcW w:w="439" w:type="dxa"/>
            <w:tcBorders>
              <w:top w:val="nil"/>
              <w:left w:val="single" w:sz="8" w:space="0" w:color="auto"/>
              <w:bottom w:val="single" w:sz="8" w:space="0" w:color="auto"/>
              <w:right w:val="nil"/>
            </w:tcBorders>
            <w:shd w:val="clear" w:color="000000" w:fill="FFFFFF"/>
            <w:noWrap/>
            <w:vAlign w:val="bottom"/>
            <w:hideMark/>
          </w:tcPr>
          <w:p w:rsidR="00F633BD" w:rsidRDefault="00F633BD" w:rsidP="00F633BD">
            <w:pPr>
              <w:rPr>
                <w:rFonts w:ascii="Arial" w:hAnsi="Arial" w:cs="Arial"/>
              </w:rPr>
            </w:pPr>
            <w:r>
              <w:rPr>
                <w:rFonts w:ascii="Arial" w:hAnsi="Arial" w:cs="Arial"/>
              </w:rPr>
              <w:t> </w:t>
            </w:r>
          </w:p>
        </w:tc>
        <w:tc>
          <w:tcPr>
            <w:tcW w:w="3871" w:type="dxa"/>
            <w:tcBorders>
              <w:top w:val="nil"/>
              <w:left w:val="nil"/>
              <w:bottom w:val="single" w:sz="8" w:space="0" w:color="auto"/>
              <w:right w:val="nil"/>
            </w:tcBorders>
            <w:shd w:val="clear" w:color="000000" w:fill="FFFFFF"/>
            <w:noWrap/>
            <w:vAlign w:val="bottom"/>
            <w:hideMark/>
          </w:tcPr>
          <w:p w:rsidR="00F633BD" w:rsidRDefault="00F633BD" w:rsidP="00F633BD">
            <w:pPr>
              <w:rPr>
                <w:rFonts w:ascii="SWISS" w:hAnsi="SWISS" w:cs="Arial"/>
              </w:rPr>
            </w:pPr>
            <w:r>
              <w:rPr>
                <w:rFonts w:ascii="SWISS" w:hAnsi="SWISS" w:cs="Arial"/>
              </w:rPr>
              <w:t> </w:t>
            </w:r>
          </w:p>
        </w:tc>
        <w:tc>
          <w:tcPr>
            <w:tcW w:w="2130" w:type="dxa"/>
            <w:tcBorders>
              <w:top w:val="nil"/>
              <w:left w:val="nil"/>
              <w:bottom w:val="single" w:sz="8" w:space="0" w:color="auto"/>
              <w:right w:val="nil"/>
            </w:tcBorders>
            <w:shd w:val="clear" w:color="000000" w:fill="FFFFFF"/>
            <w:noWrap/>
            <w:vAlign w:val="bottom"/>
            <w:hideMark/>
          </w:tcPr>
          <w:p w:rsidR="00F633BD" w:rsidRDefault="00F633BD" w:rsidP="00F633BD">
            <w:pPr>
              <w:rPr>
                <w:rFonts w:ascii="SWISS" w:hAnsi="SWISS" w:cs="Arial"/>
              </w:rPr>
            </w:pPr>
            <w:r>
              <w:rPr>
                <w:rFonts w:ascii="SWISS" w:hAnsi="SWISS" w:cs="Arial"/>
              </w:rPr>
              <w:t> </w:t>
            </w:r>
          </w:p>
        </w:tc>
        <w:tc>
          <w:tcPr>
            <w:tcW w:w="1780" w:type="dxa"/>
            <w:tcBorders>
              <w:top w:val="nil"/>
              <w:left w:val="nil"/>
              <w:bottom w:val="single" w:sz="8" w:space="0" w:color="auto"/>
              <w:right w:val="nil"/>
            </w:tcBorders>
            <w:shd w:val="clear" w:color="000000" w:fill="FFFFFF"/>
            <w:noWrap/>
            <w:vAlign w:val="bottom"/>
            <w:hideMark/>
          </w:tcPr>
          <w:p w:rsidR="00F633BD" w:rsidRDefault="00F633BD" w:rsidP="00F633BD">
            <w:pPr>
              <w:rPr>
                <w:rFonts w:ascii="SWISS" w:hAnsi="SWISS" w:cs="Arial"/>
              </w:rPr>
            </w:pPr>
            <w:r>
              <w:rPr>
                <w:rFonts w:ascii="SWISS" w:hAnsi="SWISS" w:cs="Arial"/>
              </w:rPr>
              <w:t> </w:t>
            </w:r>
          </w:p>
        </w:tc>
        <w:tc>
          <w:tcPr>
            <w:tcW w:w="1238" w:type="dxa"/>
            <w:tcBorders>
              <w:top w:val="nil"/>
              <w:left w:val="nil"/>
              <w:bottom w:val="single" w:sz="8" w:space="0" w:color="auto"/>
              <w:right w:val="single" w:sz="8" w:space="0" w:color="auto"/>
            </w:tcBorders>
            <w:shd w:val="clear" w:color="000000" w:fill="FFFFFF"/>
            <w:noWrap/>
            <w:vAlign w:val="bottom"/>
            <w:hideMark/>
          </w:tcPr>
          <w:p w:rsidR="00F633BD" w:rsidRDefault="00F633BD" w:rsidP="00F633BD">
            <w:pPr>
              <w:rPr>
                <w:rFonts w:ascii="SWISS" w:hAnsi="SWISS" w:cs="Arial"/>
              </w:rPr>
            </w:pPr>
            <w:r>
              <w:rPr>
                <w:rFonts w:ascii="SWISS" w:hAnsi="SWISS" w:cs="Arial"/>
              </w:rPr>
              <w:t> </w:t>
            </w:r>
          </w:p>
        </w:tc>
      </w:tr>
    </w:tbl>
    <w:p w:rsidR="00F633BD" w:rsidRPr="006252C6" w:rsidRDefault="00F633BD"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headerReference w:type="first" r:id="rId11"/>
          <w:pgSz w:w="12240" w:h="15840" w:code="1"/>
          <w:pgMar w:top="1440" w:right="1440" w:bottom="1440" w:left="1440" w:header="720" w:footer="720" w:gutter="0"/>
          <w:cols w:space="720"/>
          <w:titlePg/>
          <w:docGrid w:linePitch="360"/>
        </w:sectPr>
      </w:pPr>
    </w:p>
    <w:p w:rsidR="00662CDA" w:rsidRPr="006252C6" w:rsidRDefault="00662CDA" w:rsidP="008D1D45">
      <w:pPr>
        <w:pStyle w:val="OrderBody"/>
      </w:pPr>
    </w:p>
    <w:tbl>
      <w:tblPr>
        <w:tblW w:w="9898" w:type="dxa"/>
        <w:jc w:val="center"/>
        <w:tblLook w:val="04A0" w:firstRow="1" w:lastRow="0" w:firstColumn="1" w:lastColumn="0" w:noHBand="0" w:noVBand="1"/>
      </w:tblPr>
      <w:tblGrid>
        <w:gridCol w:w="368"/>
        <w:gridCol w:w="5702"/>
        <w:gridCol w:w="1172"/>
        <w:gridCol w:w="1207"/>
        <w:gridCol w:w="1672"/>
      </w:tblGrid>
      <w:tr w:rsidR="00F633BD" w:rsidRPr="00F33CDE" w:rsidTr="00F633BD">
        <w:trPr>
          <w:trHeight w:val="300"/>
          <w:jc w:val="center"/>
        </w:trPr>
        <w:tc>
          <w:tcPr>
            <w:tcW w:w="6070" w:type="dxa"/>
            <w:gridSpan w:val="2"/>
            <w:tcBorders>
              <w:top w:val="single" w:sz="8" w:space="0" w:color="auto"/>
              <w:left w:val="single" w:sz="8" w:space="0" w:color="auto"/>
              <w:bottom w:val="nil"/>
              <w:right w:val="nil"/>
            </w:tcBorders>
            <w:shd w:val="clear" w:color="000000" w:fill="FFFFFF"/>
            <w:noWrap/>
            <w:vAlign w:val="bottom"/>
            <w:hideMark/>
          </w:tcPr>
          <w:p w:rsidR="00F633BD" w:rsidRPr="00F33CDE" w:rsidRDefault="00F633BD" w:rsidP="00F633BD">
            <w:pPr>
              <w:rPr>
                <w:b/>
                <w:bCs/>
                <w:sz w:val="20"/>
                <w:szCs w:val="20"/>
              </w:rPr>
            </w:pPr>
            <w:bookmarkStart w:id="11" w:name="RANGE!A1:E22"/>
            <w:r w:rsidRPr="00F33CDE">
              <w:rPr>
                <w:b/>
                <w:bCs/>
                <w:sz w:val="20"/>
                <w:szCs w:val="20"/>
              </w:rPr>
              <w:t>AQUARINA UTILITIES, INC.</w:t>
            </w:r>
            <w:bookmarkEnd w:id="11"/>
          </w:p>
        </w:tc>
        <w:tc>
          <w:tcPr>
            <w:tcW w:w="3828" w:type="dxa"/>
            <w:gridSpan w:val="3"/>
            <w:tcBorders>
              <w:top w:val="single" w:sz="8" w:space="0" w:color="auto"/>
              <w:left w:val="nil"/>
              <w:bottom w:val="nil"/>
              <w:right w:val="single" w:sz="8" w:space="0" w:color="000000"/>
            </w:tcBorders>
            <w:shd w:val="clear" w:color="000000" w:fill="FFFFFF"/>
            <w:noWrap/>
            <w:vAlign w:val="bottom"/>
            <w:hideMark/>
          </w:tcPr>
          <w:p w:rsidR="00F633BD" w:rsidRPr="00F33CDE" w:rsidRDefault="00F633BD" w:rsidP="00F633BD">
            <w:pPr>
              <w:jc w:val="right"/>
              <w:rPr>
                <w:b/>
                <w:bCs/>
                <w:sz w:val="20"/>
                <w:szCs w:val="20"/>
              </w:rPr>
            </w:pPr>
            <w:r w:rsidRPr="00F33CDE">
              <w:rPr>
                <w:b/>
                <w:bCs/>
                <w:sz w:val="20"/>
                <w:szCs w:val="20"/>
              </w:rPr>
              <w:t>SCHEDULE NO. 1-D</w:t>
            </w:r>
          </w:p>
        </w:tc>
      </w:tr>
      <w:tr w:rsidR="00F633BD" w:rsidRPr="00F33CDE" w:rsidTr="00F633BD">
        <w:trPr>
          <w:trHeight w:val="300"/>
          <w:jc w:val="center"/>
        </w:trPr>
        <w:tc>
          <w:tcPr>
            <w:tcW w:w="6070" w:type="dxa"/>
            <w:gridSpan w:val="2"/>
            <w:tcBorders>
              <w:top w:val="nil"/>
              <w:left w:val="single" w:sz="8" w:space="0" w:color="auto"/>
              <w:bottom w:val="nil"/>
              <w:right w:val="nil"/>
            </w:tcBorders>
            <w:shd w:val="clear" w:color="000000" w:fill="FFFFFF"/>
            <w:noWrap/>
            <w:vAlign w:val="bottom"/>
            <w:hideMark/>
          </w:tcPr>
          <w:p w:rsidR="00F633BD" w:rsidRPr="00F33CDE" w:rsidRDefault="00F633BD" w:rsidP="00F633BD">
            <w:pPr>
              <w:rPr>
                <w:b/>
                <w:bCs/>
                <w:sz w:val="20"/>
                <w:szCs w:val="20"/>
              </w:rPr>
            </w:pPr>
            <w:r w:rsidRPr="00F33CDE">
              <w:rPr>
                <w:b/>
                <w:bCs/>
                <w:sz w:val="20"/>
                <w:szCs w:val="20"/>
              </w:rPr>
              <w:t>ADJUSTMENTS TO RATE BASE</w:t>
            </w:r>
          </w:p>
        </w:tc>
        <w:tc>
          <w:tcPr>
            <w:tcW w:w="3828" w:type="dxa"/>
            <w:gridSpan w:val="3"/>
            <w:tcBorders>
              <w:top w:val="nil"/>
              <w:left w:val="nil"/>
              <w:bottom w:val="nil"/>
              <w:right w:val="single" w:sz="8" w:space="0" w:color="000000"/>
            </w:tcBorders>
            <w:shd w:val="clear" w:color="000000" w:fill="FFFFFF"/>
            <w:noWrap/>
            <w:vAlign w:val="center"/>
            <w:hideMark/>
          </w:tcPr>
          <w:p w:rsidR="00F633BD" w:rsidRPr="00F33CDE" w:rsidRDefault="00F633BD" w:rsidP="00F633BD">
            <w:pPr>
              <w:jc w:val="right"/>
              <w:rPr>
                <w:b/>
                <w:bCs/>
                <w:sz w:val="20"/>
                <w:szCs w:val="20"/>
              </w:rPr>
            </w:pPr>
            <w:r w:rsidRPr="00F33CDE">
              <w:rPr>
                <w:b/>
                <w:bCs/>
                <w:sz w:val="20"/>
                <w:szCs w:val="20"/>
              </w:rPr>
              <w:t>DOCKET NO. 20190080-WS</w:t>
            </w:r>
          </w:p>
        </w:tc>
      </w:tr>
      <w:tr w:rsidR="00F633BD" w:rsidRPr="00F33CDE" w:rsidTr="00F633BD">
        <w:trPr>
          <w:trHeight w:val="315"/>
          <w:jc w:val="center"/>
        </w:trPr>
        <w:tc>
          <w:tcPr>
            <w:tcW w:w="368" w:type="dxa"/>
            <w:tcBorders>
              <w:top w:val="nil"/>
              <w:left w:val="single" w:sz="8" w:space="0" w:color="auto"/>
              <w:bottom w:val="single" w:sz="4" w:space="0" w:color="auto"/>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nil"/>
              <w:left w:val="nil"/>
              <w:bottom w:val="single" w:sz="4" w:space="0" w:color="auto"/>
              <w:right w:val="nil"/>
            </w:tcBorders>
            <w:shd w:val="clear" w:color="000000" w:fill="FFFFFF"/>
            <w:noWrap/>
            <w:vAlign w:val="bottom"/>
            <w:hideMark/>
          </w:tcPr>
          <w:p w:rsidR="00F633BD" w:rsidRPr="00F33CDE" w:rsidRDefault="00F633BD" w:rsidP="00F633BD">
            <w:pPr>
              <w:rPr>
                <w:b/>
                <w:bCs/>
                <w:sz w:val="20"/>
                <w:szCs w:val="20"/>
              </w:rPr>
            </w:pPr>
            <w:r w:rsidRPr="00F33CDE">
              <w:rPr>
                <w:b/>
                <w:bCs/>
                <w:sz w:val="20"/>
                <w:szCs w:val="20"/>
              </w:rPr>
              <w:t> </w:t>
            </w:r>
          </w:p>
        </w:tc>
        <w:tc>
          <w:tcPr>
            <w:tcW w:w="1092" w:type="dxa"/>
            <w:tcBorders>
              <w:top w:val="nil"/>
              <w:left w:val="nil"/>
              <w:bottom w:val="single" w:sz="4" w:space="0" w:color="auto"/>
              <w:right w:val="nil"/>
            </w:tcBorders>
            <w:shd w:val="clear" w:color="000000" w:fill="FFFFFF"/>
            <w:noWrap/>
            <w:vAlign w:val="bottom"/>
            <w:hideMark/>
          </w:tcPr>
          <w:p w:rsidR="00F633BD" w:rsidRPr="00F33CDE" w:rsidRDefault="00F633BD" w:rsidP="00F633BD">
            <w:pPr>
              <w:rPr>
                <w:b/>
                <w:bCs/>
                <w:sz w:val="20"/>
                <w:szCs w:val="20"/>
              </w:rPr>
            </w:pPr>
            <w:r w:rsidRPr="00F33CDE">
              <w:rPr>
                <w:b/>
                <w:bCs/>
                <w:sz w:val="20"/>
                <w:szCs w:val="20"/>
              </w:rPr>
              <w:t> </w:t>
            </w:r>
          </w:p>
        </w:tc>
        <w:tc>
          <w:tcPr>
            <w:tcW w:w="1207" w:type="dxa"/>
            <w:tcBorders>
              <w:top w:val="nil"/>
              <w:left w:val="nil"/>
              <w:bottom w:val="single" w:sz="4" w:space="0" w:color="auto"/>
              <w:right w:val="nil"/>
            </w:tcBorders>
            <w:shd w:val="clear" w:color="000000" w:fill="FFFFFF"/>
            <w:noWrap/>
            <w:vAlign w:val="bottom"/>
            <w:hideMark/>
          </w:tcPr>
          <w:p w:rsidR="00F633BD" w:rsidRPr="00F33CDE" w:rsidRDefault="00F633BD" w:rsidP="00F633BD">
            <w:pPr>
              <w:rPr>
                <w:b/>
                <w:bCs/>
                <w:sz w:val="20"/>
                <w:szCs w:val="20"/>
              </w:rPr>
            </w:pPr>
            <w:r w:rsidRPr="00F33CDE">
              <w:rPr>
                <w:b/>
                <w:bCs/>
                <w:sz w:val="20"/>
                <w:szCs w:val="20"/>
              </w:rPr>
              <w:t> </w:t>
            </w:r>
          </w:p>
        </w:tc>
        <w:tc>
          <w:tcPr>
            <w:tcW w:w="1529" w:type="dxa"/>
            <w:tcBorders>
              <w:top w:val="nil"/>
              <w:left w:val="nil"/>
              <w:bottom w:val="single" w:sz="4" w:space="0" w:color="auto"/>
              <w:right w:val="single" w:sz="8" w:space="0" w:color="auto"/>
            </w:tcBorders>
            <w:shd w:val="clear" w:color="000000" w:fill="FFFFFF"/>
            <w:noWrap/>
            <w:vAlign w:val="bottom"/>
            <w:hideMark/>
          </w:tcPr>
          <w:p w:rsidR="00F633BD" w:rsidRPr="00F33CDE" w:rsidRDefault="00F633BD" w:rsidP="00F633BD">
            <w:pPr>
              <w:jc w:val="right"/>
              <w:rPr>
                <w:b/>
                <w:bCs/>
                <w:sz w:val="20"/>
                <w:szCs w:val="20"/>
              </w:rPr>
            </w:pPr>
            <w:r w:rsidRPr="00F33CDE">
              <w:rPr>
                <w:b/>
                <w:bCs/>
                <w:sz w:val="20"/>
                <w:szCs w:val="20"/>
              </w:rPr>
              <w:t> </w:t>
            </w:r>
          </w:p>
        </w:tc>
      </w:tr>
      <w:tr w:rsidR="00F633BD" w:rsidRPr="00F33CDE" w:rsidTr="00F633BD">
        <w:trPr>
          <w:trHeight w:val="300"/>
          <w:jc w:val="center"/>
        </w:trPr>
        <w:tc>
          <w:tcPr>
            <w:tcW w:w="368" w:type="dxa"/>
            <w:tcBorders>
              <w:top w:val="single" w:sz="4" w:space="0" w:color="auto"/>
              <w:left w:val="single" w:sz="4" w:space="0" w:color="auto"/>
              <w:bottom w:val="single" w:sz="4" w:space="0" w:color="auto"/>
              <w:right w:val="nil"/>
            </w:tcBorders>
            <w:shd w:val="clear" w:color="000000" w:fill="FFFFFF"/>
            <w:noWrap/>
            <w:vAlign w:val="bottom"/>
            <w:hideMark/>
          </w:tcPr>
          <w:p w:rsidR="00F633BD" w:rsidRPr="00250BBE" w:rsidRDefault="00F633BD" w:rsidP="00F633BD">
            <w:pPr>
              <w:rPr>
                <w:rFonts w:ascii="Arial" w:hAnsi="Arial" w:cs="Arial"/>
                <w:color w:val="000000"/>
                <w:sz w:val="20"/>
                <w:szCs w:val="20"/>
              </w:rPr>
            </w:pPr>
            <w:r w:rsidRPr="00250BBE">
              <w:rPr>
                <w:rFonts w:ascii="Arial" w:hAnsi="Arial" w:cs="Arial"/>
                <w:color w:val="000000"/>
                <w:sz w:val="20"/>
                <w:szCs w:val="20"/>
              </w:rPr>
              <w:t> </w:t>
            </w:r>
          </w:p>
        </w:tc>
        <w:tc>
          <w:tcPr>
            <w:tcW w:w="5702" w:type="dxa"/>
            <w:tcBorders>
              <w:top w:val="single" w:sz="4" w:space="0" w:color="auto"/>
              <w:left w:val="nil"/>
              <w:bottom w:val="single" w:sz="4" w:space="0" w:color="auto"/>
              <w:right w:val="nil"/>
            </w:tcBorders>
            <w:shd w:val="clear" w:color="000000" w:fill="FFFFFF"/>
            <w:noWrap/>
            <w:vAlign w:val="bottom"/>
            <w:hideMark/>
          </w:tcPr>
          <w:p w:rsidR="00F633BD" w:rsidRPr="00250BBE" w:rsidRDefault="00F633BD" w:rsidP="00F633BD">
            <w:pPr>
              <w:rPr>
                <w:rFonts w:ascii="Arial" w:hAnsi="Arial" w:cs="Arial"/>
                <w:sz w:val="20"/>
                <w:szCs w:val="20"/>
              </w:rPr>
            </w:pPr>
            <w:r w:rsidRPr="00250BBE">
              <w:rPr>
                <w:rFonts w:ascii="Arial" w:hAnsi="Arial" w:cs="Arial"/>
                <w:sz w:val="20"/>
                <w:szCs w:val="20"/>
              </w:rPr>
              <w:t> </w:t>
            </w:r>
          </w:p>
        </w:tc>
        <w:tc>
          <w:tcPr>
            <w:tcW w:w="1092" w:type="dxa"/>
            <w:tcBorders>
              <w:top w:val="single" w:sz="4" w:space="0" w:color="auto"/>
              <w:left w:val="nil"/>
              <w:bottom w:val="single" w:sz="4" w:space="0" w:color="auto"/>
              <w:right w:val="nil"/>
            </w:tcBorders>
            <w:shd w:val="clear" w:color="000000" w:fill="FFFFFF"/>
            <w:noWrap/>
            <w:vAlign w:val="bottom"/>
            <w:hideMark/>
          </w:tcPr>
          <w:p w:rsidR="00F633BD" w:rsidRPr="00250BBE" w:rsidRDefault="00F633BD" w:rsidP="00F633BD">
            <w:pPr>
              <w:jc w:val="center"/>
              <w:rPr>
                <w:rFonts w:ascii="Arial" w:hAnsi="Arial" w:cs="Arial"/>
                <w:b/>
                <w:bCs/>
                <w:sz w:val="20"/>
                <w:szCs w:val="20"/>
                <w:u w:val="single"/>
              </w:rPr>
            </w:pPr>
            <w:r w:rsidRPr="00D960FE">
              <w:rPr>
                <w:rFonts w:ascii="Arial" w:hAnsi="Arial" w:cs="Arial"/>
                <w:b/>
                <w:bCs/>
                <w:sz w:val="20"/>
                <w:szCs w:val="20"/>
              </w:rPr>
              <w:t>POTABLE</w:t>
            </w:r>
            <w:r w:rsidRPr="00250BBE">
              <w:rPr>
                <w:rFonts w:ascii="Arial" w:hAnsi="Arial" w:cs="Arial"/>
                <w:b/>
                <w:bCs/>
                <w:sz w:val="20"/>
                <w:szCs w:val="20"/>
                <w:u w:val="single"/>
              </w:rPr>
              <w:t xml:space="preserve"> WATER</w:t>
            </w:r>
          </w:p>
        </w:tc>
        <w:tc>
          <w:tcPr>
            <w:tcW w:w="1207" w:type="dxa"/>
            <w:tcBorders>
              <w:top w:val="single" w:sz="4" w:space="0" w:color="auto"/>
              <w:left w:val="nil"/>
              <w:bottom w:val="single" w:sz="4" w:space="0" w:color="auto"/>
              <w:right w:val="nil"/>
            </w:tcBorders>
            <w:shd w:val="clear" w:color="000000" w:fill="FFFFFF"/>
            <w:noWrap/>
            <w:vAlign w:val="bottom"/>
            <w:hideMark/>
          </w:tcPr>
          <w:p w:rsidR="00F633BD" w:rsidRPr="00250BBE" w:rsidRDefault="00F633BD" w:rsidP="00F633BD">
            <w:pPr>
              <w:jc w:val="center"/>
              <w:rPr>
                <w:rFonts w:ascii="Arial" w:hAnsi="Arial" w:cs="Arial"/>
                <w:b/>
                <w:bCs/>
                <w:sz w:val="20"/>
                <w:szCs w:val="20"/>
                <w:u w:val="single"/>
              </w:rPr>
            </w:pPr>
            <w:r w:rsidRPr="00D960FE">
              <w:rPr>
                <w:rFonts w:ascii="Arial" w:hAnsi="Arial" w:cs="Arial"/>
                <w:b/>
                <w:bCs/>
                <w:sz w:val="20"/>
                <w:szCs w:val="20"/>
              </w:rPr>
              <w:t>NON-POTABLE</w:t>
            </w:r>
            <w:r w:rsidRPr="00250BBE">
              <w:rPr>
                <w:rFonts w:ascii="Arial" w:hAnsi="Arial" w:cs="Arial"/>
                <w:b/>
                <w:bCs/>
                <w:sz w:val="20"/>
                <w:szCs w:val="20"/>
                <w:u w:val="single"/>
              </w:rPr>
              <w:t xml:space="preserve"> WATER</w:t>
            </w:r>
          </w:p>
        </w:tc>
        <w:tc>
          <w:tcPr>
            <w:tcW w:w="1529" w:type="dxa"/>
            <w:tcBorders>
              <w:top w:val="single" w:sz="4" w:space="0" w:color="auto"/>
              <w:left w:val="nil"/>
              <w:bottom w:val="single" w:sz="4" w:space="0" w:color="auto"/>
              <w:right w:val="single" w:sz="4" w:space="0" w:color="auto"/>
            </w:tcBorders>
            <w:shd w:val="clear" w:color="000000" w:fill="FFFFFF"/>
            <w:noWrap/>
            <w:vAlign w:val="bottom"/>
            <w:hideMark/>
          </w:tcPr>
          <w:p w:rsidR="00F633BD" w:rsidRPr="00250BBE" w:rsidRDefault="00F633BD" w:rsidP="00F633BD">
            <w:pPr>
              <w:jc w:val="center"/>
              <w:rPr>
                <w:rFonts w:ascii="Arial" w:hAnsi="Arial" w:cs="Arial"/>
                <w:b/>
                <w:bCs/>
                <w:sz w:val="20"/>
                <w:szCs w:val="20"/>
                <w:u w:val="single"/>
              </w:rPr>
            </w:pPr>
            <w:r w:rsidRPr="00250BBE">
              <w:rPr>
                <w:rFonts w:ascii="Arial" w:hAnsi="Arial" w:cs="Arial"/>
                <w:b/>
                <w:bCs/>
                <w:sz w:val="20"/>
                <w:szCs w:val="20"/>
                <w:u w:val="single"/>
              </w:rPr>
              <w:t>WASTEWATER</w:t>
            </w:r>
          </w:p>
        </w:tc>
      </w:tr>
      <w:tr w:rsidR="00F633BD" w:rsidRPr="00F33CDE" w:rsidTr="00F633BD">
        <w:trPr>
          <w:trHeight w:val="300"/>
          <w:jc w:val="center"/>
        </w:trPr>
        <w:tc>
          <w:tcPr>
            <w:tcW w:w="368" w:type="dxa"/>
            <w:tcBorders>
              <w:top w:val="single" w:sz="4" w:space="0" w:color="auto"/>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single" w:sz="4" w:space="0" w:color="auto"/>
              <w:left w:val="nil"/>
              <w:bottom w:val="nil"/>
              <w:right w:val="nil"/>
            </w:tcBorders>
            <w:shd w:val="clear" w:color="000000" w:fill="FFFFFF"/>
            <w:noWrap/>
            <w:vAlign w:val="bottom"/>
            <w:hideMark/>
          </w:tcPr>
          <w:p w:rsidR="00F633BD" w:rsidRPr="00F33CDE" w:rsidRDefault="00F633BD" w:rsidP="00F633BD">
            <w:pPr>
              <w:rPr>
                <w:b/>
                <w:bCs/>
                <w:sz w:val="20"/>
                <w:szCs w:val="20"/>
                <w:u w:val="single"/>
              </w:rPr>
            </w:pPr>
            <w:r w:rsidRPr="00F33CDE">
              <w:rPr>
                <w:b/>
                <w:bCs/>
                <w:sz w:val="20"/>
                <w:szCs w:val="20"/>
                <w:u w:val="single"/>
              </w:rPr>
              <w:t>UTILITY PLANT IN SERVICE</w:t>
            </w:r>
          </w:p>
        </w:tc>
        <w:tc>
          <w:tcPr>
            <w:tcW w:w="1092" w:type="dxa"/>
            <w:tcBorders>
              <w:top w:val="single" w:sz="4" w:space="0" w:color="auto"/>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07" w:type="dxa"/>
            <w:tcBorders>
              <w:top w:val="single" w:sz="4" w:space="0" w:color="auto"/>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529" w:type="dxa"/>
            <w:tcBorders>
              <w:top w:val="single" w:sz="4" w:space="0" w:color="auto"/>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hideMark/>
          </w:tcPr>
          <w:p w:rsidR="00F633BD" w:rsidRPr="00F33CDE" w:rsidRDefault="00F633BD" w:rsidP="00F633BD">
            <w:pPr>
              <w:jc w:val="right"/>
              <w:rPr>
                <w:color w:val="000000"/>
                <w:sz w:val="20"/>
                <w:szCs w:val="20"/>
              </w:rPr>
            </w:pPr>
            <w:r w:rsidRPr="00F33CDE">
              <w:rPr>
                <w:color w:val="000000"/>
                <w:sz w:val="20"/>
                <w:szCs w:val="20"/>
              </w:rPr>
              <w:t>1.</w:t>
            </w:r>
          </w:p>
        </w:tc>
        <w:tc>
          <w:tcPr>
            <w:tcW w:w="5702" w:type="dxa"/>
            <w:tcBorders>
              <w:top w:val="nil"/>
              <w:left w:val="nil"/>
              <w:bottom w:val="nil"/>
              <w:right w:val="nil"/>
            </w:tcBorders>
            <w:shd w:val="clear" w:color="000000" w:fill="FFFFFF"/>
            <w:vAlign w:val="bottom"/>
            <w:hideMark/>
          </w:tcPr>
          <w:p w:rsidR="00F633BD" w:rsidRPr="00F33CDE" w:rsidRDefault="00F633BD" w:rsidP="00F633BD">
            <w:pPr>
              <w:rPr>
                <w:sz w:val="20"/>
                <w:szCs w:val="20"/>
              </w:rPr>
            </w:pPr>
            <w:r w:rsidRPr="00F33CDE">
              <w:rPr>
                <w:sz w:val="20"/>
                <w:szCs w:val="20"/>
              </w:rPr>
              <w:t>To reflect appropriate pro forma plant additions.</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w:t>
            </w:r>
            <w:r>
              <w:rPr>
                <w:sz w:val="20"/>
                <w:szCs w:val="20"/>
              </w:rPr>
              <w:t>29,476</w:t>
            </w:r>
            <w:r w:rsidRPr="00F33CDE">
              <w:rPr>
                <w:sz w:val="20"/>
                <w:szCs w:val="20"/>
              </w:rPr>
              <w:t xml:space="preserve">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w:t>
            </w:r>
            <w:r>
              <w:rPr>
                <w:sz w:val="20"/>
                <w:szCs w:val="20"/>
              </w:rPr>
              <w:t>4,990</w:t>
            </w:r>
            <w:r w:rsidRPr="00F33CDE">
              <w:rPr>
                <w:sz w:val="20"/>
                <w:szCs w:val="20"/>
              </w:rPr>
              <w:t xml:space="preserve">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$19,369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hideMark/>
          </w:tcPr>
          <w:p w:rsidR="00F633BD" w:rsidRPr="00F33CDE" w:rsidRDefault="00F633BD" w:rsidP="00F633BD">
            <w:pPr>
              <w:jc w:val="right"/>
              <w:rPr>
                <w:color w:val="000000"/>
                <w:sz w:val="20"/>
                <w:szCs w:val="20"/>
              </w:rPr>
            </w:pPr>
            <w:r w:rsidRPr="00F33CDE">
              <w:rPr>
                <w:color w:val="000000"/>
                <w:sz w:val="20"/>
                <w:szCs w:val="20"/>
              </w:rPr>
              <w:t>2.</w:t>
            </w:r>
          </w:p>
        </w:tc>
        <w:tc>
          <w:tcPr>
            <w:tcW w:w="5702" w:type="dxa"/>
            <w:tcBorders>
              <w:top w:val="nil"/>
              <w:left w:val="nil"/>
              <w:bottom w:val="nil"/>
              <w:right w:val="nil"/>
            </w:tcBorders>
            <w:shd w:val="clear" w:color="000000" w:fill="FFFFFF"/>
            <w:vAlign w:val="bottom"/>
            <w:hideMark/>
          </w:tcPr>
          <w:p w:rsidR="00F633BD" w:rsidRPr="00F33CDE" w:rsidRDefault="00F633BD" w:rsidP="00F633BD">
            <w:pPr>
              <w:rPr>
                <w:sz w:val="20"/>
                <w:szCs w:val="20"/>
              </w:rPr>
            </w:pPr>
            <w:r w:rsidRPr="00F33CDE">
              <w:rPr>
                <w:sz w:val="20"/>
                <w:szCs w:val="20"/>
              </w:rPr>
              <w:t>To reflect retirement associated with pro forma plant additions.</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sidRPr="00F33CDE">
              <w:rPr>
                <w:sz w:val="20"/>
                <w:szCs w:val="20"/>
                <w:u w:val="single"/>
              </w:rPr>
              <w:t>(</w:t>
            </w:r>
            <w:r>
              <w:rPr>
                <w:sz w:val="20"/>
                <w:szCs w:val="20"/>
                <w:u w:val="single"/>
              </w:rPr>
              <w:t>19,230</w:t>
            </w:r>
            <w:r w:rsidRPr="00F33CDE">
              <w:rPr>
                <w:sz w:val="20"/>
                <w:szCs w:val="20"/>
                <w:u w:val="single"/>
              </w:rPr>
              <w:t>)</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Pr>
                <w:sz w:val="20"/>
                <w:szCs w:val="20"/>
                <w:u w:val="single"/>
              </w:rPr>
              <w:t>(3,743)</w:t>
            </w:r>
            <w:r w:rsidRPr="00F33CDE">
              <w:rPr>
                <w:sz w:val="20"/>
                <w:szCs w:val="20"/>
                <w:u w:val="single"/>
              </w:rPr>
              <w:t xml:space="preserve">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w:t>
            </w:r>
            <w:r w:rsidRPr="00921578">
              <w:rPr>
                <w:sz w:val="20"/>
                <w:szCs w:val="20"/>
                <w:u w:val="single"/>
              </w:rPr>
              <w:t>14,527</w:t>
            </w:r>
            <w:r w:rsidRPr="00F33CDE">
              <w:rPr>
                <w:sz w:val="20"/>
                <w:szCs w:val="20"/>
              </w:rPr>
              <w:t>)</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xml:space="preserve">     Total</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w:t>
            </w:r>
            <w:r>
              <w:rPr>
                <w:sz w:val="20"/>
                <w:szCs w:val="20"/>
                <w:u w:val="double"/>
              </w:rPr>
              <w:t>10,246</w:t>
            </w:r>
            <w:r w:rsidRPr="00F33CDE">
              <w:rPr>
                <w:sz w:val="20"/>
                <w:szCs w:val="20"/>
                <w:u w:val="double"/>
              </w:rPr>
              <w:t xml:space="preserve">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w:t>
            </w:r>
            <w:r>
              <w:rPr>
                <w:sz w:val="20"/>
                <w:szCs w:val="20"/>
                <w:u w:val="double"/>
              </w:rPr>
              <w:t>1,248</w:t>
            </w:r>
            <w:r w:rsidRPr="00F33CDE">
              <w:rPr>
                <w:sz w:val="20"/>
                <w:szCs w:val="20"/>
                <w:u w:val="double"/>
              </w:rPr>
              <w:t xml:space="preserve">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 xml:space="preserve">$4,842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hideMark/>
          </w:tcPr>
          <w:p w:rsidR="00F633BD" w:rsidRPr="00F33CDE" w:rsidRDefault="00F633BD" w:rsidP="00F633BD">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hideMark/>
          </w:tcPr>
          <w:p w:rsidR="00F633BD" w:rsidRPr="00F33CDE" w:rsidRDefault="00F633BD" w:rsidP="00F633BD">
            <w:pPr>
              <w:rPr>
                <w:sz w:val="20"/>
                <w:szCs w:val="20"/>
              </w:rPr>
            </w:pPr>
            <w:r w:rsidRPr="00F33CDE">
              <w:rPr>
                <w:sz w:val="20"/>
                <w:szCs w:val="20"/>
              </w:rPr>
              <w:t> </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b/>
                <w:bCs/>
                <w:sz w:val="20"/>
                <w:szCs w:val="20"/>
                <w:u w:val="single"/>
              </w:rPr>
            </w:pPr>
            <w:r w:rsidRPr="00F33CDE">
              <w:rPr>
                <w:b/>
                <w:bCs/>
                <w:sz w:val="20"/>
                <w:szCs w:val="20"/>
                <w:u w:val="single"/>
              </w:rPr>
              <w:t>ACCUMULATED DEPRECIATION</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hideMark/>
          </w:tcPr>
          <w:p w:rsidR="00F633BD" w:rsidRPr="00F33CDE" w:rsidRDefault="00F633BD" w:rsidP="00F633BD">
            <w:pPr>
              <w:jc w:val="right"/>
              <w:rPr>
                <w:color w:val="000000"/>
                <w:sz w:val="20"/>
                <w:szCs w:val="20"/>
              </w:rPr>
            </w:pPr>
            <w:r w:rsidRPr="00F33CDE">
              <w:rPr>
                <w:color w:val="000000"/>
                <w:sz w:val="20"/>
                <w:szCs w:val="20"/>
              </w:rPr>
              <w:t>1.</w:t>
            </w:r>
          </w:p>
        </w:tc>
        <w:tc>
          <w:tcPr>
            <w:tcW w:w="5702" w:type="dxa"/>
            <w:tcBorders>
              <w:top w:val="nil"/>
              <w:left w:val="nil"/>
              <w:bottom w:val="nil"/>
              <w:right w:val="nil"/>
            </w:tcBorders>
            <w:shd w:val="clear" w:color="000000" w:fill="FFFFFF"/>
            <w:vAlign w:val="bottom"/>
            <w:hideMark/>
          </w:tcPr>
          <w:p w:rsidR="00F633BD" w:rsidRPr="00F33CDE" w:rsidRDefault="00F633BD" w:rsidP="00F633BD">
            <w:pPr>
              <w:rPr>
                <w:sz w:val="20"/>
                <w:szCs w:val="20"/>
              </w:rPr>
            </w:pPr>
            <w:r w:rsidRPr="00F33CDE">
              <w:rPr>
                <w:sz w:val="20"/>
                <w:szCs w:val="20"/>
              </w:rPr>
              <w:t>To reflect pro forma plant additions.</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w:t>
            </w:r>
            <w:r>
              <w:rPr>
                <w:sz w:val="20"/>
                <w:szCs w:val="20"/>
              </w:rPr>
              <w:t>997</w:t>
            </w:r>
            <w:r w:rsidRPr="00F33CDE">
              <w:rPr>
                <w:sz w:val="20"/>
                <w:szCs w:val="20"/>
              </w:rPr>
              <w:t>)</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Pr>
                <w:sz w:val="20"/>
                <w:szCs w:val="20"/>
              </w:rPr>
              <w:t>(</w:t>
            </w:r>
            <w:r w:rsidRPr="00F33CDE">
              <w:rPr>
                <w:sz w:val="20"/>
                <w:szCs w:val="20"/>
              </w:rPr>
              <w:t>$</w:t>
            </w:r>
            <w:r>
              <w:rPr>
                <w:sz w:val="20"/>
                <w:szCs w:val="20"/>
              </w:rPr>
              <w:t>187)</w:t>
            </w:r>
            <w:r w:rsidRPr="00F33CDE">
              <w:rPr>
                <w:sz w:val="20"/>
                <w:szCs w:val="20"/>
              </w:rPr>
              <w:t xml:space="preserve">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($807)</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hideMark/>
          </w:tcPr>
          <w:p w:rsidR="00F633BD" w:rsidRPr="00F33CDE" w:rsidRDefault="00F633BD" w:rsidP="00F633BD">
            <w:pPr>
              <w:jc w:val="right"/>
              <w:rPr>
                <w:color w:val="000000"/>
                <w:sz w:val="20"/>
                <w:szCs w:val="20"/>
              </w:rPr>
            </w:pPr>
            <w:r w:rsidRPr="00F33CDE">
              <w:rPr>
                <w:color w:val="000000"/>
                <w:sz w:val="20"/>
                <w:szCs w:val="20"/>
              </w:rPr>
              <w:t>2.</w:t>
            </w:r>
          </w:p>
        </w:tc>
        <w:tc>
          <w:tcPr>
            <w:tcW w:w="5702" w:type="dxa"/>
            <w:tcBorders>
              <w:top w:val="nil"/>
              <w:left w:val="nil"/>
              <w:bottom w:val="nil"/>
              <w:right w:val="nil"/>
            </w:tcBorders>
            <w:shd w:val="clear" w:color="000000" w:fill="FFFFFF"/>
            <w:vAlign w:val="bottom"/>
            <w:hideMark/>
          </w:tcPr>
          <w:p w:rsidR="00F633BD" w:rsidRPr="00F33CDE" w:rsidRDefault="00F633BD" w:rsidP="00F633BD">
            <w:pPr>
              <w:rPr>
                <w:sz w:val="20"/>
                <w:szCs w:val="20"/>
              </w:rPr>
            </w:pPr>
            <w:r w:rsidRPr="00F33CDE">
              <w:rPr>
                <w:sz w:val="20"/>
                <w:szCs w:val="20"/>
              </w:rPr>
              <w:t>To reflect retirement associated with pro forma plant additions.</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Pr>
                <w:sz w:val="20"/>
                <w:szCs w:val="20"/>
                <w:u w:val="single"/>
              </w:rPr>
              <w:t>19,230</w:t>
            </w:r>
            <w:r w:rsidRPr="00F33CDE">
              <w:rPr>
                <w:sz w:val="20"/>
                <w:szCs w:val="20"/>
                <w:u w:val="single"/>
              </w:rPr>
              <w:t xml:space="preserve">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Pr>
                <w:sz w:val="20"/>
                <w:szCs w:val="20"/>
                <w:u w:val="single"/>
              </w:rPr>
              <w:t>3,743</w:t>
            </w:r>
            <w:r w:rsidRPr="00F33CDE">
              <w:rPr>
                <w:sz w:val="20"/>
                <w:szCs w:val="20"/>
                <w:u w:val="single"/>
              </w:rPr>
              <w:t xml:space="preserve"> </w:t>
            </w:r>
          </w:p>
        </w:tc>
        <w:tc>
          <w:tcPr>
            <w:tcW w:w="1529" w:type="dxa"/>
            <w:tcBorders>
              <w:top w:val="nil"/>
              <w:left w:val="nil"/>
              <w:bottom w:val="nil"/>
              <w:right w:val="single" w:sz="8" w:space="0" w:color="auto"/>
            </w:tcBorders>
            <w:shd w:val="clear" w:color="000000" w:fill="FFFFFF"/>
            <w:noWrap/>
            <w:vAlign w:val="bottom"/>
            <w:hideMark/>
          </w:tcPr>
          <w:p w:rsidR="00F633BD" w:rsidRPr="00D960FE" w:rsidRDefault="00F633BD" w:rsidP="00F633BD">
            <w:pPr>
              <w:jc w:val="right"/>
              <w:rPr>
                <w:sz w:val="20"/>
                <w:szCs w:val="20"/>
                <w:u w:val="single"/>
              </w:rPr>
            </w:pPr>
            <w:r w:rsidRPr="00D960FE">
              <w:rPr>
                <w:sz w:val="20"/>
                <w:szCs w:val="20"/>
                <w:u w:val="single"/>
              </w:rPr>
              <w:t xml:space="preserve">14,527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xml:space="preserve">     Total</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w:t>
            </w:r>
            <w:r>
              <w:rPr>
                <w:sz w:val="20"/>
                <w:szCs w:val="20"/>
                <w:u w:val="double"/>
              </w:rPr>
              <w:t>18,233</w:t>
            </w:r>
            <w:r w:rsidRPr="00F33CDE">
              <w:rPr>
                <w:sz w:val="20"/>
                <w:szCs w:val="20"/>
                <w:u w:val="double"/>
              </w:rPr>
              <w:t xml:space="preserve">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w:t>
            </w:r>
            <w:r>
              <w:rPr>
                <w:sz w:val="20"/>
                <w:szCs w:val="20"/>
                <w:u w:val="double"/>
              </w:rPr>
              <w:t>3,555</w:t>
            </w:r>
            <w:r w:rsidRPr="00F33CDE">
              <w:rPr>
                <w:sz w:val="20"/>
                <w:szCs w:val="20"/>
                <w:u w:val="double"/>
              </w:rPr>
              <w:t xml:space="preserve">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$13,720</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b/>
                <w:bCs/>
                <w:sz w:val="20"/>
                <w:szCs w:val="20"/>
                <w:u w:val="single"/>
              </w:rPr>
            </w:pPr>
            <w:r w:rsidRPr="00F33CDE">
              <w:rPr>
                <w:b/>
                <w:bCs/>
                <w:sz w:val="20"/>
                <w:szCs w:val="20"/>
                <w:u w:val="single"/>
              </w:rPr>
              <w:t>NON-USED AND USEFUL</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1.</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To reflect the appropriate Non-U&amp;U UPIS.</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($1,947)</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$0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xml:space="preserve">$0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2.</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To reflect the appropriate Non-U&amp;U Accumulated Depreciation.</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sidRPr="00F33CDE">
              <w:rPr>
                <w:sz w:val="20"/>
                <w:szCs w:val="20"/>
                <w:u w:val="single"/>
              </w:rPr>
              <w:t xml:space="preserve">189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single"/>
              </w:rPr>
            </w:pPr>
            <w:r w:rsidRPr="00F33CDE">
              <w:rPr>
                <w:sz w:val="20"/>
                <w:szCs w:val="20"/>
                <w:u w:val="single"/>
              </w:rPr>
              <w:t xml:space="preserve">0 </w:t>
            </w:r>
          </w:p>
        </w:tc>
        <w:tc>
          <w:tcPr>
            <w:tcW w:w="1529" w:type="dxa"/>
            <w:tcBorders>
              <w:top w:val="nil"/>
              <w:left w:val="nil"/>
              <w:bottom w:val="nil"/>
              <w:right w:val="single" w:sz="8" w:space="0" w:color="auto"/>
            </w:tcBorders>
            <w:shd w:val="clear" w:color="000000" w:fill="FFFFFF"/>
            <w:noWrap/>
            <w:vAlign w:val="bottom"/>
            <w:hideMark/>
          </w:tcPr>
          <w:p w:rsidR="00F633BD" w:rsidRPr="00D960FE" w:rsidRDefault="00F633BD" w:rsidP="00F633BD">
            <w:pPr>
              <w:jc w:val="right"/>
              <w:rPr>
                <w:sz w:val="20"/>
                <w:szCs w:val="20"/>
                <w:u w:val="single"/>
              </w:rPr>
            </w:pPr>
            <w:r w:rsidRPr="00D960FE">
              <w:rPr>
                <w:sz w:val="20"/>
                <w:szCs w:val="20"/>
                <w:u w:val="single"/>
              </w:rPr>
              <w:t xml:space="preserve">0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xml:space="preserve">     Total</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($1,757)</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 xml:space="preserve">$0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$0</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b/>
                <w:bCs/>
                <w:sz w:val="20"/>
                <w:szCs w:val="20"/>
                <w:u w:val="single"/>
              </w:rPr>
            </w:pPr>
            <w:r w:rsidRPr="00F33CDE">
              <w:rPr>
                <w:b/>
                <w:bCs/>
                <w:sz w:val="20"/>
                <w:szCs w:val="20"/>
                <w:u w:val="single"/>
              </w:rPr>
              <w:t>WORKING CAPITAL ALLOWANCE</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rPr>
            </w:pPr>
            <w:r w:rsidRPr="00F33CDE">
              <w:rPr>
                <w:sz w:val="20"/>
                <w:szCs w:val="20"/>
              </w:rPr>
              <w:t> </w:t>
            </w:r>
          </w:p>
        </w:tc>
      </w:tr>
      <w:tr w:rsidR="00F633BD" w:rsidRPr="00F33CDE" w:rsidTr="00F633BD">
        <w:trPr>
          <w:trHeight w:val="300"/>
          <w:jc w:val="center"/>
        </w:trPr>
        <w:tc>
          <w:tcPr>
            <w:tcW w:w="368" w:type="dxa"/>
            <w:tcBorders>
              <w:top w:val="nil"/>
              <w:left w:val="single" w:sz="8" w:space="0" w:color="auto"/>
              <w:bottom w:val="nil"/>
              <w:right w:val="nil"/>
            </w:tcBorders>
            <w:shd w:val="clear" w:color="000000" w:fill="FFFFFF"/>
            <w:noWrap/>
            <w:vAlign w:val="bottom"/>
            <w:hideMark/>
          </w:tcPr>
          <w:p w:rsidR="00F633BD" w:rsidRPr="00F33CDE" w:rsidRDefault="00F633BD" w:rsidP="00F633BD">
            <w:pPr>
              <w:jc w:val="right"/>
              <w:rPr>
                <w:color w:val="000000"/>
                <w:sz w:val="20"/>
                <w:szCs w:val="20"/>
              </w:rPr>
            </w:pPr>
            <w:r w:rsidRPr="00F33CDE">
              <w:rPr>
                <w:color w:val="000000"/>
                <w:sz w:val="20"/>
                <w:szCs w:val="20"/>
              </w:rPr>
              <w:t> </w:t>
            </w:r>
          </w:p>
        </w:tc>
        <w:tc>
          <w:tcPr>
            <w:tcW w:w="5702" w:type="dxa"/>
            <w:tcBorders>
              <w:top w:val="nil"/>
              <w:left w:val="nil"/>
              <w:bottom w:val="nil"/>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To reflect 1/8 of test year O &amp; M expenses.</w:t>
            </w:r>
          </w:p>
        </w:tc>
        <w:tc>
          <w:tcPr>
            <w:tcW w:w="1092"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$122</w:t>
            </w:r>
          </w:p>
        </w:tc>
        <w:tc>
          <w:tcPr>
            <w:tcW w:w="1207" w:type="dxa"/>
            <w:tcBorders>
              <w:top w:val="nil"/>
              <w:left w:val="nil"/>
              <w:bottom w:val="nil"/>
              <w:right w:val="nil"/>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$123</w:t>
            </w:r>
          </w:p>
        </w:tc>
        <w:tc>
          <w:tcPr>
            <w:tcW w:w="1529" w:type="dxa"/>
            <w:tcBorders>
              <w:top w:val="nil"/>
              <w:left w:val="nil"/>
              <w:bottom w:val="nil"/>
              <w:right w:val="single" w:sz="8" w:space="0" w:color="auto"/>
            </w:tcBorders>
            <w:shd w:val="clear" w:color="000000" w:fill="FFFFFF"/>
            <w:noWrap/>
            <w:vAlign w:val="bottom"/>
            <w:hideMark/>
          </w:tcPr>
          <w:p w:rsidR="00F633BD" w:rsidRPr="00F33CDE" w:rsidRDefault="00F633BD" w:rsidP="00F633BD">
            <w:pPr>
              <w:jc w:val="right"/>
              <w:rPr>
                <w:sz w:val="20"/>
                <w:szCs w:val="20"/>
                <w:u w:val="double"/>
              </w:rPr>
            </w:pPr>
            <w:r w:rsidRPr="00F33CDE">
              <w:rPr>
                <w:sz w:val="20"/>
                <w:szCs w:val="20"/>
                <w:u w:val="double"/>
              </w:rPr>
              <w:t>$122</w:t>
            </w:r>
          </w:p>
        </w:tc>
      </w:tr>
      <w:tr w:rsidR="00F633BD" w:rsidRPr="00F33CDE" w:rsidTr="00F633BD">
        <w:trPr>
          <w:trHeight w:val="315"/>
          <w:jc w:val="center"/>
        </w:trPr>
        <w:tc>
          <w:tcPr>
            <w:tcW w:w="368" w:type="dxa"/>
            <w:tcBorders>
              <w:top w:val="nil"/>
              <w:left w:val="single" w:sz="8" w:space="0" w:color="auto"/>
              <w:bottom w:val="single" w:sz="8" w:space="0" w:color="auto"/>
              <w:right w:val="nil"/>
            </w:tcBorders>
            <w:shd w:val="clear" w:color="000000" w:fill="FFFFFF"/>
            <w:noWrap/>
            <w:vAlign w:val="bottom"/>
            <w:hideMark/>
          </w:tcPr>
          <w:p w:rsidR="00F633BD" w:rsidRPr="00F33CDE" w:rsidRDefault="00F633BD" w:rsidP="00F633BD">
            <w:pPr>
              <w:jc w:val="right"/>
              <w:rPr>
                <w:color w:val="000000"/>
                <w:sz w:val="20"/>
                <w:szCs w:val="20"/>
              </w:rPr>
            </w:pPr>
            <w:r w:rsidRPr="00F33CDE">
              <w:rPr>
                <w:color w:val="000000"/>
                <w:sz w:val="20"/>
                <w:szCs w:val="20"/>
              </w:rPr>
              <w:t> </w:t>
            </w:r>
          </w:p>
        </w:tc>
        <w:tc>
          <w:tcPr>
            <w:tcW w:w="5702" w:type="dxa"/>
            <w:tcBorders>
              <w:top w:val="nil"/>
              <w:left w:val="nil"/>
              <w:bottom w:val="single" w:sz="8" w:space="0" w:color="auto"/>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092" w:type="dxa"/>
            <w:tcBorders>
              <w:top w:val="nil"/>
              <w:left w:val="nil"/>
              <w:bottom w:val="single" w:sz="8" w:space="0" w:color="auto"/>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207" w:type="dxa"/>
            <w:tcBorders>
              <w:top w:val="nil"/>
              <w:left w:val="nil"/>
              <w:bottom w:val="single" w:sz="8" w:space="0" w:color="auto"/>
              <w:right w:val="nil"/>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c>
          <w:tcPr>
            <w:tcW w:w="1529" w:type="dxa"/>
            <w:tcBorders>
              <w:top w:val="nil"/>
              <w:left w:val="nil"/>
              <w:bottom w:val="single" w:sz="8" w:space="0" w:color="auto"/>
              <w:right w:val="single" w:sz="8" w:space="0" w:color="auto"/>
            </w:tcBorders>
            <w:shd w:val="clear" w:color="000000" w:fill="FFFFFF"/>
            <w:noWrap/>
            <w:vAlign w:val="bottom"/>
            <w:hideMark/>
          </w:tcPr>
          <w:p w:rsidR="00F633BD" w:rsidRPr="00F33CDE" w:rsidRDefault="00F633BD" w:rsidP="00F633BD">
            <w:pPr>
              <w:rPr>
                <w:sz w:val="20"/>
                <w:szCs w:val="20"/>
              </w:rPr>
            </w:pPr>
            <w:r w:rsidRPr="00F33CDE">
              <w:rPr>
                <w:sz w:val="20"/>
                <w:szCs w:val="20"/>
              </w:rPr>
              <w:t> </w:t>
            </w:r>
          </w:p>
        </w:tc>
      </w:tr>
    </w:tbl>
    <w:p w:rsidR="00662CDA" w:rsidRPr="006252C6" w:rsidRDefault="00662CDA"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headerReference w:type="first" r:id="rId12"/>
          <w:pgSz w:w="12240" w:h="15840" w:code="1"/>
          <w:pgMar w:top="1440" w:right="1440" w:bottom="1440" w:left="1440" w:header="720" w:footer="720" w:gutter="0"/>
          <w:cols w:space="720"/>
          <w:titlePg/>
          <w:docGrid w:linePitch="360"/>
        </w:sectPr>
      </w:pPr>
    </w:p>
    <w:p w:rsidR="00662CDA" w:rsidRPr="006252C6" w:rsidRDefault="00662CDA" w:rsidP="008D1D45">
      <w:pPr>
        <w:pStyle w:val="OrderBody"/>
      </w:pPr>
    </w:p>
    <w:p w:rsidR="00662CDA" w:rsidRPr="006252C6" w:rsidRDefault="00662CDA" w:rsidP="008D1D45">
      <w:pPr>
        <w:pStyle w:val="OrderBody"/>
      </w:pPr>
    </w:p>
    <w:tbl>
      <w:tblPr>
        <w:tblW w:w="13966" w:type="dxa"/>
        <w:jc w:val="center"/>
        <w:tblLook w:val="04A0" w:firstRow="1" w:lastRow="0" w:firstColumn="1" w:lastColumn="0" w:noHBand="0" w:noVBand="1"/>
      </w:tblPr>
      <w:tblGrid>
        <w:gridCol w:w="479"/>
        <w:gridCol w:w="3005"/>
        <w:gridCol w:w="1261"/>
        <w:gridCol w:w="1083"/>
        <w:gridCol w:w="1405"/>
        <w:gridCol w:w="1834"/>
        <w:gridCol w:w="1539"/>
        <w:gridCol w:w="1172"/>
        <w:gridCol w:w="878"/>
        <w:gridCol w:w="1310"/>
      </w:tblGrid>
      <w:tr w:rsidR="0079063F" w:rsidTr="00F633BD">
        <w:trPr>
          <w:trHeight w:val="300"/>
          <w:jc w:val="center"/>
        </w:trPr>
        <w:tc>
          <w:tcPr>
            <w:tcW w:w="7233" w:type="dxa"/>
            <w:gridSpan w:val="5"/>
            <w:tcBorders>
              <w:top w:val="single" w:sz="8" w:space="0" w:color="auto"/>
              <w:left w:val="single" w:sz="8" w:space="0" w:color="auto"/>
              <w:bottom w:val="nil"/>
              <w:right w:val="nil"/>
            </w:tcBorders>
            <w:shd w:val="clear" w:color="000000" w:fill="FFFFFF"/>
            <w:noWrap/>
            <w:vAlign w:val="bottom"/>
            <w:hideMark/>
          </w:tcPr>
          <w:p w:rsidR="0079063F" w:rsidRPr="00250BBE" w:rsidRDefault="0079063F" w:rsidP="00F633BD">
            <w:pPr>
              <w:rPr>
                <w:b/>
                <w:bCs/>
                <w:color w:val="000000"/>
                <w:sz w:val="20"/>
                <w:szCs w:val="20"/>
              </w:rPr>
            </w:pPr>
            <w:bookmarkStart w:id="12" w:name="RANGE!A1:J29"/>
            <w:r w:rsidRPr="00250BBE">
              <w:rPr>
                <w:b/>
                <w:bCs/>
                <w:color w:val="000000"/>
                <w:sz w:val="20"/>
                <w:szCs w:val="20"/>
              </w:rPr>
              <w:t>AQUARINA UTILITIES, INC.</w:t>
            </w:r>
            <w:bookmarkEnd w:id="12"/>
          </w:p>
        </w:tc>
        <w:tc>
          <w:tcPr>
            <w:tcW w:w="1834" w:type="dxa"/>
            <w:tcBorders>
              <w:top w:val="single" w:sz="8" w:space="0" w:color="auto"/>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4899" w:type="dxa"/>
            <w:gridSpan w:val="4"/>
            <w:tcBorders>
              <w:top w:val="single" w:sz="8" w:space="0" w:color="auto"/>
              <w:left w:val="nil"/>
              <w:bottom w:val="nil"/>
              <w:right w:val="single" w:sz="8" w:space="0" w:color="000000"/>
            </w:tcBorders>
            <w:shd w:val="clear" w:color="000000" w:fill="FFFFFF"/>
            <w:noWrap/>
            <w:vAlign w:val="bottom"/>
            <w:hideMark/>
          </w:tcPr>
          <w:p w:rsidR="0079063F" w:rsidRPr="00250BBE" w:rsidRDefault="0079063F" w:rsidP="00F633BD">
            <w:pPr>
              <w:jc w:val="right"/>
              <w:rPr>
                <w:b/>
                <w:bCs/>
                <w:color w:val="000000"/>
                <w:sz w:val="20"/>
                <w:szCs w:val="20"/>
              </w:rPr>
            </w:pPr>
            <w:r w:rsidRPr="00250BBE">
              <w:rPr>
                <w:b/>
                <w:bCs/>
                <w:color w:val="000000"/>
                <w:sz w:val="20"/>
                <w:szCs w:val="20"/>
              </w:rPr>
              <w:t>SCHEDULE NO. 2</w:t>
            </w:r>
          </w:p>
        </w:tc>
      </w:tr>
      <w:tr w:rsidR="0079063F" w:rsidTr="00F633BD">
        <w:trPr>
          <w:trHeight w:val="300"/>
          <w:jc w:val="center"/>
        </w:trPr>
        <w:tc>
          <w:tcPr>
            <w:tcW w:w="5828" w:type="dxa"/>
            <w:gridSpan w:val="4"/>
            <w:tcBorders>
              <w:top w:val="nil"/>
              <w:left w:val="single" w:sz="8" w:space="0" w:color="auto"/>
              <w:bottom w:val="nil"/>
              <w:right w:val="nil"/>
            </w:tcBorders>
            <w:shd w:val="clear" w:color="000000" w:fill="FFFFFF"/>
            <w:noWrap/>
            <w:vAlign w:val="bottom"/>
            <w:hideMark/>
          </w:tcPr>
          <w:p w:rsidR="0079063F" w:rsidRPr="00250BBE" w:rsidRDefault="0079063F" w:rsidP="00F633BD">
            <w:pPr>
              <w:rPr>
                <w:b/>
                <w:bCs/>
                <w:color w:val="000000"/>
                <w:sz w:val="20"/>
                <w:szCs w:val="20"/>
              </w:rPr>
            </w:pPr>
            <w:r w:rsidRPr="00250BBE">
              <w:rPr>
                <w:b/>
                <w:bCs/>
                <w:color w:val="000000"/>
                <w:sz w:val="20"/>
                <w:szCs w:val="20"/>
              </w:rPr>
              <w:t>SCHEDULE OF CAPITAL STRUCTURE</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4899" w:type="dxa"/>
            <w:gridSpan w:val="4"/>
            <w:tcBorders>
              <w:top w:val="nil"/>
              <w:left w:val="nil"/>
              <w:bottom w:val="nil"/>
              <w:right w:val="single" w:sz="8" w:space="0" w:color="000000"/>
            </w:tcBorders>
            <w:shd w:val="clear" w:color="000000" w:fill="FFFFFF"/>
            <w:noWrap/>
            <w:vAlign w:val="center"/>
            <w:hideMark/>
          </w:tcPr>
          <w:p w:rsidR="0079063F" w:rsidRPr="00250BBE" w:rsidRDefault="0079063F" w:rsidP="00F633BD">
            <w:pPr>
              <w:jc w:val="right"/>
              <w:rPr>
                <w:b/>
                <w:bCs/>
                <w:color w:val="000000"/>
                <w:sz w:val="20"/>
                <w:szCs w:val="20"/>
              </w:rPr>
            </w:pPr>
            <w:r w:rsidRPr="00250BBE">
              <w:rPr>
                <w:b/>
                <w:bCs/>
                <w:color w:val="000000"/>
                <w:sz w:val="20"/>
                <w:szCs w:val="20"/>
              </w:rPr>
              <w:t>DOCKET NO. 20190080-WS</w:t>
            </w:r>
          </w:p>
        </w:tc>
      </w:tr>
      <w:tr w:rsidR="0079063F" w:rsidTr="00F633BD">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c>
          <w:tcPr>
            <w:tcW w:w="3005"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rPr>
            </w:pPr>
            <w:r>
              <w:rPr>
                <w:rFonts w:ascii="SWISS" w:hAnsi="SWISS" w:cs="Arial"/>
              </w:rPr>
              <w:t> </w:t>
            </w:r>
          </w:p>
        </w:tc>
        <w:tc>
          <w:tcPr>
            <w:tcW w:w="1261"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rPr>
            </w:pPr>
            <w:r>
              <w:rPr>
                <w:rFonts w:ascii="SWISS" w:hAnsi="SWISS" w:cs="Arial"/>
              </w:rPr>
              <w:t> </w:t>
            </w:r>
          </w:p>
        </w:tc>
        <w:tc>
          <w:tcPr>
            <w:tcW w:w="1083"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rPr>
            </w:pPr>
            <w:r>
              <w:rPr>
                <w:rFonts w:ascii="SWISS" w:hAnsi="SWISS" w:cs="Arial"/>
              </w:rPr>
              <w:t> </w:t>
            </w:r>
          </w:p>
        </w:tc>
        <w:tc>
          <w:tcPr>
            <w:tcW w:w="1405"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c>
          <w:tcPr>
            <w:tcW w:w="1834"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c>
          <w:tcPr>
            <w:tcW w:w="1539"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c>
          <w:tcPr>
            <w:tcW w:w="1172"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c>
          <w:tcPr>
            <w:tcW w:w="878" w:type="dxa"/>
            <w:tcBorders>
              <w:top w:val="nil"/>
              <w:left w:val="nil"/>
              <w:bottom w:val="single" w:sz="8" w:space="0" w:color="auto"/>
              <w:right w:val="nil"/>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c>
          <w:tcPr>
            <w:tcW w:w="1310" w:type="dxa"/>
            <w:tcBorders>
              <w:top w:val="nil"/>
              <w:left w:val="nil"/>
              <w:bottom w:val="single" w:sz="8" w:space="0" w:color="auto"/>
              <w:right w:val="single" w:sz="8" w:space="0" w:color="auto"/>
            </w:tcBorders>
            <w:shd w:val="clear" w:color="000000" w:fill="FFFFFF"/>
            <w:noWrap/>
            <w:vAlign w:val="bottom"/>
            <w:hideMark/>
          </w:tcPr>
          <w:p w:rsidR="0079063F" w:rsidRDefault="0079063F" w:rsidP="00F633BD">
            <w:pPr>
              <w:rPr>
                <w:rFonts w:ascii="SWISS" w:hAnsi="SWISS" w:cs="Arial"/>
                <w:color w:val="000000"/>
                <w:sz w:val="20"/>
                <w:szCs w:val="20"/>
              </w:rPr>
            </w:pPr>
            <w:r>
              <w:rPr>
                <w:rFonts w:ascii="SWISS" w:hAnsi="SWISS" w:cs="Arial"/>
                <w:color w:val="000000"/>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cente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TEST YEAR</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ADJUSTMENTS</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RECONCILED</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BALANCE</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TO</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CAPITAL</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PERCENT</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b/>
                <w:bCs/>
                <w:color w:val="000000"/>
                <w:sz w:val="20"/>
                <w:szCs w:val="20"/>
              </w:rPr>
            </w:pPr>
            <w:r w:rsidRPr="00250BBE">
              <w:rPr>
                <w:rFonts w:ascii="Arial" w:hAnsi="Arial" w:cs="Arial"/>
                <w:b/>
                <w:bCs/>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rFonts w:ascii="Arial" w:hAnsi="Arial" w:cs="Arial"/>
                <w:b/>
                <w:bCs/>
                <w:color w:val="000000"/>
                <w:sz w:val="20"/>
                <w:szCs w:val="20"/>
              </w:rPr>
            </w:pPr>
            <w:r w:rsidRPr="00250BBE">
              <w:rPr>
                <w:rFonts w:ascii="Arial" w:hAnsi="Arial" w:cs="Arial"/>
                <w:b/>
                <w:bCs/>
                <w:color w:val="000000"/>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PER</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ADJUST-</w:t>
            </w:r>
          </w:p>
        </w:tc>
        <w:tc>
          <w:tcPr>
            <w:tcW w:w="1405" w:type="dxa"/>
            <w:tcBorders>
              <w:top w:val="nil"/>
              <w:left w:val="nil"/>
              <w:bottom w:val="nil"/>
              <w:right w:val="nil"/>
            </w:tcBorders>
            <w:shd w:val="clear" w:color="000000" w:fill="FFFFFF"/>
            <w:noWrap/>
            <w:vAlign w:val="bottom"/>
            <w:hideMark/>
          </w:tcPr>
          <w:p w:rsidR="0079063F" w:rsidRPr="00250BBE" w:rsidRDefault="0079063F" w:rsidP="0079063F">
            <w:pPr>
              <w:jc w:val="center"/>
              <w:rPr>
                <w:rFonts w:ascii="Arial" w:hAnsi="Arial" w:cs="Arial"/>
                <w:b/>
                <w:bCs/>
                <w:color w:val="000000"/>
                <w:sz w:val="20"/>
                <w:szCs w:val="20"/>
              </w:rPr>
            </w:pP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RECONCILE</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STRUCTURE</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OF</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WEIGHTED</w:t>
            </w:r>
          </w:p>
        </w:tc>
      </w:tr>
      <w:tr w:rsidR="0079063F" w:rsidTr="00F633BD">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79063F" w:rsidRPr="00250BBE" w:rsidRDefault="0079063F" w:rsidP="00F633BD">
            <w:pPr>
              <w:rPr>
                <w:rFonts w:ascii="Arial" w:hAnsi="Arial" w:cs="Arial"/>
                <w:color w:val="000000"/>
                <w:sz w:val="20"/>
                <w:szCs w:val="20"/>
              </w:rPr>
            </w:pPr>
            <w:r w:rsidRPr="00250BBE">
              <w:rPr>
                <w:rFonts w:ascii="Arial" w:hAnsi="Arial" w:cs="Arial"/>
                <w:color w:val="000000"/>
                <w:sz w:val="20"/>
                <w:szCs w:val="20"/>
              </w:rPr>
              <w:t> </w:t>
            </w:r>
          </w:p>
        </w:tc>
        <w:tc>
          <w:tcPr>
            <w:tcW w:w="3005"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rFonts w:ascii="Arial" w:hAnsi="Arial" w:cs="Arial"/>
                <w:b/>
                <w:bCs/>
                <w:color w:val="000000"/>
                <w:sz w:val="20"/>
                <w:szCs w:val="20"/>
              </w:rPr>
            </w:pPr>
            <w:r w:rsidRPr="00250BBE">
              <w:rPr>
                <w:rFonts w:ascii="Arial" w:hAnsi="Arial" w:cs="Arial"/>
                <w:b/>
                <w:bCs/>
                <w:color w:val="000000"/>
                <w:sz w:val="20"/>
                <w:szCs w:val="20"/>
              </w:rPr>
              <w:t>CAPITAL COMPONENT</w:t>
            </w:r>
          </w:p>
        </w:tc>
        <w:tc>
          <w:tcPr>
            <w:tcW w:w="1261"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UTILITY</w:t>
            </w:r>
          </w:p>
        </w:tc>
        <w:tc>
          <w:tcPr>
            <w:tcW w:w="1083"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MENTS</w:t>
            </w:r>
          </w:p>
        </w:tc>
        <w:tc>
          <w:tcPr>
            <w:tcW w:w="1405"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p>
        </w:tc>
        <w:tc>
          <w:tcPr>
            <w:tcW w:w="1834"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TO RATE BASE</w:t>
            </w:r>
          </w:p>
        </w:tc>
        <w:tc>
          <w:tcPr>
            <w:tcW w:w="1539"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p>
        </w:tc>
        <w:tc>
          <w:tcPr>
            <w:tcW w:w="1172"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TOTAL</w:t>
            </w:r>
          </w:p>
        </w:tc>
        <w:tc>
          <w:tcPr>
            <w:tcW w:w="878" w:type="dxa"/>
            <w:tcBorders>
              <w:top w:val="nil"/>
              <w:left w:val="nil"/>
              <w:bottom w:val="single" w:sz="8" w:space="0" w:color="auto"/>
              <w:right w:val="nil"/>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COST</w:t>
            </w:r>
          </w:p>
        </w:tc>
        <w:tc>
          <w:tcPr>
            <w:tcW w:w="1310" w:type="dxa"/>
            <w:tcBorders>
              <w:top w:val="nil"/>
              <w:left w:val="nil"/>
              <w:bottom w:val="single" w:sz="8" w:space="0" w:color="auto"/>
              <w:right w:val="single" w:sz="8" w:space="0" w:color="auto"/>
            </w:tcBorders>
            <w:shd w:val="clear" w:color="000000" w:fill="FFFFFF"/>
            <w:noWrap/>
            <w:vAlign w:val="bottom"/>
            <w:hideMark/>
          </w:tcPr>
          <w:p w:rsidR="0079063F" w:rsidRPr="00250BBE" w:rsidRDefault="0079063F" w:rsidP="00F633BD">
            <w:pPr>
              <w:jc w:val="center"/>
              <w:rPr>
                <w:rFonts w:ascii="Arial" w:hAnsi="Arial" w:cs="Arial"/>
                <w:b/>
                <w:bCs/>
                <w:color w:val="000000"/>
                <w:sz w:val="20"/>
                <w:szCs w:val="20"/>
              </w:rPr>
            </w:pPr>
            <w:r w:rsidRPr="00250BBE">
              <w:rPr>
                <w:rFonts w:ascii="Arial" w:hAnsi="Arial" w:cs="Arial"/>
                <w:b/>
                <w:bCs/>
                <w:color w:val="000000"/>
                <w:sz w:val="20"/>
                <w:szCs w:val="20"/>
              </w:rPr>
              <w:t>COST</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b/>
                <w:bCs/>
                <w:color w:val="000000"/>
                <w:sz w:val="20"/>
                <w:szCs w:val="20"/>
              </w:rPr>
            </w:pPr>
            <w:r w:rsidRPr="00250BBE">
              <w:rPr>
                <w:b/>
                <w:bCs/>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center"/>
              <w:rPr>
                <w:b/>
                <w:bCs/>
                <w:color w:val="000000"/>
                <w:sz w:val="20"/>
                <w:szCs w:val="20"/>
              </w:rPr>
            </w:pPr>
            <w:r w:rsidRPr="00250BBE">
              <w:rPr>
                <w:b/>
                <w:bCs/>
                <w:color w:val="000000"/>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1.</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COMMON STOCK</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2.</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CAPITAL STOCK</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3.</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RETAINED EARNINGS</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4.</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OTHER PAID IN CAPITAL</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5.</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OTHER COMMON EQUITY</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(505,064)</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505,064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10.55%</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3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xml:space="preserve">   TOTAL COMMON EQUITY</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($505,064)</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$505,064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10.55%</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6.</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LONG-TERM DEBT</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$446,751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$446,751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w:t>
            </w:r>
            <w:r>
              <w:rPr>
                <w:sz w:val="20"/>
                <w:szCs w:val="20"/>
              </w:rPr>
              <w:t>43,381</w:t>
            </w:r>
          </w:p>
        </w:tc>
        <w:tc>
          <w:tcPr>
            <w:tcW w:w="1539" w:type="dxa"/>
            <w:tcBorders>
              <w:top w:val="nil"/>
              <w:left w:val="nil"/>
              <w:bottom w:val="nil"/>
              <w:right w:val="nil"/>
            </w:tcBorders>
            <w:shd w:val="clear" w:color="000000" w:fill="FFFFFF"/>
            <w:noWrap/>
            <w:vAlign w:val="bottom"/>
            <w:hideMark/>
          </w:tcPr>
          <w:p w:rsidR="0079063F" w:rsidRPr="006B5CD6" w:rsidRDefault="0079063F" w:rsidP="00F633BD">
            <w:pPr>
              <w:jc w:val="right"/>
              <w:rPr>
                <w:sz w:val="20"/>
                <w:szCs w:val="20"/>
              </w:rPr>
            </w:pPr>
            <w:r w:rsidRPr="006B5CD6">
              <w:rPr>
                <w:sz w:val="20"/>
                <w:szCs w:val="20"/>
              </w:rPr>
              <w:t xml:space="preserve">$490,132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99.9</w:t>
            </w:r>
            <w:r>
              <w:rPr>
                <w:sz w:val="20"/>
                <w:szCs w:val="20"/>
              </w:rPr>
              <w:t>7</w:t>
            </w:r>
            <w:r w:rsidRPr="00250BBE">
              <w:rPr>
                <w:sz w:val="20"/>
                <w:szCs w:val="20"/>
              </w:rPr>
              <w:t>%</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3.66%</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3.66%</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7.</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SHORT-TERM DEBT</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834" w:type="dxa"/>
            <w:tcBorders>
              <w:top w:val="nil"/>
              <w:left w:val="nil"/>
              <w:bottom w:val="nil"/>
              <w:right w:val="nil"/>
            </w:tcBorders>
            <w:shd w:val="clear" w:color="000000" w:fill="FFFFFF"/>
            <w:noWrap/>
            <w:vAlign w:val="bottom"/>
            <w:hideMark/>
          </w:tcPr>
          <w:p w:rsidR="0079063F" w:rsidRPr="00921578" w:rsidRDefault="0079063F" w:rsidP="00F633BD">
            <w:pPr>
              <w:jc w:val="right"/>
              <w:rPr>
                <w:sz w:val="20"/>
                <w:szCs w:val="20"/>
              </w:rPr>
            </w:pPr>
            <w:r w:rsidRPr="00921578">
              <w:rPr>
                <w:sz w:val="20"/>
                <w:szCs w:val="20"/>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8.</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PREFERRED STOCK</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539" w:type="dxa"/>
            <w:tcBorders>
              <w:top w:val="nil"/>
              <w:left w:val="nil"/>
              <w:bottom w:val="nil"/>
              <w:right w:val="nil"/>
            </w:tcBorders>
            <w:shd w:val="clear" w:color="000000" w:fill="FFFFFF"/>
            <w:noWrap/>
            <w:vAlign w:val="bottom"/>
            <w:hideMark/>
          </w:tcPr>
          <w:p w:rsidR="0079063F" w:rsidRPr="006B5CD6" w:rsidRDefault="0079063F" w:rsidP="00F633BD">
            <w:pPr>
              <w:jc w:val="right"/>
              <w:rPr>
                <w:sz w:val="20"/>
                <w:szCs w:val="20"/>
                <w:u w:val="single"/>
              </w:rPr>
            </w:pPr>
            <w:r w:rsidRPr="006B5CD6">
              <w:rPr>
                <w:sz w:val="20"/>
                <w:szCs w:val="20"/>
                <w:u w:val="single"/>
              </w:rPr>
              <w:t xml:space="preserve">0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0.00%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xml:space="preserve">   TOTAL DEBT</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$446,751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 xml:space="preserve">$446,751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w:t>
            </w:r>
            <w:r>
              <w:rPr>
                <w:sz w:val="20"/>
                <w:szCs w:val="20"/>
              </w:rPr>
              <w:t>43,381</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w:t>
            </w:r>
            <w:r>
              <w:rPr>
                <w:sz w:val="20"/>
                <w:szCs w:val="20"/>
              </w:rPr>
              <w:t>490,132</w:t>
            </w:r>
            <w:r w:rsidRPr="00250BBE">
              <w:rPr>
                <w:sz w:val="20"/>
                <w:szCs w:val="20"/>
              </w:rPr>
              <w:t xml:space="preserve">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99.9</w:t>
            </w:r>
            <w:r>
              <w:rPr>
                <w:sz w:val="20"/>
                <w:szCs w:val="20"/>
              </w:rPr>
              <w:t>7</w:t>
            </w:r>
            <w:r w:rsidRPr="00250BBE">
              <w:rPr>
                <w:sz w:val="20"/>
                <w:szCs w:val="20"/>
              </w:rPr>
              <w:t>%</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3.66%</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3.66%</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45"/>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9.</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CUSTOMER DEPOSITS</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161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161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0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 xml:space="preserve">161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0.</w:t>
            </w:r>
            <w:r>
              <w:rPr>
                <w:sz w:val="20"/>
                <w:szCs w:val="20"/>
                <w:u w:val="single"/>
              </w:rPr>
              <w:t>03</w:t>
            </w:r>
            <w:r w:rsidRPr="00250BBE">
              <w:rPr>
                <w:sz w:val="20"/>
                <w:szCs w:val="20"/>
                <w:u w:val="single"/>
              </w:rPr>
              <w:t>%</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rPr>
            </w:pPr>
            <w:r w:rsidRPr="00250BBE">
              <w:rPr>
                <w:sz w:val="20"/>
                <w:szCs w:val="20"/>
              </w:rPr>
              <w:t>2.00%</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u w:val="single"/>
              </w:rPr>
            </w:pPr>
            <w:r w:rsidRPr="00250BBE">
              <w:rPr>
                <w:sz w:val="20"/>
                <w:szCs w:val="20"/>
                <w:u w:val="single"/>
              </w:rPr>
              <w:t>0.00%</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45"/>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10.</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TOTAL</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($58,152)</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 xml:space="preserve">$505,064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 xml:space="preserve">$446,912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w:t>
            </w:r>
            <w:r>
              <w:rPr>
                <w:sz w:val="20"/>
                <w:szCs w:val="20"/>
                <w:u w:val="double"/>
              </w:rPr>
              <w:t>43,381</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w:t>
            </w:r>
            <w:r>
              <w:rPr>
                <w:sz w:val="20"/>
                <w:szCs w:val="20"/>
                <w:u w:val="double"/>
              </w:rPr>
              <w:t>490,293</w:t>
            </w:r>
            <w:r w:rsidRPr="00250BBE">
              <w:rPr>
                <w:sz w:val="20"/>
                <w:szCs w:val="20"/>
                <w:u w:val="double"/>
              </w:rPr>
              <w:t xml:space="preserve">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100.00%</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u w:val="single"/>
              </w:rPr>
            </w:pP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3.66%</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jc w:val="right"/>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405"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834"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rPr>
                <w:color w:val="000000"/>
              </w:rPr>
            </w:pPr>
            <w:r w:rsidRPr="00250BBE">
              <w:rPr>
                <w:color w:val="00000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r w:rsidRPr="00250BBE">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r w:rsidRPr="00250BBE">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r w:rsidRPr="00250BBE">
              <w:t> </w:t>
            </w:r>
          </w:p>
        </w:tc>
        <w:tc>
          <w:tcPr>
            <w:tcW w:w="3239" w:type="dxa"/>
            <w:gridSpan w:val="2"/>
            <w:tcBorders>
              <w:top w:val="nil"/>
              <w:left w:val="nil"/>
              <w:bottom w:val="nil"/>
              <w:right w:val="nil"/>
            </w:tcBorders>
            <w:shd w:val="clear" w:color="000000" w:fill="FFFFFF"/>
            <w:noWrap/>
            <w:vAlign w:val="bottom"/>
            <w:hideMark/>
          </w:tcPr>
          <w:p w:rsidR="0079063F" w:rsidRPr="00250BBE" w:rsidRDefault="0079063F" w:rsidP="00F633BD">
            <w:pPr>
              <w:rPr>
                <w:b/>
                <w:bCs/>
                <w:sz w:val="20"/>
                <w:szCs w:val="20"/>
              </w:rPr>
            </w:pPr>
            <w:r w:rsidRPr="00250BBE">
              <w:rPr>
                <w:b/>
                <w:bCs/>
                <w:sz w:val="20"/>
                <w:szCs w:val="20"/>
              </w:rPr>
              <w:t>RANGE OF REASONABLENESS</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center"/>
              <w:rPr>
                <w:b/>
                <w:bCs/>
                <w:sz w:val="20"/>
                <w:szCs w:val="20"/>
                <w:u w:val="single"/>
              </w:rPr>
            </w:pPr>
            <w:r w:rsidRPr="00250BBE">
              <w:rPr>
                <w:b/>
                <w:bCs/>
                <w:sz w:val="20"/>
                <w:szCs w:val="20"/>
                <w:u w:val="single"/>
              </w:rPr>
              <w:t>LOW</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center"/>
              <w:rPr>
                <w:b/>
                <w:bCs/>
                <w:sz w:val="20"/>
                <w:szCs w:val="20"/>
                <w:u w:val="single"/>
              </w:rPr>
            </w:pPr>
            <w:r w:rsidRPr="00250BBE">
              <w:rPr>
                <w:b/>
                <w:bCs/>
                <w:sz w:val="20"/>
                <w:szCs w:val="20"/>
                <w:u w:val="single"/>
              </w:rPr>
              <w:t>HIGH</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3239" w:type="dxa"/>
            <w:gridSpan w:val="2"/>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xml:space="preserve">    RETURN ON EQUITY</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9.55%</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11.55%</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00"/>
          <w:jc w:val="center"/>
        </w:trPr>
        <w:tc>
          <w:tcPr>
            <w:tcW w:w="479" w:type="dxa"/>
            <w:tcBorders>
              <w:top w:val="nil"/>
              <w:left w:val="single" w:sz="8" w:space="0" w:color="auto"/>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3005" w:type="dxa"/>
            <w:tcBorders>
              <w:top w:val="nil"/>
              <w:left w:val="nil"/>
              <w:bottom w:val="nil"/>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083"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3239" w:type="dxa"/>
            <w:gridSpan w:val="2"/>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xml:space="preserve">    OVERALL RATE OF RETURN</w:t>
            </w:r>
          </w:p>
        </w:tc>
        <w:tc>
          <w:tcPr>
            <w:tcW w:w="1539" w:type="dxa"/>
            <w:tcBorders>
              <w:top w:val="nil"/>
              <w:left w:val="nil"/>
              <w:bottom w:val="nil"/>
              <w:right w:val="nil"/>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c>
          <w:tcPr>
            <w:tcW w:w="1172"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3.66%</w:t>
            </w:r>
          </w:p>
        </w:tc>
        <w:tc>
          <w:tcPr>
            <w:tcW w:w="878" w:type="dxa"/>
            <w:tcBorders>
              <w:top w:val="nil"/>
              <w:left w:val="nil"/>
              <w:bottom w:val="nil"/>
              <w:right w:val="nil"/>
            </w:tcBorders>
            <w:shd w:val="clear" w:color="000000" w:fill="FFFFFF"/>
            <w:noWrap/>
            <w:vAlign w:val="bottom"/>
            <w:hideMark/>
          </w:tcPr>
          <w:p w:rsidR="0079063F" w:rsidRPr="00250BBE" w:rsidRDefault="0079063F" w:rsidP="00F633BD">
            <w:pPr>
              <w:jc w:val="right"/>
              <w:rPr>
                <w:sz w:val="20"/>
                <w:szCs w:val="20"/>
                <w:u w:val="double"/>
              </w:rPr>
            </w:pPr>
            <w:r w:rsidRPr="00250BBE">
              <w:rPr>
                <w:sz w:val="20"/>
                <w:szCs w:val="20"/>
                <w:u w:val="double"/>
              </w:rPr>
              <w:t>3.66%</w:t>
            </w:r>
          </w:p>
        </w:tc>
        <w:tc>
          <w:tcPr>
            <w:tcW w:w="1310" w:type="dxa"/>
            <w:tcBorders>
              <w:top w:val="nil"/>
              <w:left w:val="nil"/>
              <w:bottom w:val="nil"/>
              <w:right w:val="single" w:sz="8" w:space="0" w:color="auto"/>
            </w:tcBorders>
            <w:shd w:val="clear" w:color="000000" w:fill="FFFFFF"/>
            <w:noWrap/>
            <w:vAlign w:val="bottom"/>
            <w:hideMark/>
          </w:tcPr>
          <w:p w:rsidR="0079063F" w:rsidRPr="00250BBE" w:rsidRDefault="0079063F" w:rsidP="00F633BD">
            <w:pPr>
              <w:rPr>
                <w:sz w:val="20"/>
                <w:szCs w:val="20"/>
              </w:rPr>
            </w:pPr>
            <w:r w:rsidRPr="00250BBE">
              <w:rPr>
                <w:sz w:val="20"/>
                <w:szCs w:val="20"/>
              </w:rPr>
              <w:t> </w:t>
            </w:r>
          </w:p>
        </w:tc>
      </w:tr>
      <w:tr w:rsidR="0079063F" w:rsidTr="00F633BD">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3005"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261"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083"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405"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834"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539"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172"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878" w:type="dxa"/>
            <w:tcBorders>
              <w:top w:val="nil"/>
              <w:left w:val="nil"/>
              <w:bottom w:val="single" w:sz="8" w:space="0" w:color="auto"/>
              <w:right w:val="nil"/>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c>
          <w:tcPr>
            <w:tcW w:w="1310" w:type="dxa"/>
            <w:tcBorders>
              <w:top w:val="nil"/>
              <w:left w:val="nil"/>
              <w:bottom w:val="single" w:sz="8" w:space="0" w:color="auto"/>
              <w:right w:val="single" w:sz="8" w:space="0" w:color="auto"/>
            </w:tcBorders>
            <w:shd w:val="clear" w:color="000000" w:fill="FFFFFF"/>
            <w:noWrap/>
            <w:vAlign w:val="bottom"/>
            <w:hideMark/>
          </w:tcPr>
          <w:p w:rsidR="0079063F" w:rsidRPr="00250BBE" w:rsidRDefault="0079063F" w:rsidP="00F633BD">
            <w:pPr>
              <w:rPr>
                <w:color w:val="000000"/>
                <w:sz w:val="20"/>
                <w:szCs w:val="20"/>
              </w:rPr>
            </w:pPr>
            <w:r w:rsidRPr="00250BBE">
              <w:rPr>
                <w:color w:val="000000"/>
                <w:sz w:val="20"/>
                <w:szCs w:val="20"/>
              </w:rPr>
              <w:t> </w:t>
            </w:r>
          </w:p>
        </w:tc>
      </w:tr>
    </w:tbl>
    <w:p w:rsidR="00662CDA" w:rsidRPr="006252C6" w:rsidRDefault="00662CDA" w:rsidP="008D1D45">
      <w:pPr>
        <w:pStyle w:val="OrderBody"/>
        <w:sectPr w:rsidR="00662CDA" w:rsidRPr="006252C6" w:rsidSect="00662CDA">
          <w:headerReference w:type="first" r:id="rId13"/>
          <w:pgSz w:w="15840" w:h="12240" w:orient="landscape" w:code="1"/>
          <w:pgMar w:top="1440" w:right="1440" w:bottom="1440" w:left="1440" w:header="720" w:footer="720" w:gutter="0"/>
          <w:cols w:space="720"/>
          <w:titlePg/>
          <w:docGrid w:linePitch="360"/>
        </w:sectPr>
      </w:pPr>
    </w:p>
    <w:p w:rsidR="00662CDA" w:rsidRPr="006252C6" w:rsidRDefault="00662CDA" w:rsidP="008D1D45">
      <w:pPr>
        <w:pStyle w:val="OrderBody"/>
      </w:pPr>
    </w:p>
    <w:tbl>
      <w:tblPr>
        <w:tblW w:w="11332" w:type="dxa"/>
        <w:jc w:val="center"/>
        <w:tblLook w:val="04A0" w:firstRow="1" w:lastRow="0" w:firstColumn="1" w:lastColumn="0" w:noHBand="0" w:noVBand="1"/>
      </w:tblPr>
      <w:tblGrid>
        <w:gridCol w:w="479"/>
        <w:gridCol w:w="3297"/>
        <w:gridCol w:w="1620"/>
        <w:gridCol w:w="1717"/>
        <w:gridCol w:w="1350"/>
        <w:gridCol w:w="1250"/>
        <w:gridCol w:w="1694"/>
      </w:tblGrid>
      <w:tr w:rsidR="00C22735" w:rsidTr="00C22735">
        <w:trPr>
          <w:trHeight w:val="300"/>
          <w:jc w:val="center"/>
        </w:trPr>
        <w:tc>
          <w:tcPr>
            <w:tcW w:w="3776" w:type="dxa"/>
            <w:gridSpan w:val="2"/>
            <w:tcBorders>
              <w:top w:val="single" w:sz="8" w:space="0" w:color="auto"/>
              <w:left w:val="single" w:sz="8" w:space="0" w:color="auto"/>
              <w:bottom w:val="nil"/>
              <w:right w:val="nil"/>
            </w:tcBorders>
            <w:shd w:val="clear" w:color="000000" w:fill="FFFFFF"/>
            <w:noWrap/>
            <w:vAlign w:val="bottom"/>
            <w:hideMark/>
          </w:tcPr>
          <w:p w:rsidR="00C22735" w:rsidRPr="007E1042" w:rsidRDefault="00C22735" w:rsidP="00C22735">
            <w:pPr>
              <w:rPr>
                <w:b/>
                <w:bCs/>
                <w:sz w:val="20"/>
                <w:szCs w:val="20"/>
              </w:rPr>
            </w:pPr>
            <w:bookmarkStart w:id="13" w:name="RANGE!A1:G28"/>
            <w:r w:rsidRPr="007E1042">
              <w:rPr>
                <w:b/>
                <w:bCs/>
                <w:sz w:val="20"/>
                <w:szCs w:val="20"/>
              </w:rPr>
              <w:t>AQUARINA UTILITIES, INC.</w:t>
            </w:r>
            <w:bookmarkEnd w:id="13"/>
          </w:p>
        </w:tc>
        <w:tc>
          <w:tcPr>
            <w:tcW w:w="1620" w:type="dxa"/>
            <w:tcBorders>
              <w:top w:val="single" w:sz="8" w:space="0" w:color="auto"/>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single" w:sz="8" w:space="0" w:color="auto"/>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single" w:sz="8" w:space="0" w:color="auto"/>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2944" w:type="dxa"/>
            <w:gridSpan w:val="2"/>
            <w:tcBorders>
              <w:top w:val="single" w:sz="8" w:space="0" w:color="auto"/>
              <w:left w:val="nil"/>
              <w:bottom w:val="nil"/>
              <w:right w:val="single" w:sz="8" w:space="0" w:color="000000"/>
            </w:tcBorders>
            <w:shd w:val="clear" w:color="000000" w:fill="FFFFFF"/>
            <w:noWrap/>
            <w:vAlign w:val="bottom"/>
            <w:hideMark/>
          </w:tcPr>
          <w:p w:rsidR="00C22735" w:rsidRPr="007E1042" w:rsidRDefault="00C22735" w:rsidP="00C22735">
            <w:pPr>
              <w:jc w:val="right"/>
              <w:rPr>
                <w:b/>
                <w:bCs/>
                <w:sz w:val="20"/>
                <w:szCs w:val="20"/>
              </w:rPr>
            </w:pPr>
            <w:r w:rsidRPr="007E1042">
              <w:rPr>
                <w:b/>
                <w:bCs/>
                <w:sz w:val="20"/>
                <w:szCs w:val="20"/>
              </w:rPr>
              <w:t>SCHEDULE NO. 3-A</w:t>
            </w:r>
          </w:p>
        </w:tc>
      </w:tr>
      <w:tr w:rsidR="00C22735" w:rsidTr="00C22735">
        <w:trPr>
          <w:trHeight w:val="300"/>
          <w:jc w:val="center"/>
        </w:trPr>
        <w:tc>
          <w:tcPr>
            <w:tcW w:w="7038" w:type="dxa"/>
            <w:gridSpan w:val="4"/>
            <w:tcBorders>
              <w:top w:val="nil"/>
              <w:left w:val="single" w:sz="8" w:space="0" w:color="auto"/>
              <w:bottom w:val="nil"/>
              <w:right w:val="nil"/>
            </w:tcBorders>
            <w:shd w:val="clear" w:color="000000" w:fill="FFFFFF"/>
            <w:noWrap/>
            <w:vAlign w:val="bottom"/>
            <w:hideMark/>
          </w:tcPr>
          <w:p w:rsidR="00C22735" w:rsidRPr="007E1042" w:rsidRDefault="00C22735" w:rsidP="00C22735">
            <w:pPr>
              <w:rPr>
                <w:b/>
                <w:bCs/>
                <w:sz w:val="20"/>
                <w:szCs w:val="20"/>
              </w:rPr>
            </w:pPr>
            <w:r w:rsidRPr="007E1042">
              <w:rPr>
                <w:b/>
                <w:bCs/>
                <w:sz w:val="20"/>
                <w:szCs w:val="20"/>
              </w:rPr>
              <w:t>SCHEDULE OF POTABLE WATER OPERATING INCOME</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2944" w:type="dxa"/>
            <w:gridSpan w:val="2"/>
            <w:tcBorders>
              <w:top w:val="nil"/>
              <w:left w:val="nil"/>
              <w:bottom w:val="nil"/>
              <w:right w:val="single" w:sz="8" w:space="0" w:color="000000"/>
            </w:tcBorders>
            <w:shd w:val="clear" w:color="000000" w:fill="FFFFFF"/>
            <w:noWrap/>
            <w:vAlign w:val="center"/>
            <w:hideMark/>
          </w:tcPr>
          <w:p w:rsidR="00C22735" w:rsidRPr="007E1042" w:rsidRDefault="00C22735" w:rsidP="00C22735">
            <w:pPr>
              <w:jc w:val="right"/>
              <w:rPr>
                <w:b/>
                <w:bCs/>
                <w:sz w:val="20"/>
                <w:szCs w:val="20"/>
              </w:rPr>
            </w:pPr>
            <w:r w:rsidRPr="007E1042">
              <w:rPr>
                <w:b/>
                <w:bCs/>
                <w:sz w:val="20"/>
                <w:szCs w:val="20"/>
              </w:rPr>
              <w:t>DOCKET NO. 20190080-WS</w:t>
            </w:r>
          </w:p>
        </w:tc>
      </w:tr>
      <w:tr w:rsidR="00C22735" w:rsidTr="00C22735">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r w:rsidRPr="007E1042">
              <w:t> </w:t>
            </w:r>
          </w:p>
        </w:tc>
        <w:tc>
          <w:tcPr>
            <w:tcW w:w="1620"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single" w:sz="8" w:space="0" w:color="auto"/>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297" w:type="dxa"/>
            <w:tcBorders>
              <w:top w:val="single" w:sz="8" w:space="0" w:color="auto"/>
              <w:left w:val="nil"/>
              <w:bottom w:val="nil"/>
              <w:right w:val="nil"/>
            </w:tcBorders>
            <w:shd w:val="clear" w:color="000000" w:fill="FFFFFF"/>
            <w:noWrap/>
            <w:vAlign w:val="bottom"/>
            <w:hideMark/>
          </w:tcPr>
          <w:p w:rsidR="00C22735" w:rsidRPr="007E1042" w:rsidRDefault="00C22735" w:rsidP="00C22735">
            <w:pPr>
              <w:rPr>
                <w:rFonts w:ascii="Arial" w:hAnsi="Arial" w:cs="Arial"/>
                <w:sz w:val="20"/>
                <w:szCs w:val="20"/>
              </w:rPr>
            </w:pPr>
            <w:r w:rsidRPr="007E1042">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APPROVED</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STAFF</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ADJUST.</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rFonts w:ascii="Arial" w:hAnsi="Arial" w:cs="Arial"/>
                <w:b/>
                <w:bCs/>
                <w:sz w:val="20"/>
                <w:szCs w:val="20"/>
              </w:rPr>
            </w:pPr>
            <w:r w:rsidRPr="007E1042">
              <w:rPr>
                <w:rFonts w:ascii="Arial" w:hAnsi="Arial" w:cs="Arial"/>
                <w:b/>
                <w:bCs/>
                <w:sz w:val="20"/>
                <w:szCs w:val="20"/>
              </w:rPr>
              <w:t> </w:t>
            </w:r>
          </w:p>
        </w:tc>
      </w:tr>
      <w:tr w:rsidR="00C22735" w:rsidTr="00C22735">
        <w:trPr>
          <w:trHeight w:val="207"/>
          <w:jc w:val="center"/>
        </w:trPr>
        <w:tc>
          <w:tcPr>
            <w:tcW w:w="479" w:type="dxa"/>
            <w:tcBorders>
              <w:top w:val="nil"/>
              <w:left w:val="single" w:sz="8" w:space="0" w:color="auto"/>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rFonts w:ascii="Arial" w:hAnsi="Arial" w:cs="Arial"/>
                <w:sz w:val="20"/>
                <w:szCs w:val="20"/>
              </w:rPr>
            </w:pPr>
            <w:r w:rsidRPr="007E1042">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IN 2015</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 xml:space="preserve">STAFF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ADJUSTED</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FOR</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REVENUE</w:t>
            </w:r>
          </w:p>
        </w:tc>
      </w:tr>
      <w:tr w:rsidR="00C22735" w:rsidTr="00C22735">
        <w:trPr>
          <w:trHeight w:val="243"/>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297"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rFonts w:ascii="Arial" w:hAnsi="Arial" w:cs="Arial"/>
                <w:sz w:val="20"/>
                <w:szCs w:val="20"/>
              </w:rPr>
            </w:pPr>
            <w:r w:rsidRPr="007E1042">
              <w:rPr>
                <w:rFonts w:ascii="Arial" w:hAnsi="Arial" w:cs="Arial"/>
                <w:sz w:val="20"/>
                <w:szCs w:val="20"/>
              </w:rPr>
              <w:t> </w:t>
            </w:r>
          </w:p>
        </w:tc>
        <w:tc>
          <w:tcPr>
            <w:tcW w:w="1620" w:type="dxa"/>
            <w:tcBorders>
              <w:top w:val="nil"/>
              <w:left w:val="nil"/>
              <w:bottom w:val="single" w:sz="8" w:space="0" w:color="auto"/>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SARC Phase II</w:t>
            </w:r>
          </w:p>
        </w:tc>
        <w:tc>
          <w:tcPr>
            <w:tcW w:w="1642" w:type="dxa"/>
            <w:tcBorders>
              <w:top w:val="nil"/>
              <w:left w:val="nil"/>
              <w:bottom w:val="single" w:sz="8" w:space="0" w:color="auto"/>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ADJUSTMENTS</w:t>
            </w:r>
          </w:p>
        </w:tc>
        <w:tc>
          <w:tcPr>
            <w:tcW w:w="1350" w:type="dxa"/>
            <w:tcBorders>
              <w:top w:val="nil"/>
              <w:left w:val="nil"/>
              <w:bottom w:val="single" w:sz="8" w:space="0" w:color="auto"/>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TEST YEAR</w:t>
            </w:r>
          </w:p>
        </w:tc>
        <w:tc>
          <w:tcPr>
            <w:tcW w:w="1250" w:type="dxa"/>
            <w:tcBorders>
              <w:top w:val="nil"/>
              <w:left w:val="nil"/>
              <w:bottom w:val="single" w:sz="8" w:space="0" w:color="auto"/>
              <w:right w:val="nil"/>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INCREASE</w:t>
            </w:r>
          </w:p>
        </w:tc>
        <w:tc>
          <w:tcPr>
            <w:tcW w:w="1694" w:type="dxa"/>
            <w:tcBorders>
              <w:top w:val="nil"/>
              <w:left w:val="nil"/>
              <w:bottom w:val="single" w:sz="8" w:space="0" w:color="auto"/>
              <w:right w:val="single" w:sz="8" w:space="0" w:color="auto"/>
            </w:tcBorders>
            <w:shd w:val="clear" w:color="000000" w:fill="FFFFFF"/>
            <w:noWrap/>
            <w:vAlign w:val="bottom"/>
            <w:hideMark/>
          </w:tcPr>
          <w:p w:rsidR="00C22735" w:rsidRPr="007E1042" w:rsidRDefault="00C22735" w:rsidP="00C22735">
            <w:pPr>
              <w:jc w:val="center"/>
              <w:rPr>
                <w:rFonts w:ascii="Arial" w:hAnsi="Arial" w:cs="Arial"/>
                <w:b/>
                <w:bCs/>
                <w:sz w:val="20"/>
                <w:szCs w:val="20"/>
              </w:rPr>
            </w:pPr>
            <w:r w:rsidRPr="007E1042">
              <w:rPr>
                <w:rFonts w:ascii="Arial" w:hAnsi="Arial" w:cs="Arial"/>
                <w:b/>
                <w:bCs/>
                <w:sz w:val="20"/>
                <w:szCs w:val="20"/>
              </w:rPr>
              <w:t>REQUIREMENT</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297"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62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642"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35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25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1.</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b/>
                <w:bCs/>
                <w:sz w:val="20"/>
                <w:szCs w:val="20"/>
              </w:rPr>
            </w:pPr>
            <w:r w:rsidRPr="007E1042">
              <w:rPr>
                <w:b/>
                <w:bCs/>
                <w:sz w:val="20"/>
                <w:szCs w:val="20"/>
              </w:rPr>
              <w:t xml:space="preserve">OPERATING REVENUES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$165,805</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$0</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$165,805</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w:t>
            </w:r>
            <w:r>
              <w:rPr>
                <w:sz w:val="20"/>
                <w:szCs w:val="20"/>
                <w:u w:val="single"/>
              </w:rPr>
              <w:t>2,560</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$16</w:t>
            </w:r>
            <w:r>
              <w:rPr>
                <w:sz w:val="20"/>
                <w:szCs w:val="20"/>
                <w:u w:val="single"/>
              </w:rPr>
              <w:t>8,365</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1.</w:t>
            </w:r>
            <w:r>
              <w:rPr>
                <w:sz w:val="20"/>
                <w:szCs w:val="20"/>
              </w:rPr>
              <w:t>54</w:t>
            </w:r>
            <w:r w:rsidRPr="007E1042">
              <w:rPr>
                <w:sz w:val="20"/>
                <w:szCs w:val="20"/>
              </w:rPr>
              <w:t>%</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b/>
                <w:bCs/>
                <w:sz w:val="20"/>
                <w:szCs w:val="20"/>
              </w:rPr>
            </w:pPr>
            <w:r w:rsidRPr="007E1042">
              <w:rPr>
                <w:b/>
                <w:bCs/>
                <w:sz w:val="20"/>
                <w:szCs w:val="20"/>
              </w:rPr>
              <w:t>OPERATING EXPENSES:</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2.</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xml:space="preserve">  OPERATION &amp; MAINTENANCE</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$124,310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$977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$125,287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$0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$125,287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3.</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xml:space="preserve">  DEPRECIATION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12,405</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349</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12,754</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0</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12,754</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4.</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xml:space="preserve">  AMORTIZATION</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w:t>
            </w:r>
            <w:r>
              <w:rPr>
                <w:sz w:val="20"/>
                <w:szCs w:val="20"/>
              </w:rPr>
              <w:t>0</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0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0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0</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 xml:space="preserve">0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5.</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xml:space="preserve">  TAXES OTHER THAN INCOME</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20,956</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Pr>
                <w:sz w:val="20"/>
                <w:szCs w:val="20"/>
              </w:rPr>
              <w:t>134</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21,0</w:t>
            </w:r>
            <w:r>
              <w:rPr>
                <w:sz w:val="20"/>
                <w:szCs w:val="20"/>
              </w:rPr>
              <w:t>90</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rPr>
            </w:pPr>
            <w:r>
              <w:rPr>
                <w:sz w:val="20"/>
                <w:szCs w:val="20"/>
              </w:rPr>
              <w:t>115</w:t>
            </w:r>
            <w:r w:rsidRPr="007E1042">
              <w:rPr>
                <w:sz w:val="20"/>
                <w:szCs w:val="20"/>
              </w:rPr>
              <w:t xml:space="preserve">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21,</w:t>
            </w:r>
            <w:r>
              <w:rPr>
                <w:sz w:val="20"/>
                <w:szCs w:val="20"/>
              </w:rPr>
              <w:t>205</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6.</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xml:space="preserve">  INCOME TAXES</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 xml:space="preserve">0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 xml:space="preserve">0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 xml:space="preserve">0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0</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 xml:space="preserve">0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7.</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b/>
                <w:bCs/>
                <w:sz w:val="20"/>
                <w:szCs w:val="20"/>
              </w:rPr>
            </w:pPr>
            <w:r w:rsidRPr="007E1042">
              <w:rPr>
                <w:b/>
                <w:bCs/>
                <w:sz w:val="20"/>
                <w:szCs w:val="20"/>
              </w:rPr>
              <w:t xml:space="preserve">TOTAL OPERATING EXPENSES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$157,670</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$1,4</w:t>
            </w:r>
            <w:r>
              <w:rPr>
                <w:sz w:val="20"/>
                <w:szCs w:val="20"/>
                <w:u w:val="single"/>
              </w:rPr>
              <w:t>61</w:t>
            </w:r>
            <w:r w:rsidRPr="007E1042">
              <w:rPr>
                <w:sz w:val="20"/>
                <w:szCs w:val="20"/>
                <w:u w:val="single"/>
              </w:rPr>
              <w:t xml:space="preserve">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$159,</w:t>
            </w:r>
            <w:r>
              <w:rPr>
                <w:sz w:val="20"/>
                <w:szCs w:val="20"/>
                <w:u w:val="single"/>
              </w:rPr>
              <w:t>130</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w:t>
            </w:r>
            <w:r>
              <w:rPr>
                <w:sz w:val="20"/>
                <w:szCs w:val="20"/>
                <w:u w:val="single"/>
              </w:rPr>
              <w:t>115</w:t>
            </w:r>
            <w:r w:rsidRPr="007E1042">
              <w:rPr>
                <w:sz w:val="20"/>
                <w:szCs w:val="20"/>
                <w:u w:val="single"/>
              </w:rPr>
              <w:t xml:space="preserve">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u w:val="single"/>
              </w:rPr>
            </w:pPr>
            <w:r w:rsidRPr="007E1042">
              <w:rPr>
                <w:sz w:val="20"/>
                <w:szCs w:val="20"/>
                <w:u w:val="single"/>
              </w:rPr>
              <w:t>$159,</w:t>
            </w:r>
            <w:r>
              <w:rPr>
                <w:sz w:val="20"/>
                <w:szCs w:val="20"/>
                <w:u w:val="single"/>
              </w:rPr>
              <w:t>246</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8.</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b/>
                <w:bCs/>
                <w:sz w:val="20"/>
                <w:szCs w:val="20"/>
              </w:rPr>
            </w:pPr>
            <w:r w:rsidRPr="007E1042">
              <w:rPr>
                <w:b/>
                <w:bCs/>
                <w:sz w:val="20"/>
                <w:szCs w:val="20"/>
              </w:rPr>
              <w:t xml:space="preserve">OPERATING INCOME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 xml:space="preserve">$8,135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u w:val="double"/>
              </w:rPr>
            </w:pP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$6,</w:t>
            </w:r>
            <w:r>
              <w:rPr>
                <w:sz w:val="20"/>
                <w:szCs w:val="20"/>
                <w:u w:val="double"/>
              </w:rPr>
              <w:t>674</w:t>
            </w:r>
            <w:r w:rsidRPr="007E1042">
              <w:rPr>
                <w:sz w:val="20"/>
                <w:szCs w:val="20"/>
                <w:u w:val="double"/>
              </w:rPr>
              <w:t xml:space="preserve">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u w:val="double"/>
              </w:rPr>
            </w:pP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w:t>
            </w:r>
            <w:r>
              <w:rPr>
                <w:sz w:val="20"/>
                <w:szCs w:val="20"/>
                <w:u w:val="double"/>
              </w:rPr>
              <w:t>9,119</w:t>
            </w:r>
            <w:r w:rsidRPr="007E1042">
              <w:rPr>
                <w:sz w:val="20"/>
                <w:szCs w:val="20"/>
                <w:u w:val="double"/>
              </w:rPr>
              <w:t xml:space="preserve">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9.</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b/>
                <w:bCs/>
                <w:sz w:val="20"/>
                <w:szCs w:val="20"/>
              </w:rPr>
            </w:pPr>
            <w:r w:rsidRPr="007E1042">
              <w:rPr>
                <w:b/>
                <w:bCs/>
                <w:sz w:val="20"/>
                <w:szCs w:val="20"/>
              </w:rPr>
              <w:t xml:space="preserve">WATER RATE BASE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 xml:space="preserve">$222,367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u w:val="double"/>
              </w:rPr>
            </w:pP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$2</w:t>
            </w:r>
            <w:r>
              <w:rPr>
                <w:sz w:val="20"/>
                <w:szCs w:val="20"/>
                <w:u w:val="double"/>
              </w:rPr>
              <w:t>49,211</w:t>
            </w:r>
            <w:r w:rsidRPr="007E1042">
              <w:rPr>
                <w:sz w:val="20"/>
                <w:szCs w:val="20"/>
                <w:u w:val="double"/>
              </w:rPr>
              <w:t xml:space="preserve">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u w:val="double"/>
              </w:rPr>
            </w:pP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$2</w:t>
            </w:r>
            <w:r>
              <w:rPr>
                <w:sz w:val="20"/>
                <w:szCs w:val="20"/>
                <w:u w:val="double"/>
              </w:rPr>
              <w:t>49,211</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7E1042" w:rsidRDefault="00C22735" w:rsidP="00C22735">
            <w:pPr>
              <w:jc w:val="right"/>
              <w:rPr>
                <w:sz w:val="20"/>
                <w:szCs w:val="20"/>
              </w:rPr>
            </w:pPr>
            <w:r w:rsidRPr="007E1042">
              <w:rPr>
                <w:sz w:val="20"/>
                <w:szCs w:val="20"/>
              </w:rPr>
              <w:t>10.</w:t>
            </w:r>
          </w:p>
        </w:tc>
        <w:tc>
          <w:tcPr>
            <w:tcW w:w="3297" w:type="dxa"/>
            <w:tcBorders>
              <w:top w:val="nil"/>
              <w:left w:val="nil"/>
              <w:bottom w:val="nil"/>
              <w:right w:val="nil"/>
            </w:tcBorders>
            <w:shd w:val="clear" w:color="000000" w:fill="FFFFFF"/>
            <w:noWrap/>
            <w:vAlign w:val="bottom"/>
            <w:hideMark/>
          </w:tcPr>
          <w:p w:rsidR="00C22735" w:rsidRPr="007E1042" w:rsidRDefault="00C22735" w:rsidP="00C22735">
            <w:pPr>
              <w:rPr>
                <w:b/>
                <w:bCs/>
                <w:sz w:val="20"/>
                <w:szCs w:val="20"/>
              </w:rPr>
            </w:pPr>
            <w:r>
              <w:rPr>
                <w:b/>
                <w:bCs/>
                <w:sz w:val="20"/>
                <w:szCs w:val="20"/>
              </w:rPr>
              <w:t>RATE OF RETURN</w:t>
            </w:r>
          </w:p>
        </w:tc>
        <w:tc>
          <w:tcPr>
            <w:tcW w:w="1620" w:type="dxa"/>
            <w:tcBorders>
              <w:top w:val="nil"/>
              <w:left w:val="nil"/>
              <w:bottom w:val="nil"/>
              <w:right w:val="nil"/>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3.66%</w:t>
            </w:r>
          </w:p>
        </w:tc>
        <w:tc>
          <w:tcPr>
            <w:tcW w:w="1642"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nil"/>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nil"/>
              <w:right w:val="single" w:sz="8" w:space="0" w:color="auto"/>
            </w:tcBorders>
            <w:shd w:val="clear" w:color="000000" w:fill="FFFFFF"/>
            <w:noWrap/>
            <w:vAlign w:val="bottom"/>
            <w:hideMark/>
          </w:tcPr>
          <w:p w:rsidR="00C22735" w:rsidRPr="007E1042" w:rsidRDefault="00C22735" w:rsidP="00C22735">
            <w:pPr>
              <w:jc w:val="right"/>
              <w:rPr>
                <w:sz w:val="20"/>
                <w:szCs w:val="20"/>
                <w:u w:val="double"/>
              </w:rPr>
            </w:pPr>
            <w:r w:rsidRPr="007E1042">
              <w:rPr>
                <w:sz w:val="20"/>
                <w:szCs w:val="20"/>
                <w:u w:val="double"/>
              </w:rPr>
              <w:t>3.66%</w:t>
            </w:r>
          </w:p>
        </w:tc>
      </w:tr>
      <w:tr w:rsidR="00C22735" w:rsidTr="00C22735">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C22735" w:rsidRPr="007E1042" w:rsidRDefault="00C22735" w:rsidP="00C22735">
            <w:pPr>
              <w:jc w:val="center"/>
              <w:rPr>
                <w:sz w:val="20"/>
                <w:szCs w:val="20"/>
              </w:rPr>
            </w:pPr>
            <w:r w:rsidRPr="007E1042">
              <w:rPr>
                <w:sz w:val="20"/>
                <w:szCs w:val="20"/>
              </w:rPr>
              <w:t> </w:t>
            </w:r>
          </w:p>
        </w:tc>
        <w:tc>
          <w:tcPr>
            <w:tcW w:w="3297"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20"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42"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350"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250" w:type="dxa"/>
            <w:tcBorders>
              <w:top w:val="nil"/>
              <w:left w:val="nil"/>
              <w:bottom w:val="single" w:sz="8" w:space="0" w:color="auto"/>
              <w:right w:val="nil"/>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c>
          <w:tcPr>
            <w:tcW w:w="1694" w:type="dxa"/>
            <w:tcBorders>
              <w:top w:val="nil"/>
              <w:left w:val="nil"/>
              <w:bottom w:val="single" w:sz="8" w:space="0" w:color="auto"/>
              <w:right w:val="single" w:sz="8" w:space="0" w:color="auto"/>
            </w:tcBorders>
            <w:shd w:val="clear" w:color="000000" w:fill="FFFFFF"/>
            <w:noWrap/>
            <w:vAlign w:val="bottom"/>
            <w:hideMark/>
          </w:tcPr>
          <w:p w:rsidR="00C22735" w:rsidRPr="007E1042" w:rsidRDefault="00C22735" w:rsidP="00C22735">
            <w:pPr>
              <w:rPr>
                <w:sz w:val="20"/>
                <w:szCs w:val="20"/>
              </w:rPr>
            </w:pPr>
            <w:r w:rsidRPr="007E1042">
              <w:rPr>
                <w:sz w:val="20"/>
                <w:szCs w:val="20"/>
              </w:rPr>
              <w:t> </w:t>
            </w:r>
          </w:p>
        </w:tc>
      </w:tr>
    </w:tbl>
    <w:p w:rsidR="00662CDA" w:rsidRPr="006252C6" w:rsidRDefault="00662CDA"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rsidSect="00C22735">
          <w:headerReference w:type="first" r:id="rId14"/>
          <w:pgSz w:w="15840" w:h="12240" w:orient="landscape" w:code="1"/>
          <w:pgMar w:top="1440" w:right="1440" w:bottom="1440" w:left="1440" w:header="720" w:footer="720" w:gutter="0"/>
          <w:cols w:space="720"/>
          <w:titlePg/>
          <w:docGrid w:linePitch="360"/>
        </w:sectPr>
      </w:pPr>
    </w:p>
    <w:p w:rsidR="00662CDA" w:rsidRDefault="00662CDA" w:rsidP="008D1D45">
      <w:pPr>
        <w:pStyle w:val="OrderBody"/>
      </w:pPr>
    </w:p>
    <w:tbl>
      <w:tblPr>
        <w:tblW w:w="11441" w:type="dxa"/>
        <w:jc w:val="center"/>
        <w:tblLook w:val="04A0" w:firstRow="1" w:lastRow="0" w:firstColumn="1" w:lastColumn="0" w:noHBand="0" w:noVBand="1"/>
      </w:tblPr>
      <w:tblGrid>
        <w:gridCol w:w="479"/>
        <w:gridCol w:w="3262"/>
        <w:gridCol w:w="1620"/>
        <w:gridCol w:w="1717"/>
        <w:gridCol w:w="1436"/>
        <w:gridCol w:w="1350"/>
        <w:gridCol w:w="1800"/>
      </w:tblGrid>
      <w:tr w:rsidR="00C22735" w:rsidTr="00C22735">
        <w:trPr>
          <w:trHeight w:val="300"/>
          <w:jc w:val="center"/>
        </w:trPr>
        <w:tc>
          <w:tcPr>
            <w:tcW w:w="3741" w:type="dxa"/>
            <w:gridSpan w:val="2"/>
            <w:tcBorders>
              <w:top w:val="single" w:sz="8" w:space="0" w:color="auto"/>
              <w:left w:val="single" w:sz="8" w:space="0" w:color="auto"/>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AQUARINA UTILITIES, INC.</w:t>
            </w:r>
          </w:p>
        </w:tc>
        <w:tc>
          <w:tcPr>
            <w:tcW w:w="1620" w:type="dxa"/>
            <w:tcBorders>
              <w:top w:val="single" w:sz="8" w:space="0" w:color="auto"/>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single" w:sz="8" w:space="0" w:color="auto"/>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single" w:sz="8" w:space="0" w:color="auto"/>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150" w:type="dxa"/>
            <w:gridSpan w:val="2"/>
            <w:tcBorders>
              <w:top w:val="single" w:sz="8" w:space="0" w:color="auto"/>
              <w:left w:val="nil"/>
              <w:bottom w:val="nil"/>
              <w:right w:val="single" w:sz="8" w:space="0" w:color="000000"/>
            </w:tcBorders>
            <w:shd w:val="clear" w:color="000000" w:fill="FFFFFF"/>
            <w:noWrap/>
            <w:vAlign w:val="bottom"/>
            <w:hideMark/>
          </w:tcPr>
          <w:p w:rsidR="00C22735" w:rsidRPr="00E2052D" w:rsidRDefault="00C22735" w:rsidP="00C22735">
            <w:pPr>
              <w:jc w:val="right"/>
              <w:rPr>
                <w:b/>
                <w:bCs/>
                <w:sz w:val="20"/>
                <w:szCs w:val="20"/>
              </w:rPr>
            </w:pPr>
            <w:r w:rsidRPr="00E2052D">
              <w:rPr>
                <w:b/>
                <w:bCs/>
                <w:sz w:val="20"/>
                <w:szCs w:val="20"/>
              </w:rPr>
              <w:t>SCHEDULE NO. 3-</w:t>
            </w:r>
            <w:r>
              <w:rPr>
                <w:b/>
                <w:bCs/>
                <w:sz w:val="20"/>
                <w:szCs w:val="20"/>
              </w:rPr>
              <w:t>B</w:t>
            </w:r>
          </w:p>
        </w:tc>
      </w:tr>
      <w:tr w:rsidR="00C22735" w:rsidTr="00C22735">
        <w:trPr>
          <w:trHeight w:val="300"/>
          <w:jc w:val="center"/>
        </w:trPr>
        <w:tc>
          <w:tcPr>
            <w:tcW w:w="6855" w:type="dxa"/>
            <w:gridSpan w:val="4"/>
            <w:tcBorders>
              <w:top w:val="nil"/>
              <w:left w:val="single" w:sz="8" w:space="0" w:color="auto"/>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SCHEDULE OF NON-POTABLE WATER OPERATING INCOME</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150" w:type="dxa"/>
            <w:gridSpan w:val="2"/>
            <w:tcBorders>
              <w:top w:val="nil"/>
              <w:left w:val="nil"/>
              <w:bottom w:val="nil"/>
              <w:right w:val="single" w:sz="8" w:space="0" w:color="000000"/>
            </w:tcBorders>
            <w:shd w:val="clear" w:color="000000" w:fill="FFFFFF"/>
            <w:noWrap/>
            <w:vAlign w:val="center"/>
            <w:hideMark/>
          </w:tcPr>
          <w:p w:rsidR="00C22735" w:rsidRPr="00E2052D" w:rsidRDefault="00C22735" w:rsidP="00C22735">
            <w:pPr>
              <w:jc w:val="right"/>
              <w:rPr>
                <w:b/>
                <w:bCs/>
                <w:sz w:val="20"/>
                <w:szCs w:val="20"/>
              </w:rPr>
            </w:pPr>
            <w:r w:rsidRPr="00E2052D">
              <w:rPr>
                <w:b/>
                <w:bCs/>
                <w:sz w:val="20"/>
                <w:szCs w:val="20"/>
              </w:rPr>
              <w:t>DOCKET NO. 20190080-WS</w:t>
            </w:r>
          </w:p>
        </w:tc>
      </w:tr>
      <w:tr w:rsidR="00C22735" w:rsidTr="00C22735">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262" w:type="dxa"/>
            <w:tcBorders>
              <w:top w:val="nil"/>
              <w:left w:val="nil"/>
              <w:bottom w:val="single" w:sz="8" w:space="0" w:color="auto"/>
              <w:right w:val="nil"/>
            </w:tcBorders>
            <w:shd w:val="clear" w:color="000000" w:fill="FFFFFF"/>
            <w:noWrap/>
            <w:vAlign w:val="bottom"/>
            <w:hideMark/>
          </w:tcPr>
          <w:p w:rsidR="00C22735" w:rsidRDefault="00C22735" w:rsidP="00C22735">
            <w:pPr>
              <w:rPr>
                <w:rFonts w:ascii="Arial" w:hAnsi="Arial" w:cs="Arial"/>
              </w:rPr>
            </w:pPr>
            <w:r>
              <w:rPr>
                <w:rFonts w:ascii="Arial" w:hAnsi="Arial" w:cs="Arial"/>
              </w:rPr>
              <w:t> </w:t>
            </w:r>
          </w:p>
        </w:tc>
        <w:tc>
          <w:tcPr>
            <w:tcW w:w="1620"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494"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436"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350"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800" w:type="dxa"/>
            <w:tcBorders>
              <w:top w:val="nil"/>
              <w:left w:val="nil"/>
              <w:bottom w:val="single" w:sz="8" w:space="0" w:color="auto"/>
              <w:right w:val="single" w:sz="8" w:space="0" w:color="auto"/>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APPROVED</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STAFF</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ADJUST.</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rFonts w:ascii="Arial" w:hAnsi="Arial" w:cs="Arial"/>
                <w:b/>
                <w:bCs/>
                <w:sz w:val="20"/>
                <w:szCs w:val="20"/>
              </w:rPr>
            </w:pPr>
            <w:r w:rsidRPr="00E2052D">
              <w:rPr>
                <w:rFonts w:ascii="Arial" w:hAnsi="Arial" w:cs="Arial"/>
                <w:b/>
                <w:bCs/>
                <w:sz w:val="20"/>
                <w:szCs w:val="20"/>
              </w:rPr>
              <w:t> </w:t>
            </w:r>
          </w:p>
        </w:tc>
      </w:tr>
      <w:tr w:rsidR="00C22735" w:rsidTr="00C22735">
        <w:trPr>
          <w:trHeight w:val="189"/>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IN</w:t>
            </w:r>
            <w:r>
              <w:rPr>
                <w:rFonts w:ascii="Arial" w:hAnsi="Arial" w:cs="Arial"/>
                <w:b/>
                <w:bCs/>
                <w:sz w:val="20"/>
                <w:szCs w:val="20"/>
              </w:rPr>
              <w:t xml:space="preserve"> 2015</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 xml:space="preserve">STAFF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ADJUSTED</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FOR</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REVENUE</w:t>
            </w:r>
          </w:p>
        </w:tc>
      </w:tr>
      <w:tr w:rsidR="00C22735" w:rsidTr="00C22735">
        <w:trPr>
          <w:trHeight w:val="243"/>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3262"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1620"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SARC Phase II</w:t>
            </w:r>
          </w:p>
        </w:tc>
        <w:tc>
          <w:tcPr>
            <w:tcW w:w="1494"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ADJUSTMENTS</w:t>
            </w:r>
          </w:p>
        </w:tc>
        <w:tc>
          <w:tcPr>
            <w:tcW w:w="1436"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TEST YEAR</w:t>
            </w:r>
          </w:p>
        </w:tc>
        <w:tc>
          <w:tcPr>
            <w:tcW w:w="1350"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INCREASE</w:t>
            </w:r>
          </w:p>
        </w:tc>
        <w:tc>
          <w:tcPr>
            <w:tcW w:w="1800" w:type="dxa"/>
            <w:tcBorders>
              <w:top w:val="nil"/>
              <w:left w:val="nil"/>
              <w:bottom w:val="single" w:sz="8" w:space="0" w:color="auto"/>
              <w:right w:val="single" w:sz="8" w:space="0" w:color="auto"/>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REQUIREMENT</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262"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62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494"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436"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35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1.</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OPERATING REVENUES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$246,783</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$0</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$246,783</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w:t>
            </w:r>
            <w:r>
              <w:rPr>
                <w:sz w:val="20"/>
                <w:szCs w:val="20"/>
                <w:u w:val="single"/>
              </w:rPr>
              <w:t>2,108</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$248,</w:t>
            </w:r>
            <w:r>
              <w:rPr>
                <w:sz w:val="20"/>
                <w:szCs w:val="20"/>
                <w:u w:val="single"/>
              </w:rPr>
              <w:t>891</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0.</w:t>
            </w:r>
            <w:r>
              <w:rPr>
                <w:sz w:val="20"/>
                <w:szCs w:val="20"/>
              </w:rPr>
              <w:t>85</w:t>
            </w:r>
            <w:r w:rsidRPr="00E2052D">
              <w:rPr>
                <w:sz w:val="20"/>
                <w:szCs w:val="20"/>
              </w:rPr>
              <w:t>%</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OPERATING EXPENSES:</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OPERATION &amp; MAINTENANCE</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$190,332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$977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$191,309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$191,309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3.</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DEPRECIATION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24,222</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Pr>
                <w:sz w:val="20"/>
                <w:szCs w:val="20"/>
              </w:rPr>
              <w:t>62</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24,</w:t>
            </w:r>
            <w:r>
              <w:rPr>
                <w:sz w:val="20"/>
                <w:szCs w:val="20"/>
              </w:rPr>
              <w:t>285</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0</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24,2</w:t>
            </w:r>
            <w:r>
              <w:rPr>
                <w:sz w:val="20"/>
                <w:szCs w:val="20"/>
              </w:rPr>
              <w:t>85</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4.</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AMORTIZATION</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Pr>
                <w:sz w:val="20"/>
                <w:szCs w:val="20"/>
              </w:rPr>
              <w:t>774</w:t>
            </w:r>
            <w:r w:rsidRPr="00E2052D">
              <w:rPr>
                <w:sz w:val="20"/>
                <w:szCs w:val="20"/>
              </w:rPr>
              <w:t xml:space="preserve">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Pr>
                <w:sz w:val="20"/>
                <w:szCs w:val="20"/>
              </w:rPr>
              <w:t>774</w:t>
            </w:r>
            <w:r w:rsidRPr="00E2052D">
              <w:rPr>
                <w:sz w:val="20"/>
                <w:szCs w:val="20"/>
              </w:rPr>
              <w:t xml:space="preserve">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0</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Pr>
                <w:sz w:val="20"/>
                <w:szCs w:val="20"/>
              </w:rPr>
              <w:t>774</w:t>
            </w:r>
            <w:r w:rsidRPr="00E2052D">
              <w:rPr>
                <w:sz w:val="20"/>
                <w:szCs w:val="20"/>
              </w:rPr>
              <w:t xml:space="preserve">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5.</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TAXES OTHER THAN INCOME</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25,911</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Pr>
                <w:sz w:val="20"/>
                <w:szCs w:val="20"/>
              </w:rPr>
              <w:t>20</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25,</w:t>
            </w:r>
            <w:r>
              <w:rPr>
                <w:sz w:val="20"/>
                <w:szCs w:val="20"/>
              </w:rPr>
              <w:t>931</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Pr>
                <w:sz w:val="20"/>
                <w:szCs w:val="20"/>
              </w:rPr>
              <w:t>95</w:t>
            </w:r>
            <w:r w:rsidRPr="00E2052D">
              <w:rPr>
                <w:sz w:val="20"/>
                <w:szCs w:val="20"/>
              </w:rPr>
              <w:t xml:space="preserve">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w:t>
            </w:r>
            <w:r>
              <w:rPr>
                <w:sz w:val="20"/>
                <w:szCs w:val="20"/>
              </w:rPr>
              <w:t>6,026</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6.</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INCOME TAXES</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0</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7.</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TOTAL OPERATING EXPENSES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$240,466</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$1,8</w:t>
            </w:r>
            <w:r>
              <w:rPr>
                <w:sz w:val="20"/>
                <w:szCs w:val="20"/>
                <w:u w:val="single"/>
              </w:rPr>
              <w:t>34</w:t>
            </w:r>
            <w:r w:rsidRPr="00E2052D">
              <w:rPr>
                <w:sz w:val="20"/>
                <w:szCs w:val="20"/>
                <w:u w:val="single"/>
              </w:rPr>
              <w:t xml:space="preserve">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$242,</w:t>
            </w:r>
            <w:r>
              <w:rPr>
                <w:sz w:val="20"/>
                <w:szCs w:val="20"/>
                <w:u w:val="single"/>
              </w:rPr>
              <w:t>299</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w:t>
            </w:r>
            <w:r>
              <w:rPr>
                <w:sz w:val="20"/>
                <w:szCs w:val="20"/>
                <w:u w:val="single"/>
              </w:rPr>
              <w:t>95</w:t>
            </w:r>
            <w:r w:rsidRPr="00E2052D">
              <w:rPr>
                <w:sz w:val="20"/>
                <w:szCs w:val="20"/>
                <w:u w:val="single"/>
              </w:rPr>
              <w:t xml:space="preserve">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$242,</w:t>
            </w:r>
            <w:r>
              <w:rPr>
                <w:sz w:val="20"/>
                <w:szCs w:val="20"/>
                <w:u w:val="single"/>
              </w:rPr>
              <w:t>394</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8.</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OPERATING INCOME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$6,317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$4,4</w:t>
            </w:r>
            <w:r>
              <w:rPr>
                <w:sz w:val="20"/>
                <w:szCs w:val="20"/>
                <w:u w:val="double"/>
              </w:rPr>
              <w:t>83</w:t>
            </w:r>
            <w:r w:rsidRPr="00E2052D">
              <w:rPr>
                <w:sz w:val="20"/>
                <w:szCs w:val="20"/>
                <w:u w:val="double"/>
              </w:rPr>
              <w:t xml:space="preserve">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$6,</w:t>
            </w:r>
            <w:r>
              <w:rPr>
                <w:sz w:val="20"/>
                <w:szCs w:val="20"/>
                <w:u w:val="double"/>
              </w:rPr>
              <w:t>497</w:t>
            </w:r>
            <w:r w:rsidRPr="00E2052D">
              <w:rPr>
                <w:sz w:val="20"/>
                <w:szCs w:val="20"/>
                <w:u w:val="double"/>
              </w:rPr>
              <w:t xml:space="preserve">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9.</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WATER RATE BASE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$172,587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$17</w:t>
            </w:r>
            <w:r>
              <w:rPr>
                <w:sz w:val="20"/>
                <w:szCs w:val="20"/>
                <w:u w:val="double"/>
              </w:rPr>
              <w:t>7,513</w:t>
            </w:r>
            <w:r w:rsidRPr="00E2052D">
              <w:rPr>
                <w:sz w:val="20"/>
                <w:szCs w:val="20"/>
                <w:u w:val="double"/>
              </w:rPr>
              <w:t xml:space="preserve">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$17</w:t>
            </w:r>
            <w:r>
              <w:rPr>
                <w:sz w:val="20"/>
                <w:szCs w:val="20"/>
                <w:u w:val="double"/>
              </w:rPr>
              <w:t>7,513</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79"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10.</w:t>
            </w:r>
          </w:p>
        </w:tc>
        <w:tc>
          <w:tcPr>
            <w:tcW w:w="3262"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RATE OF RETURN</w:t>
            </w:r>
          </w:p>
        </w:tc>
        <w:tc>
          <w:tcPr>
            <w:tcW w:w="162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3.66%</w:t>
            </w:r>
          </w:p>
        </w:tc>
        <w:tc>
          <w:tcPr>
            <w:tcW w:w="1494"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3.66%</w:t>
            </w:r>
          </w:p>
        </w:tc>
      </w:tr>
      <w:tr w:rsidR="00C22735" w:rsidTr="00C22735">
        <w:trPr>
          <w:trHeight w:val="315"/>
          <w:jc w:val="center"/>
        </w:trPr>
        <w:tc>
          <w:tcPr>
            <w:tcW w:w="479" w:type="dxa"/>
            <w:tcBorders>
              <w:top w:val="nil"/>
              <w:left w:val="single" w:sz="8" w:space="0" w:color="auto"/>
              <w:bottom w:val="single" w:sz="8" w:space="0" w:color="auto"/>
              <w:right w:val="nil"/>
            </w:tcBorders>
            <w:shd w:val="clear" w:color="000000" w:fill="FFFFFF"/>
            <w:noWrap/>
            <w:vAlign w:val="bottom"/>
            <w:hideMark/>
          </w:tcPr>
          <w:p w:rsidR="00C22735" w:rsidRPr="00E2052D" w:rsidRDefault="00C22735" w:rsidP="00C22735">
            <w:pPr>
              <w:jc w:val="center"/>
              <w:rPr>
                <w:sz w:val="20"/>
                <w:szCs w:val="20"/>
              </w:rPr>
            </w:pPr>
            <w:r w:rsidRPr="00E2052D">
              <w:rPr>
                <w:sz w:val="20"/>
                <w:szCs w:val="20"/>
              </w:rPr>
              <w:t> </w:t>
            </w:r>
          </w:p>
        </w:tc>
        <w:tc>
          <w:tcPr>
            <w:tcW w:w="3262"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20"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94"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6"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350"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800" w:type="dxa"/>
            <w:tcBorders>
              <w:top w:val="nil"/>
              <w:left w:val="nil"/>
              <w:bottom w:val="single" w:sz="8" w:space="0" w:color="auto"/>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bl>
    <w:p w:rsidR="00C22735" w:rsidRPr="006252C6" w:rsidRDefault="00C22735"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rsidSect="00F633BD">
          <w:headerReference w:type="first" r:id="rId15"/>
          <w:pgSz w:w="15840" w:h="12240" w:orient="landscape" w:code="1"/>
          <w:pgMar w:top="1440" w:right="1440" w:bottom="1440" w:left="1440" w:header="720" w:footer="720" w:gutter="0"/>
          <w:cols w:space="720"/>
          <w:titlePg/>
          <w:docGrid w:linePitch="360"/>
        </w:sectPr>
      </w:pPr>
    </w:p>
    <w:p w:rsidR="00662CDA" w:rsidRPr="006252C6" w:rsidRDefault="00662CDA" w:rsidP="008D1D45">
      <w:pPr>
        <w:pStyle w:val="OrderBody"/>
      </w:pPr>
    </w:p>
    <w:tbl>
      <w:tblPr>
        <w:tblW w:w="11552" w:type="dxa"/>
        <w:jc w:val="center"/>
        <w:tblLook w:val="04A0" w:firstRow="1" w:lastRow="0" w:firstColumn="1" w:lastColumn="0" w:noHBand="0" w:noVBand="1"/>
      </w:tblPr>
      <w:tblGrid>
        <w:gridCol w:w="466"/>
        <w:gridCol w:w="3523"/>
        <w:gridCol w:w="1619"/>
        <w:gridCol w:w="1717"/>
        <w:gridCol w:w="1437"/>
        <w:gridCol w:w="1260"/>
        <w:gridCol w:w="1694"/>
      </w:tblGrid>
      <w:tr w:rsidR="00C22735" w:rsidTr="00C22735">
        <w:trPr>
          <w:trHeight w:val="300"/>
          <w:jc w:val="center"/>
        </w:trPr>
        <w:tc>
          <w:tcPr>
            <w:tcW w:w="3989" w:type="dxa"/>
            <w:gridSpan w:val="2"/>
            <w:tcBorders>
              <w:top w:val="single" w:sz="8" w:space="0" w:color="auto"/>
              <w:left w:val="single" w:sz="8" w:space="0" w:color="auto"/>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AQUARINA UTILITIES, INC.</w:t>
            </w:r>
          </w:p>
        </w:tc>
        <w:tc>
          <w:tcPr>
            <w:tcW w:w="1619" w:type="dxa"/>
            <w:tcBorders>
              <w:top w:val="single" w:sz="8" w:space="0" w:color="auto"/>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single" w:sz="8" w:space="0" w:color="auto"/>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single" w:sz="8" w:space="0" w:color="auto"/>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2790" w:type="dxa"/>
            <w:gridSpan w:val="2"/>
            <w:tcBorders>
              <w:top w:val="single" w:sz="8" w:space="0" w:color="auto"/>
              <w:left w:val="nil"/>
              <w:bottom w:val="nil"/>
              <w:right w:val="single" w:sz="8" w:space="0" w:color="000000"/>
            </w:tcBorders>
            <w:shd w:val="clear" w:color="000000" w:fill="FFFFFF"/>
            <w:noWrap/>
            <w:vAlign w:val="bottom"/>
            <w:hideMark/>
          </w:tcPr>
          <w:p w:rsidR="00C22735" w:rsidRPr="00E2052D" w:rsidRDefault="00C22735" w:rsidP="00C22735">
            <w:pPr>
              <w:jc w:val="right"/>
              <w:rPr>
                <w:b/>
                <w:bCs/>
                <w:sz w:val="20"/>
                <w:szCs w:val="20"/>
              </w:rPr>
            </w:pPr>
            <w:r w:rsidRPr="00E2052D">
              <w:rPr>
                <w:b/>
                <w:bCs/>
                <w:sz w:val="20"/>
                <w:szCs w:val="20"/>
              </w:rPr>
              <w:t>SCHEDULE NO. 3-</w:t>
            </w:r>
            <w:r>
              <w:rPr>
                <w:b/>
                <w:bCs/>
                <w:sz w:val="20"/>
                <w:szCs w:val="20"/>
              </w:rPr>
              <w:t>C</w:t>
            </w:r>
          </w:p>
        </w:tc>
      </w:tr>
      <w:tr w:rsidR="00C22735" w:rsidTr="00C22735">
        <w:trPr>
          <w:trHeight w:val="300"/>
          <w:jc w:val="center"/>
        </w:trPr>
        <w:tc>
          <w:tcPr>
            <w:tcW w:w="5608" w:type="dxa"/>
            <w:gridSpan w:val="3"/>
            <w:tcBorders>
              <w:top w:val="nil"/>
              <w:left w:val="single" w:sz="8" w:space="0" w:color="auto"/>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SCHEDULE OF WASTEWATER OPERATING INCOME</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2790" w:type="dxa"/>
            <w:gridSpan w:val="2"/>
            <w:tcBorders>
              <w:top w:val="nil"/>
              <w:left w:val="nil"/>
              <w:bottom w:val="nil"/>
              <w:right w:val="single" w:sz="8" w:space="0" w:color="000000"/>
            </w:tcBorders>
            <w:shd w:val="clear" w:color="000000" w:fill="FFFFFF"/>
            <w:noWrap/>
            <w:vAlign w:val="center"/>
            <w:hideMark/>
          </w:tcPr>
          <w:p w:rsidR="00C22735" w:rsidRPr="00E2052D" w:rsidRDefault="00C22735" w:rsidP="00C22735">
            <w:pPr>
              <w:jc w:val="right"/>
              <w:rPr>
                <w:b/>
                <w:bCs/>
                <w:sz w:val="20"/>
                <w:szCs w:val="20"/>
              </w:rPr>
            </w:pPr>
            <w:r w:rsidRPr="00E2052D">
              <w:rPr>
                <w:b/>
                <w:bCs/>
                <w:sz w:val="20"/>
                <w:szCs w:val="20"/>
              </w:rPr>
              <w:t>DOCKET NO. 20190080-WS</w:t>
            </w:r>
          </w:p>
        </w:tc>
      </w:tr>
      <w:tr w:rsidR="00C22735" w:rsidTr="00C22735">
        <w:trPr>
          <w:trHeight w:val="315"/>
          <w:jc w:val="center"/>
        </w:trPr>
        <w:tc>
          <w:tcPr>
            <w:tcW w:w="466" w:type="dxa"/>
            <w:tcBorders>
              <w:top w:val="nil"/>
              <w:left w:val="single" w:sz="8" w:space="0" w:color="auto"/>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523"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rPr>
            </w:pPr>
            <w:r>
              <w:rPr>
                <w:rFonts w:ascii="SWISS" w:hAnsi="SWISS" w:cs="Arial"/>
              </w:rPr>
              <w:t> </w:t>
            </w:r>
          </w:p>
        </w:tc>
        <w:tc>
          <w:tcPr>
            <w:tcW w:w="1619"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717"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437"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260" w:type="dxa"/>
            <w:tcBorders>
              <w:top w:val="nil"/>
              <w:left w:val="nil"/>
              <w:bottom w:val="single" w:sz="8" w:space="0" w:color="auto"/>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530" w:type="dxa"/>
            <w:tcBorders>
              <w:top w:val="nil"/>
              <w:left w:val="nil"/>
              <w:bottom w:val="single" w:sz="8" w:space="0" w:color="auto"/>
              <w:right w:val="single" w:sz="8" w:space="0" w:color="auto"/>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APPROVED</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STAFF</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ADJUST.</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rFonts w:ascii="Arial" w:hAnsi="Arial" w:cs="Arial"/>
                <w:b/>
                <w:bCs/>
                <w:sz w:val="20"/>
                <w:szCs w:val="20"/>
              </w:rPr>
            </w:pPr>
            <w:r w:rsidRPr="00E2052D">
              <w:rPr>
                <w:rFonts w:ascii="Arial" w:hAnsi="Arial" w:cs="Arial"/>
                <w:b/>
                <w:bCs/>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IN</w:t>
            </w:r>
            <w:r>
              <w:rPr>
                <w:rFonts w:ascii="Arial" w:hAnsi="Arial" w:cs="Arial"/>
                <w:b/>
                <w:bCs/>
                <w:sz w:val="20"/>
                <w:szCs w:val="20"/>
              </w:rPr>
              <w:t xml:space="preserve"> 2015</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 xml:space="preserve">STAFF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ADJUSTED</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FOR</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REVENUE</w:t>
            </w:r>
          </w:p>
        </w:tc>
      </w:tr>
      <w:tr w:rsidR="00C22735" w:rsidTr="00C22735">
        <w:trPr>
          <w:trHeight w:val="315"/>
          <w:jc w:val="center"/>
        </w:trPr>
        <w:tc>
          <w:tcPr>
            <w:tcW w:w="466" w:type="dxa"/>
            <w:tcBorders>
              <w:top w:val="nil"/>
              <w:left w:val="single" w:sz="8" w:space="0" w:color="auto"/>
              <w:bottom w:val="single" w:sz="8" w:space="0" w:color="auto"/>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3523"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rFonts w:ascii="Arial" w:hAnsi="Arial" w:cs="Arial"/>
                <w:sz w:val="20"/>
                <w:szCs w:val="20"/>
              </w:rPr>
            </w:pPr>
            <w:r w:rsidRPr="00E2052D">
              <w:rPr>
                <w:rFonts w:ascii="Arial" w:hAnsi="Arial" w:cs="Arial"/>
                <w:sz w:val="20"/>
                <w:szCs w:val="20"/>
              </w:rPr>
              <w:t> </w:t>
            </w:r>
          </w:p>
        </w:tc>
        <w:tc>
          <w:tcPr>
            <w:tcW w:w="1619"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Pr>
                <w:rFonts w:ascii="Arial" w:hAnsi="Arial" w:cs="Arial"/>
                <w:b/>
                <w:bCs/>
                <w:sz w:val="20"/>
                <w:szCs w:val="20"/>
              </w:rPr>
              <w:t>S</w:t>
            </w:r>
            <w:r w:rsidRPr="00E2052D">
              <w:rPr>
                <w:rFonts w:ascii="Arial" w:hAnsi="Arial" w:cs="Arial"/>
                <w:b/>
                <w:bCs/>
                <w:sz w:val="20"/>
                <w:szCs w:val="20"/>
              </w:rPr>
              <w:t>ARC Phase II</w:t>
            </w:r>
          </w:p>
        </w:tc>
        <w:tc>
          <w:tcPr>
            <w:tcW w:w="1717"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ADJUSTMENTS</w:t>
            </w:r>
          </w:p>
        </w:tc>
        <w:tc>
          <w:tcPr>
            <w:tcW w:w="1437"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TEST YEAR</w:t>
            </w:r>
          </w:p>
        </w:tc>
        <w:tc>
          <w:tcPr>
            <w:tcW w:w="1260" w:type="dxa"/>
            <w:tcBorders>
              <w:top w:val="nil"/>
              <w:left w:val="nil"/>
              <w:bottom w:val="single" w:sz="8" w:space="0" w:color="auto"/>
              <w:right w:val="nil"/>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INCREASE</w:t>
            </w:r>
          </w:p>
        </w:tc>
        <w:tc>
          <w:tcPr>
            <w:tcW w:w="1530" w:type="dxa"/>
            <w:tcBorders>
              <w:top w:val="nil"/>
              <w:left w:val="nil"/>
              <w:bottom w:val="single" w:sz="8" w:space="0" w:color="auto"/>
              <w:right w:val="single" w:sz="8" w:space="0" w:color="auto"/>
            </w:tcBorders>
            <w:shd w:val="clear" w:color="000000" w:fill="FFFFFF"/>
            <w:noWrap/>
            <w:vAlign w:val="bottom"/>
            <w:hideMark/>
          </w:tcPr>
          <w:p w:rsidR="00C22735" w:rsidRPr="00E2052D" w:rsidRDefault="00C22735" w:rsidP="00C22735">
            <w:pPr>
              <w:jc w:val="center"/>
              <w:rPr>
                <w:rFonts w:ascii="Arial" w:hAnsi="Arial" w:cs="Arial"/>
                <w:b/>
                <w:bCs/>
                <w:sz w:val="20"/>
                <w:szCs w:val="20"/>
              </w:rPr>
            </w:pPr>
            <w:r w:rsidRPr="00E2052D">
              <w:rPr>
                <w:rFonts w:ascii="Arial" w:hAnsi="Arial" w:cs="Arial"/>
                <w:b/>
                <w:bCs/>
                <w:sz w:val="20"/>
                <w:szCs w:val="20"/>
              </w:rPr>
              <w:t>REQUIREMENT</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3523"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619"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717"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437"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26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Default="00C22735" w:rsidP="00C22735">
            <w:pPr>
              <w:rPr>
                <w:rFonts w:ascii="SWISS" w:hAnsi="SWISS" w:cs="Arial"/>
                <w:sz w:val="20"/>
                <w:szCs w:val="20"/>
              </w:rPr>
            </w:pPr>
            <w:r>
              <w:rPr>
                <w:rFonts w:ascii="SWISS" w:hAnsi="SWISS" w:cs="Arial"/>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1.</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OPERATING REVENUES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$180,628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$180,628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$1,387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$182,016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0.77%</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OPERATING EXPENSES:</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2.</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OPERATION &amp; MAINTENANCE</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$151,489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$977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$152,466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$152,466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3.</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DEPRECIATION (NET)</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(3,792)</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269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(3,523)</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(3,523)</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4.</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AMORTIZATION</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0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5.</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TAXES OTHER THAN INCOME</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22,932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78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23,010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62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 xml:space="preserve">23,072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6.</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xml:space="preserve">  INCOME TAXES</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0</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0</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0</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0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7.</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TOTAL OPERATING EXPENSES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$170,628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$1,324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$171,953</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$62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single"/>
              </w:rPr>
            </w:pPr>
            <w:r w:rsidRPr="00E2052D">
              <w:rPr>
                <w:sz w:val="20"/>
                <w:szCs w:val="20"/>
                <w:u w:val="single"/>
              </w:rPr>
              <w:t xml:space="preserve">$172,015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8.</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OPERATING INCOME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$10,000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$8,676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$10,000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9.</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 xml:space="preserve">WASTEWATER OPERATING EXPENSES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$151,489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$63,569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 xml:space="preserve">$152,466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r w:rsidR="00C22735" w:rsidTr="00C22735">
        <w:trPr>
          <w:trHeight w:val="300"/>
          <w:jc w:val="center"/>
        </w:trPr>
        <w:tc>
          <w:tcPr>
            <w:tcW w:w="466" w:type="dxa"/>
            <w:tcBorders>
              <w:top w:val="nil"/>
              <w:left w:val="single" w:sz="8" w:space="0" w:color="auto"/>
              <w:bottom w:val="nil"/>
              <w:right w:val="nil"/>
            </w:tcBorders>
            <w:shd w:val="clear" w:color="000000" w:fill="FFFFFF"/>
            <w:noWrap/>
            <w:vAlign w:val="bottom"/>
            <w:hideMark/>
          </w:tcPr>
          <w:p w:rsidR="00C22735" w:rsidRPr="00E2052D" w:rsidRDefault="00C22735" w:rsidP="00C22735">
            <w:pPr>
              <w:jc w:val="right"/>
              <w:rPr>
                <w:sz w:val="20"/>
                <w:szCs w:val="20"/>
              </w:rPr>
            </w:pPr>
            <w:r w:rsidRPr="00E2052D">
              <w:rPr>
                <w:sz w:val="20"/>
                <w:szCs w:val="20"/>
              </w:rPr>
              <w:t>10.</w:t>
            </w:r>
          </w:p>
        </w:tc>
        <w:tc>
          <w:tcPr>
            <w:tcW w:w="3523" w:type="dxa"/>
            <w:tcBorders>
              <w:top w:val="nil"/>
              <w:left w:val="nil"/>
              <w:bottom w:val="nil"/>
              <w:right w:val="nil"/>
            </w:tcBorders>
            <w:shd w:val="clear" w:color="000000" w:fill="FFFFFF"/>
            <w:noWrap/>
            <w:vAlign w:val="bottom"/>
            <w:hideMark/>
          </w:tcPr>
          <w:p w:rsidR="00C22735" w:rsidRPr="00E2052D" w:rsidRDefault="00C22735" w:rsidP="00C22735">
            <w:pPr>
              <w:rPr>
                <w:b/>
                <w:bCs/>
                <w:sz w:val="20"/>
                <w:szCs w:val="20"/>
              </w:rPr>
            </w:pPr>
            <w:r w:rsidRPr="00E2052D">
              <w:rPr>
                <w:b/>
                <w:bCs/>
                <w:sz w:val="20"/>
                <w:szCs w:val="20"/>
              </w:rPr>
              <w:t>OPERATING MARGIN</w:t>
            </w:r>
          </w:p>
        </w:tc>
        <w:tc>
          <w:tcPr>
            <w:tcW w:w="1619"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10.00%</w:t>
            </w:r>
          </w:p>
        </w:tc>
        <w:tc>
          <w:tcPr>
            <w:tcW w:w="1717"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437" w:type="dxa"/>
            <w:tcBorders>
              <w:top w:val="nil"/>
              <w:left w:val="nil"/>
              <w:bottom w:val="nil"/>
              <w:right w:val="nil"/>
            </w:tcBorders>
            <w:shd w:val="clear" w:color="000000" w:fill="FFFFFF"/>
            <w:noWrap/>
            <w:vAlign w:val="bottom"/>
            <w:hideMark/>
          </w:tcPr>
          <w:p w:rsidR="00C22735" w:rsidRPr="00E2052D" w:rsidRDefault="00C22735" w:rsidP="00C22735">
            <w:pPr>
              <w:jc w:val="right"/>
              <w:rPr>
                <w:sz w:val="20"/>
                <w:szCs w:val="20"/>
                <w:u w:val="double"/>
              </w:rPr>
            </w:pPr>
            <w:r w:rsidRPr="00E2052D">
              <w:rPr>
                <w:sz w:val="20"/>
                <w:szCs w:val="20"/>
                <w:u w:val="double"/>
              </w:rPr>
              <w:t>13.65%</w:t>
            </w:r>
          </w:p>
        </w:tc>
        <w:tc>
          <w:tcPr>
            <w:tcW w:w="1260" w:type="dxa"/>
            <w:tcBorders>
              <w:top w:val="nil"/>
              <w:left w:val="nil"/>
              <w:bottom w:val="nil"/>
              <w:right w:val="nil"/>
            </w:tcBorders>
            <w:shd w:val="clear" w:color="000000" w:fill="FFFFFF"/>
            <w:noWrap/>
            <w:vAlign w:val="bottom"/>
            <w:hideMark/>
          </w:tcPr>
          <w:p w:rsidR="00C22735" w:rsidRPr="00E2052D" w:rsidRDefault="00C22735" w:rsidP="00C22735">
            <w:pPr>
              <w:rPr>
                <w:sz w:val="20"/>
                <w:szCs w:val="20"/>
                <w:u w:val="double"/>
              </w:rPr>
            </w:pPr>
          </w:p>
        </w:tc>
        <w:tc>
          <w:tcPr>
            <w:tcW w:w="1530" w:type="dxa"/>
            <w:tcBorders>
              <w:top w:val="nil"/>
              <w:left w:val="nil"/>
              <w:bottom w:val="nil"/>
              <w:right w:val="single" w:sz="8" w:space="0" w:color="auto"/>
            </w:tcBorders>
            <w:shd w:val="clear" w:color="000000" w:fill="FFFFFF"/>
            <w:noWrap/>
            <w:vAlign w:val="bottom"/>
            <w:hideMark/>
          </w:tcPr>
          <w:p w:rsidR="00C22735" w:rsidRPr="00E2052D" w:rsidRDefault="00C22735" w:rsidP="00C22735">
            <w:pPr>
              <w:jc w:val="right"/>
              <w:rPr>
                <w:sz w:val="20"/>
                <w:szCs w:val="20"/>
                <w:u w:val="double"/>
              </w:rPr>
            </w:pPr>
            <w:r>
              <w:rPr>
                <w:sz w:val="20"/>
                <w:szCs w:val="20"/>
                <w:u w:val="double"/>
              </w:rPr>
              <w:t>6.56</w:t>
            </w:r>
            <w:r w:rsidRPr="00E2052D">
              <w:rPr>
                <w:sz w:val="20"/>
                <w:szCs w:val="20"/>
                <w:u w:val="double"/>
              </w:rPr>
              <w:t>%</w:t>
            </w:r>
          </w:p>
        </w:tc>
      </w:tr>
      <w:tr w:rsidR="00C22735" w:rsidTr="00C22735">
        <w:trPr>
          <w:trHeight w:val="315"/>
          <w:jc w:val="center"/>
        </w:trPr>
        <w:tc>
          <w:tcPr>
            <w:tcW w:w="466" w:type="dxa"/>
            <w:tcBorders>
              <w:top w:val="nil"/>
              <w:left w:val="single" w:sz="8" w:space="0" w:color="auto"/>
              <w:bottom w:val="single" w:sz="8" w:space="0" w:color="auto"/>
              <w:right w:val="nil"/>
            </w:tcBorders>
            <w:shd w:val="clear" w:color="000000" w:fill="FFFFFF"/>
            <w:noWrap/>
            <w:vAlign w:val="bottom"/>
            <w:hideMark/>
          </w:tcPr>
          <w:p w:rsidR="00C22735" w:rsidRPr="00E2052D" w:rsidRDefault="00C22735" w:rsidP="00C22735">
            <w:pPr>
              <w:jc w:val="center"/>
              <w:rPr>
                <w:sz w:val="20"/>
                <w:szCs w:val="20"/>
              </w:rPr>
            </w:pPr>
            <w:r w:rsidRPr="00E2052D">
              <w:rPr>
                <w:sz w:val="20"/>
                <w:szCs w:val="20"/>
              </w:rPr>
              <w:t> </w:t>
            </w:r>
          </w:p>
        </w:tc>
        <w:tc>
          <w:tcPr>
            <w:tcW w:w="3523"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619"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717"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437"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260" w:type="dxa"/>
            <w:tcBorders>
              <w:top w:val="nil"/>
              <w:left w:val="nil"/>
              <w:bottom w:val="single" w:sz="8" w:space="0" w:color="auto"/>
              <w:right w:val="nil"/>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c>
          <w:tcPr>
            <w:tcW w:w="1530" w:type="dxa"/>
            <w:tcBorders>
              <w:top w:val="nil"/>
              <w:left w:val="nil"/>
              <w:bottom w:val="single" w:sz="8" w:space="0" w:color="auto"/>
              <w:right w:val="single" w:sz="8" w:space="0" w:color="auto"/>
            </w:tcBorders>
            <w:shd w:val="clear" w:color="000000" w:fill="FFFFFF"/>
            <w:noWrap/>
            <w:vAlign w:val="bottom"/>
            <w:hideMark/>
          </w:tcPr>
          <w:p w:rsidR="00C22735" w:rsidRPr="00E2052D" w:rsidRDefault="00C22735" w:rsidP="00C22735">
            <w:pPr>
              <w:rPr>
                <w:sz w:val="20"/>
                <w:szCs w:val="20"/>
              </w:rPr>
            </w:pPr>
            <w:r w:rsidRPr="00E2052D">
              <w:rPr>
                <w:sz w:val="20"/>
                <w:szCs w:val="20"/>
              </w:rPr>
              <w:t> </w:t>
            </w:r>
          </w:p>
        </w:tc>
      </w:tr>
    </w:tbl>
    <w:p w:rsidR="00C22735" w:rsidRDefault="00C22735" w:rsidP="008D1D45">
      <w:pPr>
        <w:pStyle w:val="OrderBody"/>
      </w:pPr>
    </w:p>
    <w:p w:rsidR="00C22735" w:rsidRPr="006252C6" w:rsidRDefault="00C22735" w:rsidP="008D1D45">
      <w:pPr>
        <w:pStyle w:val="OrderBody"/>
        <w:sectPr w:rsidR="00C22735" w:rsidRPr="006252C6" w:rsidSect="00662CDA">
          <w:headerReference w:type="first" r:id="rId16"/>
          <w:pgSz w:w="15840" w:h="12240" w:orient="landscape" w:code="1"/>
          <w:pgMar w:top="1440" w:right="1440" w:bottom="1440" w:left="1440" w:header="720" w:footer="720" w:gutter="0"/>
          <w:cols w:space="720"/>
          <w:titlePg/>
          <w:docGrid w:linePitch="360"/>
        </w:sectPr>
      </w:pPr>
    </w:p>
    <w:p w:rsidR="00662CDA" w:rsidRPr="006252C6" w:rsidRDefault="00662CDA" w:rsidP="008D1D45">
      <w:pPr>
        <w:pStyle w:val="OrderBody"/>
      </w:pPr>
    </w:p>
    <w:tbl>
      <w:tblPr>
        <w:tblW w:w="10919" w:type="dxa"/>
        <w:jc w:val="center"/>
        <w:tblLook w:val="04A0" w:firstRow="1" w:lastRow="0" w:firstColumn="1" w:lastColumn="0" w:noHBand="0" w:noVBand="1"/>
      </w:tblPr>
      <w:tblGrid>
        <w:gridCol w:w="389"/>
        <w:gridCol w:w="6480"/>
        <w:gridCol w:w="990"/>
        <w:gridCol w:w="1440"/>
        <w:gridCol w:w="1695"/>
      </w:tblGrid>
      <w:tr w:rsidR="00C22735" w:rsidTr="00C22735">
        <w:trPr>
          <w:trHeight w:val="300"/>
          <w:jc w:val="center"/>
        </w:trPr>
        <w:tc>
          <w:tcPr>
            <w:tcW w:w="6869" w:type="dxa"/>
            <w:gridSpan w:val="2"/>
            <w:tcBorders>
              <w:top w:val="single" w:sz="8" w:space="0" w:color="auto"/>
              <w:left w:val="single" w:sz="8" w:space="0" w:color="auto"/>
              <w:bottom w:val="nil"/>
              <w:right w:val="nil"/>
            </w:tcBorders>
            <w:shd w:val="clear" w:color="000000" w:fill="FFFFFF"/>
            <w:noWrap/>
            <w:vAlign w:val="bottom"/>
            <w:hideMark/>
          </w:tcPr>
          <w:p w:rsidR="00C22735" w:rsidRPr="005A55D5" w:rsidRDefault="00C22735" w:rsidP="00C22735">
            <w:pPr>
              <w:rPr>
                <w:b/>
                <w:bCs/>
                <w:sz w:val="20"/>
                <w:szCs w:val="20"/>
              </w:rPr>
            </w:pPr>
            <w:bookmarkStart w:id="14" w:name="RANGE!A1:E9"/>
            <w:r w:rsidRPr="005A55D5">
              <w:rPr>
                <w:b/>
                <w:bCs/>
                <w:sz w:val="20"/>
                <w:szCs w:val="20"/>
              </w:rPr>
              <w:t>AQUARINA UTILITIES, INC.</w:t>
            </w:r>
            <w:bookmarkEnd w:id="14"/>
          </w:p>
        </w:tc>
        <w:tc>
          <w:tcPr>
            <w:tcW w:w="4050" w:type="dxa"/>
            <w:gridSpan w:val="3"/>
            <w:tcBorders>
              <w:top w:val="single" w:sz="8" w:space="0" w:color="auto"/>
              <w:left w:val="nil"/>
              <w:bottom w:val="nil"/>
              <w:right w:val="single" w:sz="8" w:space="0" w:color="000000"/>
            </w:tcBorders>
            <w:shd w:val="clear" w:color="000000" w:fill="FFFFFF"/>
            <w:noWrap/>
            <w:vAlign w:val="center"/>
            <w:hideMark/>
          </w:tcPr>
          <w:p w:rsidR="00C22735" w:rsidRPr="005A55D5" w:rsidRDefault="00C22735" w:rsidP="00C22735">
            <w:pPr>
              <w:jc w:val="right"/>
              <w:rPr>
                <w:b/>
                <w:bCs/>
                <w:sz w:val="20"/>
                <w:szCs w:val="20"/>
              </w:rPr>
            </w:pPr>
            <w:r w:rsidRPr="005A55D5">
              <w:rPr>
                <w:b/>
                <w:bCs/>
                <w:sz w:val="20"/>
                <w:szCs w:val="20"/>
              </w:rPr>
              <w:t>Schedule No. 3-</w:t>
            </w:r>
            <w:r>
              <w:rPr>
                <w:b/>
                <w:bCs/>
                <w:sz w:val="20"/>
                <w:szCs w:val="20"/>
              </w:rPr>
              <w:t>D</w:t>
            </w:r>
          </w:p>
        </w:tc>
      </w:tr>
      <w:tr w:rsidR="00C22735" w:rsidTr="00C22735">
        <w:trPr>
          <w:trHeight w:val="300"/>
          <w:jc w:val="center"/>
        </w:trPr>
        <w:tc>
          <w:tcPr>
            <w:tcW w:w="6869" w:type="dxa"/>
            <w:gridSpan w:val="2"/>
            <w:tcBorders>
              <w:top w:val="nil"/>
              <w:left w:val="single" w:sz="8" w:space="0" w:color="auto"/>
              <w:bottom w:val="nil"/>
              <w:right w:val="nil"/>
            </w:tcBorders>
            <w:shd w:val="clear" w:color="000000" w:fill="FFFFFF"/>
            <w:noWrap/>
            <w:vAlign w:val="bottom"/>
            <w:hideMark/>
          </w:tcPr>
          <w:p w:rsidR="00C22735" w:rsidRPr="005A55D5" w:rsidRDefault="00C22735" w:rsidP="00C22735">
            <w:pPr>
              <w:rPr>
                <w:b/>
                <w:bCs/>
                <w:sz w:val="20"/>
                <w:szCs w:val="20"/>
              </w:rPr>
            </w:pPr>
            <w:r w:rsidRPr="005A55D5">
              <w:rPr>
                <w:b/>
                <w:bCs/>
                <w:sz w:val="20"/>
                <w:szCs w:val="20"/>
              </w:rPr>
              <w:t>ADJUSTMENTS TO OPERATING INCOME</w:t>
            </w:r>
          </w:p>
        </w:tc>
        <w:tc>
          <w:tcPr>
            <w:tcW w:w="4050" w:type="dxa"/>
            <w:gridSpan w:val="3"/>
            <w:tcBorders>
              <w:top w:val="nil"/>
              <w:left w:val="nil"/>
              <w:bottom w:val="nil"/>
              <w:right w:val="single" w:sz="8" w:space="0" w:color="000000"/>
            </w:tcBorders>
            <w:shd w:val="clear" w:color="000000" w:fill="FFFFFF"/>
            <w:noWrap/>
            <w:vAlign w:val="center"/>
            <w:hideMark/>
          </w:tcPr>
          <w:p w:rsidR="00C22735" w:rsidRPr="005A55D5" w:rsidRDefault="00C22735" w:rsidP="00C22735">
            <w:pPr>
              <w:jc w:val="right"/>
              <w:rPr>
                <w:b/>
                <w:bCs/>
                <w:sz w:val="20"/>
                <w:szCs w:val="20"/>
              </w:rPr>
            </w:pPr>
            <w:r w:rsidRPr="005A55D5">
              <w:rPr>
                <w:b/>
                <w:bCs/>
                <w:sz w:val="20"/>
                <w:szCs w:val="20"/>
              </w:rPr>
              <w:t>DOCKET NO. 20190080-WS</w:t>
            </w:r>
          </w:p>
        </w:tc>
      </w:tr>
      <w:tr w:rsidR="00C22735" w:rsidTr="00C22735">
        <w:trPr>
          <w:trHeight w:val="315"/>
          <w:jc w:val="center"/>
        </w:trPr>
        <w:tc>
          <w:tcPr>
            <w:tcW w:w="389" w:type="dxa"/>
            <w:tcBorders>
              <w:top w:val="nil"/>
              <w:left w:val="single" w:sz="8" w:space="0" w:color="auto"/>
              <w:bottom w:val="single" w:sz="8" w:space="0" w:color="auto"/>
              <w:right w:val="nil"/>
            </w:tcBorders>
            <w:shd w:val="clear" w:color="000000" w:fill="FFFFFF"/>
            <w:noWrap/>
            <w:vAlign w:val="bottom"/>
            <w:hideMark/>
          </w:tcPr>
          <w:p w:rsidR="00C22735" w:rsidRDefault="00C22735" w:rsidP="00C22735">
            <w:pPr>
              <w:jc w:val="right"/>
              <w:rPr>
                <w:rFonts w:ascii="SWISS" w:hAnsi="SWISS" w:cs="Arial"/>
                <w:sz w:val="20"/>
                <w:szCs w:val="20"/>
              </w:rPr>
            </w:pPr>
            <w:r>
              <w:rPr>
                <w:rFonts w:ascii="SWISS" w:hAnsi="SWISS" w:cs="Arial"/>
                <w:sz w:val="20"/>
                <w:szCs w:val="20"/>
              </w:rPr>
              <w:t> </w:t>
            </w:r>
          </w:p>
        </w:tc>
        <w:tc>
          <w:tcPr>
            <w:tcW w:w="648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rPr>
            </w:pPr>
            <w:r>
              <w:rPr>
                <w:rFonts w:ascii="SWISS" w:hAnsi="SWISS" w:cs="Arial"/>
              </w:rPr>
              <w:t> </w:t>
            </w:r>
          </w:p>
        </w:tc>
        <w:tc>
          <w:tcPr>
            <w:tcW w:w="99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rPr>
            </w:pPr>
            <w:r>
              <w:rPr>
                <w:rFonts w:ascii="SWISS" w:hAnsi="SWISS" w:cs="Arial"/>
              </w:rPr>
              <w:t> </w:t>
            </w:r>
          </w:p>
        </w:tc>
        <w:tc>
          <w:tcPr>
            <w:tcW w:w="1440" w:type="dxa"/>
            <w:tcBorders>
              <w:top w:val="nil"/>
              <w:left w:val="nil"/>
              <w:bottom w:val="nil"/>
              <w:right w:val="nil"/>
            </w:tcBorders>
            <w:shd w:val="clear" w:color="000000" w:fill="FFFFFF"/>
            <w:noWrap/>
            <w:vAlign w:val="bottom"/>
            <w:hideMark/>
          </w:tcPr>
          <w:p w:rsidR="00C22735" w:rsidRDefault="00C22735" w:rsidP="00C22735">
            <w:pPr>
              <w:rPr>
                <w:rFonts w:ascii="SWISS" w:hAnsi="SWISS" w:cs="Arial"/>
              </w:rPr>
            </w:pPr>
            <w:r>
              <w:rPr>
                <w:rFonts w:ascii="SWISS" w:hAnsi="SWISS" w:cs="Arial"/>
              </w:rPr>
              <w:t> </w:t>
            </w:r>
          </w:p>
        </w:tc>
        <w:tc>
          <w:tcPr>
            <w:tcW w:w="1620" w:type="dxa"/>
            <w:tcBorders>
              <w:top w:val="nil"/>
              <w:left w:val="nil"/>
              <w:bottom w:val="single" w:sz="8" w:space="0" w:color="auto"/>
              <w:right w:val="single" w:sz="8" w:space="0" w:color="auto"/>
            </w:tcBorders>
            <w:shd w:val="clear" w:color="000000" w:fill="FFFFFF"/>
            <w:noWrap/>
            <w:vAlign w:val="center"/>
            <w:hideMark/>
          </w:tcPr>
          <w:p w:rsidR="00C22735" w:rsidRDefault="00C22735" w:rsidP="00C22735">
            <w:pPr>
              <w:jc w:val="right"/>
              <w:rPr>
                <w:rFonts w:ascii="SWISS" w:hAnsi="SWISS" w:cs="Arial"/>
                <w:b/>
                <w:bCs/>
                <w:sz w:val="20"/>
                <w:szCs w:val="20"/>
              </w:rPr>
            </w:pPr>
            <w:r>
              <w:rPr>
                <w:rFonts w:ascii="SWISS" w:hAnsi="SWISS" w:cs="Arial"/>
                <w:b/>
                <w:bCs/>
                <w:sz w:val="20"/>
                <w:szCs w:val="20"/>
              </w:rPr>
              <w:t>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single" w:sz="8" w:space="0" w:color="auto"/>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990" w:type="dxa"/>
            <w:tcBorders>
              <w:top w:val="single" w:sz="8" w:space="0" w:color="auto"/>
              <w:left w:val="nil"/>
              <w:bottom w:val="nil"/>
              <w:right w:val="nil"/>
            </w:tcBorders>
            <w:shd w:val="clear" w:color="000000" w:fill="FFFFFF"/>
            <w:noWrap/>
            <w:vAlign w:val="bottom"/>
            <w:hideMark/>
          </w:tcPr>
          <w:p w:rsidR="00C22735" w:rsidRPr="005A55D5" w:rsidRDefault="00C22735" w:rsidP="00C22735">
            <w:pPr>
              <w:jc w:val="center"/>
              <w:rPr>
                <w:b/>
                <w:bCs/>
                <w:sz w:val="20"/>
                <w:szCs w:val="20"/>
                <w:u w:val="single"/>
              </w:rPr>
            </w:pPr>
            <w:r w:rsidRPr="005A55D5">
              <w:rPr>
                <w:b/>
                <w:bCs/>
                <w:sz w:val="20"/>
                <w:szCs w:val="20"/>
                <w:u w:val="single"/>
              </w:rPr>
              <w:t>WATER</w:t>
            </w:r>
          </w:p>
        </w:tc>
        <w:tc>
          <w:tcPr>
            <w:tcW w:w="1440" w:type="dxa"/>
            <w:tcBorders>
              <w:top w:val="single" w:sz="8" w:space="0" w:color="auto"/>
              <w:left w:val="nil"/>
              <w:bottom w:val="nil"/>
              <w:right w:val="nil"/>
            </w:tcBorders>
            <w:shd w:val="clear" w:color="000000" w:fill="FFFFFF"/>
            <w:noWrap/>
            <w:vAlign w:val="bottom"/>
            <w:hideMark/>
          </w:tcPr>
          <w:p w:rsidR="00C22735" w:rsidRPr="005A55D5" w:rsidRDefault="00C22735" w:rsidP="00C22735">
            <w:pPr>
              <w:jc w:val="center"/>
              <w:rPr>
                <w:b/>
                <w:bCs/>
                <w:sz w:val="20"/>
                <w:szCs w:val="20"/>
                <w:u w:val="single"/>
              </w:rPr>
            </w:pPr>
            <w:r w:rsidRPr="005A55D5">
              <w:rPr>
                <w:b/>
                <w:bCs/>
                <w:sz w:val="20"/>
                <w:szCs w:val="20"/>
                <w:u w:val="single"/>
              </w:rPr>
              <w:t>NP WATER</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center"/>
              <w:rPr>
                <w:b/>
                <w:bCs/>
                <w:sz w:val="20"/>
                <w:szCs w:val="20"/>
                <w:u w:val="single"/>
              </w:rPr>
            </w:pPr>
            <w:r w:rsidRPr="005A55D5">
              <w:rPr>
                <w:b/>
                <w:bCs/>
                <w:sz w:val="20"/>
                <w:szCs w:val="20"/>
                <w:u w:val="single"/>
              </w:rPr>
              <w:t>WASTEWATER</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b/>
                <w:bCs/>
                <w:sz w:val="20"/>
                <w:szCs w:val="20"/>
              </w:rPr>
            </w:pPr>
            <w:r w:rsidRPr="005A55D5">
              <w:rPr>
                <w:b/>
                <w:bCs/>
                <w:sz w:val="20"/>
                <w:szCs w:val="20"/>
              </w:rPr>
              <w:t>OPERATION AND MAINTENANCE EXPENSES</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Regulatory Commission Expense (665/765)</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u w:val="double"/>
              </w:rPr>
            </w:pP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u w:val="double"/>
              </w:rPr>
            </w:pP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u w:val="double"/>
              </w:rPr>
            </w:pPr>
          </w:p>
        </w:tc>
      </w:tr>
      <w:tr w:rsidR="00C22735" w:rsidTr="00C22735">
        <w:trPr>
          <w:trHeight w:val="345"/>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vAlign w:val="center"/>
            <w:hideMark/>
          </w:tcPr>
          <w:p w:rsidR="00C22735" w:rsidRPr="005A55D5" w:rsidRDefault="00C22735" w:rsidP="00C22735">
            <w:pPr>
              <w:rPr>
                <w:sz w:val="20"/>
                <w:szCs w:val="20"/>
              </w:rPr>
            </w:pPr>
            <w:r w:rsidRPr="005A55D5">
              <w:rPr>
                <w:sz w:val="20"/>
                <w:szCs w:val="20"/>
              </w:rPr>
              <w:t xml:space="preserve">  To reflect appropriate amortized rate case expense.</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$977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$977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$977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u w:val="single"/>
              </w:rPr>
            </w:pP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b/>
                <w:bCs/>
                <w:sz w:val="20"/>
                <w:szCs w:val="20"/>
              </w:rPr>
            </w:pPr>
            <w:r w:rsidRPr="005A55D5">
              <w:rPr>
                <w:b/>
                <w:bCs/>
                <w:sz w:val="20"/>
                <w:szCs w:val="20"/>
              </w:rPr>
              <w:t>TOTAL OPERATION &amp; MAINTENANCE ADJUSTMENTS</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$977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$977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$977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b/>
                <w:bCs/>
                <w:sz w:val="20"/>
                <w:szCs w:val="20"/>
              </w:rPr>
            </w:pPr>
            <w:r w:rsidRPr="005A55D5">
              <w:rPr>
                <w:b/>
                <w:bCs/>
                <w:sz w:val="20"/>
                <w:szCs w:val="20"/>
              </w:rPr>
              <w:t>DEPRECIATION EXPENSE</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1.</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xml:space="preserve">To reflect net depreciation expense associated with pro forma plant additions. </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xml:space="preserve">$431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w:t>
            </w:r>
            <w:r>
              <w:rPr>
                <w:sz w:val="20"/>
                <w:szCs w:val="20"/>
              </w:rPr>
              <w:t>62</w:t>
            </w:r>
            <w:r w:rsidRPr="005A55D5">
              <w:rPr>
                <w:sz w:val="20"/>
                <w:szCs w:val="20"/>
              </w:rPr>
              <w:t xml:space="preserve">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xml:space="preserve">$269 </w:t>
            </w:r>
          </w:p>
        </w:tc>
      </w:tr>
      <w:tr w:rsidR="00C22735" w:rsidTr="00C22735">
        <w:trPr>
          <w:trHeight w:val="180"/>
          <w:jc w:val="center"/>
        </w:trPr>
        <w:tc>
          <w:tcPr>
            <w:tcW w:w="389" w:type="dxa"/>
            <w:tcBorders>
              <w:top w:val="nil"/>
              <w:left w:val="single" w:sz="8" w:space="0" w:color="auto"/>
              <w:bottom w:val="nil"/>
              <w:right w:val="nil"/>
            </w:tcBorders>
            <w:shd w:val="clear" w:color="000000" w:fill="FFFFFF"/>
            <w:noWrap/>
            <w:hideMark/>
          </w:tcPr>
          <w:p w:rsidR="00C22735" w:rsidRPr="005A55D5" w:rsidRDefault="00C22735" w:rsidP="00C22735">
            <w:pPr>
              <w:jc w:val="right"/>
              <w:rPr>
                <w:sz w:val="20"/>
                <w:szCs w:val="20"/>
              </w:rPr>
            </w:pPr>
            <w:r w:rsidRPr="005A55D5">
              <w:rPr>
                <w:sz w:val="20"/>
                <w:szCs w:val="20"/>
              </w:rPr>
              <w:t>2.</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To reflect the appropriate Non-U&amp;U</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single"/>
              </w:rPr>
            </w:pPr>
            <w:r w:rsidRPr="005A55D5">
              <w:rPr>
                <w:sz w:val="20"/>
                <w:szCs w:val="20"/>
                <w:u w:val="single"/>
              </w:rPr>
              <w:t>(82)</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single"/>
              </w:rPr>
            </w:pPr>
            <w:r w:rsidRPr="005A55D5">
              <w:rPr>
                <w:sz w:val="20"/>
                <w:szCs w:val="20"/>
                <w:u w:val="single"/>
              </w:rPr>
              <w:t xml:space="preserve">0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single"/>
              </w:rPr>
            </w:pPr>
            <w:r w:rsidRPr="005A55D5">
              <w:rPr>
                <w:sz w:val="20"/>
                <w:szCs w:val="20"/>
                <w:u w:val="single"/>
              </w:rPr>
              <w:t xml:space="preserve">0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xml:space="preserve">  Total</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$349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w:t>
            </w:r>
            <w:r>
              <w:rPr>
                <w:sz w:val="20"/>
                <w:szCs w:val="20"/>
                <w:u w:val="double"/>
              </w:rPr>
              <w:t>62</w:t>
            </w:r>
            <w:r w:rsidRPr="005A55D5">
              <w:rPr>
                <w:sz w:val="20"/>
                <w:szCs w:val="20"/>
                <w:u w:val="double"/>
              </w:rPr>
              <w:t xml:space="preserve">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$269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b/>
                <w:bCs/>
                <w:sz w:val="20"/>
                <w:szCs w:val="20"/>
              </w:rPr>
            </w:pPr>
            <w:r w:rsidRPr="005A55D5">
              <w:rPr>
                <w:b/>
                <w:bCs/>
                <w:sz w:val="20"/>
                <w:szCs w:val="20"/>
              </w:rPr>
              <w:t>AMORTIZATION EXPENSE</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hideMark/>
          </w:tcPr>
          <w:p w:rsidR="00C22735" w:rsidRPr="005A55D5" w:rsidRDefault="00C22735" w:rsidP="00C22735">
            <w:pPr>
              <w:jc w:val="right"/>
              <w:rPr>
                <w:sz w:val="20"/>
                <w:szCs w:val="20"/>
              </w:rPr>
            </w:pPr>
            <w:r w:rsidRPr="005A55D5">
              <w:rPr>
                <w:sz w:val="20"/>
                <w:szCs w:val="20"/>
              </w:rPr>
              <w:t>1.</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To reflect loss on early abandonment</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$0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w:t>
            </w:r>
            <w:r>
              <w:rPr>
                <w:sz w:val="20"/>
                <w:szCs w:val="20"/>
                <w:u w:val="double"/>
              </w:rPr>
              <w:t>774</w:t>
            </w:r>
            <w:r w:rsidRPr="005A55D5">
              <w:rPr>
                <w:sz w:val="20"/>
                <w:szCs w:val="20"/>
                <w:u w:val="double"/>
              </w:rPr>
              <w:t xml:space="preserve">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$0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15"/>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b/>
                <w:bCs/>
                <w:sz w:val="20"/>
                <w:szCs w:val="20"/>
              </w:rPr>
            </w:pPr>
            <w:r w:rsidRPr="005A55D5">
              <w:rPr>
                <w:b/>
                <w:bCs/>
                <w:sz w:val="20"/>
                <w:szCs w:val="20"/>
              </w:rPr>
              <w:t>TAXES OTHER THAN INCOME</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r>
      <w:tr w:rsidR="00C22735" w:rsidTr="00C22735">
        <w:trPr>
          <w:trHeight w:val="315"/>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1.</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To reflect appropriate taxes associated with pro forma plant additions.</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w:t>
            </w:r>
            <w:r>
              <w:rPr>
                <w:sz w:val="20"/>
                <w:szCs w:val="20"/>
              </w:rPr>
              <w:t>165</w:t>
            </w:r>
            <w:r w:rsidRPr="005A55D5">
              <w:rPr>
                <w:sz w:val="20"/>
                <w:szCs w:val="20"/>
              </w:rPr>
              <w:t xml:space="preserve">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w:t>
            </w:r>
            <w:r>
              <w:rPr>
                <w:sz w:val="20"/>
                <w:szCs w:val="20"/>
              </w:rPr>
              <w:t>20</w:t>
            </w:r>
            <w:r w:rsidRPr="005A55D5">
              <w:rPr>
                <w:sz w:val="20"/>
                <w:szCs w:val="20"/>
              </w:rPr>
              <w:t xml:space="preserve">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xml:space="preserve">$78 </w:t>
            </w:r>
          </w:p>
        </w:tc>
      </w:tr>
      <w:tr w:rsidR="00C22735" w:rsidTr="00C22735">
        <w:trPr>
          <w:trHeight w:val="261"/>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2.</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To reflect the appropriate Non-U&amp;U</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single"/>
              </w:rPr>
            </w:pPr>
            <w:r w:rsidRPr="005A55D5">
              <w:rPr>
                <w:sz w:val="20"/>
                <w:szCs w:val="20"/>
                <w:u w:val="single"/>
              </w:rPr>
              <w:t>(</w:t>
            </w:r>
            <w:r>
              <w:rPr>
                <w:sz w:val="20"/>
                <w:szCs w:val="20"/>
                <w:u w:val="single"/>
              </w:rPr>
              <w:t>31</w:t>
            </w:r>
            <w:r w:rsidRPr="005A55D5">
              <w:rPr>
                <w:sz w:val="20"/>
                <w:szCs w:val="20"/>
                <w:u w:val="single"/>
              </w:rPr>
              <w:t>)</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single"/>
              </w:rPr>
            </w:pPr>
            <w:r w:rsidRPr="005A55D5">
              <w:rPr>
                <w:sz w:val="20"/>
                <w:szCs w:val="20"/>
                <w:u w:val="single"/>
              </w:rPr>
              <w:t xml:space="preserve">0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single"/>
              </w:rPr>
            </w:pPr>
            <w:r w:rsidRPr="005A55D5">
              <w:rPr>
                <w:sz w:val="20"/>
                <w:szCs w:val="20"/>
                <w:u w:val="single"/>
              </w:rPr>
              <w:t xml:space="preserve">0 </w:t>
            </w:r>
          </w:p>
        </w:tc>
      </w:tr>
      <w:tr w:rsidR="00C22735" w:rsidTr="00C22735">
        <w:trPr>
          <w:trHeight w:val="300"/>
          <w:jc w:val="center"/>
        </w:trPr>
        <w:tc>
          <w:tcPr>
            <w:tcW w:w="389" w:type="dxa"/>
            <w:tcBorders>
              <w:top w:val="nil"/>
              <w:left w:val="single" w:sz="8" w:space="0" w:color="auto"/>
              <w:bottom w:val="nil"/>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nil"/>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xml:space="preserve">  Total</w:t>
            </w:r>
          </w:p>
        </w:tc>
        <w:tc>
          <w:tcPr>
            <w:tcW w:w="99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w:t>
            </w:r>
            <w:r>
              <w:rPr>
                <w:sz w:val="20"/>
                <w:szCs w:val="20"/>
                <w:u w:val="double"/>
              </w:rPr>
              <w:t>134</w:t>
            </w:r>
            <w:r w:rsidRPr="005A55D5">
              <w:rPr>
                <w:sz w:val="20"/>
                <w:szCs w:val="20"/>
                <w:u w:val="double"/>
              </w:rPr>
              <w:t xml:space="preserve"> </w:t>
            </w:r>
          </w:p>
        </w:tc>
        <w:tc>
          <w:tcPr>
            <w:tcW w:w="1440" w:type="dxa"/>
            <w:tcBorders>
              <w:top w:val="nil"/>
              <w:left w:val="nil"/>
              <w:bottom w:val="nil"/>
              <w:right w:val="nil"/>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w:t>
            </w:r>
            <w:r>
              <w:rPr>
                <w:sz w:val="20"/>
                <w:szCs w:val="20"/>
                <w:u w:val="double"/>
              </w:rPr>
              <w:t>2</w:t>
            </w:r>
            <w:r w:rsidRPr="005A55D5">
              <w:rPr>
                <w:sz w:val="20"/>
                <w:szCs w:val="20"/>
                <w:u w:val="double"/>
              </w:rPr>
              <w:t xml:space="preserve">0 </w:t>
            </w:r>
          </w:p>
        </w:tc>
        <w:tc>
          <w:tcPr>
            <w:tcW w:w="1620" w:type="dxa"/>
            <w:tcBorders>
              <w:top w:val="nil"/>
              <w:left w:val="nil"/>
              <w:bottom w:val="nil"/>
              <w:right w:val="single" w:sz="8" w:space="0" w:color="auto"/>
            </w:tcBorders>
            <w:shd w:val="clear" w:color="000000" w:fill="FFFFFF"/>
            <w:noWrap/>
            <w:vAlign w:val="bottom"/>
            <w:hideMark/>
          </w:tcPr>
          <w:p w:rsidR="00C22735" w:rsidRPr="005A55D5" w:rsidRDefault="00C22735" w:rsidP="00C22735">
            <w:pPr>
              <w:jc w:val="right"/>
              <w:rPr>
                <w:sz w:val="20"/>
                <w:szCs w:val="20"/>
                <w:u w:val="double"/>
              </w:rPr>
            </w:pPr>
            <w:r w:rsidRPr="005A55D5">
              <w:rPr>
                <w:sz w:val="20"/>
                <w:szCs w:val="20"/>
                <w:u w:val="double"/>
              </w:rPr>
              <w:t xml:space="preserve">$78 </w:t>
            </w:r>
          </w:p>
        </w:tc>
      </w:tr>
      <w:tr w:rsidR="00C22735" w:rsidTr="00C22735">
        <w:trPr>
          <w:trHeight w:val="315"/>
          <w:jc w:val="center"/>
        </w:trPr>
        <w:tc>
          <w:tcPr>
            <w:tcW w:w="389" w:type="dxa"/>
            <w:tcBorders>
              <w:top w:val="nil"/>
              <w:left w:val="single" w:sz="8" w:space="0" w:color="auto"/>
              <w:bottom w:val="single" w:sz="8" w:space="0" w:color="auto"/>
              <w:right w:val="nil"/>
            </w:tcBorders>
            <w:shd w:val="clear" w:color="000000" w:fill="FFFFFF"/>
            <w:noWrap/>
            <w:vAlign w:val="bottom"/>
            <w:hideMark/>
          </w:tcPr>
          <w:p w:rsidR="00C22735" w:rsidRPr="005A55D5" w:rsidRDefault="00C22735" w:rsidP="00C22735">
            <w:pPr>
              <w:jc w:val="right"/>
              <w:rPr>
                <w:sz w:val="20"/>
                <w:szCs w:val="20"/>
              </w:rPr>
            </w:pPr>
            <w:r w:rsidRPr="005A55D5">
              <w:rPr>
                <w:sz w:val="20"/>
                <w:szCs w:val="20"/>
              </w:rPr>
              <w:t> </w:t>
            </w:r>
          </w:p>
        </w:tc>
        <w:tc>
          <w:tcPr>
            <w:tcW w:w="6480" w:type="dxa"/>
            <w:tcBorders>
              <w:top w:val="nil"/>
              <w:left w:val="nil"/>
              <w:bottom w:val="single" w:sz="8" w:space="0" w:color="auto"/>
              <w:right w:val="nil"/>
            </w:tcBorders>
            <w:shd w:val="clear" w:color="000000" w:fill="FFFFFF"/>
            <w:noWrap/>
            <w:vAlign w:val="bottom"/>
            <w:hideMark/>
          </w:tcPr>
          <w:p w:rsidR="00C22735" w:rsidRPr="005A55D5" w:rsidRDefault="00C22735" w:rsidP="00C22735">
            <w:pPr>
              <w:rPr>
                <w:sz w:val="20"/>
                <w:szCs w:val="20"/>
              </w:rPr>
            </w:pPr>
            <w:r w:rsidRPr="005A55D5">
              <w:rPr>
                <w:sz w:val="20"/>
                <w:szCs w:val="20"/>
              </w:rPr>
              <w:t> </w:t>
            </w:r>
          </w:p>
        </w:tc>
        <w:tc>
          <w:tcPr>
            <w:tcW w:w="990" w:type="dxa"/>
            <w:tcBorders>
              <w:top w:val="nil"/>
              <w:left w:val="nil"/>
              <w:bottom w:val="single" w:sz="8" w:space="0" w:color="auto"/>
              <w:right w:val="nil"/>
            </w:tcBorders>
            <w:shd w:val="clear" w:color="000000" w:fill="FFFFFF"/>
            <w:noWrap/>
            <w:vAlign w:val="bottom"/>
            <w:hideMark/>
          </w:tcPr>
          <w:p w:rsidR="00C22735" w:rsidRPr="005A55D5" w:rsidRDefault="00C22735" w:rsidP="00C22735">
            <w:pPr>
              <w:rPr>
                <w:sz w:val="20"/>
                <w:szCs w:val="20"/>
                <w:u w:val="double"/>
              </w:rPr>
            </w:pPr>
          </w:p>
        </w:tc>
        <w:tc>
          <w:tcPr>
            <w:tcW w:w="1440" w:type="dxa"/>
            <w:tcBorders>
              <w:top w:val="nil"/>
              <w:left w:val="nil"/>
              <w:bottom w:val="single" w:sz="8" w:space="0" w:color="auto"/>
              <w:right w:val="nil"/>
            </w:tcBorders>
            <w:shd w:val="clear" w:color="000000" w:fill="FFFFFF"/>
            <w:noWrap/>
            <w:vAlign w:val="bottom"/>
            <w:hideMark/>
          </w:tcPr>
          <w:p w:rsidR="00C22735" w:rsidRPr="005A55D5" w:rsidRDefault="00C22735" w:rsidP="00C22735">
            <w:pPr>
              <w:rPr>
                <w:sz w:val="20"/>
                <w:szCs w:val="20"/>
                <w:u w:val="double"/>
              </w:rPr>
            </w:pPr>
          </w:p>
        </w:tc>
        <w:tc>
          <w:tcPr>
            <w:tcW w:w="1620" w:type="dxa"/>
            <w:tcBorders>
              <w:top w:val="nil"/>
              <w:left w:val="nil"/>
              <w:bottom w:val="single" w:sz="8" w:space="0" w:color="auto"/>
              <w:right w:val="single" w:sz="8" w:space="0" w:color="auto"/>
            </w:tcBorders>
            <w:shd w:val="clear" w:color="000000" w:fill="FFFFFF"/>
            <w:noWrap/>
            <w:vAlign w:val="bottom"/>
            <w:hideMark/>
          </w:tcPr>
          <w:p w:rsidR="00C22735" w:rsidRPr="005A55D5" w:rsidRDefault="00C22735" w:rsidP="00C22735">
            <w:pPr>
              <w:rPr>
                <w:sz w:val="20"/>
                <w:szCs w:val="20"/>
                <w:u w:val="double"/>
              </w:rPr>
            </w:pPr>
          </w:p>
        </w:tc>
      </w:tr>
    </w:tbl>
    <w:p w:rsidR="00662CDA" w:rsidRPr="006252C6" w:rsidRDefault="00662CDA"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rsidSect="00662CDA">
          <w:headerReference w:type="first" r:id="rId17"/>
          <w:pgSz w:w="15840" w:h="12240" w:orient="landscape" w:code="1"/>
          <w:pgMar w:top="1440" w:right="1440" w:bottom="1440" w:left="1440" w:header="720" w:footer="720" w:gutter="0"/>
          <w:cols w:space="720"/>
          <w:titlePg/>
          <w:docGrid w:linePitch="360"/>
        </w:sectPr>
      </w:pPr>
    </w:p>
    <w:p w:rsidR="00662CDA" w:rsidRDefault="00662CDA" w:rsidP="008D1D45">
      <w:pPr>
        <w:pStyle w:val="OrderBody"/>
      </w:pPr>
    </w:p>
    <w:p w:rsidR="00245560" w:rsidRDefault="00245560" w:rsidP="008D1D45">
      <w:pPr>
        <w:pStyle w:val="OrderBody"/>
      </w:pPr>
      <w:r w:rsidRPr="00636D9C">
        <w:rPr>
          <w:noProof/>
        </w:rPr>
        <w:drawing>
          <wp:inline distT="0" distB="0" distL="0" distR="0" wp14:anchorId="31C1442C" wp14:editId="5E611DF4">
            <wp:extent cx="5943600" cy="501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013325"/>
                    </a:xfrm>
                    <a:prstGeom prst="rect">
                      <a:avLst/>
                    </a:prstGeom>
                    <a:noFill/>
                    <a:ln>
                      <a:noFill/>
                    </a:ln>
                  </pic:spPr>
                </pic:pic>
              </a:graphicData>
            </a:graphic>
          </wp:inline>
        </w:drawing>
      </w:r>
    </w:p>
    <w:p w:rsidR="00245560" w:rsidRDefault="00245560" w:rsidP="008D1D45">
      <w:pPr>
        <w:pStyle w:val="OrderBody"/>
      </w:pPr>
    </w:p>
    <w:p w:rsidR="002C42CC" w:rsidRDefault="002C42CC" w:rsidP="008D1D45">
      <w:pPr>
        <w:pStyle w:val="OrderBody"/>
      </w:pPr>
    </w:p>
    <w:p w:rsidR="002C42CC" w:rsidRDefault="002C42CC" w:rsidP="008D1D45">
      <w:pPr>
        <w:pStyle w:val="OrderBody"/>
      </w:pPr>
    </w:p>
    <w:p w:rsidR="002C42CC" w:rsidRPr="006252C6" w:rsidRDefault="002C42CC" w:rsidP="008D1D45">
      <w:pPr>
        <w:pStyle w:val="OrderBody"/>
      </w:pPr>
    </w:p>
    <w:p w:rsidR="00662CDA" w:rsidRPr="006252C6" w:rsidRDefault="00662CDA" w:rsidP="008D1D45">
      <w:pPr>
        <w:pStyle w:val="OrderBody"/>
      </w:pPr>
    </w:p>
    <w:p w:rsidR="00662CDA" w:rsidRPr="006252C6" w:rsidRDefault="00662CDA" w:rsidP="008D1D45">
      <w:pPr>
        <w:pStyle w:val="OrderBody"/>
      </w:pPr>
    </w:p>
    <w:p w:rsidR="00662CDA" w:rsidRPr="006252C6" w:rsidRDefault="00662CDA" w:rsidP="008D1D45">
      <w:pPr>
        <w:pStyle w:val="OrderBody"/>
        <w:sectPr w:rsidR="00662CDA" w:rsidRPr="006252C6" w:rsidSect="00662CDA">
          <w:headerReference w:type="first" r:id="rId19"/>
          <w:pgSz w:w="12240" w:h="15840" w:code="1"/>
          <w:pgMar w:top="1440" w:right="1440" w:bottom="1440" w:left="1440" w:header="720" w:footer="720" w:gutter="0"/>
          <w:cols w:space="720"/>
          <w:titlePg/>
          <w:docGrid w:linePitch="360"/>
        </w:sectPr>
      </w:pPr>
    </w:p>
    <w:p w:rsidR="00662CDA" w:rsidRDefault="00662CDA" w:rsidP="008D1D45">
      <w:pPr>
        <w:pStyle w:val="OrderBody"/>
      </w:pPr>
    </w:p>
    <w:p w:rsidR="002C42CC" w:rsidRDefault="002C42CC" w:rsidP="008D1D45">
      <w:pPr>
        <w:pStyle w:val="OrderBody"/>
      </w:pPr>
    </w:p>
    <w:p w:rsidR="002C42CC" w:rsidRDefault="00472B6A" w:rsidP="008D1D45">
      <w:pPr>
        <w:pStyle w:val="OrderBody"/>
      </w:pPr>
      <w:r w:rsidRPr="000A4079">
        <w:rPr>
          <w:noProof/>
        </w:rPr>
        <w:drawing>
          <wp:inline distT="0" distB="0" distL="0" distR="0" wp14:anchorId="2793C419" wp14:editId="6AD6C6D9">
            <wp:extent cx="5943600" cy="48507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850765"/>
                    </a:xfrm>
                    <a:prstGeom prst="rect">
                      <a:avLst/>
                    </a:prstGeom>
                    <a:noFill/>
                    <a:ln>
                      <a:noFill/>
                    </a:ln>
                  </pic:spPr>
                </pic:pic>
              </a:graphicData>
            </a:graphic>
          </wp:inline>
        </w:drawing>
      </w:r>
    </w:p>
    <w:p w:rsidR="002C42CC" w:rsidRDefault="002C42CC" w:rsidP="008D1D45">
      <w:pPr>
        <w:pStyle w:val="OrderBody"/>
      </w:pPr>
    </w:p>
    <w:p w:rsidR="002C42CC" w:rsidRPr="006252C6" w:rsidRDefault="002C42CC" w:rsidP="008D1D45">
      <w:pPr>
        <w:pStyle w:val="OrderBody"/>
      </w:pPr>
    </w:p>
    <w:p w:rsidR="00662CDA" w:rsidRPr="006252C6" w:rsidRDefault="00662CDA" w:rsidP="008D1D45">
      <w:pPr>
        <w:pStyle w:val="OrderBody"/>
      </w:pPr>
    </w:p>
    <w:sectPr w:rsidR="00662CDA" w:rsidRPr="006252C6" w:rsidSect="00662CDA">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735" w:rsidRDefault="00C22735">
      <w:r>
        <w:separator/>
      </w:r>
    </w:p>
  </w:endnote>
  <w:endnote w:type="continuationSeparator" w:id="0">
    <w:p w:rsidR="00C22735" w:rsidRDefault="00C2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WIS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pPr>
      <w:pStyle w:val="Footer"/>
    </w:pPr>
  </w:p>
  <w:p w:rsidR="00C22735" w:rsidRDefault="00C2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735" w:rsidRDefault="00C22735">
      <w:r>
        <w:separator/>
      </w:r>
    </w:p>
  </w:footnote>
  <w:footnote w:type="continuationSeparator" w:id="0">
    <w:p w:rsidR="00C22735" w:rsidRDefault="00C22735">
      <w:r>
        <w:continuationSeparator/>
      </w:r>
    </w:p>
  </w:footnote>
  <w:footnote w:id="1">
    <w:p w:rsidR="00C22735" w:rsidRDefault="00C22735" w:rsidP="000E4AB3">
      <w:pPr>
        <w:pStyle w:val="FootnoteText"/>
      </w:pPr>
      <w:r w:rsidRPr="001276F0">
        <w:rPr>
          <w:rStyle w:val="FootnoteReference"/>
        </w:rPr>
        <w:footnoteRef/>
      </w:r>
      <w:r>
        <w:t xml:space="preserve"> </w:t>
      </w:r>
      <w:r w:rsidRPr="001276F0">
        <w:t xml:space="preserve">Order No. PSC-2019-0139-PAA-WS, issued April 22, 2019, in Docket No. 20150010-WS, </w:t>
      </w:r>
      <w:r w:rsidRPr="001276F0">
        <w:rPr>
          <w:i/>
        </w:rPr>
        <w:t>In re: Application for staff-assisted rate case in Brevard County by Aquarina Utilities, Inc.</w:t>
      </w:r>
      <w:r w:rsidRPr="0016642B">
        <w:rPr>
          <w:i/>
        </w:rPr>
        <w:t>,</w:t>
      </w:r>
      <w:r w:rsidRPr="0016642B">
        <w:t xml:space="preserve"> </w:t>
      </w:r>
      <w:r>
        <w:t>approving P</w:t>
      </w:r>
      <w:r w:rsidRPr="0016642B">
        <w:t>hase II rate</w:t>
      </w:r>
      <w:r>
        <w:t>s for potable water and wastewater</w:t>
      </w:r>
      <w:r w:rsidRPr="0016642B">
        <w:t>.</w:t>
      </w:r>
    </w:p>
  </w:footnote>
  <w:footnote w:id="2">
    <w:p w:rsidR="00C22735" w:rsidRDefault="00C22735" w:rsidP="00DB4A4A">
      <w:pPr>
        <w:pStyle w:val="FootnoteText"/>
      </w:pPr>
      <w:r>
        <w:rPr>
          <w:rStyle w:val="FootnoteReference"/>
        </w:rPr>
        <w:footnoteRef/>
      </w:r>
      <w:r>
        <w:t xml:space="preserve"> Aquarina’s U&amp;U percentages were set in Order No. PSC 16-0583-PAA-WS, issued December 29, 2016, in Docket No. 20150010-WS, </w:t>
      </w:r>
      <w:r w:rsidRPr="00C33893">
        <w:rPr>
          <w:i/>
        </w:rPr>
        <w:t>In re: Application for staff-assisted rate case in Brevard County by Aquarina Utilities, Inc.</w:t>
      </w:r>
      <w:r>
        <w:t xml:space="preserve"> </w:t>
      </w:r>
    </w:p>
  </w:footnote>
  <w:footnote w:id="3">
    <w:p w:rsidR="00C22735" w:rsidRDefault="00C22735" w:rsidP="000E4AB3">
      <w:pPr>
        <w:pStyle w:val="FootnoteText"/>
      </w:pPr>
      <w:r>
        <w:rPr>
          <w:rStyle w:val="FootnoteReference"/>
        </w:rPr>
        <w:footnoteRef/>
      </w:r>
      <w:r>
        <w:t xml:space="preserve"> The concept of forced abandonment is discussed in more detail below under a separate heading.</w:t>
      </w:r>
    </w:p>
  </w:footnote>
  <w:footnote w:id="4">
    <w:p w:rsidR="00C22735" w:rsidRPr="006C1507" w:rsidRDefault="00C22735" w:rsidP="000E4AB3">
      <w:pPr>
        <w:pStyle w:val="FootnoteText"/>
      </w:pPr>
      <w:r>
        <w:rPr>
          <w:rStyle w:val="FootnoteReference"/>
        </w:rPr>
        <w:footnoteRef/>
      </w:r>
      <w:r>
        <w:t xml:space="preserve"> Order Nos. PSC-03-1342-PAA-WS, issued November 24, 2003, in Docket No, 20021228-WS, </w:t>
      </w:r>
      <w:r w:rsidRPr="00615833">
        <w:rPr>
          <w:i/>
        </w:rPr>
        <w:t>In re: Application for staff-assisted rate case by Service Management Systems, Inc.</w:t>
      </w:r>
      <w:r>
        <w:rPr>
          <w:i/>
        </w:rPr>
        <w:t>,</w:t>
      </w:r>
      <w:r w:rsidRPr="006C1507">
        <w:t xml:space="preserve"> p. 20;</w:t>
      </w:r>
      <w:r w:rsidRPr="00615833">
        <w:rPr>
          <w:i/>
        </w:rPr>
        <w:t xml:space="preserve"> </w:t>
      </w:r>
      <w:r>
        <w:t>and PSC-95-1417-FOF-WS, issued November 21, 1995, in Docket No. 19941234-WS</w:t>
      </w:r>
      <w:r w:rsidRPr="00615833">
        <w:rPr>
          <w:i/>
        </w:rPr>
        <w:t>, In re: Application for staff-assisted rate case in Brevard County by Aquarina Developments, Inc.</w:t>
      </w:r>
      <w:r>
        <w:t>, p. 22.</w:t>
      </w:r>
    </w:p>
  </w:footnote>
  <w:footnote w:id="5">
    <w:p w:rsidR="00C22735" w:rsidRDefault="00C22735" w:rsidP="000E4AB3">
      <w:pPr>
        <w:pStyle w:val="FootnoteText"/>
      </w:pPr>
      <w:r>
        <w:rPr>
          <w:rStyle w:val="FootnoteReference"/>
        </w:rPr>
        <w:footnoteRef/>
      </w:r>
      <w:r>
        <w:t xml:space="preserve"> Order Nos. PSC-17-0108-PAA-WU, issued March 27, 2017, in Docket No. 20160145-WU, </w:t>
      </w:r>
      <w:r w:rsidRPr="00973434">
        <w:rPr>
          <w:i/>
        </w:rPr>
        <w:t>In re: Application for limited proceeding in St. Johns County, by Camachee Island Company, Inc. d/b/a Camachee Cove Yacht Harbor Utility</w:t>
      </w:r>
      <w:r>
        <w:t xml:space="preserve">.; and PSC- 13-0647-PAA-WU, issued December 5, 2013, in Docket No. 20130155-WU, </w:t>
      </w:r>
      <w:r w:rsidRPr="00973434">
        <w:rPr>
          <w:i/>
        </w:rPr>
        <w:t>In re: Application for limited proceeding increase in rates in Escambia county by Peoples Water Service Company of Florida,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pPr>
      <w:pStyle w:val="OrderHeader"/>
    </w:pPr>
    <w:r>
      <w:t xml:space="preserve">ORDER NO. </w:t>
    </w:r>
    <w:fldSimple w:instr=" REF OrderNo0158 ">
      <w:r w:rsidR="00744140">
        <w:t>PSC-2020-0158-PAA-WS</w:t>
      </w:r>
    </w:fldSimple>
  </w:p>
  <w:p w:rsidR="00C22735" w:rsidRDefault="00C22735">
    <w:pPr>
      <w:pStyle w:val="OrderHeader"/>
    </w:pPr>
    <w:bookmarkStart w:id="10" w:name="HeaderDocketNo"/>
    <w:bookmarkEnd w:id="10"/>
    <w:r>
      <w:t>DOCKET NO. 20190080-WS</w:t>
    </w:r>
  </w:p>
  <w:p w:rsidR="00C22735" w:rsidRDefault="00C2273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18</w:t>
    </w:r>
    <w:r>
      <w:rPr>
        <w:rStyle w:val="PageNumber"/>
      </w:rPr>
      <w:fldChar w:fldCharType="end"/>
    </w:r>
  </w:p>
  <w:p w:rsidR="00C22735" w:rsidRDefault="00C22735">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r>
    <w:r>
      <w:tab/>
      <w:t>Schedule No. 3-D</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28</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t>Schedule No. 4-A</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29</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t>Schedule No. 4-B</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30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8D1D45">
    <w:pPr>
      <w:pStyle w:val="OrderHeader"/>
      <w:tabs>
        <w:tab w:val="left" w:pos="720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t>Schedule No. 1-A</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20</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8D1D45">
    <w:pPr>
      <w:pStyle w:val="OrderHeader"/>
      <w:tabs>
        <w:tab w:val="left" w:pos="720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t>Schedule No. 1-B</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8D1D45">
    <w:pPr>
      <w:pStyle w:val="OrderHeader"/>
      <w:tabs>
        <w:tab w:val="left" w:pos="720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t>Schedule No. 1-C</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t>Schedule No. 1-D</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23</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r>
    <w:r>
      <w:tab/>
      <w:t>Schedule No. 2</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24</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t>Schedule No. 3-A</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25</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r>
    <w:r>
      <w:tab/>
      <w:t>Schedule No. 3-B</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26</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35" w:rsidRDefault="00C22735" w:rsidP="00662CDA">
    <w:pPr>
      <w:pStyle w:val="OrderHeader"/>
      <w:tabs>
        <w:tab w:val="left" w:pos="7200"/>
        <w:tab w:val="left" w:pos="10080"/>
      </w:tabs>
    </w:pPr>
    <w:r>
      <w:t xml:space="preserve">ORDER NO. </w:t>
    </w:r>
    <w:r w:rsidR="00744140">
      <w:fldChar w:fldCharType="begin"/>
    </w:r>
    <w:r w:rsidR="00744140">
      <w:instrText xml:space="preserve"> REF OrderNo0158 </w:instrText>
    </w:r>
    <w:r w:rsidR="00744140">
      <w:fldChar w:fldCharType="separate"/>
    </w:r>
    <w:r w:rsidR="00744140">
      <w:t>PSC-2020-0158-PAA-WS</w:t>
    </w:r>
    <w:r w:rsidR="00744140">
      <w:fldChar w:fldCharType="end"/>
    </w:r>
    <w:r>
      <w:tab/>
    </w:r>
    <w:r>
      <w:tab/>
    </w:r>
    <w:r>
      <w:tab/>
    </w:r>
    <w:r>
      <w:tab/>
      <w:t>Schedule No. 3-C</w:t>
    </w:r>
  </w:p>
  <w:p w:rsidR="00C22735" w:rsidRDefault="00C22735" w:rsidP="008D1D45">
    <w:pPr>
      <w:pStyle w:val="OrderHeader"/>
    </w:pPr>
    <w:r>
      <w:t>DOCKET NO. 20190080-WS</w:t>
    </w:r>
  </w:p>
  <w:p w:rsidR="00C22735" w:rsidRDefault="00C22735" w:rsidP="008D1D45">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44140">
      <w:rPr>
        <w:rStyle w:val="PageNumber"/>
        <w:noProof/>
      </w:rPr>
      <w:t>27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0-WS"/>
  </w:docVars>
  <w:rsids>
    <w:rsidRoot w:val="000E4AB3"/>
    <w:rsid w:val="000022B8"/>
    <w:rsid w:val="00025C9D"/>
    <w:rsid w:val="0003433F"/>
    <w:rsid w:val="00035A8C"/>
    <w:rsid w:val="00036BDD"/>
    <w:rsid w:val="00053AB9"/>
    <w:rsid w:val="00056229"/>
    <w:rsid w:val="00057AF1"/>
    <w:rsid w:val="00065FC2"/>
    <w:rsid w:val="00067685"/>
    <w:rsid w:val="00067B07"/>
    <w:rsid w:val="000730D7"/>
    <w:rsid w:val="00076CF2"/>
    <w:rsid w:val="00076E6B"/>
    <w:rsid w:val="00081AE4"/>
    <w:rsid w:val="0008247D"/>
    <w:rsid w:val="00090AFC"/>
    <w:rsid w:val="00096507"/>
    <w:rsid w:val="000A10F2"/>
    <w:rsid w:val="000B783E"/>
    <w:rsid w:val="000B7D81"/>
    <w:rsid w:val="000C1994"/>
    <w:rsid w:val="000C6926"/>
    <w:rsid w:val="000D02B8"/>
    <w:rsid w:val="000D06E8"/>
    <w:rsid w:val="000D78FB"/>
    <w:rsid w:val="000E050C"/>
    <w:rsid w:val="000E20F0"/>
    <w:rsid w:val="000E344D"/>
    <w:rsid w:val="000E3F6D"/>
    <w:rsid w:val="000E4AB3"/>
    <w:rsid w:val="000F359F"/>
    <w:rsid w:val="000F3B2C"/>
    <w:rsid w:val="000F3F6C"/>
    <w:rsid w:val="000F63EB"/>
    <w:rsid w:val="000F648A"/>
    <w:rsid w:val="000F7BE3"/>
    <w:rsid w:val="001052BA"/>
    <w:rsid w:val="001107B3"/>
    <w:rsid w:val="001114B1"/>
    <w:rsid w:val="0011282C"/>
    <w:rsid w:val="001139D8"/>
    <w:rsid w:val="00116AD3"/>
    <w:rsid w:val="00121957"/>
    <w:rsid w:val="0012387E"/>
    <w:rsid w:val="00126593"/>
    <w:rsid w:val="00136087"/>
    <w:rsid w:val="00142A96"/>
    <w:rsid w:val="001513DE"/>
    <w:rsid w:val="00154A71"/>
    <w:rsid w:val="001655D4"/>
    <w:rsid w:val="00187E32"/>
    <w:rsid w:val="001918D8"/>
    <w:rsid w:val="00194A97"/>
    <w:rsid w:val="00194E81"/>
    <w:rsid w:val="001A15E7"/>
    <w:rsid w:val="001A33C9"/>
    <w:rsid w:val="001A58F3"/>
    <w:rsid w:val="001A798E"/>
    <w:rsid w:val="001B034E"/>
    <w:rsid w:val="001C2847"/>
    <w:rsid w:val="001C3BB5"/>
    <w:rsid w:val="001C3F8C"/>
    <w:rsid w:val="001C6097"/>
    <w:rsid w:val="001C7126"/>
    <w:rsid w:val="001D008A"/>
    <w:rsid w:val="001D09D4"/>
    <w:rsid w:val="001E0152"/>
    <w:rsid w:val="001E0FF5"/>
    <w:rsid w:val="001F4CA3"/>
    <w:rsid w:val="002002ED"/>
    <w:rsid w:val="002170E5"/>
    <w:rsid w:val="00220D57"/>
    <w:rsid w:val="0022721A"/>
    <w:rsid w:val="00230BB9"/>
    <w:rsid w:val="0023523F"/>
    <w:rsid w:val="00241CEF"/>
    <w:rsid w:val="00245560"/>
    <w:rsid w:val="0025124E"/>
    <w:rsid w:val="00252B30"/>
    <w:rsid w:val="00257A5D"/>
    <w:rsid w:val="002613E4"/>
    <w:rsid w:val="0026544B"/>
    <w:rsid w:val="00276CDC"/>
    <w:rsid w:val="00277655"/>
    <w:rsid w:val="002824B7"/>
    <w:rsid w:val="00282AC4"/>
    <w:rsid w:val="00293DC9"/>
    <w:rsid w:val="002A11AC"/>
    <w:rsid w:val="002A6F30"/>
    <w:rsid w:val="002B3111"/>
    <w:rsid w:val="002C2096"/>
    <w:rsid w:val="002C42CC"/>
    <w:rsid w:val="002C7908"/>
    <w:rsid w:val="002D391B"/>
    <w:rsid w:val="002D4B1F"/>
    <w:rsid w:val="002D6E42"/>
    <w:rsid w:val="002D7D15"/>
    <w:rsid w:val="002E1B2E"/>
    <w:rsid w:val="002E27EB"/>
    <w:rsid w:val="002F2A9D"/>
    <w:rsid w:val="002F31C2"/>
    <w:rsid w:val="002F7BF6"/>
    <w:rsid w:val="00303FDE"/>
    <w:rsid w:val="003118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4666"/>
    <w:rsid w:val="003875A9"/>
    <w:rsid w:val="00387BDE"/>
    <w:rsid w:val="00390DD8"/>
    <w:rsid w:val="00394DC6"/>
    <w:rsid w:val="00397C3E"/>
    <w:rsid w:val="003B1864"/>
    <w:rsid w:val="003B1A09"/>
    <w:rsid w:val="003D4CCA"/>
    <w:rsid w:val="003D52A6"/>
    <w:rsid w:val="003D6416"/>
    <w:rsid w:val="003E1D48"/>
    <w:rsid w:val="003E711F"/>
    <w:rsid w:val="003F1D2B"/>
    <w:rsid w:val="00411DF2"/>
    <w:rsid w:val="00411E8F"/>
    <w:rsid w:val="004247F5"/>
    <w:rsid w:val="0042527B"/>
    <w:rsid w:val="00426D62"/>
    <w:rsid w:val="00427EAC"/>
    <w:rsid w:val="00441AB7"/>
    <w:rsid w:val="004431B4"/>
    <w:rsid w:val="0045537F"/>
    <w:rsid w:val="00457DC7"/>
    <w:rsid w:val="004640B3"/>
    <w:rsid w:val="00472B6A"/>
    <w:rsid w:val="00472BCC"/>
    <w:rsid w:val="004A25CD"/>
    <w:rsid w:val="004A26CC"/>
    <w:rsid w:val="004A27C5"/>
    <w:rsid w:val="004B2108"/>
    <w:rsid w:val="004B3A2B"/>
    <w:rsid w:val="004B70D3"/>
    <w:rsid w:val="004C312D"/>
    <w:rsid w:val="004D097C"/>
    <w:rsid w:val="004D2D1B"/>
    <w:rsid w:val="004D5067"/>
    <w:rsid w:val="004D6838"/>
    <w:rsid w:val="004D72BC"/>
    <w:rsid w:val="004E469D"/>
    <w:rsid w:val="004E7F4F"/>
    <w:rsid w:val="004F20D1"/>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2AC"/>
    <w:rsid w:val="005E751B"/>
    <w:rsid w:val="005F3354"/>
    <w:rsid w:val="0060005E"/>
    <w:rsid w:val="0060095B"/>
    <w:rsid w:val="00601266"/>
    <w:rsid w:val="00610221"/>
    <w:rsid w:val="00610E73"/>
    <w:rsid w:val="00616DF2"/>
    <w:rsid w:val="006252C6"/>
    <w:rsid w:val="0063168D"/>
    <w:rsid w:val="00647025"/>
    <w:rsid w:val="0064730A"/>
    <w:rsid w:val="006531A4"/>
    <w:rsid w:val="00660774"/>
    <w:rsid w:val="00662CDA"/>
    <w:rsid w:val="0066389A"/>
    <w:rsid w:val="0066495C"/>
    <w:rsid w:val="00665CC7"/>
    <w:rsid w:val="00672612"/>
    <w:rsid w:val="00677F18"/>
    <w:rsid w:val="00681C67"/>
    <w:rsid w:val="00693483"/>
    <w:rsid w:val="00696327"/>
    <w:rsid w:val="006A0BF3"/>
    <w:rsid w:val="006A131A"/>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4140"/>
    <w:rsid w:val="007467C4"/>
    <w:rsid w:val="0076170F"/>
    <w:rsid w:val="0076669C"/>
    <w:rsid w:val="00766E46"/>
    <w:rsid w:val="0077007E"/>
    <w:rsid w:val="00777727"/>
    <w:rsid w:val="0078166A"/>
    <w:rsid w:val="00782B79"/>
    <w:rsid w:val="00783811"/>
    <w:rsid w:val="007840C6"/>
    <w:rsid w:val="007865E9"/>
    <w:rsid w:val="0079063F"/>
    <w:rsid w:val="0079237D"/>
    <w:rsid w:val="00792383"/>
    <w:rsid w:val="00794D5A"/>
    <w:rsid w:val="00794DD9"/>
    <w:rsid w:val="007A060F"/>
    <w:rsid w:val="007B350E"/>
    <w:rsid w:val="007C0FBC"/>
    <w:rsid w:val="007C36E3"/>
    <w:rsid w:val="007C7134"/>
    <w:rsid w:val="007D3D20"/>
    <w:rsid w:val="007D742E"/>
    <w:rsid w:val="007E2D5F"/>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2C92"/>
    <w:rsid w:val="008C6375"/>
    <w:rsid w:val="008C6A5B"/>
    <w:rsid w:val="008D1D45"/>
    <w:rsid w:val="008D2668"/>
    <w:rsid w:val="008D498D"/>
    <w:rsid w:val="008D6D36"/>
    <w:rsid w:val="008E0693"/>
    <w:rsid w:val="008E26A5"/>
    <w:rsid w:val="008E42D2"/>
    <w:rsid w:val="008E6328"/>
    <w:rsid w:val="008F578F"/>
    <w:rsid w:val="009040EE"/>
    <w:rsid w:val="00905562"/>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9A4"/>
    <w:rsid w:val="009F6AD2"/>
    <w:rsid w:val="00A00D8D"/>
    <w:rsid w:val="00A01BB6"/>
    <w:rsid w:val="00A27AAB"/>
    <w:rsid w:val="00A4303C"/>
    <w:rsid w:val="00A46CAF"/>
    <w:rsid w:val="00A470FD"/>
    <w:rsid w:val="00A50B5E"/>
    <w:rsid w:val="00A62DAB"/>
    <w:rsid w:val="00A6757A"/>
    <w:rsid w:val="00A726A6"/>
    <w:rsid w:val="00A74842"/>
    <w:rsid w:val="00A878ED"/>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0D67"/>
    <w:rsid w:val="00B41039"/>
    <w:rsid w:val="00B411BB"/>
    <w:rsid w:val="00B42987"/>
    <w:rsid w:val="00B444AE"/>
    <w:rsid w:val="00B45E75"/>
    <w:rsid w:val="00B50876"/>
    <w:rsid w:val="00B51074"/>
    <w:rsid w:val="00B54DAA"/>
    <w:rsid w:val="00B552E0"/>
    <w:rsid w:val="00B55AB0"/>
    <w:rsid w:val="00B55EE5"/>
    <w:rsid w:val="00B67A43"/>
    <w:rsid w:val="00B71D1F"/>
    <w:rsid w:val="00B726C7"/>
    <w:rsid w:val="00B72CFF"/>
    <w:rsid w:val="00B73DE6"/>
    <w:rsid w:val="00B761CD"/>
    <w:rsid w:val="00B86EF0"/>
    <w:rsid w:val="00B96969"/>
    <w:rsid w:val="00B97900"/>
    <w:rsid w:val="00BA1229"/>
    <w:rsid w:val="00BA44A8"/>
    <w:rsid w:val="00BA49C5"/>
    <w:rsid w:val="00BA57EA"/>
    <w:rsid w:val="00BC786E"/>
    <w:rsid w:val="00BD5C92"/>
    <w:rsid w:val="00BE50E6"/>
    <w:rsid w:val="00BE7A0C"/>
    <w:rsid w:val="00BF6691"/>
    <w:rsid w:val="00C028FC"/>
    <w:rsid w:val="00C037F2"/>
    <w:rsid w:val="00C0386D"/>
    <w:rsid w:val="00C065A1"/>
    <w:rsid w:val="00C10ED5"/>
    <w:rsid w:val="00C115B0"/>
    <w:rsid w:val="00C151A6"/>
    <w:rsid w:val="00C22735"/>
    <w:rsid w:val="00C24098"/>
    <w:rsid w:val="00C30A4E"/>
    <w:rsid w:val="00C36832"/>
    <w:rsid w:val="00C411F3"/>
    <w:rsid w:val="00C44105"/>
    <w:rsid w:val="00C55A0F"/>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C9F"/>
    <w:rsid w:val="00DB4A4A"/>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33BD"/>
    <w:rsid w:val="00F6702E"/>
    <w:rsid w:val="00F70E84"/>
    <w:rsid w:val="00FA092B"/>
    <w:rsid w:val="00FA4F6C"/>
    <w:rsid w:val="00FA6EFD"/>
    <w:rsid w:val="00FB3791"/>
    <w:rsid w:val="00FB6780"/>
    <w:rsid w:val="00FB74EA"/>
    <w:rsid w:val="00FD22D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7C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rsid w:val="000E4AB3"/>
    <w:rPr>
      <w:color w:val="0000FF"/>
      <w:u w:val="single"/>
    </w:rPr>
  </w:style>
  <w:style w:type="paragraph" w:customStyle="1" w:styleId="RecommendationMajorSectionHeading">
    <w:name w:val="Recommendation Major Section Heading"/>
    <w:basedOn w:val="Heading1"/>
    <w:next w:val="BodyText"/>
    <w:rsid w:val="000E4AB3"/>
    <w:pPr>
      <w:jc w:val="center"/>
    </w:pPr>
    <w:rPr>
      <w:rFonts w:ascii="Arial" w:hAnsi="Arial"/>
      <w:b/>
    </w:rPr>
  </w:style>
  <w:style w:type="character" w:customStyle="1" w:styleId="FootnoteTextChar">
    <w:name w:val="Footnote Text Char"/>
    <w:basedOn w:val="DefaultParagraphFont"/>
    <w:link w:val="FootnoteText"/>
    <w:rsid w:val="000E4AB3"/>
  </w:style>
  <w:style w:type="table" w:customStyle="1" w:styleId="TableGrid1">
    <w:name w:val="Table Grid1"/>
    <w:basedOn w:val="TableNormal"/>
    <w:next w:val="TableGrid"/>
    <w:rsid w:val="000E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4A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62CDA"/>
    <w:rPr>
      <w:rFonts w:ascii="Tahoma" w:hAnsi="Tahoma" w:cs="Tahoma"/>
      <w:sz w:val="16"/>
      <w:szCs w:val="16"/>
    </w:rPr>
  </w:style>
  <w:style w:type="character" w:customStyle="1" w:styleId="BalloonTextChar">
    <w:name w:val="Balloon Text Char"/>
    <w:basedOn w:val="DefaultParagraphFont"/>
    <w:link w:val="BalloonText"/>
    <w:semiHidden/>
    <w:rsid w:val="00662CDA"/>
    <w:rPr>
      <w:rFonts w:ascii="Tahoma" w:hAnsi="Tahoma" w:cs="Tahoma"/>
      <w:sz w:val="16"/>
      <w:szCs w:val="16"/>
    </w:rPr>
  </w:style>
  <w:style w:type="character" w:customStyle="1" w:styleId="counderline">
    <w:name w:val="co_underline"/>
    <w:basedOn w:val="DefaultParagraphFont"/>
    <w:rsid w:val="0011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554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30</Pages>
  <Words>8108</Words>
  <Characters>46221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2020-05-15T13:37:00Z</dcterms:created>
  <dcterms:modified xsi:type="dcterms:W3CDTF">2020-05-15T13:45:00Z</dcterms:modified>
</cp:coreProperties>
</file>