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949E4" w:rsidP="00B949E4">
      <w:pPr>
        <w:pStyle w:val="OrderHeading"/>
      </w:pPr>
      <w:r>
        <w:t>BEFORE THE FLORIDA PUBLIC SERVICE COMMISSION</w:t>
      </w:r>
    </w:p>
    <w:p w:rsidR="00B949E4" w:rsidRDefault="00B949E4" w:rsidP="00B949E4">
      <w:pPr>
        <w:pStyle w:val="OrderBody"/>
      </w:pPr>
    </w:p>
    <w:p w:rsidR="00B949E4" w:rsidRDefault="00B949E4" w:rsidP="00B949E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949E4" w:rsidRPr="00C63FCF" w:rsidTr="00C63FCF">
        <w:trPr>
          <w:trHeight w:val="828"/>
        </w:trPr>
        <w:tc>
          <w:tcPr>
            <w:tcW w:w="4788" w:type="dxa"/>
            <w:tcBorders>
              <w:bottom w:val="single" w:sz="8" w:space="0" w:color="auto"/>
              <w:right w:val="double" w:sz="6" w:space="0" w:color="auto"/>
            </w:tcBorders>
            <w:shd w:val="clear" w:color="auto" w:fill="auto"/>
          </w:tcPr>
          <w:p w:rsidR="00B949E4" w:rsidRDefault="00B949E4" w:rsidP="00C63FCF">
            <w:pPr>
              <w:pStyle w:val="OrderBody"/>
              <w:tabs>
                <w:tab w:val="center" w:pos="4320"/>
                <w:tab w:val="right" w:pos="8640"/>
              </w:tabs>
              <w:jc w:val="left"/>
            </w:pPr>
            <w:r>
              <w:t xml:space="preserve">In re: </w:t>
            </w:r>
            <w:bookmarkStart w:id="0" w:name="SSInRe"/>
            <w:bookmarkEnd w:id="0"/>
            <w:r>
              <w:t>Petition for a limited proceeding to approve clean energy connection program and tariff and stipulation, by Duke Energy Florida, LLC.</w:t>
            </w:r>
          </w:p>
        </w:tc>
        <w:tc>
          <w:tcPr>
            <w:tcW w:w="4788" w:type="dxa"/>
            <w:tcBorders>
              <w:left w:val="double" w:sz="6" w:space="0" w:color="auto"/>
            </w:tcBorders>
            <w:shd w:val="clear" w:color="auto" w:fill="auto"/>
          </w:tcPr>
          <w:p w:rsidR="00B949E4" w:rsidRDefault="00B949E4" w:rsidP="00B949E4">
            <w:pPr>
              <w:pStyle w:val="OrderBody"/>
            </w:pPr>
            <w:r>
              <w:t xml:space="preserve">DOCKET NO. </w:t>
            </w:r>
            <w:bookmarkStart w:id="1" w:name="SSDocketNo"/>
            <w:bookmarkEnd w:id="1"/>
            <w:r>
              <w:t>20200176-EI</w:t>
            </w:r>
          </w:p>
          <w:p w:rsidR="00B949E4" w:rsidRDefault="00B949E4" w:rsidP="00C63FCF">
            <w:pPr>
              <w:pStyle w:val="OrderBody"/>
              <w:tabs>
                <w:tab w:val="center" w:pos="4320"/>
                <w:tab w:val="right" w:pos="8640"/>
              </w:tabs>
              <w:jc w:val="left"/>
            </w:pPr>
            <w:r>
              <w:t xml:space="preserve">ORDER NO. </w:t>
            </w:r>
            <w:bookmarkStart w:id="2" w:name="OrderNo0367"/>
            <w:r w:rsidR="00C17DCA">
              <w:t>PSC-2020-0367-PCO-EI</w:t>
            </w:r>
            <w:bookmarkEnd w:id="2"/>
          </w:p>
          <w:p w:rsidR="00B949E4" w:rsidRDefault="00B949E4" w:rsidP="00C63FCF">
            <w:pPr>
              <w:pStyle w:val="OrderBody"/>
              <w:tabs>
                <w:tab w:val="center" w:pos="4320"/>
                <w:tab w:val="right" w:pos="8640"/>
              </w:tabs>
              <w:jc w:val="left"/>
            </w:pPr>
            <w:r>
              <w:t xml:space="preserve">ISSUED: </w:t>
            </w:r>
            <w:r w:rsidR="00C17DCA">
              <w:t>October 15, 2020</w:t>
            </w:r>
          </w:p>
        </w:tc>
      </w:tr>
    </w:tbl>
    <w:p w:rsidR="00B949E4" w:rsidRDefault="00B949E4" w:rsidP="00B949E4"/>
    <w:p w:rsidR="00B949E4" w:rsidRDefault="00B949E4" w:rsidP="00B949E4"/>
    <w:p w:rsidR="003D00AE" w:rsidRDefault="00B949E4" w:rsidP="00B949E4">
      <w:pPr>
        <w:pStyle w:val="CenterUnderline"/>
        <w:rPr>
          <w:caps/>
        </w:rPr>
      </w:pPr>
      <w:bookmarkStart w:id="3" w:name="Commissioners"/>
      <w:bookmarkEnd w:id="3"/>
      <w:r>
        <w:t>ORDER</w:t>
      </w:r>
      <w:bookmarkStart w:id="4" w:name="OrderTitle"/>
      <w:r w:rsidR="003D00AE">
        <w:t xml:space="preserve"> DENYING MOTION</w:t>
      </w:r>
      <w:r w:rsidR="003D00AE" w:rsidRPr="003D00AE">
        <w:rPr>
          <w:caps/>
        </w:rPr>
        <w:t xml:space="preserve"> to Extend Filing Deadlines</w:t>
      </w:r>
    </w:p>
    <w:p w:rsidR="00CB5276" w:rsidRDefault="003D00AE" w:rsidP="00B949E4">
      <w:pPr>
        <w:pStyle w:val="CenterUnderline"/>
      </w:pPr>
      <w:r w:rsidRPr="003D00AE">
        <w:rPr>
          <w:caps/>
        </w:rPr>
        <w:t>and Continue the Hearing</w:t>
      </w:r>
      <w:r w:rsidR="00B949E4">
        <w:t xml:space="preserve"> </w:t>
      </w:r>
      <w:bookmarkEnd w:id="4"/>
    </w:p>
    <w:p w:rsidR="00B949E4" w:rsidRDefault="00B949E4" w:rsidP="00B949E4">
      <w:pPr>
        <w:pStyle w:val="CenterUnderline"/>
      </w:pPr>
    </w:p>
    <w:p w:rsidR="00DF167B" w:rsidRPr="004E05FC" w:rsidRDefault="00734B9E" w:rsidP="00DF167B">
      <w:pPr>
        <w:autoSpaceDE w:val="0"/>
        <w:autoSpaceDN w:val="0"/>
        <w:adjustRightInd w:val="0"/>
        <w:ind w:firstLine="720"/>
        <w:jc w:val="both"/>
        <w:rPr>
          <w:b/>
          <w:i/>
        </w:rPr>
      </w:pPr>
      <w:bookmarkStart w:id="5" w:name="OrderText"/>
      <w:bookmarkEnd w:id="5"/>
      <w:r>
        <w:t>On July 1, 2020, Duke Energy Florida, LLC (Duke) filed a Petition for a Limited Proceeding to Approve The Clean Energy Connection Program and Tariff and Stipulation. The Clean Energy Connection Program is proposed by Duke as a voluntary community solar program that would allow participating customers to pay a subscription fee in exchange for receiving bill credits related to solar generation produced by solar facilities. This proceeding has been scheduled for an administrative hearing on November 17, 2020.</w:t>
      </w:r>
    </w:p>
    <w:p w:rsidR="00DF167B" w:rsidRPr="005A16E1" w:rsidRDefault="00DF167B" w:rsidP="00734B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B949E4" w:rsidRDefault="00B949E4" w:rsidP="00910B18">
      <w:pPr>
        <w:autoSpaceDE w:val="0"/>
        <w:autoSpaceDN w:val="0"/>
        <w:adjustRightInd w:val="0"/>
        <w:ind w:firstLine="720"/>
        <w:jc w:val="both"/>
      </w:pPr>
      <w:r>
        <w:t>On September 23, 2020</w:t>
      </w:r>
      <w:r w:rsidR="00910B18">
        <w:t>, the</w:t>
      </w:r>
      <w:r>
        <w:t xml:space="preserve"> League of United </w:t>
      </w:r>
      <w:r w:rsidRPr="00B949E4">
        <w:t>Latin Ameri</w:t>
      </w:r>
      <w:r w:rsidR="00DA0ED3">
        <w:t>can Citizens of Florida (</w:t>
      </w:r>
      <w:bookmarkStart w:id="6" w:name="_GoBack"/>
      <w:r w:rsidR="00DA0ED3">
        <w:t>LULAC</w:t>
      </w:r>
      <w:bookmarkEnd w:id="6"/>
      <w:r w:rsidRPr="00B949E4">
        <w:t>)</w:t>
      </w:r>
      <w:r>
        <w:t xml:space="preserve"> filed a Motion</w:t>
      </w:r>
      <w:r w:rsidRPr="00910B18">
        <w:t xml:space="preserve"> to Extend Filing Deadlines and Continue the Hearing.</w:t>
      </w:r>
      <w:r w:rsidR="00333475">
        <w:rPr>
          <w:rStyle w:val="FootnoteReference"/>
        </w:rPr>
        <w:footnoteReference w:id="1"/>
      </w:r>
      <w:r w:rsidR="00910B18">
        <w:t xml:space="preserve"> LULAC requests in it Motion a 28-day extension of time on all deadlines and a corresponding continuance of the final hearing.</w:t>
      </w:r>
      <w:r w:rsidR="00070AE1">
        <w:t xml:space="preserve"> LUL</w:t>
      </w:r>
      <w:r w:rsidR="00230AD0">
        <w:t>AC requests this continuance in order to have additional time for discovery</w:t>
      </w:r>
      <w:r w:rsidR="00333475">
        <w:t>, prepare and file intervenor testimony,</w:t>
      </w:r>
      <w:r w:rsidR="00230AD0">
        <w:t xml:space="preserve"> and hearing preparation.</w:t>
      </w:r>
      <w:r w:rsidRPr="00910B18">
        <w:t xml:space="preserve"> </w:t>
      </w:r>
      <w:r w:rsidR="00910B18" w:rsidRPr="00910B18">
        <w:t>On September 28, 2020, Duke filed a Response in Opposition to the Motion.</w:t>
      </w:r>
      <w:r w:rsidR="00910B18">
        <w:t xml:space="preserve"> </w:t>
      </w:r>
      <w:r w:rsidR="00910B18" w:rsidRPr="00910B18">
        <w:t>In this Response, Duke</w:t>
      </w:r>
      <w:r w:rsidR="00230AD0">
        <w:t xml:space="preserve"> disagrees that LULAC has demonstrated good cause for extending the deadlines and continu</w:t>
      </w:r>
      <w:r w:rsidR="00070AE1">
        <w:t>ing the final hearing. Regarding the n</w:t>
      </w:r>
      <w:r w:rsidR="00DF167B">
        <w:t xml:space="preserve">eed for extra preparation time, </w:t>
      </w:r>
      <w:r w:rsidR="00070AE1">
        <w:t>Duke</w:t>
      </w:r>
      <w:r w:rsidR="00910B18" w:rsidRPr="00910B18">
        <w:t xml:space="preserve"> represents</w:t>
      </w:r>
      <w:r w:rsidR="00411A0D">
        <w:t xml:space="preserve"> </w:t>
      </w:r>
      <w:r w:rsidR="00910B18" w:rsidRPr="00910B18">
        <w:t>that its “</w:t>
      </w:r>
      <w:r w:rsidR="00910B18" w:rsidRPr="00910B18">
        <w:rPr>
          <w:rFonts w:cs="TimesNewRoman"/>
        </w:rPr>
        <w:t xml:space="preserve">responses </w:t>
      </w:r>
      <w:r w:rsidR="00411A0D">
        <w:rPr>
          <w:rFonts w:cs="TimesNewRoman"/>
        </w:rPr>
        <w:t xml:space="preserve">[to LULAC discovery] </w:t>
      </w:r>
      <w:r w:rsidR="00910B18" w:rsidRPr="00910B18">
        <w:rPr>
          <w:rFonts w:cs="TimesNewRoman"/>
        </w:rPr>
        <w:t>will be provided well in advance of the discovery deadline set forth in the OEP</w:t>
      </w:r>
      <w:r w:rsidR="00910B18" w:rsidRPr="00910B18">
        <w:t>.”</w:t>
      </w:r>
    </w:p>
    <w:p w:rsidR="00B949E4" w:rsidRDefault="00B949E4">
      <w:pPr>
        <w:pStyle w:val="OrderBody"/>
      </w:pPr>
    </w:p>
    <w:p w:rsidR="00995531" w:rsidRDefault="00230AD0">
      <w:pPr>
        <w:pStyle w:val="OrderBody"/>
      </w:pPr>
      <w:r>
        <w:tab/>
        <w:t xml:space="preserve">Since the filing of the Motion and Response, LULAC has </w:t>
      </w:r>
      <w:r w:rsidR="00333475">
        <w:t>timely filed</w:t>
      </w:r>
      <w:r>
        <w:t xml:space="preserve"> the prefiled direct testimony of witness</w:t>
      </w:r>
      <w:r w:rsidR="00070AE1">
        <w:t xml:space="preserve"> Karl R. Rabago</w:t>
      </w:r>
      <w:r>
        <w:t>, along with exhibits. All parties have pro</w:t>
      </w:r>
      <w:r w:rsidR="00411A0D">
        <w:t>pounded written discovery.</w:t>
      </w:r>
      <w:r>
        <w:t xml:space="preserve"> LULAC ha</w:t>
      </w:r>
      <w:r w:rsidR="00411A0D">
        <w:t>s</w:t>
      </w:r>
      <w:r>
        <w:t xml:space="preserve"> noticed the three Duke witnesses for deposition. </w:t>
      </w:r>
      <w:r w:rsidR="00E558CC">
        <w:t xml:space="preserve">Because </w:t>
      </w:r>
      <w:r>
        <w:t>the parties ar</w:t>
      </w:r>
      <w:r w:rsidR="00411A0D">
        <w:t>e working cooperatively within existing deadlines</w:t>
      </w:r>
      <w:r w:rsidR="00E558CC">
        <w:t xml:space="preserve">, the relief sought by the </w:t>
      </w:r>
      <w:r w:rsidR="006333E1">
        <w:t>Mot</w:t>
      </w:r>
      <w:r w:rsidR="00995531">
        <w:t>ion no longer appears to be</w:t>
      </w:r>
      <w:r w:rsidR="006333E1">
        <w:t xml:space="preserve"> </w:t>
      </w:r>
      <w:r w:rsidR="003D00AE">
        <w:t>necessary</w:t>
      </w:r>
      <w:r w:rsidR="00E558CC">
        <w:t>.</w:t>
      </w:r>
      <w:r w:rsidR="003D00AE">
        <w:t xml:space="preserve"> There being no good cause at this time, the Motion will be denied. This denial is without prejudice to any party seeking appropriate relief should circumstances change.</w:t>
      </w:r>
    </w:p>
    <w:p w:rsidR="00B949E4" w:rsidRDefault="00B949E4">
      <w:pPr>
        <w:pStyle w:val="OrderBody"/>
      </w:pPr>
    </w:p>
    <w:p w:rsidR="00B949E4" w:rsidRDefault="00B949E4" w:rsidP="00B949E4">
      <w:pPr>
        <w:pStyle w:val="OrderBody"/>
      </w:pPr>
      <w:r>
        <w:tab/>
        <w:t>Based on the foregoing, it is</w:t>
      </w:r>
    </w:p>
    <w:p w:rsidR="00B949E4" w:rsidRDefault="00B949E4" w:rsidP="00B949E4">
      <w:pPr>
        <w:pStyle w:val="OrderBody"/>
      </w:pPr>
    </w:p>
    <w:p w:rsidR="009C13B3" w:rsidRDefault="009C13B3" w:rsidP="00E558CC">
      <w:pPr>
        <w:pStyle w:val="OrderBody"/>
        <w:ind w:firstLine="720"/>
      </w:pPr>
      <w:r>
        <w:t xml:space="preserve">ORDERED by Commissioner Donald J. Polmann, as Prehearing Officer, that </w:t>
      </w:r>
      <w:r w:rsidR="00FC47BB">
        <w:t xml:space="preserve">the </w:t>
      </w:r>
      <w:r>
        <w:t xml:space="preserve">League of United Latin American </w:t>
      </w:r>
      <w:r w:rsidR="00DA0ED3">
        <w:t>Citizens’</w:t>
      </w:r>
      <w:r>
        <w:t xml:space="preserve"> Motion to Extend Filing Deadlines and Continue H</w:t>
      </w:r>
      <w:r w:rsidR="00E558CC">
        <w:t>earing is denied</w:t>
      </w:r>
      <w:r w:rsidR="00333475">
        <w:t xml:space="preserve"> without prejudice</w:t>
      </w:r>
      <w:r w:rsidR="00E558CC">
        <w:t>.</w:t>
      </w:r>
    </w:p>
    <w:p w:rsidR="00E558CC" w:rsidRDefault="00E558CC" w:rsidP="00E558CC">
      <w:pPr>
        <w:pStyle w:val="OrderBody"/>
        <w:ind w:firstLine="720"/>
      </w:pPr>
    </w:p>
    <w:p w:rsidR="004E05FC" w:rsidRDefault="004E05FC" w:rsidP="00E558CC">
      <w:pPr>
        <w:pStyle w:val="OrderBody"/>
        <w:ind w:firstLine="720"/>
      </w:pPr>
    </w:p>
    <w:p w:rsidR="00B949E4" w:rsidRDefault="00B949E4" w:rsidP="00C17DCA">
      <w:pPr>
        <w:pStyle w:val="OrderBody"/>
      </w:pPr>
      <w:r>
        <w:lastRenderedPageBreak/>
        <w:tab/>
        <w:t xml:space="preserve">By ORDER of Commissioner Donald J. Polmann, as Prehearing Officer, this </w:t>
      </w:r>
      <w:bookmarkStart w:id="7" w:name="replaceDate"/>
      <w:bookmarkEnd w:id="7"/>
      <w:r w:rsidR="00C17DCA">
        <w:rPr>
          <w:u w:val="single"/>
        </w:rPr>
        <w:t>15th</w:t>
      </w:r>
      <w:r w:rsidR="00C17DCA">
        <w:t xml:space="preserve"> day of </w:t>
      </w:r>
      <w:r w:rsidR="00C17DCA">
        <w:rPr>
          <w:u w:val="single"/>
        </w:rPr>
        <w:t>October</w:t>
      </w:r>
      <w:r w:rsidR="00C17DCA">
        <w:t xml:space="preserve">, </w:t>
      </w:r>
      <w:r w:rsidR="00C17DCA">
        <w:rPr>
          <w:u w:val="single"/>
        </w:rPr>
        <w:t>2020</w:t>
      </w:r>
      <w:r w:rsidR="00C17DCA">
        <w:t>.</w:t>
      </w:r>
    </w:p>
    <w:p w:rsidR="00C17DCA" w:rsidRPr="00C17DCA" w:rsidRDefault="00C17DCA" w:rsidP="00C17DCA">
      <w:pPr>
        <w:pStyle w:val="OrderBody"/>
      </w:pPr>
    </w:p>
    <w:p w:rsidR="00B949E4" w:rsidRDefault="00B949E4" w:rsidP="00B949E4">
      <w:pPr>
        <w:pStyle w:val="OrderBody"/>
        <w:keepNext/>
        <w:keepLines/>
      </w:pPr>
    </w:p>
    <w:p w:rsidR="00B949E4" w:rsidRDefault="00B949E4" w:rsidP="00B949E4">
      <w:pPr>
        <w:pStyle w:val="OrderBody"/>
        <w:keepNext/>
        <w:keepLines/>
      </w:pPr>
    </w:p>
    <w:p w:rsidR="00B949E4" w:rsidRDefault="00B949E4" w:rsidP="00B949E4">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B949E4" w:rsidTr="00B949E4">
        <w:tc>
          <w:tcPr>
            <w:tcW w:w="720" w:type="dxa"/>
            <w:shd w:val="clear" w:color="auto" w:fill="auto"/>
          </w:tcPr>
          <w:p w:rsidR="00B949E4" w:rsidRDefault="00B949E4" w:rsidP="00B949E4">
            <w:pPr>
              <w:pStyle w:val="OrderBody"/>
              <w:keepNext/>
              <w:keepLines/>
            </w:pPr>
            <w:bookmarkStart w:id="8" w:name="bkmrkSignature" w:colFirst="0" w:colLast="0"/>
          </w:p>
        </w:tc>
        <w:tc>
          <w:tcPr>
            <w:tcW w:w="4320" w:type="dxa"/>
            <w:tcBorders>
              <w:bottom w:val="single" w:sz="4" w:space="0" w:color="auto"/>
            </w:tcBorders>
            <w:shd w:val="clear" w:color="auto" w:fill="auto"/>
          </w:tcPr>
          <w:p w:rsidR="00B949E4" w:rsidRDefault="00C17DCA" w:rsidP="00B949E4">
            <w:pPr>
              <w:pStyle w:val="OrderBody"/>
              <w:keepNext/>
              <w:keepLines/>
            </w:pPr>
            <w:r w:rsidRPr="00C17DCA">
              <w:rPr>
                <w:noProof/>
              </w:rPr>
              <w:drawing>
                <wp:inline distT="0" distB="0" distL="0" distR="0">
                  <wp:extent cx="2286000" cy="466090"/>
                  <wp:effectExtent l="0" t="0" r="0" b="0"/>
                  <wp:docPr id="1" name="Picture 1" descr="I:\GCORDERS\Comm Sig\Pollm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GCORDERS\Comm Sig\Pollma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0" cy="466090"/>
                          </a:xfrm>
                          <a:prstGeom prst="rect">
                            <a:avLst/>
                          </a:prstGeom>
                          <a:noFill/>
                          <a:ln>
                            <a:noFill/>
                          </a:ln>
                        </pic:spPr>
                      </pic:pic>
                    </a:graphicData>
                  </a:graphic>
                </wp:inline>
              </w:drawing>
            </w:r>
          </w:p>
        </w:tc>
      </w:tr>
      <w:bookmarkEnd w:id="8"/>
      <w:tr w:rsidR="00B949E4" w:rsidTr="00B949E4">
        <w:tc>
          <w:tcPr>
            <w:tcW w:w="720" w:type="dxa"/>
            <w:shd w:val="clear" w:color="auto" w:fill="auto"/>
          </w:tcPr>
          <w:p w:rsidR="00B949E4" w:rsidRDefault="00B949E4" w:rsidP="00B949E4">
            <w:pPr>
              <w:pStyle w:val="OrderBody"/>
              <w:keepNext/>
              <w:keepLines/>
            </w:pPr>
          </w:p>
        </w:tc>
        <w:tc>
          <w:tcPr>
            <w:tcW w:w="4320" w:type="dxa"/>
            <w:tcBorders>
              <w:top w:val="single" w:sz="4" w:space="0" w:color="auto"/>
            </w:tcBorders>
            <w:shd w:val="clear" w:color="auto" w:fill="auto"/>
          </w:tcPr>
          <w:p w:rsidR="00B949E4" w:rsidRDefault="00B949E4" w:rsidP="00B949E4">
            <w:pPr>
              <w:pStyle w:val="OrderBody"/>
              <w:keepNext/>
              <w:keepLines/>
            </w:pPr>
            <w:r>
              <w:t>DONALD J. POLMANN, Ph.D., P.E.</w:t>
            </w:r>
          </w:p>
          <w:p w:rsidR="00B949E4" w:rsidRDefault="00B949E4" w:rsidP="00B949E4">
            <w:pPr>
              <w:pStyle w:val="OrderBody"/>
              <w:keepNext/>
              <w:keepLines/>
            </w:pPr>
            <w:r>
              <w:t>Commissioner and Prehearing Officer</w:t>
            </w:r>
          </w:p>
        </w:tc>
      </w:tr>
    </w:tbl>
    <w:p w:rsidR="00B949E4" w:rsidRDefault="00B949E4" w:rsidP="00B949E4">
      <w:pPr>
        <w:pStyle w:val="OrderSigInfo"/>
        <w:keepNext/>
        <w:keepLines/>
      </w:pPr>
      <w:r>
        <w:t>Florida Public Service Commission</w:t>
      </w:r>
    </w:p>
    <w:p w:rsidR="00B949E4" w:rsidRDefault="00B949E4" w:rsidP="00B949E4">
      <w:pPr>
        <w:pStyle w:val="OrderSigInfo"/>
        <w:keepNext/>
        <w:keepLines/>
      </w:pPr>
      <w:r>
        <w:t>2540 Shumard Oak Boulevard</w:t>
      </w:r>
    </w:p>
    <w:p w:rsidR="00B949E4" w:rsidRDefault="00B949E4" w:rsidP="00B949E4">
      <w:pPr>
        <w:pStyle w:val="OrderSigInfo"/>
        <w:keepNext/>
        <w:keepLines/>
      </w:pPr>
      <w:r>
        <w:t>Tallahassee, Florida 32399</w:t>
      </w:r>
    </w:p>
    <w:p w:rsidR="00B949E4" w:rsidRDefault="00B949E4" w:rsidP="00B949E4">
      <w:pPr>
        <w:pStyle w:val="OrderSigInfo"/>
        <w:keepNext/>
        <w:keepLines/>
      </w:pPr>
      <w:r>
        <w:t>(850) 413</w:t>
      </w:r>
      <w:r>
        <w:noBreakHyphen/>
        <w:t>6770</w:t>
      </w:r>
    </w:p>
    <w:p w:rsidR="00B949E4" w:rsidRDefault="00B949E4" w:rsidP="00B949E4">
      <w:pPr>
        <w:pStyle w:val="OrderSigInfo"/>
        <w:keepNext/>
        <w:keepLines/>
      </w:pPr>
      <w:r>
        <w:t>www.floridapsc.com</w:t>
      </w:r>
    </w:p>
    <w:p w:rsidR="00B949E4" w:rsidRDefault="00B949E4" w:rsidP="00B949E4">
      <w:pPr>
        <w:pStyle w:val="OrderSigInfo"/>
        <w:keepNext/>
        <w:keepLines/>
      </w:pPr>
    </w:p>
    <w:p w:rsidR="00B949E4" w:rsidRDefault="00B949E4" w:rsidP="00B949E4">
      <w:pPr>
        <w:pStyle w:val="OrderSigInfo"/>
        <w:keepNext/>
        <w:keepLines/>
      </w:pPr>
      <w:r>
        <w:t>Copies furnished:  A copy of this document is provided to the parties of record at the time of issuance and, if applicable, interested persons.</w:t>
      </w:r>
    </w:p>
    <w:p w:rsidR="00B949E4" w:rsidRDefault="00B949E4" w:rsidP="00B949E4">
      <w:pPr>
        <w:pStyle w:val="OrderBody"/>
        <w:keepNext/>
        <w:keepLines/>
      </w:pPr>
    </w:p>
    <w:p w:rsidR="00B949E4" w:rsidRDefault="00B949E4" w:rsidP="00B949E4">
      <w:pPr>
        <w:pStyle w:val="OrderBody"/>
        <w:keepNext/>
        <w:keepLines/>
      </w:pPr>
    </w:p>
    <w:p w:rsidR="00B949E4" w:rsidRDefault="00B949E4" w:rsidP="00B949E4">
      <w:pPr>
        <w:pStyle w:val="OrderBody"/>
        <w:keepNext/>
        <w:keepLines/>
      </w:pPr>
      <w:r>
        <w:t>SPS</w:t>
      </w:r>
    </w:p>
    <w:p w:rsidR="00B949E4" w:rsidRDefault="00B949E4" w:rsidP="00B949E4">
      <w:pPr>
        <w:pStyle w:val="OrderBody"/>
      </w:pPr>
    </w:p>
    <w:p w:rsidR="00B949E4" w:rsidRDefault="00B949E4" w:rsidP="00B949E4">
      <w:pPr>
        <w:pStyle w:val="OrderBody"/>
      </w:pPr>
    </w:p>
    <w:p w:rsidR="00B949E4" w:rsidRDefault="00B949E4" w:rsidP="00B949E4">
      <w:pPr>
        <w:pStyle w:val="CenterUnderline"/>
      </w:pPr>
      <w:r>
        <w:t>NOTICE OF FURTHER PROCEEDINGS OR JUDICIAL REVIEW</w:t>
      </w:r>
    </w:p>
    <w:p w:rsidR="00B949E4" w:rsidRDefault="00B949E4" w:rsidP="00B949E4">
      <w:pPr>
        <w:pStyle w:val="CenterUnderline"/>
      </w:pPr>
    </w:p>
    <w:p w:rsidR="00B949E4" w:rsidRDefault="00B949E4" w:rsidP="00B949E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949E4" w:rsidRDefault="00B949E4" w:rsidP="00B949E4">
      <w:pPr>
        <w:pStyle w:val="OrderBody"/>
      </w:pPr>
    </w:p>
    <w:p w:rsidR="00B949E4" w:rsidRDefault="00B949E4" w:rsidP="00B949E4">
      <w:pPr>
        <w:pStyle w:val="OrderBody"/>
      </w:pPr>
      <w:r>
        <w:tab/>
        <w:t>Mediation may be available on a case-by-case basis.  If mediation is conducted, it does not affect a substantially interested person's right to a hearing.</w:t>
      </w:r>
    </w:p>
    <w:p w:rsidR="00B949E4" w:rsidRDefault="00B949E4" w:rsidP="00B949E4">
      <w:pPr>
        <w:pStyle w:val="OrderBody"/>
      </w:pPr>
    </w:p>
    <w:p w:rsidR="00B949E4" w:rsidRPr="00B949E4" w:rsidRDefault="00B949E4" w:rsidP="00B949E4">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D57E57" w:rsidRDefault="00D57E57" w:rsidP="00D57E57"/>
    <w:sectPr w:rsidR="00D57E57">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49E4" w:rsidRDefault="00B949E4">
      <w:r>
        <w:separator/>
      </w:r>
    </w:p>
  </w:endnote>
  <w:endnote w:type="continuationSeparator" w:id="0">
    <w:p w:rsidR="00B949E4" w:rsidRDefault="00B94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49E4" w:rsidRDefault="00B949E4">
      <w:r>
        <w:separator/>
      </w:r>
    </w:p>
  </w:footnote>
  <w:footnote w:type="continuationSeparator" w:id="0">
    <w:p w:rsidR="00B949E4" w:rsidRDefault="00B949E4">
      <w:r>
        <w:continuationSeparator/>
      </w:r>
    </w:p>
  </w:footnote>
  <w:footnote w:id="1">
    <w:p w:rsidR="00333475" w:rsidRDefault="00333475">
      <w:pPr>
        <w:pStyle w:val="FootnoteText"/>
      </w:pPr>
      <w:r>
        <w:rPr>
          <w:rStyle w:val="FootnoteReference"/>
        </w:rPr>
        <w:footnoteRef/>
      </w:r>
      <w:r>
        <w:t xml:space="preserve"> LULAC was granted intervention by Order No. PSC-2020-0336-PCO-EI, issued October 1, 2020.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67 ">
      <w:r w:rsidR="00083770">
        <w:t>PSC-2020-0367-PCO-EI</w:t>
      </w:r>
    </w:fldSimple>
  </w:p>
  <w:p w:rsidR="00FA6EFD" w:rsidRDefault="00B949E4">
    <w:pPr>
      <w:pStyle w:val="OrderHeader"/>
    </w:pPr>
    <w:bookmarkStart w:id="9" w:name="HeaderDocketNo"/>
    <w:bookmarkEnd w:id="9"/>
    <w:r>
      <w:t>DOCKET NO. 20200176-EI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F55B6">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76-EI"/>
  </w:docVars>
  <w:rsids>
    <w:rsidRoot w:val="00B949E4"/>
    <w:rsid w:val="000022B8"/>
    <w:rsid w:val="00025C9D"/>
    <w:rsid w:val="0003433F"/>
    <w:rsid w:val="00035A8C"/>
    <w:rsid w:val="00036BDD"/>
    <w:rsid w:val="00053AB9"/>
    <w:rsid w:val="00056229"/>
    <w:rsid w:val="00057AF1"/>
    <w:rsid w:val="00065FC2"/>
    <w:rsid w:val="00067685"/>
    <w:rsid w:val="00067B07"/>
    <w:rsid w:val="00070AE1"/>
    <w:rsid w:val="000730D7"/>
    <w:rsid w:val="00076E6B"/>
    <w:rsid w:val="00081AE4"/>
    <w:rsid w:val="0008247D"/>
    <w:rsid w:val="00083770"/>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AD0"/>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475"/>
    <w:rsid w:val="00333A41"/>
    <w:rsid w:val="00345434"/>
    <w:rsid w:val="0035495B"/>
    <w:rsid w:val="00355A93"/>
    <w:rsid w:val="00361522"/>
    <w:rsid w:val="0037196E"/>
    <w:rsid w:val="003744F5"/>
    <w:rsid w:val="003875A9"/>
    <w:rsid w:val="00387BDE"/>
    <w:rsid w:val="00390DD8"/>
    <w:rsid w:val="00394DC6"/>
    <w:rsid w:val="00397C3E"/>
    <w:rsid w:val="003B1A09"/>
    <w:rsid w:val="003D00AE"/>
    <w:rsid w:val="003D4CCA"/>
    <w:rsid w:val="003D52A6"/>
    <w:rsid w:val="003D6416"/>
    <w:rsid w:val="003E1D48"/>
    <w:rsid w:val="003E711F"/>
    <w:rsid w:val="003F1D2B"/>
    <w:rsid w:val="00411A0D"/>
    <w:rsid w:val="00411DF2"/>
    <w:rsid w:val="00411E8F"/>
    <w:rsid w:val="004247F5"/>
    <w:rsid w:val="0042527B"/>
    <w:rsid w:val="0042743F"/>
    <w:rsid w:val="00427EAC"/>
    <w:rsid w:val="004431B4"/>
    <w:rsid w:val="004505EA"/>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05F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D2A8B"/>
    <w:rsid w:val="005E751B"/>
    <w:rsid w:val="005F3354"/>
    <w:rsid w:val="0060005E"/>
    <w:rsid w:val="0060095B"/>
    <w:rsid w:val="00601266"/>
    <w:rsid w:val="0060784E"/>
    <w:rsid w:val="00610221"/>
    <w:rsid w:val="00610E73"/>
    <w:rsid w:val="00612FC9"/>
    <w:rsid w:val="00616DF2"/>
    <w:rsid w:val="0063168D"/>
    <w:rsid w:val="006333E1"/>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34B9E"/>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0B18"/>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95531"/>
    <w:rsid w:val="009A6B17"/>
    <w:rsid w:val="009C13B3"/>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AF55B6"/>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87B15"/>
    <w:rsid w:val="00B949E4"/>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17DCA"/>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96AAD"/>
    <w:rsid w:val="00D97591"/>
    <w:rsid w:val="00DA0ED3"/>
    <w:rsid w:val="00DA4EDD"/>
    <w:rsid w:val="00DA6B78"/>
    <w:rsid w:val="00DC1D94"/>
    <w:rsid w:val="00DC42CF"/>
    <w:rsid w:val="00DE057F"/>
    <w:rsid w:val="00DE2082"/>
    <w:rsid w:val="00DE2289"/>
    <w:rsid w:val="00DF09A7"/>
    <w:rsid w:val="00DF167B"/>
    <w:rsid w:val="00DF2B51"/>
    <w:rsid w:val="00E001D6"/>
    <w:rsid w:val="00E03A76"/>
    <w:rsid w:val="00E04410"/>
    <w:rsid w:val="00E07484"/>
    <w:rsid w:val="00E11351"/>
    <w:rsid w:val="00E4225C"/>
    <w:rsid w:val="00E44879"/>
    <w:rsid w:val="00E558CC"/>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C47B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FC47BB"/>
    <w:rPr>
      <w:rFonts w:ascii="Tahoma" w:hAnsi="Tahoma" w:cs="Tahoma"/>
      <w:sz w:val="16"/>
      <w:szCs w:val="16"/>
    </w:rPr>
  </w:style>
  <w:style w:type="character" w:customStyle="1" w:styleId="BalloonTextChar">
    <w:name w:val="Balloon Text Char"/>
    <w:basedOn w:val="DefaultParagraphFont"/>
    <w:link w:val="BalloonText"/>
    <w:semiHidden/>
    <w:rsid w:val="00FC47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17020-699B-45AE-87B6-B97BE45DE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3</Pages>
  <Words>664</Words>
  <Characters>3787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2020-10-15T14:53:00Z</dcterms:created>
  <dcterms:modified xsi:type="dcterms:W3CDTF">2020-10-15T16:20:00Z</dcterms:modified>
</cp:coreProperties>
</file>