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E375B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DEVELOPMENT OF RULEMAKING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E375B">
      <w:pPr>
        <w:pStyle w:val="PScCenterCaps"/>
        <w:rPr>
          <w:lang w:val="en-US"/>
        </w:rPr>
      </w:pPr>
      <w:r>
        <w:rPr>
          <w:lang w:val="en-US"/>
        </w:rPr>
        <w:t>ALL INVESTOR-OWNED ELECTRIC AND NATURAL GAS UTILITIES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E375B" w:rsidRDefault="00332C7F">
      <w:pPr>
        <w:pStyle w:val="PScCenterCaps"/>
        <w:rPr>
          <w:lang w:val="en-US"/>
        </w:rPr>
      </w:pPr>
      <w:r>
        <w:rPr>
          <w:lang w:val="en-US"/>
        </w:rPr>
        <w:t>UNDOCKETED</w:t>
      </w:r>
    </w:p>
    <w:p w:rsidR="006E375B" w:rsidRDefault="006E375B">
      <w:pPr>
        <w:pStyle w:val="PScCenterCaps"/>
        <w:rPr>
          <w:lang w:val="en-US"/>
        </w:rPr>
      </w:pPr>
    </w:p>
    <w:p w:rsidR="004625FF" w:rsidRDefault="004625FF">
      <w:pPr>
        <w:pStyle w:val="PScCenterCaps"/>
        <w:rPr>
          <w:lang w:val="en-US"/>
        </w:rPr>
      </w:pPr>
      <w:r>
        <w:rPr>
          <w:lang w:val="en-US"/>
        </w:rPr>
        <w:t xml:space="preserve">IN RE: ADOPTION OF RULE </w:t>
      </w:r>
      <w:r w:rsidRPr="004625FF">
        <w:rPr>
          <w:lang w:val="en-US"/>
        </w:rPr>
        <w:t>25-6.04355</w:t>
      </w:r>
      <w:r>
        <w:rPr>
          <w:lang w:val="en-US"/>
        </w:rPr>
        <w:t>,</w:t>
      </w:r>
      <w:r w:rsidRPr="004625FF">
        <w:rPr>
          <w:lang w:val="en-US"/>
        </w:rPr>
        <w:t xml:space="preserve"> Effective Date of Approved Rates and Charges for Investor-Owned Electric Utilities</w:t>
      </w:r>
      <w:r>
        <w:rPr>
          <w:lang w:val="en-US"/>
        </w:rPr>
        <w:t xml:space="preserve"> </w:t>
      </w:r>
    </w:p>
    <w:p w:rsidR="004625FF" w:rsidRDefault="004625FF">
      <w:pPr>
        <w:pStyle w:val="PScCenterCaps"/>
        <w:rPr>
          <w:lang w:val="en-US"/>
        </w:rPr>
      </w:pPr>
      <w:r>
        <w:rPr>
          <w:lang w:val="en-US"/>
        </w:rPr>
        <w:t>AND</w:t>
      </w:r>
    </w:p>
    <w:p w:rsidR="006E375B" w:rsidRDefault="004625FF">
      <w:pPr>
        <w:pStyle w:val="PScCenterCaps"/>
        <w:rPr>
          <w:lang w:val="en-US"/>
        </w:rPr>
      </w:pPr>
      <w:r>
        <w:rPr>
          <w:lang w:val="en-US"/>
        </w:rPr>
        <w:t xml:space="preserve">ADOPTION OF RULE </w:t>
      </w:r>
      <w:r w:rsidRPr="004625FF">
        <w:rPr>
          <w:lang w:val="en-US"/>
        </w:rPr>
        <w:t>25-7.0405</w:t>
      </w:r>
      <w:r>
        <w:rPr>
          <w:lang w:val="en-US"/>
        </w:rPr>
        <w:t>,</w:t>
      </w:r>
      <w:r w:rsidRPr="004625FF">
        <w:rPr>
          <w:lang w:val="en-US"/>
        </w:rPr>
        <w:t xml:space="preserve"> Effective Date of Approved Rates and Charges for Investor-Owned Natural Gas Utilities</w:t>
      </w:r>
      <w:r w:rsidR="006E375B">
        <w:rPr>
          <w:lang w:val="en-US"/>
        </w:rPr>
        <w:t>.</w:t>
      </w:r>
    </w:p>
    <w:p w:rsidR="006B03A1" w:rsidRDefault="006B03A1">
      <w:pPr>
        <w:pStyle w:val="PScCenterCaps"/>
        <w:rPr>
          <w:lang w:val="en-US"/>
        </w:rPr>
      </w:pPr>
    </w:p>
    <w:p w:rsidR="006B03A1" w:rsidRPr="002F5F58" w:rsidRDefault="006B03A1">
      <w:pPr>
        <w:pStyle w:val="PSCCenter"/>
      </w:pPr>
      <w:r>
        <w:t xml:space="preserve">ISSUED: </w:t>
      </w:r>
      <w:bookmarkStart w:id="0" w:name="issueDate"/>
      <w:bookmarkEnd w:id="0"/>
      <w:r w:rsidR="002F5F58">
        <w:rPr>
          <w:u w:val="single"/>
        </w:rPr>
        <w:t>January 5, 2021</w:t>
      </w:r>
    </w:p>
    <w:p w:rsidR="006B03A1" w:rsidRDefault="006B03A1"/>
    <w:p w:rsidR="006E375B" w:rsidRPr="006E375B" w:rsidRDefault="006E375B" w:rsidP="006E375B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ind w:firstLine="720"/>
        <w:jc w:val="both"/>
      </w:pPr>
      <w:bookmarkStart w:id="1" w:name="VisualAids"/>
      <w:bookmarkEnd w:id="1"/>
      <w:r w:rsidRPr="006E375B">
        <w:t>NOTICE is hereby given pursuant to Section 120.54, Florida Statutes, that the Florida Public Service Commission staff h</w:t>
      </w:r>
      <w:r>
        <w:t>as initiated rulemaking to adopt</w:t>
      </w:r>
      <w:r w:rsidRPr="006E375B">
        <w:t xml:space="preserve"> Rule</w:t>
      </w:r>
      <w:r>
        <w:t>s 25-6.04355 and 25-7.0405</w:t>
      </w:r>
      <w:r w:rsidRPr="006E375B">
        <w:t>, Florida Administrative Code, to</w:t>
      </w:r>
      <w:r>
        <w:t xml:space="preserve"> establish the date on which investor-owned electric and natural gas utilities may begin applying Commission-approved rates and charges</w:t>
      </w:r>
      <w:r w:rsidRPr="006E375B">
        <w:t>.</w:t>
      </w:r>
    </w:p>
    <w:p w:rsidR="006E375B" w:rsidRPr="006E375B" w:rsidRDefault="006E375B" w:rsidP="006E375B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</w:p>
    <w:p w:rsidR="006E375B" w:rsidRPr="006E375B" w:rsidRDefault="00B0379C" w:rsidP="006E375B">
      <w:pPr>
        <w:widowControl w:val="0"/>
        <w:tabs>
          <w:tab w:val="left" w:pos="-1124"/>
          <w:tab w:val="left" w:pos="-720"/>
          <w:tab w:val="left" w:pos="0"/>
          <w:tab w:val="left" w:pos="720"/>
          <w:tab w:val="left" w:pos="1440"/>
          <w:tab w:val="left" w:pos="2880"/>
          <w:tab w:val="left" w:pos="4680"/>
          <w:tab w:val="left" w:pos="5472"/>
        </w:tabs>
        <w:autoSpaceDE w:val="0"/>
        <w:autoSpaceDN w:val="0"/>
        <w:adjustRightInd w:val="0"/>
        <w:jc w:val="both"/>
      </w:pPr>
      <w:r>
        <w:tab/>
        <w:t xml:space="preserve">The </w:t>
      </w:r>
      <w:r w:rsidR="006E375B" w:rsidRPr="006E375B">
        <w:t>Notice of Developmen</w:t>
      </w:r>
      <w:r w:rsidR="00363A0A">
        <w:t xml:space="preserve">t of Rulemaking appeared in the January 5, 2021 </w:t>
      </w:r>
      <w:r w:rsidR="006E375B" w:rsidRPr="006E375B">
        <w:t>edition of the Florida Administrative Re</w:t>
      </w:r>
      <w:r w:rsidR="00163A8F">
        <w:t xml:space="preserve">gister. </w:t>
      </w:r>
      <w:r w:rsidR="006E375B" w:rsidRPr="006E375B">
        <w:t xml:space="preserve">If requested in writing and not deemed unnecessary by the agency head, a rule development workshop will be scheduled and noticed in the next available Florida Administrative Register. Written requests for a rule development workshop must be submitted to </w:t>
      </w:r>
      <w:r w:rsidR="004625FF">
        <w:t>Margo DuVal at mduval@psc.state.fl.us</w:t>
      </w:r>
      <w:r w:rsidR="006E375B" w:rsidRPr="006E375B">
        <w:t xml:space="preserve"> by </w:t>
      </w:r>
      <w:r w:rsidR="00363A0A">
        <w:t xml:space="preserve">January 19, 2021.  A copy of the preliminary </w:t>
      </w:r>
      <w:r w:rsidR="006E375B" w:rsidRPr="006E375B">
        <w:t>draft rule</w:t>
      </w:r>
      <w:r w:rsidR="00363A0A">
        <w:t>s</w:t>
      </w:r>
      <w:r w:rsidR="006E375B" w:rsidRPr="006E375B">
        <w:t xml:space="preserve"> is attached.</w:t>
      </w:r>
    </w:p>
    <w:p w:rsidR="006B03A1" w:rsidRDefault="006B03A1" w:rsidP="002F5F58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2F5F58">
        <w:rPr>
          <w:u w:val="single"/>
        </w:rPr>
        <w:t>5th</w:t>
      </w:r>
      <w:r w:rsidR="002F5F58">
        <w:t xml:space="preserve"> day of </w:t>
      </w:r>
      <w:r w:rsidR="002F5F58">
        <w:rPr>
          <w:u w:val="single"/>
        </w:rPr>
        <w:t>January</w:t>
      </w:r>
      <w:r w:rsidR="002F5F58">
        <w:t xml:space="preserve">, </w:t>
      </w:r>
      <w:r w:rsidR="002F5F58">
        <w:rPr>
          <w:u w:val="single"/>
        </w:rPr>
        <w:t>2021</w:t>
      </w:r>
      <w:r w:rsidR="002F5F58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2F5F58" w:rsidRDefault="002F5F58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F45B0A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E375B">
      <w:pPr>
        <w:keepNext/>
      </w:pPr>
      <w:r>
        <w:t>MAD</w:t>
      </w:r>
      <w:r w:rsidR="006B03A1">
        <w:t xml:space="preserve">  </w:t>
      </w:r>
    </w:p>
    <w:p w:rsidR="00332C7F" w:rsidRDefault="00332C7F">
      <w:pPr>
        <w:keepNext/>
      </w:pPr>
    </w:p>
    <w:p w:rsidR="00332C7F" w:rsidRDefault="00332C7F">
      <w:r>
        <w:br w:type="page"/>
      </w:r>
    </w:p>
    <w:p w:rsidR="00A85EA9" w:rsidRPr="00A85EA9" w:rsidRDefault="00A85EA9" w:rsidP="00A85EA9">
      <w:pPr>
        <w:jc w:val="center"/>
        <w:rPr>
          <w:rFonts w:eastAsia="Calibri"/>
          <w:sz w:val="22"/>
          <w:szCs w:val="20"/>
        </w:rPr>
      </w:pPr>
      <w:r w:rsidRPr="00A85EA9">
        <w:rPr>
          <w:rFonts w:eastAsia="Calibri"/>
          <w:sz w:val="22"/>
          <w:szCs w:val="20"/>
        </w:rPr>
        <w:lastRenderedPageBreak/>
        <w:t>Notice of Development of Rulemaking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</w:p>
    <w:p w:rsidR="00A85EA9" w:rsidRPr="00A85EA9" w:rsidRDefault="00F45B0A" w:rsidP="00A85EA9">
      <w:pPr>
        <w:spacing w:line="264" w:lineRule="auto"/>
        <w:jc w:val="both"/>
        <w:rPr>
          <w:rFonts w:eastAsia="Calibri"/>
          <w:b/>
          <w:sz w:val="20"/>
          <w:szCs w:val="20"/>
        </w:rPr>
      </w:pPr>
      <w:hyperlink r:id="rId7" w:tgtFrame="department" w:tooltip="https://www.flrules.org/gateway/department.asp?id=25" w:history="1">
        <w:r w:rsidR="00A85EA9" w:rsidRPr="00A85EA9">
          <w:rPr>
            <w:rFonts w:eastAsia="Calibri"/>
            <w:b/>
            <w:sz w:val="20"/>
            <w:szCs w:val="20"/>
          </w:rPr>
          <w:t>PUBLIC SERVICE COMMISSION</w:t>
        </w:r>
      </w:hyperlink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RULE NO:</w:t>
      </w:r>
      <w:r w:rsidRPr="00A85EA9">
        <w:rPr>
          <w:rFonts w:eastAsia="Calibri"/>
          <w:sz w:val="20"/>
          <w:szCs w:val="20"/>
        </w:rPr>
        <w:tab/>
        <w:t>RULE TITLE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25-6.04355</w:t>
      </w:r>
      <w:r w:rsidRPr="00A85EA9">
        <w:rPr>
          <w:rFonts w:eastAsia="Calibri"/>
          <w:sz w:val="20"/>
          <w:szCs w:val="20"/>
        </w:rPr>
        <w:tab/>
        <w:t>Effective Date of Approved Rates and Charges for Investor-Owned Electric Utilities.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PURPOSE AND EFFECT: To adopt a new rule confirming the date on which an investor-owned electric utility may begin applying Commission-approved rates and charges.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Undocketed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SUBJECT AREA TO BE ADDRESSED: Investor-owned electric utilities’ application of Commission-approved rates and charges.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RULEMAKING AUTHORITY: 350.127(2), 366.05(1) FS.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LAW IMPLEMENTED: 366.05(1), 366.06(1) FS.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IF REQUESTED IN WRITING AND NOT DEEMED UNNECESSARY BY THE AGENCY HEAD, A RULE DEVELOPMENT WORKSHOP WILL BE NOTICED IN THE NEXT AVAILABLE FLORIDA ADMINISTRATIVE REGISTER.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THE PERSON TO BE CONTACTED REGARDING THE PROPOSED RULE DEVELOPMENT AND A COPY OF THE PRELIMINARY DRAFT, IF AVAILABLE, IS: Margo DuVal, Florida Public Service Commission, Office of the General Counsel, 2540 Shumard Oak Blvd., Tallahassee, FL 32399-0850, (850)413-6076, mduval@psc.state.fl.us.</w:t>
      </w:r>
    </w:p>
    <w:p w:rsidR="00A85EA9" w:rsidRPr="00A85EA9" w:rsidRDefault="00A85EA9" w:rsidP="00A85EA9">
      <w:pPr>
        <w:spacing w:line="264" w:lineRule="auto"/>
        <w:jc w:val="both"/>
        <w:rPr>
          <w:rFonts w:eastAsia="Calibri"/>
          <w:sz w:val="20"/>
          <w:szCs w:val="20"/>
        </w:rPr>
      </w:pPr>
      <w:r w:rsidRPr="00A85EA9">
        <w:rPr>
          <w:rFonts w:eastAsia="Calibri"/>
          <w:sz w:val="20"/>
          <w:szCs w:val="20"/>
        </w:rPr>
        <w:t>THE PRELIMINARY TEXT OF THE PROPOSED RULE DEVELOPMENT IS AVAILABLE AT NO CHARGE FROM THE CONTACT PERSON LISTED ABOVE.</w:t>
      </w:r>
    </w:p>
    <w:p w:rsidR="00A85EA9" w:rsidRDefault="00A85EA9"/>
    <w:p w:rsidR="00332C7F" w:rsidRDefault="00332C7F">
      <w:r>
        <w:br w:type="page"/>
      </w:r>
    </w:p>
    <w:p w:rsidR="005E0160" w:rsidRPr="005E0160" w:rsidRDefault="005E0160" w:rsidP="005E0160">
      <w:pPr>
        <w:jc w:val="center"/>
        <w:rPr>
          <w:rFonts w:eastAsia="Calibri"/>
          <w:sz w:val="22"/>
          <w:szCs w:val="20"/>
        </w:rPr>
      </w:pPr>
      <w:r w:rsidRPr="005E0160">
        <w:rPr>
          <w:rFonts w:eastAsia="Calibri"/>
          <w:sz w:val="22"/>
          <w:szCs w:val="20"/>
        </w:rPr>
        <w:lastRenderedPageBreak/>
        <w:t>Notice of Development of Rulemaking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b/>
          <w:sz w:val="20"/>
          <w:szCs w:val="20"/>
          <w:u w:val="single"/>
        </w:rPr>
      </w:pPr>
    </w:p>
    <w:p w:rsidR="005E0160" w:rsidRPr="005E0160" w:rsidRDefault="00F45B0A" w:rsidP="005E0160">
      <w:pPr>
        <w:spacing w:line="264" w:lineRule="auto"/>
        <w:jc w:val="both"/>
        <w:rPr>
          <w:rFonts w:eastAsia="Calibri"/>
          <w:b/>
          <w:sz w:val="20"/>
          <w:szCs w:val="20"/>
          <w:u w:val="single"/>
        </w:rPr>
      </w:pPr>
      <w:hyperlink r:id="rId8" w:tgtFrame="department" w:tooltip="https://www.flrules.org/gateway/department.asp?id=25" w:history="1">
        <w:r w:rsidR="005E0160" w:rsidRPr="005E0160">
          <w:rPr>
            <w:rFonts w:eastAsia="Calibri"/>
            <w:b/>
            <w:sz w:val="20"/>
            <w:szCs w:val="20"/>
            <w:u w:val="single"/>
          </w:rPr>
          <w:t>PUBLIC SERVICE COMMISSION</w:t>
        </w:r>
      </w:hyperlink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RULE NO:</w:t>
      </w:r>
      <w:r w:rsidRPr="005E0160">
        <w:rPr>
          <w:rFonts w:eastAsia="Calibri"/>
          <w:sz w:val="20"/>
          <w:szCs w:val="20"/>
        </w:rPr>
        <w:tab/>
        <w:t>RULE TITLE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25-7.0405</w:t>
      </w:r>
      <w:r w:rsidRPr="005E0160">
        <w:rPr>
          <w:rFonts w:eastAsia="Calibri"/>
          <w:sz w:val="20"/>
          <w:szCs w:val="20"/>
        </w:rPr>
        <w:tab/>
        <w:t>Effective Date of Approved Rates and Charges for Investor-Owned Natural Gas Utilities.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PURPOSE AND EFFECT: To adopt a new rule establishing the date on which an investor-owned natural gas utility may begin applying Commission-approved rates and charges.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Undocketed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SUBJECT AREA TO BE ADDRESSED: Investor-owned natural gas utilities’ application of Commission-approved rates and charges.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RULEMAKING AUTHORITY: 350.127(2), 366.05(1) FS.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LAW IMPLEMENTED: 366.05(1), 366.06(1) FS.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IF REQUESTED IN WRITING AND NOT DEEMED UNNECESSARY BY THE AGENCY HEAD, A RULE DEVELOPMENT WORKSHOP WILL BE NOTICED IN THE NEXT AVAILABLE FLORIDA ADMINISTRATIVE REGISTER.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THE PERSON TO BE CONTACTED REGARDING THE PROPOSED RULE DEVELOPMENT AND A COPY OF THE PRELIMINARY DRAFT, IF AVAILABLE, IS: Margo DuVal, Florida Public Service Commission, Office of the General Counsel, 2540 Shumard Oak Blvd., Tallahassee, FL 32399-0850, (850)413-6076, mduval@psc.state.fl.us.</w:t>
      </w:r>
    </w:p>
    <w:p w:rsidR="005E0160" w:rsidRPr="005E0160" w:rsidRDefault="005E0160" w:rsidP="005E0160">
      <w:pPr>
        <w:spacing w:line="264" w:lineRule="auto"/>
        <w:jc w:val="both"/>
        <w:rPr>
          <w:rFonts w:eastAsia="Calibri"/>
          <w:sz w:val="20"/>
          <w:szCs w:val="20"/>
        </w:rPr>
      </w:pPr>
      <w:r w:rsidRPr="005E0160">
        <w:rPr>
          <w:rFonts w:eastAsia="Calibri"/>
          <w:sz w:val="20"/>
          <w:szCs w:val="20"/>
        </w:rPr>
        <w:t>THE PRELIMINARY TEXT OF THE PROPOSED RULE DEVELOPMENT IS AVAILABLE AT NO CHARGE FROM THE CONTACT PERSON LISTED ABOVE.</w:t>
      </w:r>
    </w:p>
    <w:p w:rsidR="00A85EA9" w:rsidRDefault="00A85EA9"/>
    <w:p w:rsidR="00A85EA9" w:rsidRDefault="00A85EA9"/>
    <w:p w:rsidR="00A85EA9" w:rsidRDefault="00A85EA9"/>
    <w:p w:rsidR="00332C7F" w:rsidRDefault="00332C7F" w:rsidP="00332C7F"/>
    <w:p w:rsidR="00332C7F" w:rsidRDefault="00332C7F" w:rsidP="00332C7F"/>
    <w:p w:rsidR="00332C7F" w:rsidRDefault="00332C7F" w:rsidP="00332C7F"/>
    <w:p w:rsidR="00332C7F" w:rsidRDefault="00332C7F" w:rsidP="00332C7F">
      <w:pPr>
        <w:sectPr w:rsidR="00332C7F" w:rsidSect="004625FF">
          <w:headerReference w:type="default" r:id="rId9"/>
          <w:pgSz w:w="12240" w:h="15840" w:code="1"/>
          <w:pgMar w:top="1440" w:right="1440" w:bottom="2160" w:left="1440" w:header="1440" w:footer="720" w:gutter="0"/>
          <w:cols w:space="720"/>
          <w:titlePg/>
          <w:docGrid w:linePitch="360"/>
        </w:sectPr>
      </w:pP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b/>
          <w:u w:val="single"/>
        </w:rPr>
      </w:pPr>
      <w:r>
        <w:rPr>
          <w:b/>
        </w:rPr>
        <w:lastRenderedPageBreak/>
        <w:tab/>
      </w:r>
      <w:r>
        <w:rPr>
          <w:b/>
          <w:u w:val="single"/>
        </w:rPr>
        <w:t>25-6.04355</w:t>
      </w:r>
      <w:r w:rsidRPr="0059261F">
        <w:rPr>
          <w:b/>
          <w:u w:val="single"/>
        </w:rPr>
        <w:t xml:space="preserve"> Effective Date of Approved Rates and Charges</w:t>
      </w:r>
      <w:r>
        <w:rPr>
          <w:b/>
          <w:u w:val="single"/>
        </w:rPr>
        <w:t xml:space="preserve"> for Investor-Owned Electric Utilities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  <w:t xml:space="preserve"> </w:t>
      </w:r>
      <w:r w:rsidRPr="0059261F">
        <w:rPr>
          <w:u w:val="single"/>
        </w:rPr>
        <w:t>(1) The effective date of approved rates and charges is the date on which a utility may begin applying approved rates and charges to a customer’s bill for service rendered.</w:t>
      </w:r>
      <w:r w:rsidRPr="0059261F">
        <w:tab/>
        <w:t xml:space="preserve"> 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(2) Approved rates and charges shall become effective for meter readings on or after 30 days from the date of the Commission’s vote approving them: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(a) For all rates and charges that the Commission approves through a general rate increase proceeding</w:t>
      </w:r>
      <w:r>
        <w:rPr>
          <w:u w:val="single"/>
        </w:rPr>
        <w:t xml:space="preserve"> </w:t>
      </w:r>
      <w:r w:rsidRPr="00A917FD">
        <w:rPr>
          <w:u w:val="single"/>
        </w:rPr>
        <w:t>that result in an overall rate increase to customers</w:t>
      </w:r>
      <w:r w:rsidRPr="0059261F">
        <w:rPr>
          <w:u w:val="single"/>
        </w:rPr>
        <w:t>.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(b) For usage-based rates and charges applicable to all customers that the Commission approves through a standalone proceeding</w:t>
      </w:r>
      <w:r>
        <w:rPr>
          <w:u w:val="single"/>
        </w:rPr>
        <w:t xml:space="preserve"> </w:t>
      </w:r>
      <w:r w:rsidRPr="00A917FD">
        <w:rPr>
          <w:u w:val="single"/>
        </w:rPr>
        <w:t>that result in an overall rate increase to customers</w:t>
      </w:r>
      <w:r w:rsidRPr="0059261F">
        <w:rPr>
          <w:u w:val="single"/>
        </w:rPr>
        <w:t>.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 xml:space="preserve">(3) For all other approved rates and charges, the Commission will determine the appropriate effective date within each proceeding. 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(4) In no event may the rates and charges be applied to service rendered prior to the effective date.</w:t>
      </w:r>
    </w:p>
    <w:p w:rsidR="00332C7F" w:rsidRPr="008470F5" w:rsidRDefault="00332C7F" w:rsidP="0059261F">
      <w:pPr>
        <w:pStyle w:val="Rule"/>
        <w:tabs>
          <w:tab w:val="clear" w:pos="720"/>
          <w:tab w:val="left" w:pos="360"/>
        </w:tabs>
      </w:pPr>
      <w:r w:rsidRPr="008470F5">
        <w:rPr>
          <w:i/>
        </w:rPr>
        <w:t>Rulemaking Authority 350.127(2), 366.05(1) FS. Law Implemented 366.05(1), 366.06(1) FS., History New_____________.</w:t>
      </w:r>
    </w:p>
    <w:p w:rsidR="00332C7F" w:rsidRDefault="00332C7F" w:rsidP="00332C7F"/>
    <w:p w:rsidR="00332C7F" w:rsidRDefault="00332C7F" w:rsidP="00332C7F">
      <w:pPr>
        <w:sectPr w:rsidR="00332C7F" w:rsidSect="00085D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360" w:right="720" w:bottom="360" w:left="2405" w:header="360" w:footer="360" w:gutter="0"/>
          <w:cols w:space="720"/>
          <w:docGrid w:linePitch="360"/>
        </w:sectPr>
      </w:pP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b/>
          <w:u w:val="single"/>
        </w:rPr>
      </w:pPr>
      <w:r>
        <w:rPr>
          <w:b/>
        </w:rPr>
        <w:lastRenderedPageBreak/>
        <w:tab/>
      </w:r>
      <w:r>
        <w:rPr>
          <w:b/>
          <w:u w:val="single"/>
        </w:rPr>
        <w:t>25-7.0405</w:t>
      </w:r>
      <w:r w:rsidRPr="0059261F">
        <w:rPr>
          <w:b/>
          <w:u w:val="single"/>
        </w:rPr>
        <w:t xml:space="preserve"> Effective Date of Approved Rates and Charges</w:t>
      </w:r>
      <w:r>
        <w:rPr>
          <w:b/>
          <w:u w:val="single"/>
        </w:rPr>
        <w:t xml:space="preserve"> for Investor-Owned Natural Gas Utilities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  <w:t xml:space="preserve"> </w:t>
      </w:r>
      <w:r w:rsidRPr="0059261F">
        <w:rPr>
          <w:u w:val="single"/>
        </w:rPr>
        <w:t>(1) The effective date of approved rates and charges is the date on which a utility may begin applying approved rates and charges to a customer’s bill for service rendered.</w:t>
      </w:r>
      <w:r w:rsidRPr="0059261F">
        <w:tab/>
        <w:t xml:space="preserve"> 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(2) Approved rates and charges shall become effective for meter readings on or after 30 days from the date of the Commission’s vote approving them: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(a) For all rates and charges that the Commission approves through a general rate increase proceeding</w:t>
      </w:r>
      <w:r>
        <w:rPr>
          <w:u w:val="single"/>
        </w:rPr>
        <w:t xml:space="preserve"> </w:t>
      </w:r>
      <w:r w:rsidRPr="00D377CA">
        <w:rPr>
          <w:u w:val="single"/>
        </w:rPr>
        <w:t>that result in an overall rate increase to customers.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(b) For usage-based rates and charges applicable to all customers that the Commission approves through a standalone proceeding</w:t>
      </w:r>
      <w:r>
        <w:rPr>
          <w:u w:val="single"/>
        </w:rPr>
        <w:t xml:space="preserve"> </w:t>
      </w:r>
      <w:r w:rsidRPr="00D377CA">
        <w:rPr>
          <w:u w:val="single"/>
        </w:rPr>
        <w:t>that result in an overall rate increase to customers.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 xml:space="preserve">(3) For all other approved rates and charges, the Commission will determine the appropriate effective date within each proceeding. </w:t>
      </w:r>
    </w:p>
    <w:p w:rsidR="00332C7F" w:rsidRPr="0059261F" w:rsidRDefault="00332C7F" w:rsidP="0059261F">
      <w:pPr>
        <w:pStyle w:val="Rule"/>
        <w:tabs>
          <w:tab w:val="clear" w:pos="720"/>
          <w:tab w:val="left" w:pos="360"/>
        </w:tabs>
        <w:rPr>
          <w:u w:val="single"/>
        </w:rPr>
      </w:pPr>
      <w:r w:rsidRPr="0059261F">
        <w:tab/>
      </w:r>
      <w:r w:rsidRPr="0059261F">
        <w:rPr>
          <w:u w:val="single"/>
        </w:rPr>
        <w:t>(4) In no event may the rates and charges be applied to service rendered prior to the effective date.</w:t>
      </w:r>
    </w:p>
    <w:p w:rsidR="00332C7F" w:rsidRPr="008470F5" w:rsidRDefault="00332C7F" w:rsidP="0059261F">
      <w:pPr>
        <w:pStyle w:val="Rule"/>
        <w:tabs>
          <w:tab w:val="clear" w:pos="720"/>
          <w:tab w:val="left" w:pos="360"/>
        </w:tabs>
      </w:pPr>
      <w:r w:rsidRPr="008470F5">
        <w:rPr>
          <w:i/>
        </w:rPr>
        <w:t>Rulemaking Authority 350.127(2), 366.05(1) FS. Law Implemented 366.05(1), 366.06(1) FS., History New_____________.</w:t>
      </w:r>
    </w:p>
    <w:p w:rsidR="00332C7F" w:rsidRDefault="00332C7F" w:rsidP="00332C7F"/>
    <w:sectPr w:rsidR="00332C7F" w:rsidSect="00B75B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360" w:right="720" w:bottom="360" w:left="2405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5B" w:rsidRDefault="006E375B">
      <w:r>
        <w:separator/>
      </w:r>
    </w:p>
  </w:endnote>
  <w:endnote w:type="continuationSeparator" w:id="0">
    <w:p w:rsidR="006E375B" w:rsidRDefault="006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F45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332C7F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</w:t>
    </w:r>
    <w:r>
      <w:rPr>
        <w:strike/>
      </w:rPr>
      <w:t>struck through</w:t>
    </w:r>
    <w:r>
      <w:t xml:space="preserve"> type are deletions from existing law.</w:t>
    </w:r>
  </w:p>
  <w:p w:rsidR="00FF1497" w:rsidRDefault="00DA4FC1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332C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497" w:rsidRDefault="00332C7F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struck through type are deletions from existing law.</w:t>
    </w:r>
  </w:p>
  <w:p w:rsidR="00FF1497" w:rsidRDefault="00332C7F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F45B0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332C7F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</w:t>
    </w:r>
    <w:r>
      <w:rPr>
        <w:strike/>
      </w:rPr>
      <w:t>struck through</w:t>
    </w:r>
    <w:r>
      <w:t xml:space="preserve"> type are deletions from existing law.</w:t>
    </w:r>
  </w:p>
  <w:p w:rsidR="00FF1497" w:rsidRDefault="00332C7F">
    <w:pPr>
      <w:pStyle w:val="Footer"/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332C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497" w:rsidRDefault="00332C7F">
    <w:pPr>
      <w:pStyle w:val="Footer"/>
    </w:pPr>
    <w:r>
      <w:t xml:space="preserve">CODING: Words </w:t>
    </w:r>
    <w:r>
      <w:rPr>
        <w:u w:val="single"/>
      </w:rPr>
      <w:t>underlined</w:t>
    </w:r>
    <w:r>
      <w:t xml:space="preserve"> are additions; words in struck through type are deletions from existing law.</w:t>
    </w:r>
  </w:p>
  <w:p w:rsidR="00FF1497" w:rsidRDefault="00332C7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5B" w:rsidRDefault="006E375B">
      <w:r>
        <w:separator/>
      </w:r>
    </w:p>
  </w:footnote>
  <w:footnote w:type="continuationSeparator" w:id="0">
    <w:p w:rsidR="006E375B" w:rsidRDefault="006E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6E375B">
    <w:pPr>
      <w:pStyle w:val="Header"/>
    </w:pPr>
    <w:bookmarkStart w:id="5" w:name="headerNotice"/>
    <w:bookmarkEnd w:id="5"/>
    <w:r>
      <w:t xml:space="preserve">NOTICE OF </w:t>
    </w:r>
    <w:r w:rsidR="00DA4FC1">
      <w:t>DEVELOPMENT OF RULEMAKING</w:t>
    </w:r>
  </w:p>
  <w:p w:rsidR="006B03A1" w:rsidRDefault="00332C7F">
    <w:pPr>
      <w:pStyle w:val="Header"/>
    </w:pPr>
    <w:bookmarkStart w:id="6" w:name="headerDocket"/>
    <w:bookmarkEnd w:id="6"/>
    <w:r>
      <w:t>UNDOCKETED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B0A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F45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F" w:rsidRDefault="00332C7F" w:rsidP="00332C7F">
    <w:pPr>
      <w:pStyle w:val="Header"/>
    </w:pPr>
    <w:r>
      <w:t xml:space="preserve">NOTICE OF </w:t>
    </w:r>
    <w:r w:rsidR="00DA4FC1">
      <w:t>DEVELOPMENT OF RULEMAKING</w:t>
    </w:r>
  </w:p>
  <w:p w:rsidR="00332C7F" w:rsidRDefault="00332C7F" w:rsidP="00332C7F">
    <w:pPr>
      <w:pStyle w:val="Header"/>
    </w:pPr>
    <w:r>
      <w:t>UNDOCKETED</w:t>
    </w:r>
  </w:p>
  <w:p w:rsidR="00FF1497" w:rsidRPr="00DA4FC1" w:rsidRDefault="00332C7F" w:rsidP="00DA4FC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B0A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413DA" wp14:editId="335A87E9">
              <wp:simplePos x="0" y="0"/>
              <wp:positionH relativeFrom="page">
                <wp:posOffset>1463040</wp:posOffset>
              </wp:positionH>
              <wp:positionV relativeFrom="page">
                <wp:posOffset>914400</wp:posOffset>
              </wp:positionV>
              <wp:extent cx="0" cy="8321040"/>
              <wp:effectExtent l="5715" t="9525" r="13335" b="13335"/>
              <wp:wrapNone/>
              <wp:docPr id="8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7DAE7" id="LeftBorder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2pt,1in" to="11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f/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">
              <w10:wrap anchorx="page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1CB6E8" wp14:editId="6FA1C423">
              <wp:simplePos x="0" y="0"/>
              <wp:positionH relativeFrom="page">
                <wp:posOffset>887095</wp:posOffset>
              </wp:positionH>
              <wp:positionV relativeFrom="margin">
                <wp:posOffset>0</wp:posOffset>
              </wp:positionV>
              <wp:extent cx="457200" cy="8686800"/>
              <wp:effectExtent l="1270" t="0" r="0" b="0"/>
              <wp:wrapNone/>
              <wp:docPr id="7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332C7F">
                          <w:pPr>
                            <w:pStyle w:val="RuleHeader"/>
                            <w:rPr>
                              <w:rStyle w:val="RuleChar"/>
                            </w:rPr>
                          </w:pPr>
                          <w:r>
                            <w:t>1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3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4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5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6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7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8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9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10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11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12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13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14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15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16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17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18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19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20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21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22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23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24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B6E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69.85pt;margin-top:0;width:36pt;height:6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" stroked="f">
              <v:textbox inset="0,0,0,0">
                <w:txbxContent>
                  <w:p w:rsidR="00FF1497" w:rsidRDefault="00332C7F">
                    <w:pPr>
                      <w:pStyle w:val="RuleHeader"/>
                      <w:rPr>
                        <w:rStyle w:val="RuleChar"/>
                      </w:rPr>
                    </w:pPr>
                    <w:r>
                      <w:t>1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3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4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5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6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7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8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9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10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11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12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13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14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15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16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17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18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19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20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21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22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23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24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332C7F">
    <w:pPr>
      <w:tabs>
        <w:tab w:val="left" w:pos="37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20FD6E" wp14:editId="09A717D7">
              <wp:simplePos x="0" y="0"/>
              <wp:positionH relativeFrom="margin">
                <wp:posOffset>-66040</wp:posOffset>
              </wp:positionH>
              <wp:positionV relativeFrom="page">
                <wp:posOffset>914400</wp:posOffset>
              </wp:positionV>
              <wp:extent cx="0" cy="8321040"/>
              <wp:effectExtent l="10160" t="9525" r="8890" b="13335"/>
              <wp:wrapNone/>
              <wp:docPr id="4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17F1E0" id="LeftBorder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2pt,1in" to="-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Xv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4A5364" wp14:editId="406E1DB0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332C7F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A53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4pt;margin-top:0;width:36pt;height:6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" stroked="f">
              <v:textbox inset="0,0,0,0">
                <w:txbxContent>
                  <w:p w:rsidR="00FF1497" w:rsidRDefault="00332C7F">
                    <w:pPr>
                      <w:jc w:val="right"/>
                    </w:pPr>
                    <w:r>
                      <w:t>1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3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4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5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6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7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8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9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10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11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12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13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14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15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16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17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18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19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20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21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22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23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24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F45B0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7F" w:rsidRDefault="00332C7F" w:rsidP="00332C7F">
    <w:pPr>
      <w:pStyle w:val="Header"/>
    </w:pPr>
    <w:r>
      <w:t xml:space="preserve">NOTICE OF </w:t>
    </w:r>
    <w:r w:rsidR="00DA4FC1">
      <w:t>DEVELOPMENT OF RULEMAKING</w:t>
    </w:r>
  </w:p>
  <w:p w:rsidR="00332C7F" w:rsidRDefault="00332C7F" w:rsidP="00332C7F">
    <w:pPr>
      <w:pStyle w:val="Header"/>
    </w:pPr>
    <w:r>
      <w:t>UNDOCKETED</w:t>
    </w:r>
  </w:p>
  <w:p w:rsidR="00FF1497" w:rsidRPr="00DA4FC1" w:rsidRDefault="00332C7F" w:rsidP="00DA4FC1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5B0A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9DF701" wp14:editId="22199FB5">
              <wp:simplePos x="0" y="0"/>
              <wp:positionH relativeFrom="page">
                <wp:posOffset>1463040</wp:posOffset>
              </wp:positionH>
              <wp:positionV relativeFrom="page">
                <wp:posOffset>914400</wp:posOffset>
              </wp:positionV>
              <wp:extent cx="0" cy="8321040"/>
              <wp:effectExtent l="5715" t="9525" r="13335" b="13335"/>
              <wp:wrapNone/>
              <wp:docPr id="9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FB687" id="LeftBorder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5.2pt,1in" to="11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">
              <w10:wrap anchorx="page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C109B06" wp14:editId="34181ED4">
              <wp:simplePos x="0" y="0"/>
              <wp:positionH relativeFrom="page">
                <wp:posOffset>887095</wp:posOffset>
              </wp:positionH>
              <wp:positionV relativeFrom="margin">
                <wp:posOffset>0</wp:posOffset>
              </wp:positionV>
              <wp:extent cx="457200" cy="8686800"/>
              <wp:effectExtent l="1270" t="0" r="0" b="0"/>
              <wp:wrapNone/>
              <wp:docPr id="10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332C7F">
                          <w:pPr>
                            <w:pStyle w:val="RuleHeader"/>
                            <w:rPr>
                              <w:rStyle w:val="RuleChar"/>
                            </w:rPr>
                          </w:pPr>
                          <w:r>
                            <w:t>1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3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4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5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6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7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8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9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10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11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12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13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14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15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16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17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18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19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20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21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22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23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24</w:t>
                          </w:r>
                        </w:p>
                        <w:p w:rsidR="00FF1497" w:rsidRDefault="00332C7F">
                          <w:pPr>
                            <w:pStyle w:val="RuleHeader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09B0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5pt;margin-top:0;width:36pt;height:68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" stroked="f">
              <v:textbox inset="0,0,0,0">
                <w:txbxContent>
                  <w:p w:rsidR="00FF1497" w:rsidRDefault="00332C7F">
                    <w:pPr>
                      <w:pStyle w:val="RuleHeader"/>
                      <w:rPr>
                        <w:rStyle w:val="RuleChar"/>
                      </w:rPr>
                    </w:pPr>
                    <w:r>
                      <w:t>1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3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4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5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6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7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8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9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10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11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12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13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14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15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16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17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18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19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20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21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22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23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24</w:t>
                    </w:r>
                  </w:p>
                  <w:p w:rsidR="00FF1497" w:rsidRDefault="00332C7F">
                    <w:pPr>
                      <w:pStyle w:val="RuleHeader"/>
                    </w:pPr>
                    <w:r>
                      <w:t>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97" w:rsidRDefault="00332C7F">
    <w:pPr>
      <w:tabs>
        <w:tab w:val="left" w:pos="37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DC92FD" wp14:editId="6CFF9EB1">
              <wp:simplePos x="0" y="0"/>
              <wp:positionH relativeFrom="margin">
                <wp:posOffset>-66040</wp:posOffset>
              </wp:positionH>
              <wp:positionV relativeFrom="page">
                <wp:posOffset>914400</wp:posOffset>
              </wp:positionV>
              <wp:extent cx="0" cy="8321040"/>
              <wp:effectExtent l="10160" t="9525" r="8890" b="13335"/>
              <wp:wrapNone/>
              <wp:docPr id="13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210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A3A6E" id="LeftBorder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.2pt,1in" to="-5.2pt,7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77E1A4" wp14:editId="0318154B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686800"/>
              <wp:effectExtent l="0" t="0" r="1905" b="0"/>
              <wp:wrapNone/>
              <wp:docPr id="1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497" w:rsidRDefault="00332C7F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:rsidR="00FF1497" w:rsidRDefault="00332C7F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7E1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0.4pt;margin-top:0;width:36pt;height:68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" stroked="f">
              <v:textbox inset="0,0,0,0">
                <w:txbxContent>
                  <w:p w:rsidR="00FF1497" w:rsidRDefault="00332C7F">
                    <w:pPr>
                      <w:jc w:val="right"/>
                    </w:pPr>
                    <w:r>
                      <w:t>1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3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4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5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6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7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8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9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10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11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12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13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14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15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16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17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18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19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20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21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22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23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24</w:t>
                    </w:r>
                  </w:p>
                  <w:p w:rsidR="00FF1497" w:rsidRDefault="00332C7F">
                    <w:pPr>
                      <w:jc w:val="right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00000-OT"/>
  </w:docVars>
  <w:rsids>
    <w:rsidRoot w:val="006E375B"/>
    <w:rsid w:val="000005F5"/>
    <w:rsid w:val="000E7426"/>
    <w:rsid w:val="00163A8F"/>
    <w:rsid w:val="001C6592"/>
    <w:rsid w:val="0028226A"/>
    <w:rsid w:val="002F2D50"/>
    <w:rsid w:val="002F5F58"/>
    <w:rsid w:val="00332C7F"/>
    <w:rsid w:val="003578AE"/>
    <w:rsid w:val="00363A0A"/>
    <w:rsid w:val="003868F1"/>
    <w:rsid w:val="003A580E"/>
    <w:rsid w:val="003C5D75"/>
    <w:rsid w:val="00402C12"/>
    <w:rsid w:val="004625FF"/>
    <w:rsid w:val="00474BD2"/>
    <w:rsid w:val="00487D2C"/>
    <w:rsid w:val="00491225"/>
    <w:rsid w:val="004B0EC4"/>
    <w:rsid w:val="0055171A"/>
    <w:rsid w:val="00556769"/>
    <w:rsid w:val="005634E2"/>
    <w:rsid w:val="005D6C58"/>
    <w:rsid w:val="005E0160"/>
    <w:rsid w:val="00682E0C"/>
    <w:rsid w:val="006A2C0D"/>
    <w:rsid w:val="006B03A1"/>
    <w:rsid w:val="006D4E59"/>
    <w:rsid w:val="006E162C"/>
    <w:rsid w:val="006E375B"/>
    <w:rsid w:val="00724359"/>
    <w:rsid w:val="00751C05"/>
    <w:rsid w:val="007A70DC"/>
    <w:rsid w:val="008343EA"/>
    <w:rsid w:val="00844DA4"/>
    <w:rsid w:val="008955A0"/>
    <w:rsid w:val="008C3030"/>
    <w:rsid w:val="008D36CD"/>
    <w:rsid w:val="008F31CD"/>
    <w:rsid w:val="00A07A62"/>
    <w:rsid w:val="00A2098A"/>
    <w:rsid w:val="00A85EA9"/>
    <w:rsid w:val="00B0379C"/>
    <w:rsid w:val="00B25C10"/>
    <w:rsid w:val="00B50416"/>
    <w:rsid w:val="00BD27DC"/>
    <w:rsid w:val="00CE69DE"/>
    <w:rsid w:val="00D97879"/>
    <w:rsid w:val="00DA4FC1"/>
    <w:rsid w:val="00E2761B"/>
    <w:rsid w:val="00E63804"/>
    <w:rsid w:val="00F15079"/>
    <w:rsid w:val="00F45B0A"/>
    <w:rsid w:val="00F526B0"/>
    <w:rsid w:val="00F66448"/>
    <w:rsid w:val="00F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paragraph" w:customStyle="1" w:styleId="Rule">
    <w:name w:val="Rule"/>
    <w:link w:val="RuleChar"/>
    <w:qFormat/>
    <w:rsid w:val="00332C7F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332C7F"/>
    <w:rPr>
      <w:sz w:val="24"/>
      <w:szCs w:val="24"/>
    </w:rPr>
  </w:style>
  <w:style w:type="paragraph" w:customStyle="1" w:styleId="RuleHeader">
    <w:name w:val="Rule Header"/>
    <w:basedOn w:val="Rule"/>
    <w:rsid w:val="00332C7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rules.org/gateway/department.asp?id=25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s://www.flrules.org/gateway/department.asp?id=25" TargetMode="Externa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2021-01-05T15:45:00Z</dcterms:created>
  <dcterms:modified xsi:type="dcterms:W3CDTF">2021-01-05T20:13:00Z</dcterms:modified>
</cp:coreProperties>
</file>