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677C484E" wp14:editId="25EEC6D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A25C5">
            <w:pPr>
              <w:pStyle w:val="MemoHeading"/>
            </w:pPr>
            <w:bookmarkStart w:id="0" w:name="FilingDate"/>
            <w:r>
              <w:t>April 21, 2022</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A25C5" w:rsidRDefault="005A25C5">
            <w:pPr>
              <w:pStyle w:val="MemoHeading"/>
            </w:pPr>
            <w:bookmarkStart w:id="1" w:name="From"/>
            <w:r>
              <w:t>Division of Economics (Kunkler, Smith II)</w:t>
            </w:r>
          </w:p>
          <w:p w:rsidR="007C0528" w:rsidRDefault="005A25C5">
            <w:pPr>
              <w:pStyle w:val="MemoHeading"/>
            </w:pPr>
            <w:r>
              <w:t>Office of the General Counsel (Stiller)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A25C5">
            <w:pPr>
              <w:pStyle w:val="MemoHeadingRe"/>
            </w:pPr>
            <w:bookmarkStart w:id="2" w:name="Re"/>
            <w:r>
              <w:t>Docket No. 20220029-EI – Petition for approval of a plant account and depreciation rate for electric vehicle DC fast charge stations</w:t>
            </w:r>
            <w:r w:rsidR="007C00B5">
              <w:t>,</w:t>
            </w:r>
            <w:r>
              <w:t xml:space="preserve"> by Duke Energy Florida,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A25C5">
            <w:pPr>
              <w:pStyle w:val="MemoHeading"/>
            </w:pPr>
            <w:bookmarkStart w:id="3" w:name="AgendaDate"/>
            <w:r>
              <w:t>05/03/22</w:t>
            </w:r>
            <w:bookmarkEnd w:id="3"/>
            <w:r w:rsidR="007C0528">
              <w:t xml:space="preserve"> – </w:t>
            </w:r>
            <w:bookmarkStart w:id="4" w:name="PermittedStatus"/>
            <w:r>
              <w:t xml:space="preserve">Regular Agenda – </w:t>
            </w:r>
            <w:r w:rsidR="009F2D15">
              <w:t xml:space="preserve">Proposed Agency Action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A25C5">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A25C5">
            <w:pPr>
              <w:pStyle w:val="MemoHeading"/>
            </w:pPr>
            <w:bookmarkStart w:id="6" w:name="PrehearingOfficer"/>
            <w:r>
              <w:t>Passidomo</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5A25C5">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A25C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5A25C5" w:rsidRPr="002D481D" w:rsidRDefault="005A25C5" w:rsidP="005A25C5">
      <w:pPr>
        <w:pStyle w:val="BodyText"/>
      </w:pPr>
      <w:r w:rsidRPr="002D481D">
        <w:t>On</w:t>
      </w:r>
      <w:r>
        <w:t xml:space="preserve"> February 4, 2022</w:t>
      </w:r>
      <w:r w:rsidRPr="002D481D">
        <w:t>, Duke Energy Florida</w:t>
      </w:r>
      <w:r>
        <w:t>, LLC</w:t>
      </w:r>
      <w:r w:rsidRPr="002D481D">
        <w:t xml:space="preserve"> (DEF </w:t>
      </w:r>
      <w:r>
        <w:t xml:space="preserve">or Company) filed a request </w:t>
      </w:r>
      <w:r w:rsidRPr="00A77203">
        <w:t>for approval of a plant acc</w:t>
      </w:r>
      <w:r w:rsidR="006C68D6">
        <w:t>ount and depreciation rate for e</w:t>
      </w:r>
      <w:r w:rsidRPr="00A77203">
        <w:t xml:space="preserve">lectric </w:t>
      </w:r>
      <w:r w:rsidR="009A5B87">
        <w:t>vehicle direct c</w:t>
      </w:r>
      <w:r w:rsidR="006C68D6">
        <w:t>urrent</w:t>
      </w:r>
      <w:r>
        <w:t xml:space="preserve"> </w:t>
      </w:r>
      <w:r w:rsidR="009A5B87">
        <w:t>f</w:t>
      </w:r>
      <w:r>
        <w:t xml:space="preserve">ast </w:t>
      </w:r>
      <w:r w:rsidR="009A5B87">
        <w:t>c</w:t>
      </w:r>
      <w:r>
        <w:t>harge</w:t>
      </w:r>
      <w:r w:rsidR="006C68D6">
        <w:t xml:space="preserve"> (DCFC)</w:t>
      </w:r>
      <w:r>
        <w:t xml:space="preserve"> stations</w:t>
      </w:r>
      <w:r>
        <w:rPr>
          <w:rFonts w:ascii="Helvetica" w:hAnsi="Helvetica" w:cs="Helvetica"/>
          <w:color w:val="333333"/>
        </w:rPr>
        <w:t xml:space="preserve"> </w:t>
      </w:r>
      <w:r w:rsidRPr="002D481D">
        <w:t>(Petition).</w:t>
      </w:r>
      <w:r w:rsidR="00572E9A">
        <w:t xml:space="preserve"> </w:t>
      </w:r>
      <w:r w:rsidRPr="002D481D">
        <w:t>The Company’s request</w:t>
      </w:r>
      <w:r>
        <w:t xml:space="preserve"> is</w:t>
      </w:r>
      <w:r w:rsidRPr="002D481D">
        <w:t xml:space="preserve"> in accordance with Rule 25-6.0436(3)(b), Florid</w:t>
      </w:r>
      <w:r>
        <w:t xml:space="preserve">a Administrative Code (F.A.C.), which </w:t>
      </w:r>
      <w:r w:rsidRPr="002D481D">
        <w:t xml:space="preserve">requires that: “[u]pon establishing a new account or subaccount classification, each utility shall request Commission approval of a depreciation rate for the new plant category.” </w:t>
      </w:r>
    </w:p>
    <w:p w:rsidR="005A25C5" w:rsidRDefault="005A25C5" w:rsidP="00E4321F">
      <w:pPr>
        <w:pStyle w:val="BodyText"/>
      </w:pPr>
      <w:r w:rsidRPr="002D481D">
        <w:t>Pursuant to Rule 25-6.0436(3)(a), F.A.C., electric utilities are required to maintain depreciation rates and accum</w:t>
      </w:r>
      <w:bookmarkStart w:id="13" w:name="_GoBack"/>
      <w:bookmarkEnd w:id="13"/>
      <w:r w:rsidRPr="002D481D">
        <w:t xml:space="preserve">ulated depreciation reserves in accounts or subaccounts in accordance with the </w:t>
      </w:r>
      <w:r w:rsidRPr="002D481D">
        <w:lastRenderedPageBreak/>
        <w:t>Uniform System of Accounts</w:t>
      </w:r>
      <w:r>
        <w:t xml:space="preserve"> (USOA)</w:t>
      </w:r>
      <w:r w:rsidRPr="002D481D">
        <w:t xml:space="preserve"> for Public Utilities and Licensees, as found in the Code of Federal Regulations,</w:t>
      </w:r>
      <w:r w:rsidR="007C00B5" w:rsidRPr="007C00B5">
        <w:rPr>
          <w:vertAlign w:val="superscript"/>
        </w:rPr>
        <w:t xml:space="preserve"> </w:t>
      </w:r>
      <w:r w:rsidR="007C00B5" w:rsidRPr="002D481D">
        <w:rPr>
          <w:vertAlign w:val="superscript"/>
        </w:rPr>
        <w:footnoteReference w:id="1"/>
      </w:r>
      <w:r w:rsidRPr="002D481D">
        <w:t xml:space="preserve"> which is incorporated by reference in Rule 25-6.014(1), F.A.C. </w:t>
      </w:r>
    </w:p>
    <w:p w:rsidR="00E4321F" w:rsidRDefault="00612E25" w:rsidP="00E4321F">
      <w:pPr>
        <w:jc w:val="both"/>
      </w:pPr>
      <w:r>
        <w:t>In June 2021, pursuant to the terms of the Company’s 2021 Settlement Agreement (2021 Settlement), DEF received Commission authorization to implement three new Electric Vehicle Programs (EV Programs)</w:t>
      </w:r>
      <w:r w:rsidR="00FB4CED">
        <w:t>,</w:t>
      </w:r>
      <w:r>
        <w:rPr>
          <w:rStyle w:val="FootnoteReference"/>
        </w:rPr>
        <w:footnoteReference w:id="2"/>
      </w:r>
      <w:r>
        <w:t xml:space="preserve"> which effectively discontinued DEF’s </w:t>
      </w:r>
      <w:r w:rsidR="00FB4CED">
        <w:t xml:space="preserve">existing </w:t>
      </w:r>
      <w:r>
        <w:t xml:space="preserve">2017 EV Charging Station Pilot Program (2017 EV Pilot). </w:t>
      </w:r>
    </w:p>
    <w:p w:rsidR="00E4321F" w:rsidRDefault="00E4321F" w:rsidP="00E4321F">
      <w:pPr>
        <w:jc w:val="both"/>
      </w:pPr>
    </w:p>
    <w:p w:rsidR="00612E25" w:rsidRPr="00E4321F" w:rsidRDefault="00612E25" w:rsidP="00E4321F">
      <w:pPr>
        <w:jc w:val="both"/>
        <w:rPr>
          <w:sz w:val="22"/>
          <w:szCs w:val="22"/>
        </w:rPr>
      </w:pPr>
      <w:r>
        <w:t>The 2017 EV Pilot was established and approved as a five</w:t>
      </w:r>
      <w:r w:rsidR="00F70FC2">
        <w:t>-</w:t>
      </w:r>
      <w:r>
        <w:t>year program and recorded on DEF’s books as a regulatory asset.</w:t>
      </w:r>
      <w:r w:rsidR="00E4321F">
        <w:rPr>
          <w:rStyle w:val="FootnoteReference"/>
          <w:rFonts w:ascii="TimesNewRomanPSMT" w:eastAsiaTheme="minorHAnsi" w:hAnsi="TimesNewRomanPSMT" w:cs="TimesNewRomanPSMT"/>
        </w:rPr>
        <w:footnoteReference w:id="3"/>
      </w:r>
      <w:r>
        <w:t xml:space="preserve"> While the 2017 EV Pilot has been discontinued, in acco</w:t>
      </w:r>
      <w:r w:rsidR="00FB4CED">
        <w:t>rdance with the 2021 S</w:t>
      </w:r>
      <w:r w:rsidR="006C68D6">
        <w:t xml:space="preserve">ettlement, </w:t>
      </w:r>
      <w:r>
        <w:t>DEF</w:t>
      </w:r>
      <w:r w:rsidR="006C68D6">
        <w:t xml:space="preserve"> is allowed</w:t>
      </w:r>
      <w:r>
        <w:t xml:space="preserve"> </w:t>
      </w:r>
      <w:r w:rsidR="00FB4CED">
        <w:t>to</w:t>
      </w:r>
      <w:r>
        <w:t xml:space="preserve"> contin</w:t>
      </w:r>
      <w:r w:rsidR="00FB4CED">
        <w:t>ue</w:t>
      </w:r>
      <w:r>
        <w:t xml:space="preserve"> operation of </w:t>
      </w:r>
      <w:r w:rsidR="0049472D">
        <w:t xml:space="preserve">the DCFC </w:t>
      </w:r>
      <w:r>
        <w:t>stations that were installed during the 2017 EV Pilot period</w:t>
      </w:r>
      <w:r w:rsidR="0049472D">
        <w:t xml:space="preserve"> and to continue to recover associated costs</w:t>
      </w:r>
      <w:r>
        <w:t>.</w:t>
      </w:r>
      <w:r w:rsidR="00E4321F" w:rsidRPr="00E4321F">
        <w:rPr>
          <w:vertAlign w:val="superscript"/>
        </w:rPr>
        <w:footnoteReference w:id="4"/>
      </w:r>
      <w:r w:rsidR="00247DDE">
        <w:rPr>
          <w:rFonts w:ascii="TimesNewRomanPSMT" w:eastAsiaTheme="minorHAnsi" w:hAnsi="TimesNewRomanPSMT" w:cs="TimesNewRomanPSMT"/>
          <w:vertAlign w:val="superscript"/>
        </w:rPr>
        <w:t xml:space="preserve"> </w:t>
      </w:r>
    </w:p>
    <w:p w:rsidR="00612E25" w:rsidRDefault="00612E25" w:rsidP="00E4321F">
      <w:pPr>
        <w:jc w:val="both"/>
      </w:pPr>
    </w:p>
    <w:p w:rsidR="005A25C5" w:rsidRDefault="00612E25" w:rsidP="00E4321F">
      <w:pPr>
        <w:pStyle w:val="BodyText"/>
        <w:rPr>
          <w:rFonts w:ascii="TimesNewRomanPSMT" w:eastAsiaTheme="minorHAnsi" w:hAnsi="TimesNewRomanPSMT" w:cs="TimesNewRomanPSMT"/>
        </w:rPr>
      </w:pPr>
      <w:r>
        <w:t>As part of the three new EV Progra</w:t>
      </w:r>
      <w:r w:rsidR="006D7CFD">
        <w:t>ms, DEF will install</w:t>
      </w:r>
      <w:r>
        <w:t xml:space="preserve"> Company-owned </w:t>
      </w:r>
      <w:r w:rsidR="006C68D6">
        <w:t>DCFC</w:t>
      </w:r>
      <w:r w:rsidR="00FB4CED">
        <w:t xml:space="preserve"> stations</w:t>
      </w:r>
      <w:r w:rsidR="00036DAF">
        <w:t xml:space="preserve"> similar to those that were first introduced to DEF’s system under the 2017 EV Pilot</w:t>
      </w:r>
      <w:r w:rsidR="006C68D6">
        <w:t xml:space="preserve">. </w:t>
      </w:r>
      <w:r w:rsidR="00FB4CED">
        <w:t>However, i</w:t>
      </w:r>
      <w:r w:rsidR="005A25C5">
        <w:rPr>
          <w:rFonts w:ascii="TimesNewRomanPSMT" w:eastAsiaTheme="minorHAnsi" w:hAnsi="TimesNewRomanPSMT" w:cs="TimesNewRomanPSMT"/>
        </w:rPr>
        <w:t xml:space="preserve">n order to properly account for the depreciation </w:t>
      </w:r>
      <w:r w:rsidR="00E84382">
        <w:rPr>
          <w:rFonts w:ascii="TimesNewRomanPSMT" w:eastAsiaTheme="minorHAnsi" w:hAnsi="TimesNewRomanPSMT" w:cs="TimesNewRomanPSMT"/>
        </w:rPr>
        <w:t xml:space="preserve">that is </w:t>
      </w:r>
      <w:r w:rsidR="005A25C5">
        <w:rPr>
          <w:rFonts w:ascii="TimesNewRomanPSMT" w:eastAsiaTheme="minorHAnsi" w:hAnsi="TimesNewRomanPSMT" w:cs="TimesNewRomanPSMT"/>
        </w:rPr>
        <w:t xml:space="preserve">related to the new DCFC stations, DEF is requesting </w:t>
      </w:r>
      <w:r w:rsidR="00EE5CFD">
        <w:rPr>
          <w:rFonts w:ascii="TimesNewRomanPSMT" w:eastAsiaTheme="minorHAnsi" w:hAnsi="TimesNewRomanPSMT" w:cs="TimesNewRomanPSMT"/>
        </w:rPr>
        <w:t xml:space="preserve">approval </w:t>
      </w:r>
      <w:r w:rsidR="005A25C5">
        <w:rPr>
          <w:rFonts w:ascii="TimesNewRomanPSMT" w:eastAsiaTheme="minorHAnsi" w:hAnsi="TimesNewRomanPSMT" w:cs="TimesNewRomanPSMT"/>
        </w:rPr>
        <w:t xml:space="preserve">to record the costs of </w:t>
      </w:r>
      <w:r w:rsidR="002354FB">
        <w:rPr>
          <w:rFonts w:ascii="TimesNewRomanPSMT" w:eastAsiaTheme="minorHAnsi" w:hAnsi="TimesNewRomanPSMT" w:cs="TimesNewRomanPSMT"/>
        </w:rPr>
        <w:t xml:space="preserve">these charging stations and all </w:t>
      </w:r>
      <w:r w:rsidR="005A25C5">
        <w:rPr>
          <w:rFonts w:ascii="TimesNewRomanPSMT" w:eastAsiaTheme="minorHAnsi" w:hAnsi="TimesNewRomanPSMT" w:cs="TimesNewRomanPSMT"/>
        </w:rPr>
        <w:t xml:space="preserve">related equipment in a subaccount of </w:t>
      </w:r>
      <w:r w:rsidR="009057A0" w:rsidRPr="002D481D">
        <w:t>Federal Energy Regul</w:t>
      </w:r>
      <w:r w:rsidR="009057A0">
        <w:t xml:space="preserve">atory Commission (FERC) </w:t>
      </w:r>
      <w:r w:rsidR="005A25C5">
        <w:rPr>
          <w:rFonts w:ascii="TimesNewRomanPSMT" w:eastAsiaTheme="minorHAnsi" w:hAnsi="TimesNewRomanPSMT" w:cs="TimesNewRomanPSMT"/>
        </w:rPr>
        <w:t>Account 370</w:t>
      </w:r>
      <w:r w:rsidR="000957AC">
        <w:rPr>
          <w:rFonts w:ascii="TimesNewRomanPSMT" w:eastAsiaTheme="minorHAnsi" w:hAnsi="TimesNewRomanPSMT" w:cs="TimesNewRomanPSMT"/>
        </w:rPr>
        <w:t xml:space="preserve"> – Meters</w:t>
      </w:r>
      <w:r w:rsidR="002B7445">
        <w:rPr>
          <w:rFonts w:ascii="TimesNewRomanPSMT" w:eastAsiaTheme="minorHAnsi" w:hAnsi="TimesNewRomanPSMT" w:cs="TimesNewRomanPSMT"/>
        </w:rPr>
        <w:t xml:space="preserve">. </w:t>
      </w:r>
      <w:r w:rsidR="00EE5CFD">
        <w:rPr>
          <w:rFonts w:ascii="TimesNewRomanPSMT" w:eastAsiaTheme="minorHAnsi" w:hAnsi="TimesNewRomanPSMT" w:cs="TimesNewRomanPSMT"/>
        </w:rPr>
        <w:t xml:space="preserve">DEF is also requesting approval of </w:t>
      </w:r>
      <w:r w:rsidR="005A25C5">
        <w:rPr>
          <w:rFonts w:ascii="TimesNewRomanPSMT" w:eastAsiaTheme="minorHAnsi" w:hAnsi="TimesNewRomanPSMT" w:cs="TimesNewRomanPSMT"/>
        </w:rPr>
        <w:t>a depreciation rate of 10</w:t>
      </w:r>
      <w:r w:rsidR="008F7BDD">
        <w:rPr>
          <w:rFonts w:ascii="TimesNewRomanPSMT" w:eastAsiaTheme="minorHAnsi" w:hAnsi="TimesNewRomanPSMT" w:cs="TimesNewRomanPSMT"/>
        </w:rPr>
        <w:t xml:space="preserve"> percent</w:t>
      </w:r>
      <w:r w:rsidR="005A25C5">
        <w:rPr>
          <w:rFonts w:ascii="TimesNewRomanPSMT" w:eastAsiaTheme="minorHAnsi" w:hAnsi="TimesNewRomanPSMT" w:cs="TimesNewRomanPSMT"/>
        </w:rPr>
        <w:t xml:space="preserve"> for equipment so recorded.</w:t>
      </w:r>
      <w:r w:rsidR="0038416D">
        <w:rPr>
          <w:rStyle w:val="FootnoteReference"/>
          <w:rFonts w:ascii="TimesNewRomanPSMT" w:eastAsiaTheme="minorHAnsi" w:hAnsi="TimesNewRomanPSMT" w:cs="TimesNewRomanPSMT"/>
        </w:rPr>
        <w:footnoteReference w:id="5"/>
      </w:r>
      <w:r w:rsidR="002B7445">
        <w:rPr>
          <w:rFonts w:ascii="TimesNewRomanPSMT" w:eastAsiaTheme="minorHAnsi" w:hAnsi="TimesNewRomanPSMT" w:cs="TimesNewRomanPSMT"/>
        </w:rPr>
        <w:t xml:space="preserve"> </w:t>
      </w:r>
    </w:p>
    <w:p w:rsidR="005A25C5" w:rsidRDefault="005A25C5" w:rsidP="00907AC9">
      <w:pPr>
        <w:autoSpaceDE w:val="0"/>
        <w:autoSpaceDN w:val="0"/>
        <w:adjustRightInd w:val="0"/>
        <w:jc w:val="both"/>
      </w:pPr>
      <w:r w:rsidRPr="002B7445">
        <w:t xml:space="preserve">Currently, the Company reports that </w:t>
      </w:r>
      <w:r w:rsidR="00907AC9">
        <w:rPr>
          <w:rFonts w:ascii="TimesNewRomanPSMT" w:eastAsiaTheme="minorHAnsi" w:hAnsi="TimesNewRomanPSMT" w:cs="TimesNewRomanPSMT"/>
        </w:rPr>
        <w:t>n</w:t>
      </w:r>
      <w:r w:rsidR="00907AC9" w:rsidRPr="00907AC9">
        <w:rPr>
          <w:rFonts w:ascii="TimesNewRomanPSMT" w:eastAsiaTheme="minorHAnsi" w:hAnsi="TimesNewRomanPSMT" w:cs="TimesNewRomanPSMT"/>
        </w:rPr>
        <w:t xml:space="preserve">o depreciation expense </w:t>
      </w:r>
      <w:r w:rsidR="00F70FC2">
        <w:rPr>
          <w:rFonts w:ascii="TimesNewRomanPSMT" w:eastAsiaTheme="minorHAnsi" w:hAnsi="TimesNewRomanPSMT" w:cs="TimesNewRomanPSMT"/>
        </w:rPr>
        <w:t xml:space="preserve">related to the new EV programs </w:t>
      </w:r>
      <w:r w:rsidR="00907AC9" w:rsidRPr="00907AC9">
        <w:rPr>
          <w:rFonts w:ascii="TimesNewRomanPSMT" w:eastAsiaTheme="minorHAnsi" w:hAnsi="TimesNewRomanPSMT" w:cs="TimesNewRomanPSMT"/>
        </w:rPr>
        <w:t>has been recorded</w:t>
      </w:r>
      <w:r w:rsidR="00AB3144">
        <w:rPr>
          <w:rFonts w:ascii="TimesNewRomanPSMT" w:eastAsiaTheme="minorHAnsi" w:hAnsi="TimesNewRomanPSMT" w:cs="TimesNewRomanPSMT"/>
        </w:rPr>
        <w:t>,</w:t>
      </w:r>
      <w:r w:rsidR="00237758">
        <w:rPr>
          <w:rStyle w:val="FootnoteReference"/>
          <w:rFonts w:ascii="TimesNewRomanPSMT" w:eastAsiaTheme="minorHAnsi" w:hAnsi="TimesNewRomanPSMT" w:cs="TimesNewRomanPSMT"/>
        </w:rPr>
        <w:footnoteReference w:id="6"/>
      </w:r>
      <w:r w:rsidR="00907AC9" w:rsidRPr="00907AC9">
        <w:rPr>
          <w:rFonts w:ascii="TimesNewRomanPSMT" w:eastAsiaTheme="minorHAnsi" w:hAnsi="TimesNewRomanPSMT" w:cs="TimesNewRomanPSMT"/>
        </w:rPr>
        <w:t xml:space="preserve"> as no </w:t>
      </w:r>
      <w:r w:rsidR="00F70FC2">
        <w:rPr>
          <w:rFonts w:ascii="TimesNewRomanPSMT" w:eastAsiaTheme="minorHAnsi" w:hAnsi="TimesNewRomanPSMT" w:cs="TimesNewRomanPSMT"/>
        </w:rPr>
        <w:t xml:space="preserve">associated </w:t>
      </w:r>
      <w:r w:rsidR="00907AC9" w:rsidRPr="00907AC9">
        <w:rPr>
          <w:rFonts w:ascii="TimesNewRomanPSMT" w:eastAsiaTheme="minorHAnsi" w:hAnsi="TimesNewRomanPSMT" w:cs="TimesNewRomanPSMT"/>
        </w:rPr>
        <w:t>DCFC stations have been placed into</w:t>
      </w:r>
      <w:r w:rsidR="00907AC9">
        <w:rPr>
          <w:rFonts w:ascii="TimesNewRomanPSMT" w:eastAsiaTheme="minorHAnsi" w:hAnsi="TimesNewRomanPSMT" w:cs="TimesNewRomanPSMT"/>
        </w:rPr>
        <w:t xml:space="preserve"> </w:t>
      </w:r>
      <w:r w:rsidR="00907AC9" w:rsidRPr="00907AC9">
        <w:rPr>
          <w:rFonts w:ascii="TimesNewRomanPSMT" w:eastAsiaTheme="minorHAnsi" w:hAnsi="TimesNewRomanPSMT" w:cs="TimesNewRomanPSMT"/>
        </w:rPr>
        <w:t>service</w:t>
      </w:r>
      <w:r w:rsidR="00F70FC2">
        <w:rPr>
          <w:rFonts w:ascii="TimesNewRomanPSMT" w:eastAsiaTheme="minorHAnsi" w:hAnsi="TimesNewRomanPSMT" w:cs="TimesNewRomanPSMT"/>
        </w:rPr>
        <w:t>.</w:t>
      </w:r>
      <w:r w:rsidR="00907AC9">
        <w:rPr>
          <w:rStyle w:val="FootnoteReference"/>
          <w:rFonts w:ascii="TimesNewRomanPSMT" w:eastAsiaTheme="minorHAnsi" w:hAnsi="TimesNewRomanPSMT" w:cs="TimesNewRomanPSMT"/>
        </w:rPr>
        <w:footnoteReference w:id="7"/>
      </w:r>
      <w:r w:rsidR="00907AC9">
        <w:rPr>
          <w:rFonts w:ascii="TimesNewRomanPSMT" w:eastAsiaTheme="minorHAnsi" w:hAnsi="TimesNewRomanPSMT" w:cs="TimesNewRomanPSMT"/>
        </w:rPr>
        <w:t xml:space="preserve"> </w:t>
      </w:r>
      <w:r w:rsidR="006C68D6">
        <w:t xml:space="preserve">Therefore, DEF </w:t>
      </w:r>
      <w:r w:rsidR="000D4506">
        <w:t xml:space="preserve">is not requesting any </w:t>
      </w:r>
      <w:r w:rsidRPr="002B7445">
        <w:t xml:space="preserve">accounting adjustments, such as transfers of plant investments and associated book reserves, </w:t>
      </w:r>
      <w:r w:rsidR="000D4506">
        <w:t xml:space="preserve">be performed </w:t>
      </w:r>
      <w:r w:rsidRPr="002B7445">
        <w:t>as part of this docket.</w:t>
      </w:r>
      <w:r w:rsidR="0010149A" w:rsidRPr="002B7445">
        <w:rPr>
          <w:rStyle w:val="FootnoteReference"/>
        </w:rPr>
        <w:footnoteReference w:id="8"/>
      </w:r>
      <w:r w:rsidR="009B011F">
        <w:t xml:space="preserve"> </w:t>
      </w:r>
    </w:p>
    <w:p w:rsidR="00907AC9" w:rsidRPr="00907AC9" w:rsidRDefault="00907AC9" w:rsidP="00907AC9">
      <w:pPr>
        <w:autoSpaceDE w:val="0"/>
        <w:autoSpaceDN w:val="0"/>
        <w:adjustRightInd w:val="0"/>
        <w:rPr>
          <w:rFonts w:ascii="TimesNewRomanPSMT" w:eastAsiaTheme="minorHAnsi" w:hAnsi="TimesNewRomanPSMT" w:cs="TimesNewRomanPSMT"/>
        </w:rPr>
      </w:pPr>
    </w:p>
    <w:p w:rsidR="005A25C5" w:rsidRPr="009864B0" w:rsidRDefault="005A25C5" w:rsidP="00E4321F">
      <w:pPr>
        <w:pStyle w:val="BodyText"/>
      </w:pPr>
      <w:r w:rsidRPr="009864B0">
        <w:t xml:space="preserve">Staff is not aware of any public comments or concerns </w:t>
      </w:r>
      <w:r>
        <w:t xml:space="preserve">regarding </w:t>
      </w:r>
      <w:r w:rsidRPr="009864B0">
        <w:t>this matter.</w:t>
      </w:r>
    </w:p>
    <w:p w:rsidR="005A25C5" w:rsidRDefault="005A25C5" w:rsidP="00E4321F">
      <w:pPr>
        <w:pStyle w:val="BodyText"/>
        <w:sectPr w:rsidR="005A25C5" w:rsidSect="005A25C5">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23240B">
        <w:t xml:space="preserve">The Commission has jurisdiction </w:t>
      </w:r>
      <w:r w:rsidR="007C00B5">
        <w:t>over</w:t>
      </w:r>
      <w:r w:rsidR="002E2BB3">
        <w:t xml:space="preserve"> </w:t>
      </w:r>
      <w:r w:rsidRPr="0023240B">
        <w:t xml:space="preserve">this matter pursuant to Sections 366.04, 366.05, and 366.06, </w:t>
      </w:r>
      <w:r w:rsidR="00F70FC2">
        <w:t>Florida Statutes (</w:t>
      </w:r>
      <w:r>
        <w:t>F.S</w:t>
      </w:r>
      <w:r w:rsidRPr="0023240B">
        <w:t>.</w:t>
      </w:r>
      <w:r w:rsidR="00F70FC2">
        <w:t>).</w:t>
      </w:r>
    </w:p>
    <w:p w:rsidR="005A25C5" w:rsidRDefault="005A25C5" w:rsidP="005A25C5">
      <w:pPr>
        <w:pStyle w:val="RecommendationMajorSectionHeading"/>
      </w:pPr>
      <w:r>
        <w:t>Discussion of Issues</w:t>
      </w:r>
    </w:p>
    <w:p w:rsidR="005A25C5" w:rsidRDefault="005A25C5" w:rsidP="005A25C5">
      <w:pPr>
        <w:pStyle w:val="IssueHeading"/>
        <w:rPr>
          <w:vanish/>
          <w:specVanish/>
        </w:rPr>
      </w:pPr>
      <w:r w:rsidRPr="004C3641">
        <w:t xml:space="preserve">Issue </w:t>
      </w:r>
      <w:fldSimple w:instr=" SEQ Issue \* MERGEFORMAT ">
        <w:r w:rsidR="006F7B0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F7B00">
        <w:rPr>
          <w:noProof/>
        </w:rPr>
        <w:instrText>1</w:instrText>
      </w:r>
      <w:r>
        <w:fldChar w:fldCharType="end"/>
      </w:r>
      <w:r>
        <w:tab/>
        <w:instrText xml:space="preserve">(Kunkler)" \l 1 </w:instrText>
      </w:r>
      <w:r>
        <w:fldChar w:fldCharType="end"/>
      </w:r>
      <w:r>
        <w:t> </w:t>
      </w:r>
    </w:p>
    <w:p w:rsidR="005A25C5" w:rsidRDefault="005A25C5" w:rsidP="005A25C5">
      <w:pPr>
        <w:pStyle w:val="BodyText"/>
      </w:pPr>
      <w:r>
        <w:t> Should DEF's request to establish a new sub-account and annual depreciation rate</w:t>
      </w:r>
      <w:r w:rsidRPr="00BF27B0">
        <w:t xml:space="preserve"> </w:t>
      </w:r>
      <w:r>
        <w:t xml:space="preserve">applicable to its Company-owned DCFC </w:t>
      </w:r>
      <w:r w:rsidR="00522DB1">
        <w:t xml:space="preserve">stations </w:t>
      </w:r>
      <w:r>
        <w:t xml:space="preserve">and related equipment be approved, and, if so, what is the </w:t>
      </w:r>
      <w:r w:rsidR="00A66943">
        <w:t xml:space="preserve">appropriate sub-account and </w:t>
      </w:r>
      <w:r>
        <w:t>depreciation rate?</w:t>
      </w:r>
    </w:p>
    <w:p w:rsidR="005A25C5" w:rsidRPr="004C3641" w:rsidRDefault="005A25C5" w:rsidP="005A25C5">
      <w:pPr>
        <w:pStyle w:val="IssueSubsectionHeading"/>
        <w:rPr>
          <w:vanish/>
          <w:specVanish/>
        </w:rPr>
      </w:pPr>
      <w:r w:rsidRPr="004C3641">
        <w:t>Recommendation: </w:t>
      </w:r>
    </w:p>
    <w:p w:rsidR="005A25C5" w:rsidRDefault="005A25C5" w:rsidP="005A25C5">
      <w:pPr>
        <w:pStyle w:val="BodyText"/>
      </w:pPr>
      <w:r>
        <w:t> </w:t>
      </w:r>
      <w:r w:rsidRPr="002D481D">
        <w:t xml:space="preserve">Yes. Staff recommends that </w:t>
      </w:r>
      <w:r w:rsidR="000957AC">
        <w:t xml:space="preserve">the appropriate sub-account for Company-owned DCFC stations and related equipment is Account 370.7 – EV Charging Stations. Staff also recommends </w:t>
      </w:r>
      <w:r w:rsidRPr="002D481D">
        <w:t xml:space="preserve">an annual depreciation rate of 10 percent applicable to DEF’s </w:t>
      </w:r>
      <w:r>
        <w:t>DCFC</w:t>
      </w:r>
      <w:r w:rsidR="00522DB1">
        <w:t xml:space="preserve"> stations</w:t>
      </w:r>
      <w:r>
        <w:t xml:space="preserve"> and related </w:t>
      </w:r>
      <w:r w:rsidRPr="002D481D">
        <w:t>equipment be approved</w:t>
      </w:r>
      <w:r>
        <w:t>.</w:t>
      </w:r>
      <w:r w:rsidRPr="002D481D">
        <w:t xml:space="preserve"> </w:t>
      </w:r>
      <w:r>
        <w:t>(Kunkler</w:t>
      </w:r>
      <w:r w:rsidR="00022A43">
        <w:t>, Smith</w:t>
      </w:r>
      <w:r>
        <w:t>)</w:t>
      </w:r>
    </w:p>
    <w:p w:rsidR="005A25C5" w:rsidRPr="004C3641" w:rsidRDefault="005A25C5" w:rsidP="005A25C5">
      <w:pPr>
        <w:pStyle w:val="IssueSubsectionHeading"/>
        <w:rPr>
          <w:vanish/>
          <w:specVanish/>
        </w:rPr>
      </w:pPr>
      <w:r w:rsidRPr="004C3641">
        <w:t>Staff Analysis: </w:t>
      </w:r>
    </w:p>
    <w:p w:rsidR="00036DAF" w:rsidRDefault="005A25C5" w:rsidP="00036DAF">
      <w:pPr>
        <w:pStyle w:val="BodyText"/>
      </w:pPr>
      <w:r>
        <w:t> </w:t>
      </w:r>
      <w:r w:rsidR="007914E7">
        <w:t xml:space="preserve">As outlined in the case background, the </w:t>
      </w:r>
      <w:r w:rsidR="007914E7" w:rsidRPr="002B7445">
        <w:t xml:space="preserve">Company reports that </w:t>
      </w:r>
      <w:r w:rsidR="007914E7">
        <w:rPr>
          <w:rFonts w:ascii="TimesNewRomanPSMT" w:eastAsiaTheme="minorHAnsi" w:hAnsi="TimesNewRomanPSMT" w:cs="TimesNewRomanPSMT"/>
        </w:rPr>
        <w:t>no DCFC stations</w:t>
      </w:r>
      <w:r w:rsidR="0057610F">
        <w:rPr>
          <w:rFonts w:ascii="TimesNewRomanPSMT" w:eastAsiaTheme="minorHAnsi" w:hAnsi="TimesNewRomanPSMT" w:cs="TimesNewRomanPSMT"/>
        </w:rPr>
        <w:t xml:space="preserve"> or</w:t>
      </w:r>
      <w:r w:rsidR="007914E7">
        <w:rPr>
          <w:rFonts w:ascii="TimesNewRomanPSMT" w:eastAsiaTheme="minorHAnsi" w:hAnsi="TimesNewRomanPSMT" w:cs="TimesNewRomanPSMT"/>
        </w:rPr>
        <w:t xml:space="preserve"> related depreciation expense associated with </w:t>
      </w:r>
      <w:r w:rsidR="007914E7" w:rsidRPr="00907AC9">
        <w:rPr>
          <w:rFonts w:ascii="TimesNewRomanPSMT" w:eastAsiaTheme="minorHAnsi" w:hAnsi="TimesNewRomanPSMT" w:cs="TimesNewRomanPSMT"/>
        </w:rPr>
        <w:t xml:space="preserve">the </w:t>
      </w:r>
      <w:r w:rsidR="007914E7">
        <w:rPr>
          <w:rFonts w:ascii="TimesNewRomanPSMT" w:eastAsiaTheme="minorHAnsi" w:hAnsi="TimesNewRomanPSMT" w:cs="TimesNewRomanPSMT"/>
        </w:rPr>
        <w:t>new EV Programs</w:t>
      </w:r>
      <w:r w:rsidR="00F70FC2">
        <w:rPr>
          <w:rFonts w:ascii="TimesNewRomanPSMT" w:eastAsiaTheme="minorHAnsi" w:hAnsi="TimesNewRomanPSMT" w:cs="TimesNewRomanPSMT"/>
        </w:rPr>
        <w:t xml:space="preserve"> approved</w:t>
      </w:r>
      <w:r w:rsidR="007914E7">
        <w:rPr>
          <w:rFonts w:ascii="TimesNewRomanPSMT" w:eastAsiaTheme="minorHAnsi" w:hAnsi="TimesNewRomanPSMT" w:cs="TimesNewRomanPSMT"/>
        </w:rPr>
        <w:t xml:space="preserve"> </w:t>
      </w:r>
      <w:r w:rsidR="007914E7" w:rsidRPr="00907AC9">
        <w:rPr>
          <w:rFonts w:ascii="TimesNewRomanPSMT" w:eastAsiaTheme="minorHAnsi" w:hAnsi="TimesNewRomanPSMT" w:cs="TimesNewRomanPSMT"/>
        </w:rPr>
        <w:t>under the 2021 Settlement</w:t>
      </w:r>
      <w:r w:rsidR="0057610F" w:rsidRPr="0057610F">
        <w:rPr>
          <w:rFonts w:ascii="TimesNewRomanPSMT" w:eastAsiaTheme="minorHAnsi" w:hAnsi="TimesNewRomanPSMT" w:cs="TimesNewRomanPSMT"/>
        </w:rPr>
        <w:t xml:space="preserve"> </w:t>
      </w:r>
      <w:r w:rsidR="0057610F">
        <w:rPr>
          <w:rFonts w:ascii="TimesNewRomanPSMT" w:eastAsiaTheme="minorHAnsi" w:hAnsi="TimesNewRomanPSMT" w:cs="TimesNewRomanPSMT"/>
        </w:rPr>
        <w:t>have been recorded</w:t>
      </w:r>
      <w:r w:rsidR="007914E7">
        <w:rPr>
          <w:rFonts w:ascii="TimesNewRomanPSMT" w:eastAsiaTheme="minorHAnsi" w:hAnsi="TimesNewRomanPSMT" w:cs="TimesNewRomanPSMT"/>
        </w:rPr>
        <w:t>.</w:t>
      </w:r>
      <w:r w:rsidR="00773022">
        <w:t xml:space="preserve"> </w:t>
      </w:r>
      <w:r w:rsidRPr="002D481D">
        <w:t xml:space="preserve">The Company is requesting authorization to record and depreciate </w:t>
      </w:r>
      <w:r>
        <w:t>DCFC stations and related equipment</w:t>
      </w:r>
      <w:r w:rsidRPr="002D481D">
        <w:t xml:space="preserve"> in</w:t>
      </w:r>
      <w:r>
        <w:t xml:space="preserve"> proposed Account 370.7 – EV Charging Stations</w:t>
      </w:r>
      <w:r w:rsidR="00B84031">
        <w:t xml:space="preserve"> which, if approved, would be </w:t>
      </w:r>
      <w:r>
        <w:t>a newly created sub</w:t>
      </w:r>
      <w:r w:rsidR="006723FD">
        <w:t>-</w:t>
      </w:r>
      <w:r>
        <w:t xml:space="preserve">account of </w:t>
      </w:r>
      <w:r w:rsidR="009057A0">
        <w:t>FERC</w:t>
      </w:r>
      <w:r>
        <w:t xml:space="preserve"> Account </w:t>
      </w:r>
      <w:r>
        <w:rPr>
          <w:rFonts w:ascii="TimesNewRomanPSMT" w:eastAsiaTheme="minorHAnsi" w:hAnsi="TimesNewRomanPSMT" w:cs="TimesNewRomanPSMT"/>
        </w:rPr>
        <w:t>370</w:t>
      </w:r>
      <w:r w:rsidR="0049796C">
        <w:rPr>
          <w:rFonts w:ascii="TimesNewRomanPSMT" w:eastAsiaTheme="minorHAnsi" w:hAnsi="TimesNewRomanPSMT" w:cs="TimesNewRomanPSMT"/>
        </w:rPr>
        <w:t xml:space="preserve"> – </w:t>
      </w:r>
      <w:r>
        <w:rPr>
          <w:rFonts w:ascii="TimesNewRomanPSMT" w:eastAsiaTheme="minorHAnsi" w:hAnsi="TimesNewRomanPSMT" w:cs="TimesNewRomanPSMT"/>
        </w:rPr>
        <w:t>Meters.</w:t>
      </w:r>
      <w:r w:rsidR="00522DB1">
        <w:rPr>
          <w:rStyle w:val="FootnoteReference"/>
          <w:rFonts w:ascii="TimesNewRomanPSMT" w:eastAsiaTheme="minorHAnsi" w:hAnsi="TimesNewRomanPSMT" w:cs="TimesNewRomanPSMT"/>
        </w:rPr>
        <w:footnoteReference w:id="9"/>
      </w:r>
      <w:r w:rsidRPr="002D481D">
        <w:t xml:space="preserve"> </w:t>
      </w:r>
    </w:p>
    <w:p w:rsidR="00036DAF" w:rsidRDefault="00036DAF" w:rsidP="00036DAF">
      <w:pPr>
        <w:pStyle w:val="BodyText"/>
        <w:rPr>
          <w:rFonts w:ascii="Arial" w:hAnsi="Arial" w:cs="Arial"/>
          <w:b/>
        </w:rPr>
      </w:pPr>
      <w:r>
        <w:rPr>
          <w:rFonts w:ascii="Arial" w:hAnsi="Arial" w:cs="Arial"/>
          <w:b/>
        </w:rPr>
        <w:t>Account Classification</w:t>
      </w:r>
    </w:p>
    <w:p w:rsidR="00EE5CFD" w:rsidRDefault="002B7445" w:rsidP="005A25C5">
      <w:pPr>
        <w:pStyle w:val="BodyText"/>
      </w:pPr>
      <w:r>
        <w:t>R</w:t>
      </w:r>
      <w:r w:rsidR="007C44F3">
        <w:t xml:space="preserve">egulatory guidance regarding </w:t>
      </w:r>
      <w:r w:rsidR="00345C4D">
        <w:t xml:space="preserve">account classification of </w:t>
      </w:r>
      <w:r w:rsidR="007C44F3">
        <w:t>electric vehicle charging s</w:t>
      </w:r>
      <w:r>
        <w:t>tations and rel</w:t>
      </w:r>
      <w:r w:rsidR="00837B6F">
        <w:t xml:space="preserve">ated equipment is </w:t>
      </w:r>
      <w:r w:rsidR="003C23FC">
        <w:t xml:space="preserve">not clearly </w:t>
      </w:r>
      <w:r w:rsidR="00586775">
        <w:t>defined</w:t>
      </w:r>
      <w:r w:rsidR="009057A0">
        <w:t xml:space="preserve">, </w:t>
      </w:r>
      <w:r w:rsidRPr="002B7445">
        <w:rPr>
          <w:rFonts w:ascii="TimesNewRomanPSMT" w:eastAsiaTheme="minorHAnsi" w:hAnsi="TimesNewRomanPSMT" w:cs="TimesNewRomanPSMT"/>
        </w:rPr>
        <w:t>as there is</w:t>
      </w:r>
      <w:r w:rsidR="009057A0">
        <w:rPr>
          <w:rFonts w:ascii="TimesNewRomanPSMT" w:eastAsiaTheme="minorHAnsi" w:hAnsi="TimesNewRomanPSMT" w:cs="TimesNewRomanPSMT"/>
        </w:rPr>
        <w:t xml:space="preserve"> currently</w:t>
      </w:r>
      <w:r w:rsidRPr="002B7445">
        <w:rPr>
          <w:rFonts w:ascii="TimesNewRomanPSMT" w:eastAsiaTheme="minorHAnsi" w:hAnsi="TimesNewRomanPSMT" w:cs="TimesNewRomanPSMT"/>
        </w:rPr>
        <w:t xml:space="preserve"> no listing of electric vehicle charging stations under any plant account within the USOA.</w:t>
      </w:r>
      <w:r w:rsidR="007C44F3" w:rsidRPr="002B7445">
        <w:t xml:space="preserve"> However, DEF reference</w:t>
      </w:r>
      <w:r w:rsidR="00B84031">
        <w:t>s</w:t>
      </w:r>
      <w:r w:rsidR="007C44F3" w:rsidRPr="002B7445">
        <w:t xml:space="preserve"> two utilities that </w:t>
      </w:r>
      <w:r w:rsidR="00EE5CFD" w:rsidRPr="002B7445">
        <w:t xml:space="preserve">currently record </w:t>
      </w:r>
      <w:r w:rsidR="007C44F3" w:rsidRPr="002B7445">
        <w:t xml:space="preserve">depreciation </w:t>
      </w:r>
      <w:r w:rsidR="007C44F3">
        <w:t xml:space="preserve">of </w:t>
      </w:r>
      <w:r w:rsidR="007C44F3" w:rsidRPr="00E51589">
        <w:t>DCFC stations</w:t>
      </w:r>
      <w:r>
        <w:t xml:space="preserve">. </w:t>
      </w:r>
      <w:r w:rsidR="00EE5CFD">
        <w:t>These two referenced utilities</w:t>
      </w:r>
      <w:r w:rsidR="007C44F3" w:rsidRPr="00E51589">
        <w:t xml:space="preserve"> </w:t>
      </w:r>
      <w:r w:rsidR="00EE5CFD">
        <w:t>are</w:t>
      </w:r>
      <w:r w:rsidR="007C44F3" w:rsidRPr="00E51589">
        <w:t xml:space="preserve"> San Diego Gas and Electric (SDG&amp;E) and Florida Powe</w:t>
      </w:r>
      <w:r w:rsidR="007C44F3">
        <w:t>r and Light</w:t>
      </w:r>
      <w:r w:rsidR="00F70FC2">
        <w:t xml:space="preserve"> Company</w:t>
      </w:r>
      <w:r w:rsidR="007C44F3">
        <w:t xml:space="preserve"> (FPL).</w:t>
      </w:r>
      <w:r>
        <w:rPr>
          <w:rStyle w:val="FootnoteReference"/>
        </w:rPr>
        <w:footnoteReference w:id="10"/>
      </w:r>
    </w:p>
    <w:p w:rsidR="00985FB2" w:rsidRDefault="00B41452" w:rsidP="005A25C5">
      <w:pPr>
        <w:pStyle w:val="BodyText"/>
      </w:pPr>
      <w:r>
        <w:t>With r</w:t>
      </w:r>
      <w:r w:rsidR="007C44F3">
        <w:t>egard</w:t>
      </w:r>
      <w:r w:rsidR="002B7445">
        <w:t xml:space="preserve"> </w:t>
      </w:r>
      <w:r>
        <w:t>to</w:t>
      </w:r>
      <w:r w:rsidR="007C44F3">
        <w:t xml:space="preserve"> </w:t>
      </w:r>
      <w:r>
        <w:t xml:space="preserve">the appropriate </w:t>
      </w:r>
      <w:r w:rsidR="00985FB2">
        <w:t xml:space="preserve">FERC </w:t>
      </w:r>
      <w:r>
        <w:t>account or sub</w:t>
      </w:r>
      <w:r w:rsidR="006723FD">
        <w:t>-</w:t>
      </w:r>
      <w:r>
        <w:t>account</w:t>
      </w:r>
      <w:r w:rsidR="00985FB2">
        <w:t xml:space="preserve"> for recording DCFC stations</w:t>
      </w:r>
      <w:r>
        <w:t xml:space="preserve">, </w:t>
      </w:r>
      <w:r w:rsidR="007C44F3" w:rsidRPr="00E51589">
        <w:t>DEF</w:t>
      </w:r>
      <w:r w:rsidR="00933EC2">
        <w:t xml:space="preserve"> </w:t>
      </w:r>
      <w:r w:rsidR="00B2447F">
        <w:t>references</w:t>
      </w:r>
      <w:r>
        <w:t xml:space="preserve"> </w:t>
      </w:r>
      <w:r w:rsidR="00D53E3C">
        <w:t>FERC’s Audit Report</w:t>
      </w:r>
      <w:r w:rsidR="00985FB2">
        <w:t xml:space="preserve"> </w:t>
      </w:r>
      <w:r w:rsidR="00B2447F">
        <w:t xml:space="preserve">of SDG&amp;E </w:t>
      </w:r>
      <w:r w:rsidR="00985FB2">
        <w:t>(Attachment Staff 1-1(e))</w:t>
      </w:r>
      <w:r w:rsidR="00D53E3C">
        <w:t xml:space="preserve"> </w:t>
      </w:r>
      <w:r>
        <w:t xml:space="preserve">which was </w:t>
      </w:r>
      <w:r w:rsidR="00933EC2">
        <w:t>in</w:t>
      </w:r>
      <w:r>
        <w:t>cluded in</w:t>
      </w:r>
      <w:r w:rsidR="007C44F3" w:rsidRPr="00E51589">
        <w:t xml:space="preserve"> </w:t>
      </w:r>
      <w:r w:rsidR="00933EC2">
        <w:t xml:space="preserve">FERC </w:t>
      </w:r>
      <w:r w:rsidR="007C44F3" w:rsidRPr="00E51589">
        <w:t xml:space="preserve">Docket </w:t>
      </w:r>
      <w:r w:rsidR="00933EC2">
        <w:t xml:space="preserve">No. </w:t>
      </w:r>
      <w:r w:rsidR="007C44F3" w:rsidRPr="00E51589">
        <w:t>FA19-3-000.</w:t>
      </w:r>
      <w:r w:rsidR="00933EC2">
        <w:rPr>
          <w:rStyle w:val="FootnoteReference"/>
        </w:rPr>
        <w:footnoteReference w:id="11"/>
      </w:r>
      <w:r w:rsidR="007C44F3" w:rsidRPr="00E51589">
        <w:t xml:space="preserve"> </w:t>
      </w:r>
      <w:r w:rsidR="00B2447F">
        <w:t xml:space="preserve">In that report, </w:t>
      </w:r>
      <w:r>
        <w:t xml:space="preserve">FERC </w:t>
      </w:r>
      <w:r w:rsidR="00B2447F">
        <w:t xml:space="preserve">audit staff concluded that </w:t>
      </w:r>
      <w:r w:rsidR="009A35CD">
        <w:t>EV charging stations are more</w:t>
      </w:r>
      <w:r w:rsidR="007C44F3" w:rsidRPr="00E51589">
        <w:t xml:space="preserve"> appropriately recorded to </w:t>
      </w:r>
      <w:r w:rsidR="0057610F">
        <w:t xml:space="preserve">either </w:t>
      </w:r>
      <w:r w:rsidR="007C44F3" w:rsidRPr="00E51589">
        <w:t>Account 370</w:t>
      </w:r>
      <w:r>
        <w:t xml:space="preserve"> </w:t>
      </w:r>
      <w:r w:rsidR="0057610F">
        <w:t>–</w:t>
      </w:r>
      <w:r w:rsidR="007C44F3" w:rsidRPr="00E51589">
        <w:t xml:space="preserve"> Meter</w:t>
      </w:r>
      <w:r>
        <w:t>s</w:t>
      </w:r>
      <w:r w:rsidR="0057610F">
        <w:t>,</w:t>
      </w:r>
      <w:r w:rsidR="007C44F3" w:rsidRPr="00E51589">
        <w:t xml:space="preserve"> or Account 371</w:t>
      </w:r>
      <w:r>
        <w:t xml:space="preserve"> – Installations on Customer Premises, </w:t>
      </w:r>
      <w:r w:rsidR="003C23FC">
        <w:t xml:space="preserve">than </w:t>
      </w:r>
      <w:r w:rsidR="004C75CC">
        <w:t xml:space="preserve">any other </w:t>
      </w:r>
      <w:r w:rsidR="003028ED">
        <w:t xml:space="preserve">FERC </w:t>
      </w:r>
      <w:r w:rsidR="004C75CC">
        <w:t>account</w:t>
      </w:r>
      <w:r w:rsidR="003C23FC">
        <w:t xml:space="preserve">, </w:t>
      </w:r>
      <w:r>
        <w:t>given the nature of the assets and their control and monitoring capabilities.</w:t>
      </w:r>
      <w:r w:rsidR="007C44F3">
        <w:rPr>
          <w:rStyle w:val="FootnoteReference"/>
        </w:rPr>
        <w:footnoteReference w:id="12"/>
      </w:r>
      <w:r w:rsidR="007C44F3">
        <w:t xml:space="preserve"> </w:t>
      </w:r>
    </w:p>
    <w:p w:rsidR="007C44F3" w:rsidRDefault="00985FB2" w:rsidP="005A25C5">
      <w:pPr>
        <w:pStyle w:val="BodyText"/>
      </w:pPr>
      <w:r>
        <w:t>In addition to FERC’s Audit Report</w:t>
      </w:r>
      <w:r w:rsidR="00B2447F">
        <w:t xml:space="preserve"> of SDG&amp;E</w:t>
      </w:r>
      <w:r>
        <w:t xml:space="preserve">, </w:t>
      </w:r>
      <w:r w:rsidR="007C44F3" w:rsidRPr="00B43D50">
        <w:t xml:space="preserve">DEF </w:t>
      </w:r>
      <w:r>
        <w:t xml:space="preserve">references </w:t>
      </w:r>
      <w:r w:rsidR="007C44F3" w:rsidRPr="00B43D50">
        <w:t xml:space="preserve">FPL </w:t>
      </w:r>
      <w:r w:rsidR="00E7791E">
        <w:t xml:space="preserve">and its </w:t>
      </w:r>
      <w:r w:rsidR="007C44F3" w:rsidRPr="00B43D50">
        <w:t>current utiliz</w:t>
      </w:r>
      <w:r w:rsidR="00E7791E">
        <w:t>ation</w:t>
      </w:r>
      <w:r w:rsidR="002B7445">
        <w:t xml:space="preserve"> </w:t>
      </w:r>
      <w:r w:rsidR="00E7791E">
        <w:t>of</w:t>
      </w:r>
      <w:r w:rsidR="007C44F3" w:rsidRPr="00B43D50">
        <w:t xml:space="preserve"> FERC Account 371.40 with a depreciable life of 15 years</w:t>
      </w:r>
      <w:r w:rsidR="007C44F3">
        <w:t xml:space="preserve"> for its EV charging stations and equipment</w:t>
      </w:r>
      <w:r w:rsidR="00E7791E">
        <w:t>.  This account and depreciation rate are</w:t>
      </w:r>
      <w:r w:rsidR="00DF1861">
        <w:t xml:space="preserve"> reflected in FPL’s 2021 Deprec</w:t>
      </w:r>
      <w:r w:rsidR="005F6378">
        <w:t>i</w:t>
      </w:r>
      <w:r w:rsidR="00DF1861">
        <w:t xml:space="preserve">ation Study, </w:t>
      </w:r>
      <w:r w:rsidR="00B2447F">
        <w:t xml:space="preserve">which was </w:t>
      </w:r>
      <w:r w:rsidR="00036DAF">
        <w:t>included</w:t>
      </w:r>
      <w:r w:rsidR="00B2447F">
        <w:t xml:space="preserve"> as part of the 2021 Settlement</w:t>
      </w:r>
      <w:r w:rsidR="00F70FC2">
        <w:t xml:space="preserve"> to FPL’s rate case</w:t>
      </w:r>
      <w:r w:rsidR="00B2447F">
        <w:t>.</w:t>
      </w:r>
      <w:r w:rsidR="007C44F3">
        <w:rPr>
          <w:rStyle w:val="FootnoteReference"/>
        </w:rPr>
        <w:footnoteReference w:id="13"/>
      </w:r>
      <w:r w:rsidR="007C44F3" w:rsidRPr="00B43D50">
        <w:t xml:space="preserve"> </w:t>
      </w:r>
    </w:p>
    <w:p w:rsidR="00DF1861" w:rsidRDefault="00A97B42" w:rsidP="002B7445">
      <w:pPr>
        <w:autoSpaceDE w:val="0"/>
        <w:autoSpaceDN w:val="0"/>
        <w:adjustRightInd w:val="0"/>
        <w:jc w:val="both"/>
      </w:pPr>
      <w:r>
        <w:t>S</w:t>
      </w:r>
      <w:r w:rsidR="007C44F3">
        <w:t xml:space="preserve">taff </w:t>
      </w:r>
      <w:r w:rsidR="00E7791E">
        <w:t>asked</w:t>
      </w:r>
      <w:r w:rsidR="007C44F3">
        <w:t xml:space="preserve"> </w:t>
      </w:r>
      <w:r>
        <w:t>DEF</w:t>
      </w:r>
      <w:r w:rsidR="00586775">
        <w:t xml:space="preserve"> why </w:t>
      </w:r>
      <w:r w:rsidR="007A19BD">
        <w:t>it</w:t>
      </w:r>
      <w:r w:rsidR="00586775">
        <w:t xml:space="preserve"> considered Account 370</w:t>
      </w:r>
      <w:r w:rsidR="0084245B">
        <w:t xml:space="preserve"> – Meters </w:t>
      </w:r>
      <w:r w:rsidR="003337ED">
        <w:t>as the better</w:t>
      </w:r>
      <w:r w:rsidR="00586775">
        <w:t xml:space="preserve"> option over other accounts, including Account 371 </w:t>
      </w:r>
      <w:r w:rsidR="00586775">
        <w:softHyphen/>
      </w:r>
      <w:r w:rsidR="00586775">
        <w:softHyphen/>
        <w:t xml:space="preserve">– </w:t>
      </w:r>
      <w:r w:rsidR="007C44F3">
        <w:t>Installations on Customer Premises</w:t>
      </w:r>
      <w:r w:rsidR="00586775">
        <w:t xml:space="preserve">. </w:t>
      </w:r>
      <w:r w:rsidR="007C44F3">
        <w:t>The C</w:t>
      </w:r>
      <w:r>
        <w:t>ompany responded</w:t>
      </w:r>
      <w:r w:rsidR="007C44F3">
        <w:t xml:space="preserve"> </w:t>
      </w:r>
      <w:r w:rsidR="00586775">
        <w:t xml:space="preserve">that recording depreciation of DCFC stations and related equipment in Account 370 – Meters or Account 371 – Installation on Customer Premises is consistent with guidance from the aforementioned FERC </w:t>
      </w:r>
      <w:r w:rsidR="007D4A84">
        <w:t xml:space="preserve">audit report of SDG&amp;E. </w:t>
      </w:r>
      <w:r w:rsidR="00586775">
        <w:t>DEF</w:t>
      </w:r>
      <w:r w:rsidR="007D4A84">
        <w:t xml:space="preserve"> further</w:t>
      </w:r>
      <w:r w:rsidR="00586775">
        <w:t xml:space="preserve"> </w:t>
      </w:r>
      <w:r w:rsidR="007D4A84">
        <w:t>states</w:t>
      </w:r>
      <w:r w:rsidR="007914E7">
        <w:t>,</w:t>
      </w:r>
      <w:r w:rsidR="00DD6175">
        <w:t xml:space="preserve"> </w:t>
      </w:r>
      <w:r w:rsidR="007D4A84">
        <w:t>“</w:t>
      </w:r>
      <w:r w:rsidR="00DD6175">
        <w:t xml:space="preserve">although the DCFC </w:t>
      </w:r>
      <w:r w:rsidR="00DD6175" w:rsidRPr="007C44F3">
        <w:t xml:space="preserve">stations are on the customers’ premises, </w:t>
      </w:r>
      <w:r w:rsidR="00DD6175">
        <w:t xml:space="preserve">the Company will utilize </w:t>
      </w:r>
      <w:r w:rsidR="00DD6175" w:rsidRPr="007C44F3">
        <w:t>the meter for its own use, versus</w:t>
      </w:r>
      <w:r w:rsidR="00DD6175">
        <w:t xml:space="preserve"> utilization by the customer on whose premises the meter is installed.</w:t>
      </w:r>
      <w:r w:rsidR="007D4A84">
        <w:t>”</w:t>
      </w:r>
      <w:r>
        <w:rPr>
          <w:rStyle w:val="FootnoteReference"/>
        </w:rPr>
        <w:footnoteReference w:id="14"/>
      </w:r>
      <w:r w:rsidR="007D4A84">
        <w:t xml:space="preserve"> </w:t>
      </w:r>
      <w:r w:rsidR="00DF1861">
        <w:t xml:space="preserve">Based on this information, the </w:t>
      </w:r>
      <w:r>
        <w:t xml:space="preserve">Company </w:t>
      </w:r>
      <w:r w:rsidR="00E7791E">
        <w:t>believes</w:t>
      </w:r>
      <w:r>
        <w:t xml:space="preserve"> that Account 370 – Meters</w:t>
      </w:r>
      <w:r w:rsidR="002B7445">
        <w:t xml:space="preserve"> </w:t>
      </w:r>
      <w:r w:rsidR="00E7791E">
        <w:t>is</w:t>
      </w:r>
      <w:r>
        <w:t xml:space="preserve"> the </w:t>
      </w:r>
      <w:r w:rsidRPr="00A97B42">
        <w:t>most appropriate</w:t>
      </w:r>
      <w:r>
        <w:t xml:space="preserve"> </w:t>
      </w:r>
      <w:r w:rsidRPr="00A97B42">
        <w:t>account to record the DCFC stations</w:t>
      </w:r>
      <w:r>
        <w:t xml:space="preserve"> and related equipment</w:t>
      </w:r>
      <w:r w:rsidRPr="00A97B42">
        <w:t>.</w:t>
      </w:r>
      <w:r>
        <w:rPr>
          <w:rStyle w:val="FootnoteReference"/>
        </w:rPr>
        <w:footnoteReference w:id="15"/>
      </w:r>
      <w:r w:rsidR="00E7791E">
        <w:t xml:space="preserve"> Staff agrees that Account 370 – Meters is the appropriate account for DEF’s </w:t>
      </w:r>
      <w:r w:rsidR="0084245B">
        <w:t xml:space="preserve">DCFC </w:t>
      </w:r>
      <w:r w:rsidR="00E7791E">
        <w:t>stations and related equipment.</w:t>
      </w:r>
      <w:r w:rsidR="007C1AAE">
        <w:br/>
      </w:r>
      <w:r w:rsidR="007C1AAE">
        <w:br/>
        <w:t xml:space="preserve">DEF </w:t>
      </w:r>
      <w:r w:rsidR="00586775">
        <w:t>also states</w:t>
      </w:r>
      <w:r w:rsidR="00E7791E">
        <w:t xml:space="preserve"> </w:t>
      </w:r>
      <w:r w:rsidR="007C1AAE">
        <w:t>that</w:t>
      </w:r>
      <w:r w:rsidR="00E7791E">
        <w:t>,</w:t>
      </w:r>
      <w:r w:rsidR="007C1AAE">
        <w:t xml:space="preserve"> in the event</w:t>
      </w:r>
      <w:r w:rsidR="007C1AAE" w:rsidRPr="007C1AAE">
        <w:t xml:space="preserve"> the USOA is modified to designate a specific account or subaccount for electric vehicle charg</w:t>
      </w:r>
      <w:r w:rsidR="007C1AAE">
        <w:t xml:space="preserve">ers and related equipment, </w:t>
      </w:r>
      <w:r w:rsidR="00E7791E">
        <w:t>it</w:t>
      </w:r>
      <w:r w:rsidR="007C1AAE">
        <w:t xml:space="preserve"> </w:t>
      </w:r>
      <w:r w:rsidR="007C1AAE" w:rsidRPr="007C1AAE">
        <w:t>would make an</w:t>
      </w:r>
      <w:r w:rsidR="007C1AAE">
        <w:t xml:space="preserve">y required adjustments </w:t>
      </w:r>
      <w:r w:rsidR="00E7791E">
        <w:t xml:space="preserve">necessary </w:t>
      </w:r>
      <w:r w:rsidR="007C1AAE">
        <w:t xml:space="preserve">to </w:t>
      </w:r>
      <w:r w:rsidR="007C1AAE" w:rsidRPr="007C1AAE">
        <w:t>align with USOA instructions.</w:t>
      </w:r>
      <w:r w:rsidR="007C1AAE">
        <w:rPr>
          <w:rStyle w:val="FootnoteReference"/>
        </w:rPr>
        <w:footnoteReference w:id="16"/>
      </w:r>
    </w:p>
    <w:p w:rsidR="007C1AAE" w:rsidRPr="007C1AAE" w:rsidRDefault="007C1AAE" w:rsidP="007C1AAE">
      <w:pPr>
        <w:autoSpaceDE w:val="0"/>
        <w:autoSpaceDN w:val="0"/>
        <w:adjustRightInd w:val="0"/>
      </w:pPr>
    </w:p>
    <w:p w:rsidR="005A25C5" w:rsidRPr="00357E50" w:rsidRDefault="005A25C5" w:rsidP="005A25C5">
      <w:pPr>
        <w:pStyle w:val="BodyText"/>
        <w:rPr>
          <w:rFonts w:ascii="Arial" w:hAnsi="Arial" w:cs="Arial"/>
          <w:b/>
        </w:rPr>
      </w:pPr>
      <w:r w:rsidRPr="00357E50">
        <w:rPr>
          <w:rFonts w:ascii="Arial" w:hAnsi="Arial" w:cs="Arial"/>
          <w:b/>
        </w:rPr>
        <w:t>Requested Depreciation Parameters</w:t>
      </w:r>
    </w:p>
    <w:p w:rsidR="00586775" w:rsidRDefault="00586775" w:rsidP="00586775">
      <w:pPr>
        <w:pStyle w:val="BodyText"/>
      </w:pPr>
      <w:r>
        <w:t>The Company has requested Commission approval of</w:t>
      </w:r>
      <w:r w:rsidRPr="002816D7">
        <w:t xml:space="preserve"> a </w:t>
      </w:r>
      <w:r w:rsidR="004314E8">
        <w:t>10</w:t>
      </w:r>
      <w:r w:rsidRPr="002816D7">
        <w:t xml:space="preserve">-year average service life (ASL) and </w:t>
      </w:r>
      <w:r>
        <w:t>a zero percent net salvage</w:t>
      </w:r>
      <w:r w:rsidRPr="002816D7">
        <w:t xml:space="preserve"> </w:t>
      </w:r>
      <w:r>
        <w:t xml:space="preserve">level </w:t>
      </w:r>
      <w:r w:rsidRPr="002816D7">
        <w:t>(NS)</w:t>
      </w:r>
      <w:r>
        <w:t xml:space="preserve"> for depreciating its DCFC stations and related equipment</w:t>
      </w:r>
      <w:r w:rsidRPr="002816D7">
        <w:t>. A</w:t>
      </w:r>
      <w:r>
        <w:t>n</w:t>
      </w:r>
      <w:r w:rsidRPr="002816D7">
        <w:t xml:space="preserve"> annual depreciation rate of 10 percent is computed by using these parameters.</w:t>
      </w:r>
      <w:r w:rsidRPr="002816D7">
        <w:rPr>
          <w:vertAlign w:val="superscript"/>
        </w:rPr>
        <w:footnoteReference w:id="17"/>
      </w:r>
      <w:r w:rsidRPr="002816D7">
        <w:t xml:space="preserve"> </w:t>
      </w:r>
    </w:p>
    <w:p w:rsidR="00586775" w:rsidRDefault="00586775" w:rsidP="00586775">
      <w:pPr>
        <w:pStyle w:val="BodyText"/>
      </w:pPr>
      <w:r>
        <w:t xml:space="preserve">In support of the proposed </w:t>
      </w:r>
      <w:r w:rsidR="00F70FC2">
        <w:t>ten</w:t>
      </w:r>
      <w:r>
        <w:t xml:space="preserve">-year ASL, DEF relied on guidance from the manufacturer of the DCFC </w:t>
      </w:r>
      <w:r w:rsidR="00F70FC2">
        <w:t>s</w:t>
      </w:r>
      <w:r>
        <w:t>tations, ABB, wh</w:t>
      </w:r>
      <w:r w:rsidR="00F70FC2">
        <w:t>ich</w:t>
      </w:r>
      <w:r>
        <w:t xml:space="preserve"> indicated that the minimum design life </w:t>
      </w:r>
      <w:r w:rsidR="00F70FC2">
        <w:t>is</w:t>
      </w:r>
      <w:r>
        <w:t xml:space="preserve"> ten years.</w:t>
      </w:r>
      <w:r>
        <w:rPr>
          <w:rStyle w:val="FootnoteReference"/>
        </w:rPr>
        <w:footnoteReference w:id="18"/>
      </w:r>
      <w:r>
        <w:t xml:space="preserve"> DEF also received confirmation from the Company’s third-party depreciation consultant that a 10-year ASL is typical for DCFC stations.</w:t>
      </w:r>
      <w:r>
        <w:rPr>
          <w:rStyle w:val="FootnoteReference"/>
        </w:rPr>
        <w:footnoteReference w:id="19"/>
      </w:r>
      <w:r>
        <w:t xml:space="preserve"> </w:t>
      </w:r>
    </w:p>
    <w:p w:rsidR="00586775" w:rsidRDefault="00586775" w:rsidP="00586775">
      <w:pPr>
        <w:pStyle w:val="BodyText"/>
      </w:pPr>
      <w:r w:rsidRPr="002816D7">
        <w:t>Given that utility-scale energy storag</w:t>
      </w:r>
      <w:r>
        <w:t>e equipment/technology is a relatively new technology,</w:t>
      </w:r>
      <w:r w:rsidRPr="002816D7">
        <w:t xml:space="preserve"> staff believes the Company</w:t>
      </w:r>
      <w:r>
        <w:t>’s</w:t>
      </w:r>
      <w:r w:rsidRPr="002816D7">
        <w:t xml:space="preserve"> propos</w:t>
      </w:r>
      <w:r>
        <w:t>al of</w:t>
      </w:r>
      <w:r w:rsidRPr="002816D7">
        <w:t xml:space="preserve"> an ASL at the bottom</w:t>
      </w:r>
      <w:r>
        <w:t>-end of a 10- to 15-year ASL range represents a</w:t>
      </w:r>
      <w:r w:rsidRPr="002816D7">
        <w:t xml:space="preserve"> measured</w:t>
      </w:r>
      <w:r>
        <w:t xml:space="preserve"> and reasonable</w:t>
      </w:r>
      <w:r w:rsidRPr="002816D7">
        <w:t xml:space="preserve"> approach</w:t>
      </w:r>
      <w:r>
        <w:t xml:space="preserve"> in life estimation. </w:t>
      </w:r>
      <w:r w:rsidRPr="002816D7">
        <w:t>Further,</w:t>
      </w:r>
      <w:r>
        <w:t xml:space="preserve"> staff recognizes that</w:t>
      </w:r>
      <w:r w:rsidRPr="002816D7">
        <w:t xml:space="preserve"> the Commission will have future opportunities</w:t>
      </w:r>
      <w:r>
        <w:t xml:space="preserve"> based on existing rules to </w:t>
      </w:r>
      <w:r w:rsidRPr="002816D7">
        <w:t xml:space="preserve">evaluate </w:t>
      </w:r>
      <w:r>
        <w:t xml:space="preserve">DEF’s </w:t>
      </w:r>
      <w:r w:rsidRPr="002816D7">
        <w:t>deprecia</w:t>
      </w:r>
      <w:r>
        <w:t>tion data associated with</w:t>
      </w:r>
      <w:r w:rsidRPr="002816D7">
        <w:t xml:space="preserve"> use</w:t>
      </w:r>
      <w:r>
        <w:t>ful lives and net salvage levels of this equipment and to order</w:t>
      </w:r>
      <w:r w:rsidRPr="002816D7">
        <w:t xml:space="preserve"> modification</w:t>
      </w:r>
      <w:r>
        <w:t>s</w:t>
      </w:r>
      <w:r w:rsidRPr="002816D7">
        <w:t xml:space="preserve"> as appropriate.</w:t>
      </w:r>
      <w:r w:rsidRPr="002816D7">
        <w:rPr>
          <w:vertAlign w:val="superscript"/>
        </w:rPr>
        <w:footnoteReference w:id="20"/>
      </w:r>
      <w:r>
        <w:t xml:space="preserve"> </w:t>
      </w:r>
    </w:p>
    <w:p w:rsidR="005A25C5" w:rsidRDefault="00586775" w:rsidP="00885677">
      <w:pPr>
        <w:autoSpaceDE w:val="0"/>
        <w:autoSpaceDN w:val="0"/>
        <w:adjustRightInd w:val="0"/>
        <w:jc w:val="both"/>
      </w:pPr>
      <w:r>
        <w:t>For the reasons outlined in this analysis, s</w:t>
      </w:r>
      <w:r w:rsidRPr="002D481D">
        <w:t xml:space="preserve">taff recommends that </w:t>
      </w:r>
      <w:r>
        <w:t xml:space="preserve">the appropriate sub-account for Company-owned DCFC stations and related equipment is Account 370.7 – EV Charging Stations. Staff also recommends </w:t>
      </w:r>
      <w:r w:rsidRPr="002D481D">
        <w:t>an annual depreciation rate of</w:t>
      </w:r>
      <w:r>
        <w:t xml:space="preserve"> </w:t>
      </w:r>
      <w:r w:rsidRPr="00A56425">
        <w:t>10 percent</w:t>
      </w:r>
      <w:r>
        <w:t>,</w:t>
      </w:r>
      <w:r w:rsidRPr="00A56425">
        <w:t xml:space="preserve"> </w:t>
      </w:r>
      <w:r>
        <w:t>applicable to DEF’s newly-established Account 370.7 – EV Charging Stations,</w:t>
      </w:r>
      <w:r w:rsidRPr="00A56425">
        <w:t xml:space="preserve"> be approved</w:t>
      </w:r>
      <w:r>
        <w:t xml:space="preserve">. </w:t>
      </w:r>
      <w:r w:rsidR="005A25C5">
        <w:br w:type="page"/>
      </w:r>
    </w:p>
    <w:p w:rsidR="005A25C5" w:rsidRDefault="005A25C5" w:rsidP="005A25C5">
      <w:pPr>
        <w:pStyle w:val="IssueHeading"/>
        <w:rPr>
          <w:vanish/>
          <w:specVanish/>
        </w:rPr>
      </w:pPr>
      <w:r w:rsidRPr="004C3641">
        <w:t xml:space="preserve">Issue </w:t>
      </w:r>
      <w:fldSimple w:instr=" SEQ Issue \* MERGEFORMAT ">
        <w:r w:rsidR="006F7B0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F7B00">
        <w:rPr>
          <w:noProof/>
        </w:rPr>
        <w:instrText>2</w:instrText>
      </w:r>
      <w:r>
        <w:fldChar w:fldCharType="end"/>
      </w:r>
      <w:r>
        <w:tab/>
        <w:instrText xml:space="preserve">(Kunkler)" \l 1 </w:instrText>
      </w:r>
      <w:r>
        <w:fldChar w:fldCharType="end"/>
      </w:r>
      <w:r>
        <w:t> </w:t>
      </w:r>
    </w:p>
    <w:p w:rsidR="005A25C5" w:rsidRDefault="005A25C5" w:rsidP="005A25C5">
      <w:pPr>
        <w:pStyle w:val="BodyText"/>
      </w:pPr>
      <w:r>
        <w:t xml:space="preserve"> If a new depreciation rate </w:t>
      </w:r>
      <w:r w:rsidR="001965D8">
        <w:t xml:space="preserve">for Company-owned DCFC stations and related equipment </w:t>
      </w:r>
      <w:r>
        <w:t>is authorized in Issue 1, what should be the effective date?</w:t>
      </w:r>
    </w:p>
    <w:p w:rsidR="005A25C5" w:rsidRPr="004C3641" w:rsidRDefault="005A25C5" w:rsidP="005A25C5">
      <w:pPr>
        <w:pStyle w:val="IssueSubsectionHeading"/>
        <w:rPr>
          <w:vanish/>
          <w:specVanish/>
        </w:rPr>
      </w:pPr>
      <w:r w:rsidRPr="004C3641">
        <w:t>Recommendation: </w:t>
      </w:r>
    </w:p>
    <w:p w:rsidR="005A25C5" w:rsidRPr="00B66F15" w:rsidRDefault="005A25C5" w:rsidP="005A25C5">
      <w:pPr>
        <w:pStyle w:val="BodyText"/>
      </w:pPr>
      <w:r>
        <w:t> </w:t>
      </w:r>
      <w:r w:rsidR="0028773B">
        <w:t>If the Commission approves staff’s recommendation in Issue 1, s</w:t>
      </w:r>
      <w:r w:rsidRPr="00D73828">
        <w:t xml:space="preserve">taff recommends that any newly-authorized depreciation rate for </w:t>
      </w:r>
      <w:r w:rsidR="001965D8">
        <w:t xml:space="preserve">Company-owned DCFC stations and related equipment </w:t>
      </w:r>
      <w:r w:rsidRPr="00D73828">
        <w:t xml:space="preserve">applicable to </w:t>
      </w:r>
      <w:r w:rsidR="000822B4">
        <w:t>Account 370.7 – EV Charging Stations</w:t>
      </w:r>
      <w:r w:rsidRPr="00D73828">
        <w:t xml:space="preserve"> become </w:t>
      </w:r>
      <w:r w:rsidR="0045516A" w:rsidRPr="00D73828">
        <w:t xml:space="preserve">effective </w:t>
      </w:r>
      <w:r w:rsidR="00B66F15" w:rsidRPr="00B66F15">
        <w:rPr>
          <w:bCs/>
          <w:iCs/>
        </w:rPr>
        <w:t>January 1, 2022.</w:t>
      </w:r>
      <w:r w:rsidR="008C6A24">
        <w:rPr>
          <w:bCs/>
          <w:iCs/>
        </w:rPr>
        <w:t xml:space="preserve"> (Smith)</w:t>
      </w:r>
    </w:p>
    <w:p w:rsidR="005C4BBA" w:rsidRPr="004C3641" w:rsidRDefault="005A25C5" w:rsidP="005C4BBA">
      <w:pPr>
        <w:pStyle w:val="IssueSubsectionHeading"/>
        <w:rPr>
          <w:vanish/>
          <w:specVanish/>
        </w:rPr>
      </w:pPr>
      <w:r w:rsidRPr="004C3641">
        <w:t>Staff Analysis:</w:t>
      </w:r>
      <w:r w:rsidR="005C4BBA" w:rsidRPr="005C4BBA">
        <w:rPr>
          <w:vanish/>
          <w:specVanish/>
        </w:rPr>
        <w:t xml:space="preserve"> </w:t>
      </w:r>
    </w:p>
    <w:p w:rsidR="00FF7560" w:rsidRPr="0045516A" w:rsidRDefault="005A25C5" w:rsidP="005A25C5">
      <w:pPr>
        <w:pStyle w:val="IssueSubsectionHeading"/>
        <w:rPr>
          <w:rFonts w:ascii="Times New Roman" w:hAnsi="Times New Roman" w:cs="Times New Roman"/>
          <w:b w:val="0"/>
          <w:bCs w:val="0"/>
          <w:i w:val="0"/>
          <w:iCs w:val="0"/>
          <w:szCs w:val="24"/>
        </w:rPr>
      </w:pPr>
      <w:r w:rsidRPr="004C3641">
        <w:t> </w:t>
      </w:r>
      <w:r w:rsidR="00FF7560">
        <w:rPr>
          <w:rFonts w:ascii="Times New Roman" w:hAnsi="Times New Roman" w:cs="Times New Roman"/>
          <w:b w:val="0"/>
          <w:bCs w:val="0"/>
          <w:i w:val="0"/>
          <w:iCs w:val="0"/>
          <w:szCs w:val="24"/>
        </w:rPr>
        <w:t xml:space="preserve">In its Petition, DEF requested an implementation </w:t>
      </w:r>
      <w:r w:rsidR="00FF7560" w:rsidRPr="0045516A">
        <w:rPr>
          <w:rFonts w:ascii="Times New Roman" w:hAnsi="Times New Roman" w:cs="Times New Roman"/>
          <w:b w:val="0"/>
          <w:bCs w:val="0"/>
          <w:i w:val="0"/>
          <w:iCs w:val="0"/>
          <w:szCs w:val="24"/>
        </w:rPr>
        <w:t xml:space="preserve">date of </w:t>
      </w:r>
      <w:r w:rsidR="00950CA3" w:rsidRPr="0045516A">
        <w:rPr>
          <w:rFonts w:ascii="Times New Roman" w:hAnsi="Times New Roman" w:cs="Times New Roman"/>
          <w:b w:val="0"/>
          <w:bCs w:val="0"/>
          <w:i w:val="0"/>
          <w:iCs w:val="0"/>
          <w:szCs w:val="24"/>
        </w:rPr>
        <w:t>January 1, 2022 for</w:t>
      </w:r>
      <w:r w:rsidR="0045516A" w:rsidRPr="0045516A">
        <w:rPr>
          <w:rFonts w:ascii="Times New Roman" w:hAnsi="Times New Roman" w:cs="Times New Roman"/>
          <w:b w:val="0"/>
          <w:bCs w:val="0"/>
          <w:i w:val="0"/>
          <w:iCs w:val="0"/>
          <w:szCs w:val="24"/>
        </w:rPr>
        <w:t xml:space="preserve"> the </w:t>
      </w:r>
      <w:r w:rsidR="00C93916">
        <w:rPr>
          <w:rFonts w:ascii="Times New Roman" w:hAnsi="Times New Roman" w:cs="Times New Roman"/>
          <w:b w:val="0"/>
          <w:bCs w:val="0"/>
          <w:i w:val="0"/>
          <w:iCs w:val="0"/>
          <w:szCs w:val="24"/>
        </w:rPr>
        <w:t>propos</w:t>
      </w:r>
      <w:r w:rsidR="0045516A" w:rsidRPr="0045516A">
        <w:rPr>
          <w:rFonts w:ascii="Times New Roman" w:hAnsi="Times New Roman" w:cs="Times New Roman"/>
          <w:b w:val="0"/>
          <w:bCs w:val="0"/>
          <w:i w:val="0"/>
          <w:iCs w:val="0"/>
          <w:szCs w:val="24"/>
        </w:rPr>
        <w:t xml:space="preserve">ed </w:t>
      </w:r>
      <w:r w:rsidR="00F80EB6">
        <w:rPr>
          <w:rFonts w:ascii="Times New Roman" w:hAnsi="Times New Roman" w:cs="Times New Roman"/>
          <w:b w:val="0"/>
          <w:bCs w:val="0"/>
          <w:i w:val="0"/>
          <w:iCs w:val="0"/>
          <w:szCs w:val="24"/>
        </w:rPr>
        <w:t>A</w:t>
      </w:r>
      <w:r w:rsidR="0045516A" w:rsidRPr="0045516A">
        <w:rPr>
          <w:rFonts w:ascii="Times New Roman" w:hAnsi="Times New Roman" w:cs="Times New Roman"/>
          <w:b w:val="0"/>
          <w:bCs w:val="0"/>
          <w:i w:val="0"/>
          <w:iCs w:val="0"/>
          <w:szCs w:val="24"/>
        </w:rPr>
        <w:t>ccount 370.7 – EV Charging Stations</w:t>
      </w:r>
      <w:r w:rsidR="00C93916">
        <w:rPr>
          <w:rFonts w:ascii="Times New Roman" w:hAnsi="Times New Roman" w:cs="Times New Roman"/>
          <w:b w:val="0"/>
          <w:bCs w:val="0"/>
          <w:i w:val="0"/>
          <w:iCs w:val="0"/>
          <w:szCs w:val="24"/>
        </w:rPr>
        <w:t xml:space="preserve"> and accompanying depreciation rate</w:t>
      </w:r>
      <w:r w:rsidR="0045516A" w:rsidRPr="0045516A">
        <w:rPr>
          <w:rFonts w:ascii="Times New Roman" w:hAnsi="Times New Roman" w:cs="Times New Roman"/>
          <w:b w:val="0"/>
          <w:bCs w:val="0"/>
          <w:i w:val="0"/>
          <w:iCs w:val="0"/>
          <w:szCs w:val="24"/>
        </w:rPr>
        <w:t xml:space="preserve">. </w:t>
      </w:r>
      <w:r w:rsidR="00C93916">
        <w:rPr>
          <w:rFonts w:ascii="Times New Roman" w:hAnsi="Times New Roman" w:cs="Times New Roman"/>
          <w:b w:val="0"/>
          <w:bCs w:val="0"/>
          <w:i w:val="0"/>
          <w:iCs w:val="0"/>
          <w:szCs w:val="24"/>
        </w:rPr>
        <w:t xml:space="preserve">As stated </w:t>
      </w:r>
      <w:r w:rsidR="00ED310D">
        <w:rPr>
          <w:rFonts w:ascii="Times New Roman" w:hAnsi="Times New Roman" w:cs="Times New Roman"/>
          <w:b w:val="0"/>
          <w:bCs w:val="0"/>
          <w:i w:val="0"/>
          <w:iCs w:val="0"/>
          <w:szCs w:val="24"/>
        </w:rPr>
        <w:t>earlier</w:t>
      </w:r>
      <w:r w:rsidR="00C93916">
        <w:rPr>
          <w:rFonts w:ascii="Times New Roman" w:hAnsi="Times New Roman" w:cs="Times New Roman"/>
          <w:b w:val="0"/>
          <w:bCs w:val="0"/>
          <w:i w:val="0"/>
          <w:iCs w:val="0"/>
          <w:szCs w:val="24"/>
        </w:rPr>
        <w:t xml:space="preserve">, </w:t>
      </w:r>
      <w:r w:rsidR="00742506" w:rsidRPr="00742506">
        <w:rPr>
          <w:rFonts w:ascii="Times New Roman" w:hAnsi="Times New Roman" w:cs="Times New Roman"/>
          <w:b w:val="0"/>
          <w:bCs w:val="0"/>
          <w:i w:val="0"/>
          <w:iCs w:val="0"/>
          <w:szCs w:val="24"/>
        </w:rPr>
        <w:t>this new sub</w:t>
      </w:r>
      <w:r w:rsidR="00B77DB1">
        <w:rPr>
          <w:rFonts w:ascii="Times New Roman" w:hAnsi="Times New Roman" w:cs="Times New Roman"/>
          <w:b w:val="0"/>
          <w:bCs w:val="0"/>
          <w:i w:val="0"/>
          <w:iCs w:val="0"/>
          <w:szCs w:val="24"/>
        </w:rPr>
        <w:t>-</w:t>
      </w:r>
      <w:r w:rsidR="00742506" w:rsidRPr="00742506">
        <w:rPr>
          <w:rFonts w:ascii="Times New Roman" w:hAnsi="Times New Roman" w:cs="Times New Roman"/>
          <w:b w:val="0"/>
          <w:bCs w:val="0"/>
          <w:i w:val="0"/>
          <w:iCs w:val="0"/>
          <w:szCs w:val="24"/>
        </w:rPr>
        <w:t>account relates to DEF’s DCFC station investments associated with the Company’s EV Programs</w:t>
      </w:r>
      <w:r w:rsidR="00742506">
        <w:rPr>
          <w:rFonts w:ascii="Times New Roman" w:hAnsi="Times New Roman" w:cs="Times New Roman"/>
          <w:b w:val="0"/>
          <w:bCs w:val="0"/>
          <w:i w:val="0"/>
          <w:iCs w:val="0"/>
          <w:szCs w:val="24"/>
        </w:rPr>
        <w:t>,</w:t>
      </w:r>
      <w:r w:rsidR="00742506" w:rsidRPr="00742506">
        <w:rPr>
          <w:rFonts w:ascii="Times New Roman" w:hAnsi="Times New Roman" w:cs="Times New Roman"/>
          <w:b w:val="0"/>
          <w:bCs w:val="0"/>
          <w:i w:val="0"/>
          <w:iCs w:val="0"/>
          <w:szCs w:val="24"/>
        </w:rPr>
        <w:t xml:space="preserve"> which were approved by the Commission pursuant to the Company’s 2021 Settlement</w:t>
      </w:r>
      <w:r w:rsidR="00B66F15">
        <w:rPr>
          <w:rFonts w:ascii="Times New Roman" w:hAnsi="Times New Roman" w:cs="Times New Roman"/>
          <w:b w:val="0"/>
          <w:bCs w:val="0"/>
          <w:i w:val="0"/>
          <w:iCs w:val="0"/>
          <w:szCs w:val="24"/>
        </w:rPr>
        <w:t xml:space="preserve">. </w:t>
      </w:r>
      <w:r w:rsidR="00F80EB6">
        <w:rPr>
          <w:rFonts w:ascii="Times New Roman" w:hAnsi="Times New Roman" w:cs="Times New Roman"/>
          <w:b w:val="0"/>
          <w:bCs w:val="0"/>
          <w:i w:val="0"/>
          <w:iCs w:val="0"/>
          <w:szCs w:val="24"/>
        </w:rPr>
        <w:t>The 2021 Settlement has an effective date of January 1, 2022. Since DEF’s requested implementation date matches that of the 2021 Settlement, and it is consistent with past Commission Orders</w:t>
      </w:r>
      <w:r w:rsidR="00636FB3">
        <w:rPr>
          <w:rFonts w:ascii="Times New Roman" w:hAnsi="Times New Roman" w:cs="Times New Roman"/>
          <w:b w:val="0"/>
          <w:bCs w:val="0"/>
          <w:i w:val="0"/>
          <w:iCs w:val="0"/>
          <w:szCs w:val="24"/>
        </w:rPr>
        <w:t>,</w:t>
      </w:r>
      <w:r w:rsidR="00F80EB6">
        <w:rPr>
          <w:rStyle w:val="FootnoteReference"/>
          <w:rFonts w:ascii="Times New Roman" w:hAnsi="Times New Roman" w:cs="Times New Roman"/>
          <w:b w:val="0"/>
          <w:bCs w:val="0"/>
          <w:i w:val="0"/>
          <w:iCs w:val="0"/>
          <w:szCs w:val="24"/>
        </w:rPr>
        <w:footnoteReference w:id="21"/>
      </w:r>
      <w:r w:rsidR="00F80EB6">
        <w:rPr>
          <w:rFonts w:ascii="Times New Roman" w:hAnsi="Times New Roman" w:cs="Times New Roman"/>
          <w:b w:val="0"/>
          <w:bCs w:val="0"/>
          <w:i w:val="0"/>
          <w:iCs w:val="0"/>
          <w:szCs w:val="24"/>
        </w:rPr>
        <w:t xml:space="preserve"> s</w:t>
      </w:r>
      <w:r w:rsidR="00B66F15">
        <w:rPr>
          <w:rFonts w:ascii="Times New Roman" w:hAnsi="Times New Roman" w:cs="Times New Roman"/>
          <w:b w:val="0"/>
          <w:bCs w:val="0"/>
          <w:i w:val="0"/>
          <w:iCs w:val="0"/>
          <w:szCs w:val="24"/>
        </w:rPr>
        <w:t>taff therefore recommends an implementation date of January 1, 2022.</w:t>
      </w:r>
    </w:p>
    <w:p w:rsidR="00FC13BF" w:rsidRDefault="00FC13BF" w:rsidP="00F80EB6">
      <w:pPr>
        <w:pStyle w:val="IssueSubsectionHeading"/>
        <w:rPr>
          <w:rFonts w:ascii="Times New Roman" w:hAnsi="Times New Roman" w:cs="Times New Roman"/>
          <w:b w:val="0"/>
          <w:bCs w:val="0"/>
          <w:i w:val="0"/>
          <w:iCs w:val="0"/>
          <w:szCs w:val="24"/>
        </w:rPr>
      </w:pPr>
      <w:r>
        <w:rPr>
          <w:rFonts w:ascii="Times New Roman" w:hAnsi="Times New Roman" w:cs="Times New Roman"/>
          <w:b w:val="0"/>
          <w:bCs w:val="0"/>
          <w:i w:val="0"/>
          <w:iCs w:val="0"/>
          <w:szCs w:val="24"/>
        </w:rPr>
        <w:br w:type="page"/>
      </w:r>
    </w:p>
    <w:p w:rsidR="001965D8" w:rsidRDefault="001965D8" w:rsidP="00F80EB6">
      <w:pPr>
        <w:pStyle w:val="IssueSubsectionHeading"/>
        <w:rPr>
          <w:rFonts w:ascii="Times New Roman" w:hAnsi="Times New Roman" w:cs="Times New Roman"/>
          <w:b w:val="0"/>
          <w:bCs w:val="0"/>
          <w:i w:val="0"/>
          <w:iCs w:val="0"/>
          <w:szCs w:val="24"/>
        </w:rPr>
      </w:pPr>
    </w:p>
    <w:p w:rsidR="005A25C5" w:rsidRDefault="005A25C5" w:rsidP="005A25C5">
      <w:pPr>
        <w:pStyle w:val="IssueHeading"/>
        <w:rPr>
          <w:vanish/>
          <w:specVanish/>
        </w:rPr>
      </w:pPr>
      <w:r w:rsidRPr="004C3641">
        <w:t xml:space="preserve">Issue </w:t>
      </w:r>
      <w:fldSimple w:instr=" SEQ Issue \* MERGEFORMAT ">
        <w:r w:rsidR="006F7B00">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6F7B00">
        <w:rPr>
          <w:noProof/>
        </w:rPr>
        <w:instrText>3</w:instrText>
      </w:r>
      <w:r>
        <w:fldChar w:fldCharType="end"/>
      </w:r>
      <w:r>
        <w:tab/>
        <w:instrText xml:space="preserve">(Brownless)" \l 1 </w:instrText>
      </w:r>
      <w:r>
        <w:fldChar w:fldCharType="end"/>
      </w:r>
      <w:r>
        <w:t> </w:t>
      </w:r>
    </w:p>
    <w:p w:rsidR="005A25C5" w:rsidRDefault="005A25C5" w:rsidP="005A25C5">
      <w:pPr>
        <w:pStyle w:val="BodyText"/>
      </w:pPr>
      <w:r>
        <w:t> Should this docket be closed?</w:t>
      </w:r>
    </w:p>
    <w:p w:rsidR="005A25C5" w:rsidRPr="004C3641" w:rsidRDefault="005A25C5" w:rsidP="005A25C5">
      <w:pPr>
        <w:pStyle w:val="IssueSubsectionHeading"/>
        <w:rPr>
          <w:vanish/>
          <w:specVanish/>
        </w:rPr>
      </w:pPr>
      <w:r w:rsidRPr="004C3641">
        <w:t>Recommendation: </w:t>
      </w:r>
    </w:p>
    <w:p w:rsidR="005A25C5" w:rsidRDefault="005A25C5" w:rsidP="005A25C5">
      <w:pPr>
        <w:pStyle w:val="BodyText"/>
      </w:pPr>
      <w:r>
        <w:t> </w:t>
      </w:r>
      <w:r w:rsidRPr="00D73828">
        <w:t>If no person whose substantial interests are affected by the proposed agency action files a protest within 21 days of the issuance of the order, this docket should be closed upon the issuance of a consummating order</w:t>
      </w:r>
      <w:r w:rsidR="001965D8">
        <w:t>. (S</w:t>
      </w:r>
      <w:r w:rsidR="00690B3F">
        <w:t>tiller</w:t>
      </w:r>
      <w:r>
        <w:t>)</w:t>
      </w:r>
    </w:p>
    <w:p w:rsidR="005A25C5" w:rsidRPr="004C3641" w:rsidRDefault="005A25C5" w:rsidP="005A25C5">
      <w:pPr>
        <w:pStyle w:val="IssueSubsectionHeading"/>
        <w:rPr>
          <w:vanish/>
          <w:specVanish/>
        </w:rPr>
      </w:pPr>
      <w:r w:rsidRPr="004C3641">
        <w:t>Staff Analysis: </w:t>
      </w:r>
    </w:p>
    <w:p w:rsidR="00E06484" w:rsidRPr="00444E68" w:rsidRDefault="005A25C5" w:rsidP="00444E68">
      <w:pPr>
        <w:pStyle w:val="BodyText"/>
      </w:pPr>
      <w:r>
        <w:t> </w:t>
      </w:r>
      <w:r w:rsidRPr="00D73828">
        <w:t>At the conclusion of the protest period, if no protest is filed, this docket should be closed upon the issuance of a consummating ord</w:t>
      </w:r>
      <w:bookmarkEnd w:id="11"/>
      <w:r w:rsidR="00444E68">
        <w:t>er.</w:t>
      </w:r>
    </w:p>
    <w:sectPr w:rsidR="00E06484" w:rsidRPr="00444E6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BC2" w:rsidRDefault="003B1BC2">
      <w:r>
        <w:separator/>
      </w:r>
    </w:p>
  </w:endnote>
  <w:endnote w:type="continuationSeparator" w:id="0">
    <w:p w:rsidR="003B1BC2" w:rsidRDefault="003B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C5" w:rsidRDefault="005A25C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C13B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BC2" w:rsidRDefault="003B1BC2">
      <w:r>
        <w:separator/>
      </w:r>
    </w:p>
  </w:footnote>
  <w:footnote w:type="continuationSeparator" w:id="0">
    <w:p w:rsidR="003B1BC2" w:rsidRDefault="003B1BC2">
      <w:r>
        <w:continuationSeparator/>
      </w:r>
    </w:p>
  </w:footnote>
  <w:footnote w:id="1">
    <w:p w:rsidR="007C00B5" w:rsidRPr="00A70629" w:rsidRDefault="007C00B5" w:rsidP="007C00B5">
      <w:pPr>
        <w:pStyle w:val="FootnoteText"/>
      </w:pPr>
      <w:r w:rsidRPr="00A70629">
        <w:rPr>
          <w:rStyle w:val="FootnoteReference"/>
        </w:rPr>
        <w:footnoteRef/>
      </w:r>
      <w:r w:rsidRPr="00A70629">
        <w:rPr>
          <w:color w:val="000000"/>
        </w:rPr>
        <w:t xml:space="preserve">Code of Federal Regulations, Title 18, Subchapter C, Part 101, for Major Utilities, as revised </w:t>
      </w:r>
      <w:r w:rsidRPr="00A70629">
        <w:t>April 1, 2013.</w:t>
      </w:r>
    </w:p>
  </w:footnote>
  <w:footnote w:id="2">
    <w:p w:rsidR="00612E25" w:rsidRDefault="00612E25" w:rsidP="00F70FC2">
      <w:pPr>
        <w:pStyle w:val="FootnoteText"/>
      </w:pPr>
      <w:r>
        <w:rPr>
          <w:rStyle w:val="FootnoteReference"/>
        </w:rPr>
        <w:footnoteRef/>
      </w:r>
      <w:r>
        <w:rPr>
          <w:color w:val="000000"/>
        </w:rPr>
        <w:t>Order</w:t>
      </w:r>
      <w:r w:rsidRPr="00A70629">
        <w:rPr>
          <w:color w:val="000000"/>
        </w:rPr>
        <w:t xml:space="preserve"> N</w:t>
      </w:r>
      <w:r>
        <w:rPr>
          <w:color w:val="000000"/>
        </w:rPr>
        <w:t>o</w:t>
      </w:r>
      <w:r w:rsidRPr="00A70629">
        <w:rPr>
          <w:color w:val="000000"/>
        </w:rPr>
        <w:t xml:space="preserve">. PSC-2021-0202-AS-EI, issued June 4, 2021, in Docket No. 20210016-EI, </w:t>
      </w:r>
      <w:r w:rsidRPr="00A70629">
        <w:rPr>
          <w:i/>
          <w:color w:val="000000"/>
        </w:rPr>
        <w:t>In re: Petition for limited proceeding to approve 2021 settlement agreement, including general base rate increases, by Duke Energy Florida, LLC.</w:t>
      </w:r>
    </w:p>
  </w:footnote>
  <w:footnote w:id="3">
    <w:p w:rsidR="00E4321F" w:rsidRPr="00612E25" w:rsidRDefault="00E4321F" w:rsidP="004244C7">
      <w:pPr>
        <w:autoSpaceDE w:val="0"/>
        <w:autoSpaceDN w:val="0"/>
        <w:adjustRightInd w:val="0"/>
        <w:jc w:val="both"/>
        <w:rPr>
          <w:i/>
        </w:rPr>
      </w:pPr>
      <w:r w:rsidRPr="00A70629">
        <w:rPr>
          <w:rStyle w:val="FootnoteReference"/>
        </w:rPr>
        <w:footnoteRef/>
      </w:r>
      <w:r>
        <w:rPr>
          <w:color w:val="000000"/>
          <w:sz w:val="20"/>
          <w:szCs w:val="20"/>
        </w:rPr>
        <w:t>Order</w:t>
      </w:r>
      <w:r w:rsidRPr="00A70629">
        <w:rPr>
          <w:color w:val="000000"/>
          <w:sz w:val="20"/>
          <w:szCs w:val="20"/>
        </w:rPr>
        <w:t xml:space="preserve"> N</w:t>
      </w:r>
      <w:r>
        <w:rPr>
          <w:color w:val="000000"/>
          <w:sz w:val="20"/>
          <w:szCs w:val="20"/>
        </w:rPr>
        <w:t>o</w:t>
      </w:r>
      <w:r w:rsidRPr="00A70629">
        <w:rPr>
          <w:color w:val="000000"/>
          <w:sz w:val="20"/>
          <w:szCs w:val="20"/>
        </w:rPr>
        <w:t xml:space="preserve">. </w:t>
      </w:r>
      <w:r w:rsidRPr="00612E25">
        <w:rPr>
          <w:color w:val="000000"/>
          <w:sz w:val="20"/>
          <w:szCs w:val="20"/>
        </w:rPr>
        <w:t>PSC-2017-0451-AS-EU</w:t>
      </w:r>
      <w:r>
        <w:rPr>
          <w:color w:val="000000"/>
          <w:sz w:val="20"/>
          <w:szCs w:val="20"/>
        </w:rPr>
        <w:t>, issued November 20, 2017</w:t>
      </w:r>
      <w:r w:rsidRPr="00A70629">
        <w:rPr>
          <w:color w:val="000000"/>
          <w:sz w:val="20"/>
          <w:szCs w:val="20"/>
        </w:rPr>
        <w:t xml:space="preserve">, in Docket No. </w:t>
      </w:r>
      <w:r w:rsidRPr="00612E25">
        <w:rPr>
          <w:color w:val="000000"/>
          <w:sz w:val="20"/>
          <w:szCs w:val="20"/>
        </w:rPr>
        <w:t>20170183-EI</w:t>
      </w:r>
      <w:r w:rsidRPr="00612E25">
        <w:rPr>
          <w:i/>
          <w:color w:val="000000"/>
          <w:sz w:val="20"/>
          <w:szCs w:val="20"/>
        </w:rPr>
        <w:t>, In re: Application for limited proceeding to approve 2017 second revised and restated settlement agreement, including certain rate adjustments, by Duke Energy Florida, LLC.</w:t>
      </w:r>
    </w:p>
  </w:footnote>
  <w:footnote w:id="4">
    <w:p w:rsidR="00E4321F" w:rsidRDefault="00E4321F" w:rsidP="00F70FC2">
      <w:pPr>
        <w:pStyle w:val="FootnoteText"/>
      </w:pPr>
      <w:r>
        <w:rPr>
          <w:rStyle w:val="FootnoteReference"/>
        </w:rPr>
        <w:footnoteRef/>
      </w:r>
      <w:r>
        <w:rPr>
          <w:color w:val="000000"/>
        </w:rPr>
        <w:t>Order</w:t>
      </w:r>
      <w:r w:rsidRPr="00A70629">
        <w:rPr>
          <w:color w:val="000000"/>
        </w:rPr>
        <w:t xml:space="preserve"> N</w:t>
      </w:r>
      <w:r>
        <w:rPr>
          <w:color w:val="000000"/>
        </w:rPr>
        <w:t>o</w:t>
      </w:r>
      <w:r w:rsidRPr="00A70629">
        <w:rPr>
          <w:color w:val="000000"/>
        </w:rPr>
        <w:t xml:space="preserve">. PSC-2021-0202-AS-EI, issued June 4, 2021, in Docket No. 20210016-EI, </w:t>
      </w:r>
      <w:r w:rsidRPr="00A70629">
        <w:rPr>
          <w:i/>
          <w:color w:val="000000"/>
        </w:rPr>
        <w:t>In re: Petition for limited proceeding to approve 2021 settlement agreement, including general base rate increases, by Duke Energy Florida, LLC.</w:t>
      </w:r>
    </w:p>
  </w:footnote>
  <w:footnote w:id="5">
    <w:p w:rsidR="0038416D" w:rsidRDefault="0038416D" w:rsidP="00F70FC2">
      <w:pPr>
        <w:pStyle w:val="FootnoteText"/>
      </w:pPr>
      <w:r>
        <w:rPr>
          <w:rStyle w:val="FootnoteReference"/>
        </w:rPr>
        <w:footnoteRef/>
      </w:r>
      <w:r w:rsidRPr="00262764">
        <w:t xml:space="preserve">Document No. 01048-2022, Duke </w:t>
      </w:r>
      <w:r>
        <w:t>Energy Florida, LLC's</w:t>
      </w:r>
      <w:r w:rsidRPr="00262764">
        <w:t xml:space="preserve"> Petition for Approval of a Plant </w:t>
      </w:r>
      <w:r>
        <w:t xml:space="preserve">Account and </w:t>
      </w:r>
      <w:r w:rsidRPr="00262764">
        <w:t>Depreciation Rate for Electric Vehicle DC Fast Charge Stations</w:t>
      </w:r>
      <w:r>
        <w:t>.</w:t>
      </w:r>
    </w:p>
  </w:footnote>
  <w:footnote w:id="6">
    <w:p w:rsidR="00237758" w:rsidRDefault="00237758">
      <w:pPr>
        <w:pStyle w:val="FootnoteText"/>
      </w:pPr>
      <w:r>
        <w:rPr>
          <w:rStyle w:val="FootnoteReference"/>
        </w:rPr>
        <w:footnoteRef/>
      </w:r>
      <w:r>
        <w:t>DCFC stations placed into service as part of the Company’s 2017 EV Pilot were recorded on DEF’s books as a regulatory asset, and therefore</w:t>
      </w:r>
      <w:r w:rsidR="004244C7">
        <w:t>,</w:t>
      </w:r>
      <w:r>
        <w:t xml:space="preserve"> do not have any associated depreciation expense.</w:t>
      </w:r>
    </w:p>
  </w:footnote>
  <w:footnote w:id="7">
    <w:p w:rsidR="00907AC9" w:rsidRDefault="00907AC9" w:rsidP="00F70FC2">
      <w:pPr>
        <w:pStyle w:val="FootnoteText"/>
      </w:pPr>
      <w:r>
        <w:rPr>
          <w:rStyle w:val="FootnoteReference"/>
        </w:rPr>
        <w:footnoteRef/>
      </w:r>
      <w:r w:rsidRPr="00262764">
        <w:rPr>
          <w:color w:val="000000"/>
        </w:rPr>
        <w:t>Document No. 01660-2022, Duke Energy Florida, LLC's Response to Staff’</w:t>
      </w:r>
      <w:r>
        <w:rPr>
          <w:color w:val="000000"/>
        </w:rPr>
        <w:t xml:space="preserve">s </w:t>
      </w:r>
      <w:r w:rsidRPr="00262764">
        <w:rPr>
          <w:color w:val="000000"/>
        </w:rPr>
        <w:t>First Data Request. No. 3(a).</w:t>
      </w:r>
    </w:p>
  </w:footnote>
  <w:footnote w:id="8">
    <w:p w:rsidR="0010149A" w:rsidRDefault="0010149A" w:rsidP="00F70FC2">
      <w:pPr>
        <w:pStyle w:val="FootnoteText"/>
      </w:pPr>
      <w:r>
        <w:rPr>
          <w:rStyle w:val="FootnoteReference"/>
        </w:rPr>
        <w:footnoteRef/>
      </w:r>
      <w:r w:rsidR="000D4506" w:rsidRPr="00262764">
        <w:rPr>
          <w:color w:val="000000"/>
        </w:rPr>
        <w:t>Document No. 01660-2022, Duke Energy Florida, LLC's Response to Staff’</w:t>
      </w:r>
      <w:r w:rsidR="000D4506">
        <w:rPr>
          <w:color w:val="000000"/>
        </w:rPr>
        <w:t>s First Data Request. No. 3(b</w:t>
      </w:r>
      <w:r w:rsidR="000D4506" w:rsidRPr="00262764">
        <w:rPr>
          <w:color w:val="000000"/>
        </w:rPr>
        <w:t>).</w:t>
      </w:r>
    </w:p>
  </w:footnote>
  <w:footnote w:id="9">
    <w:p w:rsidR="00522DB1" w:rsidRDefault="00522DB1">
      <w:pPr>
        <w:pStyle w:val="FootnoteText"/>
      </w:pPr>
      <w:r>
        <w:rPr>
          <w:rStyle w:val="FootnoteReference"/>
        </w:rPr>
        <w:footnoteRef/>
      </w:r>
      <w:r w:rsidRPr="00262764">
        <w:rPr>
          <w:color w:val="000000"/>
        </w:rPr>
        <w:t>Document No. 01660-2022, Duke Energy Florida, LLC's Response to Staff’</w:t>
      </w:r>
      <w:r>
        <w:rPr>
          <w:color w:val="000000"/>
        </w:rPr>
        <w:t xml:space="preserve">s </w:t>
      </w:r>
      <w:r w:rsidRPr="00262764">
        <w:rPr>
          <w:color w:val="000000"/>
        </w:rPr>
        <w:t>First Data Request. N</w:t>
      </w:r>
      <w:r>
        <w:rPr>
          <w:color w:val="000000"/>
        </w:rPr>
        <w:t>o. 1</w:t>
      </w:r>
      <w:r w:rsidRPr="00262764">
        <w:rPr>
          <w:color w:val="000000"/>
        </w:rPr>
        <w:t>(a).</w:t>
      </w:r>
    </w:p>
  </w:footnote>
  <w:footnote w:id="10">
    <w:p w:rsidR="002B7445" w:rsidRDefault="002B7445">
      <w:pPr>
        <w:pStyle w:val="FootnoteText"/>
      </w:pPr>
      <w:r>
        <w:rPr>
          <w:rStyle w:val="FootnoteReference"/>
        </w:rPr>
        <w:footnoteRef/>
      </w:r>
      <w:r w:rsidRPr="00262764">
        <w:t xml:space="preserve">Document No. 01048-2022, Duke </w:t>
      </w:r>
      <w:r>
        <w:t>Energy Florida, LLC's</w:t>
      </w:r>
      <w:r w:rsidRPr="00262764">
        <w:t xml:space="preserve"> Petition for Approval of a Plant </w:t>
      </w:r>
      <w:r>
        <w:t xml:space="preserve">Account and </w:t>
      </w:r>
      <w:r w:rsidRPr="00262764">
        <w:t>Depreciation Rate for Electric Vehicle DC Fast Charge Stations</w:t>
      </w:r>
      <w:r>
        <w:t>.</w:t>
      </w:r>
    </w:p>
  </w:footnote>
  <w:footnote w:id="11">
    <w:p w:rsidR="00933EC2" w:rsidRDefault="00933EC2">
      <w:pPr>
        <w:pStyle w:val="FootnoteText"/>
      </w:pPr>
      <w:r>
        <w:rPr>
          <w:rStyle w:val="FootnoteReference"/>
        </w:rPr>
        <w:footnoteRef/>
      </w:r>
      <w:r w:rsidRPr="00262764">
        <w:rPr>
          <w:color w:val="000000"/>
        </w:rPr>
        <w:t>Document No. 01660-2022, Duke Energy Florida, LLC's Response to Staff’</w:t>
      </w:r>
      <w:r>
        <w:rPr>
          <w:color w:val="000000"/>
        </w:rPr>
        <w:t xml:space="preserve">s </w:t>
      </w:r>
      <w:r w:rsidRPr="00262764">
        <w:rPr>
          <w:color w:val="000000"/>
        </w:rPr>
        <w:t>First Data Request. N</w:t>
      </w:r>
      <w:r>
        <w:rPr>
          <w:color w:val="000000"/>
        </w:rPr>
        <w:t>o. 1(e</w:t>
      </w:r>
      <w:r w:rsidRPr="00262764">
        <w:rPr>
          <w:color w:val="000000"/>
        </w:rPr>
        <w:t>).</w:t>
      </w:r>
    </w:p>
  </w:footnote>
  <w:footnote w:id="12">
    <w:p w:rsidR="007C44F3" w:rsidRDefault="007C44F3" w:rsidP="007C44F3">
      <w:pPr>
        <w:pStyle w:val="FootnoteText"/>
      </w:pPr>
      <w:r>
        <w:rPr>
          <w:rStyle w:val="FootnoteReference"/>
        </w:rPr>
        <w:footnoteRef/>
      </w:r>
      <w:r w:rsidR="0057610F">
        <w:rPr>
          <w:i/>
          <w:color w:val="000000"/>
        </w:rPr>
        <w:t>I</w:t>
      </w:r>
      <w:r w:rsidR="00933EC2" w:rsidRPr="002E2BB3">
        <w:rPr>
          <w:i/>
          <w:color w:val="000000"/>
        </w:rPr>
        <w:t>d</w:t>
      </w:r>
      <w:r w:rsidR="00933EC2">
        <w:rPr>
          <w:color w:val="000000"/>
        </w:rPr>
        <w:t>.</w:t>
      </w:r>
    </w:p>
  </w:footnote>
  <w:footnote w:id="13">
    <w:p w:rsidR="007C44F3" w:rsidRDefault="007C44F3" w:rsidP="007C44F3">
      <w:pPr>
        <w:pStyle w:val="FootnoteText"/>
      </w:pPr>
      <w:r>
        <w:rPr>
          <w:rStyle w:val="FootnoteReference"/>
        </w:rPr>
        <w:footnoteRef/>
      </w:r>
      <w:r w:rsidRPr="00A70629">
        <w:rPr>
          <w:color w:val="000000"/>
        </w:rPr>
        <w:t>O</w:t>
      </w:r>
      <w:r>
        <w:rPr>
          <w:color w:val="000000"/>
        </w:rPr>
        <w:t>rder</w:t>
      </w:r>
      <w:r w:rsidRPr="00A70629">
        <w:rPr>
          <w:color w:val="000000"/>
        </w:rPr>
        <w:t xml:space="preserve"> N</w:t>
      </w:r>
      <w:r>
        <w:rPr>
          <w:color w:val="000000"/>
        </w:rPr>
        <w:t>o</w:t>
      </w:r>
      <w:r w:rsidRPr="00A70629">
        <w:rPr>
          <w:color w:val="000000"/>
        </w:rPr>
        <w:t xml:space="preserve">. </w:t>
      </w:r>
      <w:r>
        <w:rPr>
          <w:rFonts w:ascii="TimesNewRomanPSMT" w:hAnsi="TimesNewRomanPSMT" w:cs="TimesNewRomanPSMT"/>
        </w:rPr>
        <w:t>PSC-2021-0446-S-EI</w:t>
      </w:r>
      <w:r w:rsidRPr="00A70629">
        <w:rPr>
          <w:color w:val="000000"/>
        </w:rPr>
        <w:t xml:space="preserve">, issued </w:t>
      </w:r>
      <w:r>
        <w:rPr>
          <w:color w:val="000000"/>
        </w:rPr>
        <w:t>December 2</w:t>
      </w:r>
      <w:r w:rsidRPr="00A70629">
        <w:rPr>
          <w:color w:val="000000"/>
        </w:rPr>
        <w:t>, 2021, in Docket No.</w:t>
      </w:r>
      <w:r>
        <w:rPr>
          <w:color w:val="000000"/>
        </w:rPr>
        <w:t xml:space="preserve"> 20210015</w:t>
      </w:r>
      <w:r w:rsidRPr="00A70629">
        <w:rPr>
          <w:color w:val="000000"/>
        </w:rPr>
        <w:t xml:space="preserve">-EI, </w:t>
      </w:r>
      <w:r>
        <w:rPr>
          <w:i/>
          <w:color w:val="000000"/>
        </w:rPr>
        <w:t xml:space="preserve">In re: </w:t>
      </w:r>
      <w:r w:rsidRPr="00A70629">
        <w:rPr>
          <w:i/>
          <w:color w:val="000000"/>
        </w:rPr>
        <w:t xml:space="preserve">Petition for </w:t>
      </w:r>
      <w:r>
        <w:rPr>
          <w:i/>
          <w:color w:val="000000"/>
        </w:rPr>
        <w:t>rate increases, by Florida Power &amp; Light Company</w:t>
      </w:r>
      <w:r w:rsidRPr="00A70629">
        <w:rPr>
          <w:i/>
          <w:color w:val="000000"/>
        </w:rPr>
        <w:t>.</w:t>
      </w:r>
    </w:p>
  </w:footnote>
  <w:footnote w:id="14">
    <w:p w:rsidR="00A97B42" w:rsidRDefault="00A97B42">
      <w:pPr>
        <w:pStyle w:val="FootnoteText"/>
      </w:pPr>
      <w:r>
        <w:rPr>
          <w:rStyle w:val="FootnoteReference"/>
        </w:rPr>
        <w:footnoteRef/>
      </w:r>
      <w:r w:rsidRPr="00262764">
        <w:rPr>
          <w:color w:val="000000"/>
        </w:rPr>
        <w:t>Document No. 01660-2022, Duke Energy Florida, LLC's Response to Staff’</w:t>
      </w:r>
      <w:r>
        <w:rPr>
          <w:color w:val="000000"/>
        </w:rPr>
        <w:t xml:space="preserve">s </w:t>
      </w:r>
      <w:r w:rsidRPr="00262764">
        <w:rPr>
          <w:color w:val="000000"/>
        </w:rPr>
        <w:t>First Data Request. N</w:t>
      </w:r>
      <w:r>
        <w:rPr>
          <w:color w:val="000000"/>
        </w:rPr>
        <w:t>o. 1(f</w:t>
      </w:r>
      <w:r w:rsidRPr="00262764">
        <w:rPr>
          <w:color w:val="000000"/>
        </w:rPr>
        <w:t>).</w:t>
      </w:r>
    </w:p>
  </w:footnote>
  <w:footnote w:id="15">
    <w:p w:rsidR="00A97B42" w:rsidRDefault="00A97B42">
      <w:pPr>
        <w:pStyle w:val="FootnoteText"/>
      </w:pPr>
      <w:r>
        <w:rPr>
          <w:rStyle w:val="FootnoteReference"/>
        </w:rPr>
        <w:footnoteRef/>
      </w:r>
      <w:r w:rsidR="008F7CC8" w:rsidRPr="002E2BB3">
        <w:rPr>
          <w:i/>
        </w:rPr>
        <w:t>I</w:t>
      </w:r>
      <w:r w:rsidRPr="002E2BB3">
        <w:rPr>
          <w:i/>
        </w:rPr>
        <w:t>d</w:t>
      </w:r>
      <w:r>
        <w:t>.</w:t>
      </w:r>
    </w:p>
  </w:footnote>
  <w:footnote w:id="16">
    <w:p w:rsidR="007C1AAE" w:rsidRDefault="007C1AAE" w:rsidP="007C1AAE">
      <w:pPr>
        <w:pStyle w:val="FootnoteText"/>
      </w:pPr>
      <w:r>
        <w:rPr>
          <w:rStyle w:val="FootnoteReference"/>
        </w:rPr>
        <w:footnoteRef/>
      </w:r>
      <w:r w:rsidRPr="007C1AAE">
        <w:t xml:space="preserve">Document No. 01664-2022, Duke Energy Florida, LLC's Response to </w:t>
      </w:r>
      <w:r>
        <w:t xml:space="preserve">the </w:t>
      </w:r>
      <w:r w:rsidRPr="007C1AAE">
        <w:t>Office of Public Counsel's Informal Data Reque</w:t>
      </w:r>
      <w:r>
        <w:t>st. No. 1.</w:t>
      </w:r>
    </w:p>
  </w:footnote>
  <w:footnote w:id="17">
    <w:p w:rsidR="00586775" w:rsidRDefault="00586775" w:rsidP="00586775">
      <w:pPr>
        <w:pStyle w:val="FootnoteText"/>
      </w:pPr>
      <w:r>
        <w:rPr>
          <w:rStyle w:val="FootnoteReference"/>
        </w:rPr>
        <w:footnoteRef/>
      </w:r>
      <w:r w:rsidRPr="00B214F5">
        <w:t>Rule</w:t>
      </w:r>
      <w:r>
        <w:t>s</w:t>
      </w:r>
      <w:r w:rsidRPr="00B214F5">
        <w:t xml:space="preserve"> 25-6.0436(</w:t>
      </w:r>
      <w:r>
        <w:t xml:space="preserve">1)(e) and </w:t>
      </w:r>
      <w:r w:rsidRPr="00B214F5">
        <w:t>25-6.0436(</w:t>
      </w:r>
      <w:r>
        <w:t>1)(m</w:t>
      </w:r>
      <w:r w:rsidRPr="00B214F5">
        <w:t>)</w:t>
      </w:r>
      <w:r>
        <w:t>,</w:t>
      </w:r>
      <w:r w:rsidRPr="00B214F5">
        <w:t xml:space="preserve"> F.A.C.</w:t>
      </w:r>
      <w:r>
        <w:t>, spe</w:t>
      </w:r>
      <w:r w:rsidRPr="00B165B6">
        <w:t>cif</w:t>
      </w:r>
      <w:r>
        <w:t>y the Commission’s depreciation rate formulae and methodologies.</w:t>
      </w:r>
    </w:p>
  </w:footnote>
  <w:footnote w:id="18">
    <w:p w:rsidR="00586775" w:rsidRDefault="00586775" w:rsidP="00586775">
      <w:pPr>
        <w:pStyle w:val="FootnoteText"/>
      </w:pPr>
      <w:r>
        <w:rPr>
          <w:rStyle w:val="FootnoteReference"/>
        </w:rPr>
        <w:footnoteRef/>
      </w:r>
      <w:r w:rsidRPr="00262764">
        <w:rPr>
          <w:color w:val="000000"/>
        </w:rPr>
        <w:t>Document No. 01660-2022, Duke Energy Florida, LLC's Response to Staff’</w:t>
      </w:r>
      <w:r>
        <w:rPr>
          <w:color w:val="000000"/>
        </w:rPr>
        <w:t xml:space="preserve">s </w:t>
      </w:r>
      <w:r w:rsidRPr="00262764">
        <w:rPr>
          <w:color w:val="000000"/>
        </w:rPr>
        <w:t>First Data Request. N</w:t>
      </w:r>
      <w:r>
        <w:rPr>
          <w:color w:val="000000"/>
        </w:rPr>
        <w:t>o. 1(c</w:t>
      </w:r>
      <w:r w:rsidRPr="00262764">
        <w:rPr>
          <w:color w:val="000000"/>
        </w:rPr>
        <w:t>).</w:t>
      </w:r>
    </w:p>
  </w:footnote>
  <w:footnote w:id="19">
    <w:p w:rsidR="00586775" w:rsidRDefault="00586775" w:rsidP="00586775">
      <w:pPr>
        <w:pStyle w:val="FootnoteText"/>
      </w:pPr>
      <w:r>
        <w:rPr>
          <w:rStyle w:val="FootnoteReference"/>
        </w:rPr>
        <w:footnoteRef/>
      </w:r>
      <w:r w:rsidR="008F7CC8" w:rsidRPr="002E2BB3">
        <w:rPr>
          <w:i/>
        </w:rPr>
        <w:t>I</w:t>
      </w:r>
      <w:r w:rsidRPr="002E2BB3">
        <w:rPr>
          <w:i/>
        </w:rPr>
        <w:t>d</w:t>
      </w:r>
      <w:r>
        <w:t>.</w:t>
      </w:r>
    </w:p>
  </w:footnote>
  <w:footnote w:id="20">
    <w:p w:rsidR="00586775" w:rsidRDefault="00586775" w:rsidP="00586775">
      <w:pPr>
        <w:pStyle w:val="FootnoteText"/>
      </w:pPr>
      <w:r>
        <w:rPr>
          <w:rStyle w:val="FootnoteReference"/>
        </w:rPr>
        <w:footnoteRef/>
      </w:r>
      <w:r w:rsidR="00724941">
        <w:rPr>
          <w:i/>
        </w:rPr>
        <w:t>See</w:t>
      </w:r>
      <w:r w:rsidR="00724941">
        <w:t xml:space="preserve"> </w:t>
      </w:r>
      <w:r w:rsidRPr="009F0ACF">
        <w:t>Rule 25-6.0436(4)(a)</w:t>
      </w:r>
      <w:r>
        <w:t>,</w:t>
      </w:r>
      <w:r w:rsidRPr="009F0ACF">
        <w:t xml:space="preserve"> F.A.C.</w:t>
      </w:r>
      <w:r w:rsidR="00724941">
        <w:t xml:space="preserve"> (</w:t>
      </w:r>
      <w:r w:rsidRPr="009F0ACF">
        <w:t xml:space="preserve">investor-owned electric companies </w:t>
      </w:r>
      <w:r w:rsidR="00724941">
        <w:t>must</w:t>
      </w:r>
      <w:r w:rsidRPr="009F0ACF">
        <w:t xml:space="preserve"> file a depreciation study for Commission review at least once every four years from </w:t>
      </w:r>
      <w:r>
        <w:t>submission</w:t>
      </w:r>
      <w:r w:rsidRPr="009F0ACF">
        <w:t xml:space="preserve"> of the previous study </w:t>
      </w:r>
      <w:r>
        <w:t>and/or pursuant to Commission order</w:t>
      </w:r>
      <w:r w:rsidR="00724941">
        <w:t xml:space="preserve">) </w:t>
      </w:r>
      <w:r w:rsidR="00724941" w:rsidRPr="002E2BB3">
        <w:rPr>
          <w:i/>
        </w:rPr>
        <w:t>and</w:t>
      </w:r>
      <w:r w:rsidR="00724941">
        <w:t xml:space="preserve"> Rule 25-6.0436(6),</w:t>
      </w:r>
      <w:r w:rsidR="00724941" w:rsidRPr="009F0ACF">
        <w:t xml:space="preserve"> F.A.C.</w:t>
      </w:r>
      <w:r w:rsidR="00724941">
        <w:t xml:space="preserve"> (</w:t>
      </w:r>
      <w:r w:rsidR="00724941" w:rsidRPr="009F0ACF">
        <w:t>investor-o</w:t>
      </w:r>
      <w:r w:rsidR="00724941">
        <w:t xml:space="preserve">wned electric companies must file </w:t>
      </w:r>
      <w:r w:rsidR="00724941">
        <w:rPr>
          <w:noProof/>
          <w:color w:val="000000"/>
        </w:rPr>
        <w:t>an annual depreciation status report</w:t>
      </w:r>
      <w:r w:rsidR="00724941">
        <w:t xml:space="preserve"> a</w:t>
      </w:r>
      <w:r w:rsidR="00724941">
        <w:rPr>
          <w:noProof/>
          <w:color w:val="000000"/>
        </w:rPr>
        <w:t>s part of the filing of the annual report pursuant to Rule 25-6.135, F.A.C.).</w:t>
      </w:r>
    </w:p>
  </w:footnote>
  <w:footnote w:id="21">
    <w:p w:rsidR="00F80EB6" w:rsidRDefault="00F80EB6">
      <w:pPr>
        <w:pStyle w:val="FootnoteText"/>
      </w:pPr>
      <w:r>
        <w:rPr>
          <w:rStyle w:val="FootnoteReference"/>
        </w:rPr>
        <w:footnoteRef/>
      </w:r>
      <w:r>
        <w:t>Order No. PSC-08</w:t>
      </w:r>
      <w:r w:rsidRPr="001554E7">
        <w:t>-0</w:t>
      </w:r>
      <w:r>
        <w:t>623</w:t>
      </w:r>
      <w:r w:rsidRPr="001554E7">
        <w:t xml:space="preserve">-PAA-GU, issued </w:t>
      </w:r>
      <w:r>
        <w:t xml:space="preserve">September 24, </w:t>
      </w:r>
      <w:r w:rsidRPr="001554E7">
        <w:t>20</w:t>
      </w:r>
      <w:r>
        <w:t>08</w:t>
      </w:r>
      <w:r w:rsidRPr="001554E7">
        <w:t xml:space="preserve">, in Docket No. </w:t>
      </w:r>
      <w:r w:rsidR="00794109">
        <w:t>20</w:t>
      </w:r>
      <w:r>
        <w:t>080163</w:t>
      </w:r>
      <w:r w:rsidRPr="001554E7">
        <w:t xml:space="preserve">-GU, </w:t>
      </w:r>
      <w:r w:rsidRPr="00BF0D8C">
        <w:rPr>
          <w:i/>
        </w:rPr>
        <w:t xml:space="preserve">In re: </w:t>
      </w:r>
      <w:r>
        <w:rPr>
          <w:i/>
        </w:rPr>
        <w:t xml:space="preserve">Petition for approval to create </w:t>
      </w:r>
      <w:r w:rsidR="00E70A4C">
        <w:rPr>
          <w:i/>
        </w:rPr>
        <w:t>regulatory subaccount of meter installations to capitalize all incurred and future costs associated with installation of encoder receiver transmitters (ERTs) under provisions of Statement of Financial Accounting Standard No. 71, Accounting for the E</w:t>
      </w:r>
      <w:r w:rsidR="001D4B08">
        <w:rPr>
          <w:i/>
        </w:rPr>
        <w:t>ff</w:t>
      </w:r>
      <w:r w:rsidR="00E70A4C">
        <w:rPr>
          <w:i/>
        </w:rPr>
        <w:t>ects of Certain Types of Regulations (SFAS</w:t>
      </w:r>
      <w:r w:rsidR="001D4B08">
        <w:rPr>
          <w:i/>
        </w:rPr>
        <w:t xml:space="preserve"> 71); and requesting depreciation of installation costs of ERTs over 15-year period beginning January 1, 2008, by Florida City Gas.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C5" w:rsidRDefault="005A25C5" w:rsidP="00220732">
    <w:pPr>
      <w:pStyle w:val="Header"/>
      <w:tabs>
        <w:tab w:val="clear" w:pos="4320"/>
        <w:tab w:val="clear" w:pos="8640"/>
        <w:tab w:val="right" w:pos="9360"/>
      </w:tabs>
    </w:pPr>
    <w:r>
      <w:t xml:space="preserve">Docket No. </w:t>
    </w:r>
    <w:r w:rsidR="00612E25">
      <w:t>20220029-EI</w:t>
    </w:r>
  </w:p>
  <w:p w:rsidR="005A25C5" w:rsidRDefault="005A25C5">
    <w:pPr>
      <w:pStyle w:val="Header"/>
    </w:pPr>
    <w:r>
      <w:t xml:space="preserve">Date: </w:t>
    </w:r>
    <w:fldSimple w:instr=" REF FilingDate ">
      <w:r w:rsidR="006F7B00">
        <w:t>April 21,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F7B00">
      <w:t>Docket No.</w:t>
    </w:r>
    <w:r>
      <w:fldChar w:fldCharType="end"/>
    </w:r>
    <w:r>
      <w:t xml:space="preserve"> </w:t>
    </w:r>
    <w:r>
      <w:fldChar w:fldCharType="begin"/>
    </w:r>
    <w:r>
      <w:instrText xml:space="preserve"> REF DocketList</w:instrText>
    </w:r>
    <w:r>
      <w:fldChar w:fldCharType="separate"/>
    </w:r>
    <w:r w:rsidR="006F7B00">
      <w:t>20220029-EI</w:t>
    </w:r>
    <w:r>
      <w:fldChar w:fldCharType="end"/>
    </w:r>
    <w:r>
      <w:tab/>
      <w:t xml:space="preserve">Issue </w:t>
    </w:r>
    <w:fldSimple w:instr=" Seq Issue \c \* Arabic ">
      <w:r w:rsidR="00FC13BF">
        <w:rPr>
          <w:noProof/>
        </w:rPr>
        <w:t>1</w:t>
      </w:r>
    </w:fldSimple>
  </w:p>
  <w:p w:rsidR="00BC402E" w:rsidRDefault="00BC402E">
    <w:pPr>
      <w:pStyle w:val="Header"/>
    </w:pPr>
    <w:r>
      <w:t xml:space="preserve">Date: </w:t>
    </w:r>
    <w:r w:rsidR="003B1BC2">
      <w:fldChar w:fldCharType="begin"/>
    </w:r>
    <w:r w:rsidR="003B1BC2">
      <w:instrText xml:space="preserve"> REF FilingDate </w:instrText>
    </w:r>
    <w:r w:rsidR="003B1BC2">
      <w:fldChar w:fldCharType="separate"/>
    </w:r>
    <w:r w:rsidR="006F7B00">
      <w:t>April 21, 2022</w:t>
    </w:r>
    <w:r w:rsidR="003B1BC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A25C5"/>
    <w:rsid w:val="000043D5"/>
    <w:rsid w:val="00006170"/>
    <w:rsid w:val="00010E37"/>
    <w:rsid w:val="00010E4E"/>
    <w:rsid w:val="000172DA"/>
    <w:rsid w:val="00022A43"/>
    <w:rsid w:val="000247C5"/>
    <w:rsid w:val="000277C2"/>
    <w:rsid w:val="00035B48"/>
    <w:rsid w:val="00036CE2"/>
    <w:rsid w:val="00036DAF"/>
    <w:rsid w:val="000437FE"/>
    <w:rsid w:val="00045C56"/>
    <w:rsid w:val="000513BE"/>
    <w:rsid w:val="00051D79"/>
    <w:rsid w:val="00065A06"/>
    <w:rsid w:val="000666F3"/>
    <w:rsid w:val="00070DCB"/>
    <w:rsid w:val="00072507"/>
    <w:rsid w:val="00072CCA"/>
    <w:rsid w:val="00073120"/>
    <w:rsid w:val="000764D0"/>
    <w:rsid w:val="000822B4"/>
    <w:rsid w:val="000828D3"/>
    <w:rsid w:val="000957AC"/>
    <w:rsid w:val="000A2B57"/>
    <w:rsid w:val="000A418B"/>
    <w:rsid w:val="000C4431"/>
    <w:rsid w:val="000D1C06"/>
    <w:rsid w:val="000D4319"/>
    <w:rsid w:val="000D4506"/>
    <w:rsid w:val="000F374A"/>
    <w:rsid w:val="0010149A"/>
    <w:rsid w:val="00102713"/>
    <w:rsid w:val="001076AF"/>
    <w:rsid w:val="00114723"/>
    <w:rsid w:val="001150D0"/>
    <w:rsid w:val="00117C8C"/>
    <w:rsid w:val="00124C38"/>
    <w:rsid w:val="00124E2E"/>
    <w:rsid w:val="00125ED4"/>
    <w:rsid w:val="001305E9"/>
    <w:rsid w:val="001307AF"/>
    <w:rsid w:val="00135687"/>
    <w:rsid w:val="00141CC6"/>
    <w:rsid w:val="0015506E"/>
    <w:rsid w:val="00163031"/>
    <w:rsid w:val="00171A90"/>
    <w:rsid w:val="00180254"/>
    <w:rsid w:val="0018581C"/>
    <w:rsid w:val="0019032F"/>
    <w:rsid w:val="00191E1F"/>
    <w:rsid w:val="00192943"/>
    <w:rsid w:val="001965D8"/>
    <w:rsid w:val="001A7406"/>
    <w:rsid w:val="001B4FEE"/>
    <w:rsid w:val="001B51C5"/>
    <w:rsid w:val="001B6F3F"/>
    <w:rsid w:val="001C52B5"/>
    <w:rsid w:val="001C5924"/>
    <w:rsid w:val="001D0D3E"/>
    <w:rsid w:val="001D4B08"/>
    <w:rsid w:val="001F2245"/>
    <w:rsid w:val="001F2C63"/>
    <w:rsid w:val="001F48C7"/>
    <w:rsid w:val="001F6DA1"/>
    <w:rsid w:val="002044E6"/>
    <w:rsid w:val="00205C82"/>
    <w:rsid w:val="00205DC2"/>
    <w:rsid w:val="00212B17"/>
    <w:rsid w:val="002163B6"/>
    <w:rsid w:val="00220732"/>
    <w:rsid w:val="00221D32"/>
    <w:rsid w:val="00225C3F"/>
    <w:rsid w:val="002354FB"/>
    <w:rsid w:val="00237758"/>
    <w:rsid w:val="00247DDE"/>
    <w:rsid w:val="00252A89"/>
    <w:rsid w:val="00262764"/>
    <w:rsid w:val="00263D44"/>
    <w:rsid w:val="002702AD"/>
    <w:rsid w:val="0027089E"/>
    <w:rsid w:val="0027287F"/>
    <w:rsid w:val="0028773B"/>
    <w:rsid w:val="00292D82"/>
    <w:rsid w:val="002963CB"/>
    <w:rsid w:val="002A4D77"/>
    <w:rsid w:val="002B4A01"/>
    <w:rsid w:val="002B4EB5"/>
    <w:rsid w:val="002B7445"/>
    <w:rsid w:val="002D226D"/>
    <w:rsid w:val="002D7A6F"/>
    <w:rsid w:val="002E2BB3"/>
    <w:rsid w:val="002F352E"/>
    <w:rsid w:val="002F6030"/>
    <w:rsid w:val="003028ED"/>
    <w:rsid w:val="003037E1"/>
    <w:rsid w:val="00307E51"/>
    <w:rsid w:val="003103EC"/>
    <w:rsid w:val="003144EF"/>
    <w:rsid w:val="00322F74"/>
    <w:rsid w:val="003337ED"/>
    <w:rsid w:val="00340073"/>
    <w:rsid w:val="00345991"/>
    <w:rsid w:val="00345C4D"/>
    <w:rsid w:val="003632FD"/>
    <w:rsid w:val="00372805"/>
    <w:rsid w:val="00373180"/>
    <w:rsid w:val="00375AB9"/>
    <w:rsid w:val="003821A0"/>
    <w:rsid w:val="0038416D"/>
    <w:rsid w:val="00385B04"/>
    <w:rsid w:val="003864CF"/>
    <w:rsid w:val="00393433"/>
    <w:rsid w:val="003948AE"/>
    <w:rsid w:val="003A22A6"/>
    <w:rsid w:val="003A5494"/>
    <w:rsid w:val="003B1BC2"/>
    <w:rsid w:val="003B2510"/>
    <w:rsid w:val="003C23FC"/>
    <w:rsid w:val="003C2CC4"/>
    <w:rsid w:val="003C3710"/>
    <w:rsid w:val="003D2A8D"/>
    <w:rsid w:val="003E0EFC"/>
    <w:rsid w:val="003E41AA"/>
    <w:rsid w:val="003E4A2B"/>
    <w:rsid w:val="003E76C2"/>
    <w:rsid w:val="003F1679"/>
    <w:rsid w:val="003F21EB"/>
    <w:rsid w:val="003F4A35"/>
    <w:rsid w:val="003F7FDD"/>
    <w:rsid w:val="00402481"/>
    <w:rsid w:val="004042B4"/>
    <w:rsid w:val="00410DC4"/>
    <w:rsid w:val="00412DAE"/>
    <w:rsid w:val="00423932"/>
    <w:rsid w:val="004242E6"/>
    <w:rsid w:val="004244C7"/>
    <w:rsid w:val="004314E8"/>
    <w:rsid w:val="00431598"/>
    <w:rsid w:val="004319AD"/>
    <w:rsid w:val="004426B8"/>
    <w:rsid w:val="00444432"/>
    <w:rsid w:val="00444E68"/>
    <w:rsid w:val="0045516A"/>
    <w:rsid w:val="00471860"/>
    <w:rsid w:val="00477026"/>
    <w:rsid w:val="0049472D"/>
    <w:rsid w:val="0049796C"/>
    <w:rsid w:val="004A744D"/>
    <w:rsid w:val="004B60BD"/>
    <w:rsid w:val="004C3150"/>
    <w:rsid w:val="004C3641"/>
    <w:rsid w:val="004C4390"/>
    <w:rsid w:val="004C4AF7"/>
    <w:rsid w:val="004C75CC"/>
    <w:rsid w:val="004D2881"/>
    <w:rsid w:val="004D385F"/>
    <w:rsid w:val="004D5B39"/>
    <w:rsid w:val="004E330D"/>
    <w:rsid w:val="004E5147"/>
    <w:rsid w:val="004E69B5"/>
    <w:rsid w:val="004F5C43"/>
    <w:rsid w:val="0050652D"/>
    <w:rsid w:val="00506C03"/>
    <w:rsid w:val="00511A11"/>
    <w:rsid w:val="00516496"/>
    <w:rsid w:val="00522DB1"/>
    <w:rsid w:val="00523B11"/>
    <w:rsid w:val="0052572A"/>
    <w:rsid w:val="00532DFB"/>
    <w:rsid w:val="00543CB3"/>
    <w:rsid w:val="005442E4"/>
    <w:rsid w:val="00544992"/>
    <w:rsid w:val="0055529B"/>
    <w:rsid w:val="00560FF0"/>
    <w:rsid w:val="005614BD"/>
    <w:rsid w:val="0057154F"/>
    <w:rsid w:val="005716D5"/>
    <w:rsid w:val="00572E9A"/>
    <w:rsid w:val="0057610F"/>
    <w:rsid w:val="00580F69"/>
    <w:rsid w:val="00581CA3"/>
    <w:rsid w:val="0058416A"/>
    <w:rsid w:val="00586775"/>
    <w:rsid w:val="00587A44"/>
    <w:rsid w:val="00597730"/>
    <w:rsid w:val="005977EC"/>
    <w:rsid w:val="00597DE7"/>
    <w:rsid w:val="005A25C5"/>
    <w:rsid w:val="005A4AA2"/>
    <w:rsid w:val="005B0D0A"/>
    <w:rsid w:val="005B34B6"/>
    <w:rsid w:val="005B6C8F"/>
    <w:rsid w:val="005B6EC3"/>
    <w:rsid w:val="005C4BBA"/>
    <w:rsid w:val="005D0F74"/>
    <w:rsid w:val="005D2E7D"/>
    <w:rsid w:val="005D4A8F"/>
    <w:rsid w:val="005D561B"/>
    <w:rsid w:val="005D5ECF"/>
    <w:rsid w:val="005F468D"/>
    <w:rsid w:val="005F6378"/>
    <w:rsid w:val="005F69A3"/>
    <w:rsid w:val="006044D7"/>
    <w:rsid w:val="00604CC7"/>
    <w:rsid w:val="00612E25"/>
    <w:rsid w:val="00615423"/>
    <w:rsid w:val="006165B2"/>
    <w:rsid w:val="00617276"/>
    <w:rsid w:val="0062527B"/>
    <w:rsid w:val="00625D97"/>
    <w:rsid w:val="00625F1C"/>
    <w:rsid w:val="006279E1"/>
    <w:rsid w:val="00630CEB"/>
    <w:rsid w:val="00632264"/>
    <w:rsid w:val="00636FB3"/>
    <w:rsid w:val="006470BC"/>
    <w:rsid w:val="006554D3"/>
    <w:rsid w:val="00667036"/>
    <w:rsid w:val="006723FD"/>
    <w:rsid w:val="00673BDB"/>
    <w:rsid w:val="00674341"/>
    <w:rsid w:val="006771B8"/>
    <w:rsid w:val="006843B6"/>
    <w:rsid w:val="0068481F"/>
    <w:rsid w:val="00690B3F"/>
    <w:rsid w:val="00696F5D"/>
    <w:rsid w:val="00697249"/>
    <w:rsid w:val="006B3947"/>
    <w:rsid w:val="006B4293"/>
    <w:rsid w:val="006B624F"/>
    <w:rsid w:val="006C0C95"/>
    <w:rsid w:val="006C31E3"/>
    <w:rsid w:val="006C68D6"/>
    <w:rsid w:val="006C7A00"/>
    <w:rsid w:val="006D18D3"/>
    <w:rsid w:val="006D7CFD"/>
    <w:rsid w:val="006E08CB"/>
    <w:rsid w:val="006E598D"/>
    <w:rsid w:val="006F7B00"/>
    <w:rsid w:val="00702CE0"/>
    <w:rsid w:val="0070437D"/>
    <w:rsid w:val="00704CF1"/>
    <w:rsid w:val="00705B04"/>
    <w:rsid w:val="007101DB"/>
    <w:rsid w:val="00716AD9"/>
    <w:rsid w:val="00724941"/>
    <w:rsid w:val="00724992"/>
    <w:rsid w:val="00734820"/>
    <w:rsid w:val="007349DC"/>
    <w:rsid w:val="00742506"/>
    <w:rsid w:val="0074365E"/>
    <w:rsid w:val="00744B55"/>
    <w:rsid w:val="007515FD"/>
    <w:rsid w:val="00760D80"/>
    <w:rsid w:val="00773022"/>
    <w:rsid w:val="00780C09"/>
    <w:rsid w:val="00780DDF"/>
    <w:rsid w:val="007834E9"/>
    <w:rsid w:val="00787DBC"/>
    <w:rsid w:val="0079019A"/>
    <w:rsid w:val="007914E7"/>
    <w:rsid w:val="00792935"/>
    <w:rsid w:val="00794109"/>
    <w:rsid w:val="007A04A1"/>
    <w:rsid w:val="007A09B1"/>
    <w:rsid w:val="007A1840"/>
    <w:rsid w:val="007A19BD"/>
    <w:rsid w:val="007C00B5"/>
    <w:rsid w:val="007C0528"/>
    <w:rsid w:val="007C1AAE"/>
    <w:rsid w:val="007C318F"/>
    <w:rsid w:val="007C3D38"/>
    <w:rsid w:val="007C44F3"/>
    <w:rsid w:val="007D0F35"/>
    <w:rsid w:val="007D4A84"/>
    <w:rsid w:val="007D4FEB"/>
    <w:rsid w:val="007D6146"/>
    <w:rsid w:val="007E0CE7"/>
    <w:rsid w:val="007F1193"/>
    <w:rsid w:val="007F417F"/>
    <w:rsid w:val="007F7644"/>
    <w:rsid w:val="008042BD"/>
    <w:rsid w:val="00816624"/>
    <w:rsid w:val="00822427"/>
    <w:rsid w:val="00822562"/>
    <w:rsid w:val="00823663"/>
    <w:rsid w:val="00832DDC"/>
    <w:rsid w:val="00837B6F"/>
    <w:rsid w:val="0084245B"/>
    <w:rsid w:val="00850BAC"/>
    <w:rsid w:val="00854A3E"/>
    <w:rsid w:val="00855D08"/>
    <w:rsid w:val="00873CA3"/>
    <w:rsid w:val="00874344"/>
    <w:rsid w:val="00882155"/>
    <w:rsid w:val="0088233B"/>
    <w:rsid w:val="00885677"/>
    <w:rsid w:val="0088599E"/>
    <w:rsid w:val="00886C37"/>
    <w:rsid w:val="00892D99"/>
    <w:rsid w:val="00893315"/>
    <w:rsid w:val="00897B76"/>
    <w:rsid w:val="008B62AE"/>
    <w:rsid w:val="008C04B5"/>
    <w:rsid w:val="008C14FA"/>
    <w:rsid w:val="008C6A24"/>
    <w:rsid w:val="008C7B0B"/>
    <w:rsid w:val="008D4057"/>
    <w:rsid w:val="008D50B5"/>
    <w:rsid w:val="008E1F19"/>
    <w:rsid w:val="008E3183"/>
    <w:rsid w:val="008F2262"/>
    <w:rsid w:val="008F4D2B"/>
    <w:rsid w:val="008F7736"/>
    <w:rsid w:val="008F7BDD"/>
    <w:rsid w:val="008F7CC8"/>
    <w:rsid w:val="0090019E"/>
    <w:rsid w:val="00901086"/>
    <w:rsid w:val="00901C8A"/>
    <w:rsid w:val="009057A0"/>
    <w:rsid w:val="00905886"/>
    <w:rsid w:val="009070D6"/>
    <w:rsid w:val="009076C6"/>
    <w:rsid w:val="00907AC9"/>
    <w:rsid w:val="0091019E"/>
    <w:rsid w:val="009106F1"/>
    <w:rsid w:val="00912404"/>
    <w:rsid w:val="009145D6"/>
    <w:rsid w:val="00920E64"/>
    <w:rsid w:val="00922002"/>
    <w:rsid w:val="00924020"/>
    <w:rsid w:val="009271A7"/>
    <w:rsid w:val="00933EC2"/>
    <w:rsid w:val="009353E5"/>
    <w:rsid w:val="0093658B"/>
    <w:rsid w:val="009429FF"/>
    <w:rsid w:val="00945BD6"/>
    <w:rsid w:val="009479FB"/>
    <w:rsid w:val="00950CA3"/>
    <w:rsid w:val="00951C45"/>
    <w:rsid w:val="009656F2"/>
    <w:rsid w:val="00966A08"/>
    <w:rsid w:val="00971207"/>
    <w:rsid w:val="00975CB4"/>
    <w:rsid w:val="00985FB2"/>
    <w:rsid w:val="009863B0"/>
    <w:rsid w:val="00987DE1"/>
    <w:rsid w:val="00990571"/>
    <w:rsid w:val="0099673A"/>
    <w:rsid w:val="009A3330"/>
    <w:rsid w:val="009A35CD"/>
    <w:rsid w:val="009A5B87"/>
    <w:rsid w:val="009A7C96"/>
    <w:rsid w:val="009B011F"/>
    <w:rsid w:val="009C3DB9"/>
    <w:rsid w:val="009D46E5"/>
    <w:rsid w:val="009D568A"/>
    <w:rsid w:val="009D7247"/>
    <w:rsid w:val="009F04EC"/>
    <w:rsid w:val="009F2A7C"/>
    <w:rsid w:val="009F2D15"/>
    <w:rsid w:val="009F3B36"/>
    <w:rsid w:val="00A019B9"/>
    <w:rsid w:val="00A038F4"/>
    <w:rsid w:val="00A12508"/>
    <w:rsid w:val="00A1282B"/>
    <w:rsid w:val="00A13A27"/>
    <w:rsid w:val="00A175B6"/>
    <w:rsid w:val="00A21835"/>
    <w:rsid w:val="00A2374B"/>
    <w:rsid w:val="00A27D6E"/>
    <w:rsid w:val="00A30A45"/>
    <w:rsid w:val="00A328EC"/>
    <w:rsid w:val="00A33A51"/>
    <w:rsid w:val="00A41CA6"/>
    <w:rsid w:val="00A42FCB"/>
    <w:rsid w:val="00A47927"/>
    <w:rsid w:val="00A47FFC"/>
    <w:rsid w:val="00A5442F"/>
    <w:rsid w:val="00A54FF9"/>
    <w:rsid w:val="00A56765"/>
    <w:rsid w:val="00A66943"/>
    <w:rsid w:val="00A675AC"/>
    <w:rsid w:val="00A70629"/>
    <w:rsid w:val="00A7581F"/>
    <w:rsid w:val="00A92FB1"/>
    <w:rsid w:val="00A95A0C"/>
    <w:rsid w:val="00A97B42"/>
    <w:rsid w:val="00AA2765"/>
    <w:rsid w:val="00AA77B5"/>
    <w:rsid w:val="00AB3144"/>
    <w:rsid w:val="00AB5425"/>
    <w:rsid w:val="00AB6C5D"/>
    <w:rsid w:val="00AC3401"/>
    <w:rsid w:val="00AC51A7"/>
    <w:rsid w:val="00AD444B"/>
    <w:rsid w:val="00AD5614"/>
    <w:rsid w:val="00AD60B3"/>
    <w:rsid w:val="00AD6C78"/>
    <w:rsid w:val="00AE2EAB"/>
    <w:rsid w:val="00AF5F89"/>
    <w:rsid w:val="00AF73CB"/>
    <w:rsid w:val="00B002D6"/>
    <w:rsid w:val="00B03379"/>
    <w:rsid w:val="00B05B51"/>
    <w:rsid w:val="00B14E5A"/>
    <w:rsid w:val="00B15370"/>
    <w:rsid w:val="00B16DA4"/>
    <w:rsid w:val="00B17BEB"/>
    <w:rsid w:val="00B201B3"/>
    <w:rsid w:val="00B202CC"/>
    <w:rsid w:val="00B21A3C"/>
    <w:rsid w:val="00B223C0"/>
    <w:rsid w:val="00B234ED"/>
    <w:rsid w:val="00B2447F"/>
    <w:rsid w:val="00B249B2"/>
    <w:rsid w:val="00B25CA3"/>
    <w:rsid w:val="00B2765A"/>
    <w:rsid w:val="00B3109A"/>
    <w:rsid w:val="00B3123A"/>
    <w:rsid w:val="00B41452"/>
    <w:rsid w:val="00B43D50"/>
    <w:rsid w:val="00B516ED"/>
    <w:rsid w:val="00B533DC"/>
    <w:rsid w:val="00B57A6A"/>
    <w:rsid w:val="00B66F15"/>
    <w:rsid w:val="00B760F1"/>
    <w:rsid w:val="00B7669E"/>
    <w:rsid w:val="00B77DA1"/>
    <w:rsid w:val="00B77DB1"/>
    <w:rsid w:val="00B822A0"/>
    <w:rsid w:val="00B84031"/>
    <w:rsid w:val="00B858AE"/>
    <w:rsid w:val="00B85964"/>
    <w:rsid w:val="00B96250"/>
    <w:rsid w:val="00BA0D55"/>
    <w:rsid w:val="00BA37B3"/>
    <w:rsid w:val="00BA4CC6"/>
    <w:rsid w:val="00BB3493"/>
    <w:rsid w:val="00BB7468"/>
    <w:rsid w:val="00BC188A"/>
    <w:rsid w:val="00BC1DF2"/>
    <w:rsid w:val="00BC402E"/>
    <w:rsid w:val="00BD0F48"/>
    <w:rsid w:val="00BE6DDB"/>
    <w:rsid w:val="00BF2B47"/>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4A47"/>
    <w:rsid w:val="00C86896"/>
    <w:rsid w:val="00C907A8"/>
    <w:rsid w:val="00C93211"/>
    <w:rsid w:val="00C93916"/>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5DF7"/>
    <w:rsid w:val="00D06FC7"/>
    <w:rsid w:val="00D072B6"/>
    <w:rsid w:val="00D12565"/>
    <w:rsid w:val="00D14127"/>
    <w:rsid w:val="00D53E3C"/>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D6175"/>
    <w:rsid w:val="00DF1510"/>
    <w:rsid w:val="00DF1861"/>
    <w:rsid w:val="00E02F1F"/>
    <w:rsid w:val="00E06484"/>
    <w:rsid w:val="00E20A7D"/>
    <w:rsid w:val="00E275D8"/>
    <w:rsid w:val="00E30F6A"/>
    <w:rsid w:val="00E3117C"/>
    <w:rsid w:val="00E375CA"/>
    <w:rsid w:val="00E40D90"/>
    <w:rsid w:val="00E4321F"/>
    <w:rsid w:val="00E51589"/>
    <w:rsid w:val="00E5364F"/>
    <w:rsid w:val="00E567E8"/>
    <w:rsid w:val="00E64679"/>
    <w:rsid w:val="00E65EBC"/>
    <w:rsid w:val="00E677FE"/>
    <w:rsid w:val="00E70A4C"/>
    <w:rsid w:val="00E73432"/>
    <w:rsid w:val="00E7791E"/>
    <w:rsid w:val="00E77B0C"/>
    <w:rsid w:val="00E77FB8"/>
    <w:rsid w:val="00E838B0"/>
    <w:rsid w:val="00E84382"/>
    <w:rsid w:val="00E86A7C"/>
    <w:rsid w:val="00E878E1"/>
    <w:rsid w:val="00E87F2C"/>
    <w:rsid w:val="00E95278"/>
    <w:rsid w:val="00EA2273"/>
    <w:rsid w:val="00EA7C3C"/>
    <w:rsid w:val="00EB2DB3"/>
    <w:rsid w:val="00EC3FBB"/>
    <w:rsid w:val="00EC6B7A"/>
    <w:rsid w:val="00ED310D"/>
    <w:rsid w:val="00ED3A87"/>
    <w:rsid w:val="00ED5B67"/>
    <w:rsid w:val="00EE5CFD"/>
    <w:rsid w:val="00EF264C"/>
    <w:rsid w:val="00EF3FEE"/>
    <w:rsid w:val="00F04B59"/>
    <w:rsid w:val="00F11741"/>
    <w:rsid w:val="00F12B1C"/>
    <w:rsid w:val="00F13CF8"/>
    <w:rsid w:val="00F15855"/>
    <w:rsid w:val="00F200B2"/>
    <w:rsid w:val="00F227DC"/>
    <w:rsid w:val="00F32978"/>
    <w:rsid w:val="00F45CB2"/>
    <w:rsid w:val="00F544C0"/>
    <w:rsid w:val="00F55332"/>
    <w:rsid w:val="00F65011"/>
    <w:rsid w:val="00F6504A"/>
    <w:rsid w:val="00F65519"/>
    <w:rsid w:val="00F70FC2"/>
    <w:rsid w:val="00F713C0"/>
    <w:rsid w:val="00F75DDC"/>
    <w:rsid w:val="00F7792F"/>
    <w:rsid w:val="00F80EB6"/>
    <w:rsid w:val="00F842AA"/>
    <w:rsid w:val="00F8476F"/>
    <w:rsid w:val="00F853E1"/>
    <w:rsid w:val="00F85604"/>
    <w:rsid w:val="00F94B7A"/>
    <w:rsid w:val="00FA137E"/>
    <w:rsid w:val="00FA17AC"/>
    <w:rsid w:val="00FA32DE"/>
    <w:rsid w:val="00FA3382"/>
    <w:rsid w:val="00FA59CD"/>
    <w:rsid w:val="00FB1740"/>
    <w:rsid w:val="00FB4CED"/>
    <w:rsid w:val="00FC13BF"/>
    <w:rsid w:val="00FC5469"/>
    <w:rsid w:val="00FC6D7D"/>
    <w:rsid w:val="00FD16B0"/>
    <w:rsid w:val="00FD4FED"/>
    <w:rsid w:val="00FE0577"/>
    <w:rsid w:val="00FE59EC"/>
    <w:rsid w:val="00FE5B67"/>
    <w:rsid w:val="00FE60D6"/>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9723AF-0A08-4172-8F74-0316F89F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rsid w:val="005A25C5"/>
    <w:rPr>
      <w:sz w:val="24"/>
      <w:szCs w:val="24"/>
    </w:rPr>
  </w:style>
  <w:style w:type="character" w:customStyle="1" w:styleId="FooterChar">
    <w:name w:val="Footer Char"/>
    <w:basedOn w:val="DefaultParagraphFont"/>
    <w:link w:val="Footer"/>
    <w:rsid w:val="005A25C5"/>
    <w:rPr>
      <w:sz w:val="24"/>
      <w:szCs w:val="24"/>
    </w:rPr>
  </w:style>
  <w:style w:type="character" w:customStyle="1" w:styleId="FootnoteTextChar">
    <w:name w:val="Footnote Text Char"/>
    <w:basedOn w:val="DefaultParagraphFont"/>
    <w:link w:val="FootnoteText"/>
    <w:rsid w:val="005A25C5"/>
  </w:style>
  <w:style w:type="character" w:styleId="FootnoteReference">
    <w:name w:val="footnote reference"/>
    <w:basedOn w:val="DefaultParagraphFont"/>
    <w:uiPriority w:val="99"/>
    <w:unhideWhenUsed/>
    <w:rsid w:val="005A25C5"/>
    <w:rPr>
      <w:vertAlign w:val="superscript"/>
    </w:rPr>
  </w:style>
  <w:style w:type="paragraph" w:customStyle="1" w:styleId="OrderBody">
    <w:name w:val="Order Body"/>
    <w:basedOn w:val="Normal"/>
    <w:link w:val="OrderBodyChar"/>
    <w:rsid w:val="00A70629"/>
    <w:pPr>
      <w:jc w:val="both"/>
    </w:pPr>
  </w:style>
  <w:style w:type="character" w:customStyle="1" w:styleId="OrderBodyChar">
    <w:name w:val="Order Body Char"/>
    <w:link w:val="OrderBody"/>
    <w:rsid w:val="00A70629"/>
    <w:rPr>
      <w:sz w:val="24"/>
      <w:szCs w:val="24"/>
    </w:rPr>
  </w:style>
  <w:style w:type="character" w:styleId="CommentReference">
    <w:name w:val="annotation reference"/>
    <w:basedOn w:val="DefaultParagraphFont"/>
    <w:semiHidden/>
    <w:unhideWhenUsed/>
    <w:rsid w:val="00EE5C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6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FA19B-B3CE-4AF6-AAB5-496ECD602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2</TotalTime>
  <Pages>6</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Andrew Kunkler</dc:creator>
  <cp:lastModifiedBy>Joe Cipriani</cp:lastModifiedBy>
  <cp:revision>3</cp:revision>
  <cp:lastPrinted>2022-04-14T14:24:00Z</cp:lastPrinted>
  <dcterms:created xsi:type="dcterms:W3CDTF">2022-04-19T18:43:00Z</dcterms:created>
  <dcterms:modified xsi:type="dcterms:W3CDTF">2022-04-21T13:22:00Z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20220029-EI</vt:lpwstr>
  </property>
  <property fmtid="{D5CDD505-2E9C-101B-9397-08002B2CF9AE}" pid="3" name="MasterDocument">
    <vt:bool>false</vt:bool>
  </property>
</Properties>
</file>