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740F1" w:rsidP="003740F1">
      <w:pPr>
        <w:pStyle w:val="OrderHeading"/>
      </w:pPr>
      <w:r>
        <w:t>BEFORE THE FLORIDA PUBLIC SERVICE COMMISSION</w:t>
      </w:r>
    </w:p>
    <w:p w:rsidR="003740F1" w:rsidRDefault="003740F1" w:rsidP="003740F1">
      <w:pPr>
        <w:pStyle w:val="OrderHeading"/>
      </w:pPr>
    </w:p>
    <w:p w:rsidR="003740F1" w:rsidRDefault="003740F1" w:rsidP="003740F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40F1" w:rsidRPr="00C63FCF" w:rsidTr="00C63FCF">
        <w:trPr>
          <w:trHeight w:val="828"/>
        </w:trPr>
        <w:tc>
          <w:tcPr>
            <w:tcW w:w="4788" w:type="dxa"/>
            <w:tcBorders>
              <w:bottom w:val="single" w:sz="8" w:space="0" w:color="auto"/>
              <w:right w:val="double" w:sz="6" w:space="0" w:color="auto"/>
            </w:tcBorders>
            <w:shd w:val="clear" w:color="auto" w:fill="auto"/>
          </w:tcPr>
          <w:p w:rsidR="003740F1" w:rsidRDefault="003740F1" w:rsidP="00C63FCF">
            <w:pPr>
              <w:pStyle w:val="OrderBody"/>
              <w:tabs>
                <w:tab w:val="center" w:pos="4320"/>
                <w:tab w:val="right" w:pos="8640"/>
              </w:tabs>
              <w:jc w:val="left"/>
            </w:pPr>
            <w:r>
              <w:t xml:space="preserve">In re: </w:t>
            </w:r>
            <w:bookmarkStart w:id="0" w:name="SSInRe"/>
            <w:bookmarkEnd w:id="0"/>
            <w:r>
              <w:t>Petition for approval of tariff changes to implement approved generation base rate adjustment, by Tampa Electric Company.</w:t>
            </w:r>
          </w:p>
        </w:tc>
        <w:tc>
          <w:tcPr>
            <w:tcW w:w="4788" w:type="dxa"/>
            <w:tcBorders>
              <w:left w:val="double" w:sz="6" w:space="0" w:color="auto"/>
            </w:tcBorders>
            <w:shd w:val="clear" w:color="auto" w:fill="auto"/>
          </w:tcPr>
          <w:p w:rsidR="003740F1" w:rsidRDefault="003740F1" w:rsidP="003740F1">
            <w:pPr>
              <w:pStyle w:val="OrderBody"/>
            </w:pPr>
            <w:r>
              <w:t xml:space="preserve">DOCKET NO. </w:t>
            </w:r>
            <w:bookmarkStart w:id="1" w:name="SSDocketNo"/>
            <w:bookmarkEnd w:id="1"/>
            <w:r>
              <w:t>160204-EI</w:t>
            </w:r>
          </w:p>
          <w:p w:rsidR="003740F1" w:rsidRDefault="003740F1" w:rsidP="00C63FCF">
            <w:pPr>
              <w:pStyle w:val="OrderBody"/>
              <w:tabs>
                <w:tab w:val="center" w:pos="4320"/>
                <w:tab w:val="right" w:pos="8640"/>
              </w:tabs>
              <w:jc w:val="left"/>
            </w:pPr>
            <w:r>
              <w:t xml:space="preserve">ORDER NO. </w:t>
            </w:r>
            <w:bookmarkStart w:id="2" w:name="OrderNo0514"/>
            <w:r w:rsidR="00EA1198">
              <w:t>PSC-16-0514-FOF-EI</w:t>
            </w:r>
            <w:bookmarkEnd w:id="2"/>
          </w:p>
          <w:p w:rsidR="003740F1" w:rsidRDefault="003740F1" w:rsidP="00C63FCF">
            <w:pPr>
              <w:pStyle w:val="OrderBody"/>
              <w:tabs>
                <w:tab w:val="center" w:pos="4320"/>
                <w:tab w:val="right" w:pos="8640"/>
              </w:tabs>
              <w:jc w:val="left"/>
            </w:pPr>
            <w:r>
              <w:t xml:space="preserve">ISSUED: </w:t>
            </w:r>
            <w:r w:rsidR="00EA1198">
              <w:t>November 18, 2016</w:t>
            </w:r>
          </w:p>
        </w:tc>
      </w:tr>
    </w:tbl>
    <w:p w:rsidR="003740F1" w:rsidRDefault="003740F1" w:rsidP="003740F1"/>
    <w:p w:rsidR="003740F1" w:rsidRPr="00E46E1F" w:rsidRDefault="003740F1">
      <w:pPr>
        <w:ind w:firstLine="720"/>
        <w:jc w:val="both"/>
      </w:pPr>
      <w:bookmarkStart w:id="3" w:name="Commissioners"/>
      <w:bookmarkEnd w:id="3"/>
      <w:r w:rsidRPr="00E46E1F">
        <w:t>The following Commissioners participated in the disposition of this matter:</w:t>
      </w:r>
    </w:p>
    <w:p w:rsidR="003740F1" w:rsidRPr="00E46E1F" w:rsidRDefault="003740F1"/>
    <w:p w:rsidR="003740F1" w:rsidRDefault="003740F1">
      <w:pPr>
        <w:jc w:val="center"/>
      </w:pPr>
      <w:r>
        <w:t>JULIE I. BROWN</w:t>
      </w:r>
      <w:r w:rsidRPr="00E46E1F">
        <w:t>, Chairman</w:t>
      </w:r>
    </w:p>
    <w:p w:rsidR="003740F1" w:rsidRPr="00E46E1F" w:rsidRDefault="003740F1">
      <w:pPr>
        <w:jc w:val="center"/>
      </w:pPr>
      <w:r w:rsidRPr="00E46E1F">
        <w:t>LISA POLAK EDGAR</w:t>
      </w:r>
    </w:p>
    <w:p w:rsidR="003740F1" w:rsidRDefault="003740F1">
      <w:pPr>
        <w:jc w:val="center"/>
      </w:pPr>
      <w:r>
        <w:t>ART GRAHAM</w:t>
      </w:r>
    </w:p>
    <w:p w:rsidR="003740F1" w:rsidRDefault="003740F1">
      <w:pPr>
        <w:jc w:val="center"/>
      </w:pPr>
      <w:r>
        <w:t>RONALD A. BRISÉ</w:t>
      </w:r>
    </w:p>
    <w:p w:rsidR="003740F1" w:rsidRDefault="003740F1">
      <w:pPr>
        <w:jc w:val="center"/>
      </w:pPr>
      <w:r>
        <w:t>JIMMY PATRONIS</w:t>
      </w:r>
    </w:p>
    <w:p w:rsidR="00CB5276" w:rsidRDefault="00CB5276">
      <w:pPr>
        <w:pStyle w:val="OrderBody"/>
      </w:pPr>
    </w:p>
    <w:p w:rsidR="003740F1" w:rsidRDefault="003740F1" w:rsidP="003740F1">
      <w:pPr>
        <w:pStyle w:val="CenterUnderline"/>
      </w:pPr>
      <w:r>
        <w:t>ORDER</w:t>
      </w:r>
      <w:bookmarkStart w:id="4" w:name="OrderTitle"/>
      <w:r>
        <w:t xml:space="preserve"> APPROVING TAMPA ELECTRIC COMPANY’S TARIFF RATE CHANGES</w:t>
      </w:r>
    </w:p>
    <w:p w:rsidR="003740F1" w:rsidRDefault="003740F1" w:rsidP="003740F1">
      <w:pPr>
        <w:pStyle w:val="CenterUnderline"/>
      </w:pPr>
      <w:r>
        <w:t xml:space="preserve">TO IMPLEMENT AN APPROVED STEP INCREASE </w:t>
      </w:r>
      <w:bookmarkEnd w:id="4"/>
      <w:r>
        <w:t xml:space="preserve"> </w:t>
      </w:r>
    </w:p>
    <w:p w:rsidR="003740F1" w:rsidRDefault="003740F1" w:rsidP="003740F1">
      <w:pPr>
        <w:pStyle w:val="CenterUnderline"/>
      </w:pPr>
    </w:p>
    <w:p w:rsidR="003740F1" w:rsidRDefault="003740F1" w:rsidP="003740F1">
      <w:pPr>
        <w:pStyle w:val="OrderBody"/>
      </w:pPr>
      <w:r>
        <w:t>BY THE COMMISSION:</w:t>
      </w:r>
    </w:p>
    <w:p w:rsidR="00CB5276" w:rsidRDefault="003740F1" w:rsidP="003740F1">
      <w:pPr>
        <w:pStyle w:val="OrderBody"/>
        <w:jc w:val="center"/>
        <w:rPr>
          <w:u w:val="single"/>
        </w:rPr>
      </w:pPr>
      <w:bookmarkStart w:id="5" w:name="OrderText"/>
      <w:bookmarkEnd w:id="5"/>
      <w:r>
        <w:rPr>
          <w:u w:val="single"/>
        </w:rPr>
        <w:t>Background</w:t>
      </w:r>
    </w:p>
    <w:p w:rsidR="003740F1" w:rsidRDefault="003740F1" w:rsidP="003740F1">
      <w:pPr>
        <w:pStyle w:val="OrderBody"/>
        <w:jc w:val="center"/>
        <w:rPr>
          <w:u w:val="single"/>
        </w:rPr>
      </w:pPr>
    </w:p>
    <w:p w:rsidR="003740F1" w:rsidRDefault="003740F1" w:rsidP="003740F1">
      <w:pPr>
        <w:jc w:val="both"/>
      </w:pPr>
      <w:r>
        <w:tab/>
        <w:t>On September 7, 2016, Tampa Electric Company (Tampa Electric or company) filed a petition for approval of tariff changes to implement a previously approved step increase.  This step increase was approved in Order No. PSC-13-0443-FOF-EI, in which we approved a stipulation and settlement agreement in Tampa Electric’s 2013 rate case (Settlement Order).</w:t>
      </w:r>
      <w:r>
        <w:rPr>
          <w:rStyle w:val="FootnoteReference"/>
        </w:rPr>
        <w:footnoteReference w:id="1"/>
      </w:r>
      <w:r>
        <w:t xml:space="preserve">  The Settlement Order provides a phased-in approach to the rate increase: a $57.5 million increase effective November 2013, a $7.5 million increase effective November 2014, and a $5 million increase effective November 2015.  The final increase approved in the Settlement Order is the Polk Generation Base Rate Adjustment (Polk GBRA) of an additional $110 million of annual revenues.  Pursuant to the settlement agreement, the Polk GBRA is effective with the first billing cycle of January 2017 or the commercial in-service date of the Polk Conversion Project, whichever is later.</w:t>
      </w:r>
    </w:p>
    <w:p w:rsidR="003740F1" w:rsidRDefault="003740F1" w:rsidP="003740F1">
      <w:pPr>
        <w:jc w:val="both"/>
      </w:pPr>
    </w:p>
    <w:p w:rsidR="003740F1" w:rsidRDefault="003740F1" w:rsidP="003740F1">
      <w:pPr>
        <w:jc w:val="both"/>
      </w:pPr>
      <w:r>
        <w:tab/>
        <w:t>Section 366.05(1)(e), Florida Statutes, (F.S.) states that new tariffs and changes to an existing tariff, other than an administrative change that does not substantially change the meaning or operation of the tariff, must be approved by the majority vote of the Commission, except as otherwise specifically provided by law.  This order addresses Tampa Electric’s proposed tariffs to implement the $110 million Polk GBRA rate increase.  We have jurisdiction over this matter pursuant to Chapter 366.04, 366.05, and 366.06, F.S.</w:t>
      </w:r>
    </w:p>
    <w:p w:rsidR="00984C0C" w:rsidRDefault="00984C0C" w:rsidP="003740F1">
      <w:pPr>
        <w:jc w:val="center"/>
        <w:rPr>
          <w:u w:val="single"/>
        </w:rPr>
      </w:pPr>
    </w:p>
    <w:p w:rsidR="00CB5276" w:rsidRDefault="003740F1" w:rsidP="003740F1">
      <w:pPr>
        <w:jc w:val="center"/>
        <w:rPr>
          <w:u w:val="single"/>
        </w:rPr>
      </w:pPr>
      <w:r>
        <w:rPr>
          <w:u w:val="single"/>
        </w:rPr>
        <w:t>Decision</w:t>
      </w:r>
    </w:p>
    <w:p w:rsidR="003740F1" w:rsidRDefault="003740F1" w:rsidP="003740F1">
      <w:pPr>
        <w:jc w:val="center"/>
        <w:rPr>
          <w:u w:val="single"/>
        </w:rPr>
      </w:pPr>
    </w:p>
    <w:p w:rsidR="003740F1" w:rsidRDefault="003740F1" w:rsidP="003740F1">
      <w:pPr>
        <w:jc w:val="both"/>
      </w:pPr>
      <w:r>
        <w:tab/>
        <w:t xml:space="preserve">Tampa Electric’s petition includes the proposed tariff sheets, the allocation of the revenue increase to the various rate classes, calculations showing the revenue from the sale of electricity </w:t>
      </w:r>
      <w:r>
        <w:lastRenderedPageBreak/>
        <w:t>by rate schedule under current and proposed rates, and a comparison of monthly bills for the major rate classes.  A residential customer who uses 1,000 kilowatt-hours (kWh) per month will see an increase of $6.68 on the base rate portion of the monthly bill as a result of the Polk GBRA increase.  However, the company also proposed in the cost recovery clause dockets a decrease in the fuel, capacity, and environmental charges which, if approved, would result in an overall decrease in residential customer bills of $1.54 per month in 2017.</w:t>
      </w:r>
      <w:r>
        <w:rPr>
          <w:rStyle w:val="FootnoteReference"/>
        </w:rPr>
        <w:footnoteReference w:id="2"/>
      </w:r>
    </w:p>
    <w:p w:rsidR="003740F1" w:rsidRDefault="003740F1" w:rsidP="003740F1">
      <w:pPr>
        <w:jc w:val="both"/>
      </w:pPr>
    </w:p>
    <w:p w:rsidR="003740F1" w:rsidRDefault="002E187F" w:rsidP="003740F1">
      <w:pPr>
        <w:jc w:val="both"/>
      </w:pPr>
      <w:r>
        <w:tab/>
      </w:r>
      <w:r w:rsidR="003740F1">
        <w:t xml:space="preserve">Pursuant to the settlement, the Polk GBRA is allocated to all rate classes based on each class’s percentage of total base revenues calculated using the base rates in effect on December 1, 2016, and the company’s projected 2017 billing determinants consistent with the company’s clause filing for 2017. </w:t>
      </w:r>
      <w:r>
        <w:t xml:space="preserve"> </w:t>
      </w:r>
      <w:r w:rsidR="003740F1">
        <w:t xml:space="preserve">The class revenue increases are then allocated to all base rates and credits at an equal percentage (10.8 percent). Attachment A to this recommendation shows current and proposed base rates for major rate classes. </w:t>
      </w:r>
    </w:p>
    <w:p w:rsidR="003740F1" w:rsidRDefault="003740F1" w:rsidP="003740F1">
      <w:pPr>
        <w:jc w:val="both"/>
      </w:pPr>
    </w:p>
    <w:p w:rsidR="003740F1" w:rsidRDefault="002E187F" w:rsidP="003740F1">
      <w:pPr>
        <w:jc w:val="both"/>
      </w:pPr>
      <w:r>
        <w:tab/>
      </w:r>
      <w:r w:rsidR="003740F1">
        <w:t xml:space="preserve">Tampa Electric states that, at this time, the Polk Conversion project is still under construction with a planned in-service date of January 16, 2017; however, this in-service date is not certain. </w:t>
      </w:r>
      <w:r>
        <w:t xml:space="preserve"> </w:t>
      </w:r>
      <w:r w:rsidR="003740F1">
        <w:t xml:space="preserve">Tampa Electric will notify </w:t>
      </w:r>
      <w:r>
        <w:t xml:space="preserve">our </w:t>
      </w:r>
      <w:r w:rsidR="003740F1">
        <w:t>staff of the commercial in-service date of the Polk Conversion project.</w:t>
      </w:r>
    </w:p>
    <w:p w:rsidR="003740F1" w:rsidRDefault="003740F1" w:rsidP="003740F1">
      <w:pPr>
        <w:jc w:val="both"/>
      </w:pPr>
      <w:r>
        <w:t xml:space="preserve"> </w:t>
      </w:r>
    </w:p>
    <w:p w:rsidR="003740F1" w:rsidRDefault="002E187F" w:rsidP="003740F1">
      <w:pPr>
        <w:jc w:val="both"/>
      </w:pPr>
      <w:r>
        <w:tab/>
      </w:r>
      <w:r w:rsidR="003740F1">
        <w:t>Tampa Electric’s proposed tariff sheets and supporting documentation</w:t>
      </w:r>
      <w:r>
        <w:t xml:space="preserve"> have been reviewed and</w:t>
      </w:r>
      <w:r w:rsidR="003740F1">
        <w:t xml:space="preserve"> </w:t>
      </w:r>
      <w:r>
        <w:t>t</w:t>
      </w:r>
      <w:r w:rsidR="003740F1">
        <w:t xml:space="preserve">he calculations are correct and reflect the </w:t>
      </w:r>
      <w:r>
        <w:t xml:space="preserve">terms of the </w:t>
      </w:r>
      <w:r w:rsidR="003740F1">
        <w:t xml:space="preserve">Settlement Order. </w:t>
      </w:r>
      <w:r>
        <w:t xml:space="preserve"> Therefore, we </w:t>
      </w:r>
      <w:r w:rsidR="003740F1">
        <w:t xml:space="preserve">approve Tampa Electric’s </w:t>
      </w:r>
      <w:r>
        <w:t xml:space="preserve">proposed </w:t>
      </w:r>
      <w:r w:rsidR="003740F1">
        <w:t>tariff rate changes to implement the step increase approved in the Settlement Order.</w:t>
      </w:r>
      <w:r>
        <w:t xml:space="preserve">  </w:t>
      </w:r>
      <w:r w:rsidR="003740F1">
        <w:t>Pursuant to the Settlement Order, the rate changes sh</w:t>
      </w:r>
      <w:r>
        <w:t>all</w:t>
      </w:r>
      <w:r w:rsidR="003740F1">
        <w:t xml:space="preserve"> become effective with the first billing cycle of January 2017 or the in-service date of the Polk Conversion Project, whichever is later.</w:t>
      </w:r>
      <w:r w:rsidR="00984C0C">
        <w:t xml:space="preserve">  </w:t>
      </w:r>
      <w:r w:rsidR="003740F1">
        <w:t>Tampa Electric sh</w:t>
      </w:r>
      <w:r>
        <w:t>all</w:t>
      </w:r>
      <w:r w:rsidR="003740F1">
        <w:t xml:space="preserve"> notify its customers of the approved new rates in the</w:t>
      </w:r>
      <w:r>
        <w:t>ir</w:t>
      </w:r>
      <w:r w:rsidR="003740F1">
        <w:t xml:space="preserve"> December bills.</w:t>
      </w:r>
    </w:p>
    <w:p w:rsidR="002E187F" w:rsidRDefault="002E187F" w:rsidP="003740F1">
      <w:pPr>
        <w:jc w:val="both"/>
      </w:pPr>
    </w:p>
    <w:p w:rsidR="002E187F" w:rsidRDefault="002E187F" w:rsidP="003740F1">
      <w:pPr>
        <w:jc w:val="both"/>
      </w:pPr>
      <w:r>
        <w:tab/>
        <w:t>Based on the foregoing, it is</w:t>
      </w:r>
    </w:p>
    <w:p w:rsidR="002E187F" w:rsidRDefault="002E187F" w:rsidP="003740F1">
      <w:pPr>
        <w:jc w:val="both"/>
      </w:pPr>
    </w:p>
    <w:p w:rsidR="00B5595F" w:rsidRDefault="002E187F" w:rsidP="003740F1">
      <w:pPr>
        <w:jc w:val="both"/>
      </w:pPr>
      <w:r>
        <w:tab/>
        <w:t xml:space="preserve">ORDERED by the Florida Public Service Commission that Tampa Electric Company’s tariff rate changes to implement the </w:t>
      </w:r>
      <w:r w:rsidR="00B5595F">
        <w:t xml:space="preserve">final increase approved in the </w:t>
      </w:r>
      <w:r w:rsidR="00984C0C">
        <w:t xml:space="preserve">2013 rate case </w:t>
      </w:r>
      <w:r w:rsidR="00B5595F">
        <w:t>Settlement Order, the Polk Generation Base Rate Adjustment (Polk GBRA), is hereby approved.  It is further</w:t>
      </w:r>
    </w:p>
    <w:p w:rsidR="00B5595F" w:rsidRDefault="00B5595F" w:rsidP="003740F1">
      <w:pPr>
        <w:jc w:val="both"/>
      </w:pPr>
    </w:p>
    <w:p w:rsidR="002E187F" w:rsidRDefault="00984C0C" w:rsidP="003740F1">
      <w:pPr>
        <w:jc w:val="both"/>
      </w:pPr>
      <w:r>
        <w:tab/>
        <w:t>ORDERED that this docket shall be closed.</w:t>
      </w:r>
    </w:p>
    <w:p w:rsidR="00984C0C" w:rsidRDefault="00984C0C" w:rsidP="003740F1">
      <w:pPr>
        <w:jc w:val="both"/>
      </w:pPr>
    </w:p>
    <w:p w:rsidR="00984C0C" w:rsidRDefault="00984C0C" w:rsidP="00984C0C">
      <w:pPr>
        <w:keepNext/>
        <w:keepLines/>
        <w:jc w:val="both"/>
      </w:pPr>
      <w:r>
        <w:lastRenderedPageBreak/>
        <w:tab/>
        <w:t xml:space="preserve">By ORDER of the Florida Public Service Commission this </w:t>
      </w:r>
      <w:bookmarkStart w:id="6" w:name="replaceDate"/>
      <w:bookmarkEnd w:id="6"/>
      <w:r w:rsidR="00EA1198">
        <w:rPr>
          <w:u w:val="single"/>
        </w:rPr>
        <w:t>18th</w:t>
      </w:r>
      <w:r w:rsidR="00EA1198">
        <w:t xml:space="preserve"> day of </w:t>
      </w:r>
      <w:r w:rsidR="00EA1198">
        <w:rPr>
          <w:u w:val="single"/>
        </w:rPr>
        <w:t>November</w:t>
      </w:r>
      <w:r w:rsidR="00EA1198">
        <w:t xml:space="preserve">, </w:t>
      </w:r>
      <w:r w:rsidR="00EA1198">
        <w:rPr>
          <w:u w:val="single"/>
        </w:rPr>
        <w:t>2016</w:t>
      </w:r>
      <w:r w:rsidR="00EA1198">
        <w:t>.</w:t>
      </w:r>
    </w:p>
    <w:p w:rsidR="00C62379" w:rsidRDefault="00C62379" w:rsidP="00984C0C">
      <w:pPr>
        <w:keepNext/>
        <w:keepLines/>
        <w:jc w:val="both"/>
      </w:pPr>
    </w:p>
    <w:p w:rsidR="00EA1198" w:rsidRPr="00EA1198" w:rsidRDefault="00EA1198" w:rsidP="00984C0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84C0C" w:rsidTr="00984C0C">
        <w:tc>
          <w:tcPr>
            <w:tcW w:w="686" w:type="dxa"/>
            <w:shd w:val="clear" w:color="auto" w:fill="auto"/>
          </w:tcPr>
          <w:p w:rsidR="00984C0C" w:rsidRDefault="00984C0C" w:rsidP="00984C0C">
            <w:pPr>
              <w:keepNext/>
              <w:keepLines/>
              <w:jc w:val="both"/>
            </w:pPr>
            <w:bookmarkStart w:id="7" w:name="bkmrkSignature" w:colFirst="0" w:colLast="0"/>
          </w:p>
        </w:tc>
        <w:tc>
          <w:tcPr>
            <w:tcW w:w="4034" w:type="dxa"/>
            <w:tcBorders>
              <w:bottom w:val="single" w:sz="4" w:space="0" w:color="auto"/>
            </w:tcBorders>
            <w:shd w:val="clear" w:color="auto" w:fill="auto"/>
          </w:tcPr>
          <w:p w:rsidR="00984C0C" w:rsidRDefault="00C62379" w:rsidP="00984C0C">
            <w:pPr>
              <w:keepNext/>
              <w:keepLines/>
              <w:jc w:val="both"/>
            </w:pPr>
            <w:r>
              <w:t>/s/ Carlotta S. Stauffer</w:t>
            </w:r>
            <w:bookmarkStart w:id="8" w:name="_GoBack"/>
            <w:bookmarkEnd w:id="8"/>
          </w:p>
        </w:tc>
      </w:tr>
      <w:bookmarkEnd w:id="7"/>
      <w:tr w:rsidR="00984C0C" w:rsidTr="00984C0C">
        <w:tc>
          <w:tcPr>
            <w:tcW w:w="686" w:type="dxa"/>
            <w:shd w:val="clear" w:color="auto" w:fill="auto"/>
          </w:tcPr>
          <w:p w:rsidR="00984C0C" w:rsidRDefault="00984C0C" w:rsidP="00984C0C">
            <w:pPr>
              <w:keepNext/>
              <w:keepLines/>
              <w:jc w:val="both"/>
            </w:pPr>
          </w:p>
        </w:tc>
        <w:tc>
          <w:tcPr>
            <w:tcW w:w="4034" w:type="dxa"/>
            <w:tcBorders>
              <w:top w:val="single" w:sz="4" w:space="0" w:color="auto"/>
            </w:tcBorders>
            <w:shd w:val="clear" w:color="auto" w:fill="auto"/>
          </w:tcPr>
          <w:p w:rsidR="00984C0C" w:rsidRDefault="00984C0C" w:rsidP="00984C0C">
            <w:pPr>
              <w:keepNext/>
              <w:keepLines/>
              <w:jc w:val="both"/>
            </w:pPr>
            <w:r>
              <w:t>CARLOTTA S. STAUFFER</w:t>
            </w:r>
          </w:p>
          <w:p w:rsidR="00984C0C" w:rsidRDefault="00984C0C" w:rsidP="00984C0C">
            <w:pPr>
              <w:keepNext/>
              <w:keepLines/>
              <w:jc w:val="both"/>
            </w:pPr>
            <w:r>
              <w:t>Commission Clerk</w:t>
            </w:r>
          </w:p>
        </w:tc>
      </w:tr>
    </w:tbl>
    <w:p w:rsidR="00984C0C" w:rsidRDefault="00984C0C" w:rsidP="00984C0C">
      <w:pPr>
        <w:pStyle w:val="OrderSigInfo"/>
        <w:keepNext/>
        <w:keepLines/>
      </w:pPr>
      <w:r>
        <w:t>Florida Public Service Commission</w:t>
      </w:r>
    </w:p>
    <w:p w:rsidR="00984C0C" w:rsidRDefault="00984C0C" w:rsidP="00984C0C">
      <w:pPr>
        <w:pStyle w:val="OrderSigInfo"/>
        <w:keepNext/>
        <w:keepLines/>
      </w:pPr>
      <w:r>
        <w:t>2540 Shumard Oak Boulevard</w:t>
      </w:r>
    </w:p>
    <w:p w:rsidR="00984C0C" w:rsidRDefault="00984C0C" w:rsidP="00984C0C">
      <w:pPr>
        <w:pStyle w:val="OrderSigInfo"/>
        <w:keepNext/>
        <w:keepLines/>
      </w:pPr>
      <w:r>
        <w:t>Tallahassee, Florida  32399</w:t>
      </w:r>
    </w:p>
    <w:p w:rsidR="00984C0C" w:rsidRDefault="00984C0C" w:rsidP="00984C0C">
      <w:pPr>
        <w:pStyle w:val="OrderSigInfo"/>
        <w:keepNext/>
        <w:keepLines/>
      </w:pPr>
      <w:r>
        <w:t>(850) 413</w:t>
      </w:r>
      <w:r>
        <w:noBreakHyphen/>
        <w:t>6770</w:t>
      </w:r>
    </w:p>
    <w:p w:rsidR="00984C0C" w:rsidRDefault="00984C0C" w:rsidP="00984C0C">
      <w:pPr>
        <w:pStyle w:val="OrderSigInfo"/>
        <w:keepNext/>
        <w:keepLines/>
      </w:pPr>
      <w:r>
        <w:t>www.floridapsc.com</w:t>
      </w:r>
    </w:p>
    <w:p w:rsidR="00984C0C" w:rsidRDefault="00984C0C" w:rsidP="00984C0C">
      <w:pPr>
        <w:pStyle w:val="OrderSigInfo"/>
        <w:keepNext/>
        <w:keepLines/>
      </w:pPr>
    </w:p>
    <w:p w:rsidR="00984C0C" w:rsidRDefault="00984C0C" w:rsidP="00984C0C">
      <w:pPr>
        <w:pStyle w:val="OrderSigInfo"/>
        <w:keepNext/>
        <w:keepLines/>
      </w:pPr>
      <w:r>
        <w:t>Copies furnished:  A copy of this document is provided to the parties of record at the time of issuance and, if applicable, interested persons.</w:t>
      </w:r>
    </w:p>
    <w:p w:rsidR="00984C0C" w:rsidRDefault="00984C0C" w:rsidP="003740F1">
      <w:pPr>
        <w:jc w:val="both"/>
      </w:pPr>
      <w:proofErr w:type="spellStart"/>
      <w:r>
        <w:t>SBr</w:t>
      </w:r>
      <w:proofErr w:type="spellEnd"/>
    </w:p>
    <w:p w:rsidR="00984C0C" w:rsidRDefault="00984C0C" w:rsidP="003740F1">
      <w:pPr>
        <w:jc w:val="both"/>
      </w:pPr>
    </w:p>
    <w:p w:rsidR="00984C0C" w:rsidRDefault="00984C0C" w:rsidP="003740F1">
      <w:pPr>
        <w:jc w:val="both"/>
      </w:pPr>
    </w:p>
    <w:p w:rsidR="00984C0C" w:rsidRDefault="00984C0C" w:rsidP="00984C0C">
      <w:pPr>
        <w:pStyle w:val="CenterUnderline"/>
      </w:pPr>
      <w:r>
        <w:t>NOTICE OF FURTHER PROCEEDINGS OR JUDICIAL REVIEW</w:t>
      </w:r>
    </w:p>
    <w:p w:rsidR="00984C0C" w:rsidRDefault="00984C0C" w:rsidP="00984C0C">
      <w:pPr>
        <w:pStyle w:val="CenterUnderline"/>
      </w:pPr>
    </w:p>
    <w:p w:rsidR="00984C0C" w:rsidRDefault="00984C0C" w:rsidP="00984C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4C0C" w:rsidRDefault="00984C0C" w:rsidP="00984C0C">
      <w:pPr>
        <w:pStyle w:val="OrderBody"/>
      </w:pPr>
    </w:p>
    <w:p w:rsidR="00984C0C" w:rsidRDefault="00984C0C" w:rsidP="00984C0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84C0C" w:rsidRDefault="00984C0C" w:rsidP="00984C0C">
      <w:pPr>
        <w:pStyle w:val="OrderBody"/>
      </w:pPr>
    </w:p>
    <w:p w:rsidR="00984C0C" w:rsidRDefault="00984C0C">
      <w:r>
        <w:br w:type="page"/>
      </w:r>
    </w:p>
    <w:p w:rsidR="00984C0C" w:rsidRDefault="00984C0C" w:rsidP="00984C0C">
      <w:pPr>
        <w:pStyle w:val="BodyText"/>
        <w:jc w:val="right"/>
      </w:pPr>
      <w:r>
        <w:lastRenderedPageBreak/>
        <w:t>ATTACHMENT A</w:t>
      </w:r>
    </w:p>
    <w:p w:rsidR="00984C0C" w:rsidRDefault="00984C0C" w:rsidP="00984C0C">
      <w:pPr>
        <w:pStyle w:val="BodyText"/>
        <w:jc w:val="right"/>
      </w:pPr>
    </w:p>
    <w:p w:rsidR="00984C0C" w:rsidRDefault="00984C0C" w:rsidP="00984C0C">
      <w:pPr>
        <w:pStyle w:val="TableTitle"/>
        <w:keepNext/>
      </w:pPr>
      <w:r>
        <w:t>Present and Proposed Rates for Major Rate Classes</w:t>
      </w:r>
    </w:p>
    <w:p w:rsidR="00984C0C" w:rsidRPr="007F595B" w:rsidRDefault="00984C0C" w:rsidP="00984C0C">
      <w:pPr>
        <w:pStyle w:val="BodyText"/>
      </w:pPr>
    </w:p>
    <w:tbl>
      <w:tblPr>
        <w:tblStyle w:val="TableGrid"/>
        <w:tblW w:w="0" w:type="auto"/>
        <w:tblLook w:val="04A0" w:firstRow="1" w:lastRow="0" w:firstColumn="1" w:lastColumn="0" w:noHBand="0" w:noVBand="1"/>
      </w:tblPr>
      <w:tblGrid>
        <w:gridCol w:w="2088"/>
        <w:gridCol w:w="4230"/>
        <w:gridCol w:w="1710"/>
        <w:gridCol w:w="1548"/>
      </w:tblGrid>
      <w:tr w:rsidR="00984C0C" w:rsidRPr="00417379" w:rsidTr="005D37B3">
        <w:tc>
          <w:tcPr>
            <w:tcW w:w="2088" w:type="dxa"/>
            <w:shd w:val="clear" w:color="auto" w:fill="D9D9D9" w:themeFill="background1" w:themeFillShade="D9"/>
            <w:vAlign w:val="center"/>
          </w:tcPr>
          <w:p w:rsidR="00984C0C" w:rsidRPr="00417379" w:rsidRDefault="00984C0C" w:rsidP="005D37B3">
            <w:pPr>
              <w:jc w:val="center"/>
              <w:rPr>
                <w:b/>
              </w:rPr>
            </w:pPr>
            <w:r w:rsidRPr="00417379">
              <w:rPr>
                <w:b/>
              </w:rPr>
              <w:t>Rate Class</w:t>
            </w:r>
          </w:p>
        </w:tc>
        <w:tc>
          <w:tcPr>
            <w:tcW w:w="4230" w:type="dxa"/>
            <w:shd w:val="clear" w:color="auto" w:fill="D9D9D9" w:themeFill="background1" w:themeFillShade="D9"/>
            <w:vAlign w:val="center"/>
          </w:tcPr>
          <w:p w:rsidR="00984C0C" w:rsidRPr="00417379" w:rsidRDefault="00984C0C" w:rsidP="005D37B3">
            <w:pPr>
              <w:jc w:val="center"/>
              <w:rPr>
                <w:b/>
              </w:rPr>
            </w:pPr>
            <w:r w:rsidRPr="00417379">
              <w:rPr>
                <w:b/>
              </w:rPr>
              <w:t>Charge</w:t>
            </w:r>
          </w:p>
        </w:tc>
        <w:tc>
          <w:tcPr>
            <w:tcW w:w="1710" w:type="dxa"/>
            <w:shd w:val="clear" w:color="auto" w:fill="D9D9D9" w:themeFill="background1" w:themeFillShade="D9"/>
            <w:vAlign w:val="center"/>
          </w:tcPr>
          <w:p w:rsidR="00984C0C" w:rsidRDefault="00984C0C" w:rsidP="005D37B3">
            <w:pPr>
              <w:jc w:val="center"/>
              <w:rPr>
                <w:b/>
              </w:rPr>
            </w:pPr>
            <w:r w:rsidRPr="00417379">
              <w:rPr>
                <w:b/>
              </w:rPr>
              <w:t>Current</w:t>
            </w:r>
          </w:p>
          <w:p w:rsidR="00984C0C" w:rsidRPr="00417379" w:rsidRDefault="00984C0C" w:rsidP="005D37B3">
            <w:pPr>
              <w:jc w:val="center"/>
              <w:rPr>
                <w:b/>
              </w:rPr>
            </w:pPr>
            <w:r w:rsidRPr="00417379">
              <w:rPr>
                <w:b/>
              </w:rPr>
              <w:t>Rate</w:t>
            </w:r>
          </w:p>
        </w:tc>
        <w:tc>
          <w:tcPr>
            <w:tcW w:w="1548" w:type="dxa"/>
            <w:shd w:val="clear" w:color="auto" w:fill="D9D9D9" w:themeFill="background1" w:themeFillShade="D9"/>
            <w:vAlign w:val="center"/>
          </w:tcPr>
          <w:p w:rsidR="00984C0C" w:rsidRPr="00417379" w:rsidRDefault="00D10D18" w:rsidP="005D37B3">
            <w:pPr>
              <w:jc w:val="center"/>
              <w:rPr>
                <w:b/>
              </w:rPr>
            </w:pPr>
            <w:r>
              <w:rPr>
                <w:b/>
              </w:rPr>
              <w:t>Approved</w:t>
            </w:r>
            <w:r w:rsidR="00984C0C" w:rsidRPr="00417379">
              <w:rPr>
                <w:b/>
              </w:rPr>
              <w:t xml:space="preserve"> Rate</w:t>
            </w:r>
          </w:p>
        </w:tc>
      </w:tr>
      <w:tr w:rsidR="00984C0C" w:rsidTr="005D37B3">
        <w:tc>
          <w:tcPr>
            <w:tcW w:w="2088" w:type="dxa"/>
            <w:vAlign w:val="center"/>
          </w:tcPr>
          <w:p w:rsidR="00984C0C" w:rsidRDefault="00984C0C" w:rsidP="005D37B3">
            <w:pPr>
              <w:spacing w:line="360" w:lineRule="auto"/>
            </w:pPr>
            <w:r>
              <w:t>Residential Service</w:t>
            </w:r>
          </w:p>
        </w:tc>
        <w:tc>
          <w:tcPr>
            <w:tcW w:w="4230" w:type="dxa"/>
          </w:tcPr>
          <w:p w:rsidR="00984C0C" w:rsidRDefault="00984C0C" w:rsidP="005D37B3">
            <w:pPr>
              <w:spacing w:line="360" w:lineRule="auto"/>
            </w:pPr>
            <w:r>
              <w:t>Basic Service Charge</w:t>
            </w:r>
          </w:p>
          <w:p w:rsidR="00984C0C" w:rsidRDefault="00984C0C" w:rsidP="005D37B3">
            <w:pPr>
              <w:spacing w:line="360" w:lineRule="auto"/>
            </w:pPr>
            <w:r>
              <w:t>Energy Charge (1</w:t>
            </w:r>
            <w:r w:rsidRPr="00417379">
              <w:rPr>
                <w:vertAlign w:val="superscript"/>
              </w:rPr>
              <w:t>st</w:t>
            </w:r>
            <w:r>
              <w:t xml:space="preserve"> 1,000 kwh)</w:t>
            </w:r>
          </w:p>
          <w:p w:rsidR="00984C0C" w:rsidRDefault="00984C0C" w:rsidP="005D37B3">
            <w:pPr>
              <w:spacing w:line="360" w:lineRule="auto"/>
            </w:pPr>
            <w:r>
              <w:t>Energy Charge (above 1,000 kwh)</w:t>
            </w:r>
          </w:p>
        </w:tc>
        <w:tc>
          <w:tcPr>
            <w:tcW w:w="1710" w:type="dxa"/>
          </w:tcPr>
          <w:p w:rsidR="00984C0C" w:rsidRDefault="00984C0C" w:rsidP="005D37B3">
            <w:pPr>
              <w:spacing w:line="360" w:lineRule="auto"/>
            </w:pPr>
            <w:r>
              <w:t>$15.00</w:t>
            </w:r>
          </w:p>
          <w:p w:rsidR="00984C0C" w:rsidRDefault="00984C0C" w:rsidP="005D37B3">
            <w:pPr>
              <w:spacing w:line="360" w:lineRule="auto"/>
            </w:pPr>
            <w:r>
              <w:t>4.694 ȼ/kwh</w:t>
            </w:r>
          </w:p>
          <w:p w:rsidR="00984C0C" w:rsidRDefault="00984C0C" w:rsidP="005D37B3">
            <w:pPr>
              <w:spacing w:line="360" w:lineRule="auto"/>
            </w:pPr>
            <w:r>
              <w:t>5.694 ȼ/kwh</w:t>
            </w:r>
          </w:p>
        </w:tc>
        <w:tc>
          <w:tcPr>
            <w:tcW w:w="1548" w:type="dxa"/>
          </w:tcPr>
          <w:p w:rsidR="00984C0C" w:rsidRDefault="00984C0C" w:rsidP="005D37B3">
            <w:pPr>
              <w:spacing w:line="360" w:lineRule="auto"/>
            </w:pPr>
            <w:r>
              <w:t>$16.62</w:t>
            </w:r>
          </w:p>
          <w:p w:rsidR="00984C0C" w:rsidRDefault="00984C0C" w:rsidP="005D37B3">
            <w:pPr>
              <w:spacing w:line="360" w:lineRule="auto"/>
            </w:pPr>
            <w:r>
              <w:t>5.200 ȼ/kwh</w:t>
            </w:r>
          </w:p>
          <w:p w:rsidR="00984C0C" w:rsidRDefault="00984C0C" w:rsidP="005D37B3">
            <w:pPr>
              <w:spacing w:line="360" w:lineRule="auto"/>
            </w:pPr>
            <w:r>
              <w:t>6.308 ȼ/kwh</w:t>
            </w:r>
          </w:p>
        </w:tc>
      </w:tr>
      <w:tr w:rsidR="00984C0C" w:rsidTr="005D37B3">
        <w:tc>
          <w:tcPr>
            <w:tcW w:w="2088" w:type="dxa"/>
            <w:vAlign w:val="center"/>
          </w:tcPr>
          <w:p w:rsidR="00984C0C" w:rsidRDefault="00984C0C" w:rsidP="005D37B3">
            <w:r>
              <w:t>General Service –</w:t>
            </w:r>
          </w:p>
          <w:p w:rsidR="00984C0C" w:rsidRDefault="00984C0C" w:rsidP="005D37B3">
            <w:r>
              <w:t>Non Demand</w:t>
            </w:r>
          </w:p>
        </w:tc>
        <w:tc>
          <w:tcPr>
            <w:tcW w:w="4230" w:type="dxa"/>
          </w:tcPr>
          <w:p w:rsidR="00984C0C" w:rsidRDefault="00984C0C" w:rsidP="005D37B3">
            <w:pPr>
              <w:spacing w:line="360" w:lineRule="auto"/>
            </w:pPr>
            <w:r>
              <w:t>Basic Service Charge</w:t>
            </w:r>
          </w:p>
          <w:p w:rsidR="00984C0C" w:rsidRDefault="00984C0C" w:rsidP="005D37B3">
            <w:pPr>
              <w:spacing w:line="360" w:lineRule="auto"/>
            </w:pPr>
            <w:r>
              <w:t>Energy Charge</w:t>
            </w:r>
          </w:p>
        </w:tc>
        <w:tc>
          <w:tcPr>
            <w:tcW w:w="1710" w:type="dxa"/>
          </w:tcPr>
          <w:p w:rsidR="00984C0C" w:rsidRDefault="00984C0C" w:rsidP="005D37B3">
            <w:pPr>
              <w:spacing w:line="360" w:lineRule="auto"/>
            </w:pPr>
            <w:r>
              <w:t>$18.00</w:t>
            </w:r>
          </w:p>
          <w:p w:rsidR="00984C0C" w:rsidRDefault="00984C0C" w:rsidP="005D37B3">
            <w:pPr>
              <w:spacing w:line="360" w:lineRule="auto"/>
            </w:pPr>
            <w:r>
              <w:t>5.009 ȼ/kwh</w:t>
            </w:r>
          </w:p>
        </w:tc>
        <w:tc>
          <w:tcPr>
            <w:tcW w:w="1548" w:type="dxa"/>
          </w:tcPr>
          <w:p w:rsidR="00984C0C" w:rsidRDefault="00984C0C" w:rsidP="005D37B3">
            <w:pPr>
              <w:spacing w:line="360" w:lineRule="auto"/>
            </w:pPr>
            <w:r>
              <w:t>$19.94</w:t>
            </w:r>
          </w:p>
          <w:p w:rsidR="00984C0C" w:rsidRDefault="00984C0C" w:rsidP="005D37B3">
            <w:pPr>
              <w:spacing w:line="360" w:lineRule="auto"/>
            </w:pPr>
            <w:r>
              <w:t>5.549 ȼ/kwh</w:t>
            </w:r>
          </w:p>
        </w:tc>
      </w:tr>
      <w:tr w:rsidR="00984C0C" w:rsidTr="005D37B3">
        <w:tc>
          <w:tcPr>
            <w:tcW w:w="2088" w:type="dxa"/>
            <w:vAlign w:val="center"/>
          </w:tcPr>
          <w:p w:rsidR="00984C0C" w:rsidRDefault="00984C0C" w:rsidP="005D37B3">
            <w:r>
              <w:t>General Service –</w:t>
            </w:r>
          </w:p>
          <w:p w:rsidR="00984C0C" w:rsidRDefault="00984C0C" w:rsidP="005D37B3">
            <w:r>
              <w:t>Demand</w:t>
            </w:r>
          </w:p>
        </w:tc>
        <w:tc>
          <w:tcPr>
            <w:tcW w:w="4230" w:type="dxa"/>
          </w:tcPr>
          <w:p w:rsidR="00984C0C" w:rsidRDefault="00984C0C" w:rsidP="005D37B3">
            <w:pPr>
              <w:spacing w:line="360" w:lineRule="auto"/>
            </w:pPr>
            <w:r>
              <w:t xml:space="preserve">Basic Service Charge </w:t>
            </w:r>
          </w:p>
          <w:p w:rsidR="00984C0C" w:rsidRDefault="00984C0C" w:rsidP="005D37B3">
            <w:pPr>
              <w:spacing w:line="360" w:lineRule="auto"/>
            </w:pPr>
            <w:r>
              <w:t>Energy Charge</w:t>
            </w:r>
          </w:p>
          <w:p w:rsidR="00984C0C" w:rsidRDefault="00984C0C" w:rsidP="005D37B3">
            <w:pPr>
              <w:spacing w:line="360" w:lineRule="auto"/>
            </w:pPr>
            <w:r>
              <w:t xml:space="preserve">Demand Charge </w:t>
            </w:r>
          </w:p>
        </w:tc>
        <w:tc>
          <w:tcPr>
            <w:tcW w:w="1710" w:type="dxa"/>
          </w:tcPr>
          <w:p w:rsidR="00984C0C" w:rsidRDefault="00984C0C" w:rsidP="005D37B3">
            <w:pPr>
              <w:spacing w:line="360" w:lineRule="auto"/>
            </w:pPr>
            <w:r>
              <w:t>$30.00</w:t>
            </w:r>
          </w:p>
          <w:p w:rsidR="00984C0C" w:rsidRDefault="00984C0C" w:rsidP="005D37B3">
            <w:pPr>
              <w:spacing w:line="360" w:lineRule="auto"/>
            </w:pPr>
            <w:r>
              <w:t>1.583 ȼ/kwh</w:t>
            </w:r>
          </w:p>
          <w:p w:rsidR="00984C0C" w:rsidRDefault="00984C0C" w:rsidP="005D37B3">
            <w:pPr>
              <w:spacing w:line="360" w:lineRule="auto"/>
            </w:pPr>
            <w:r>
              <w:t>9.25 $/kw</w:t>
            </w:r>
          </w:p>
        </w:tc>
        <w:tc>
          <w:tcPr>
            <w:tcW w:w="1548" w:type="dxa"/>
          </w:tcPr>
          <w:p w:rsidR="00984C0C" w:rsidRDefault="00984C0C" w:rsidP="005D37B3">
            <w:pPr>
              <w:spacing w:line="360" w:lineRule="auto"/>
            </w:pPr>
            <w:r>
              <w:t>$33.24</w:t>
            </w:r>
          </w:p>
          <w:p w:rsidR="00984C0C" w:rsidRDefault="00984C0C" w:rsidP="005D37B3">
            <w:pPr>
              <w:spacing w:line="360" w:lineRule="auto"/>
            </w:pPr>
            <w:r>
              <w:t>1.754 ȼ/kwh</w:t>
            </w:r>
          </w:p>
          <w:p w:rsidR="00984C0C" w:rsidRDefault="00984C0C" w:rsidP="005D37B3">
            <w:pPr>
              <w:spacing w:line="360" w:lineRule="auto"/>
            </w:pPr>
            <w:r>
              <w:t>10.25 $/kw</w:t>
            </w:r>
          </w:p>
        </w:tc>
      </w:tr>
      <w:tr w:rsidR="00984C0C" w:rsidTr="005D37B3">
        <w:tc>
          <w:tcPr>
            <w:tcW w:w="2088" w:type="dxa"/>
            <w:vAlign w:val="center"/>
          </w:tcPr>
          <w:p w:rsidR="00984C0C" w:rsidRDefault="00984C0C" w:rsidP="005D37B3">
            <w:r>
              <w:t>Interruptible Service (closed to new businesses as of 5/7/2009)</w:t>
            </w:r>
          </w:p>
        </w:tc>
        <w:tc>
          <w:tcPr>
            <w:tcW w:w="4230" w:type="dxa"/>
          </w:tcPr>
          <w:p w:rsidR="00984C0C" w:rsidRDefault="00984C0C" w:rsidP="005D37B3">
            <w:pPr>
              <w:spacing w:line="360" w:lineRule="auto"/>
            </w:pPr>
            <w:r>
              <w:t xml:space="preserve">Basic Service Charge </w:t>
            </w:r>
          </w:p>
          <w:p w:rsidR="00984C0C" w:rsidRDefault="00984C0C" w:rsidP="005D37B3">
            <w:pPr>
              <w:spacing w:line="360" w:lineRule="auto"/>
            </w:pPr>
            <w:r>
              <w:t>Energy Charge</w:t>
            </w:r>
          </w:p>
          <w:p w:rsidR="00984C0C" w:rsidRDefault="00984C0C" w:rsidP="005D37B3">
            <w:pPr>
              <w:spacing w:line="360" w:lineRule="auto"/>
            </w:pPr>
            <w:r>
              <w:t>Demand Charge</w:t>
            </w:r>
          </w:p>
        </w:tc>
        <w:tc>
          <w:tcPr>
            <w:tcW w:w="1710" w:type="dxa"/>
          </w:tcPr>
          <w:p w:rsidR="00984C0C" w:rsidRDefault="00984C0C" w:rsidP="005D37B3">
            <w:pPr>
              <w:spacing w:line="360" w:lineRule="auto"/>
            </w:pPr>
            <w:r>
              <w:t>$622.00</w:t>
            </w:r>
          </w:p>
          <w:p w:rsidR="00984C0C" w:rsidRDefault="00984C0C" w:rsidP="005D37B3">
            <w:pPr>
              <w:spacing w:line="360" w:lineRule="auto"/>
            </w:pPr>
            <w:r>
              <w:t>2.504 ȼ/kwh</w:t>
            </w:r>
          </w:p>
          <w:p w:rsidR="00984C0C" w:rsidRDefault="00984C0C" w:rsidP="005D37B3">
            <w:pPr>
              <w:spacing w:line="360" w:lineRule="auto"/>
            </w:pPr>
            <w:r>
              <w:t>1.45 $/kw</w:t>
            </w:r>
          </w:p>
        </w:tc>
        <w:tc>
          <w:tcPr>
            <w:tcW w:w="1548" w:type="dxa"/>
          </w:tcPr>
          <w:p w:rsidR="00984C0C" w:rsidRDefault="00984C0C" w:rsidP="005D37B3">
            <w:pPr>
              <w:spacing w:line="360" w:lineRule="auto"/>
            </w:pPr>
            <w:r>
              <w:t>$689.11</w:t>
            </w:r>
          </w:p>
          <w:p w:rsidR="00984C0C" w:rsidRDefault="00984C0C" w:rsidP="005D37B3">
            <w:pPr>
              <w:spacing w:line="360" w:lineRule="auto"/>
            </w:pPr>
            <w:r>
              <w:t>2.774 ȼ/kwh</w:t>
            </w:r>
          </w:p>
          <w:p w:rsidR="00984C0C" w:rsidRDefault="00984C0C" w:rsidP="005D37B3">
            <w:pPr>
              <w:spacing w:line="360" w:lineRule="auto"/>
            </w:pPr>
            <w:r>
              <w:t>1.61 $/kw</w:t>
            </w:r>
          </w:p>
        </w:tc>
      </w:tr>
    </w:tbl>
    <w:p w:rsidR="00984C0C" w:rsidRDefault="00984C0C" w:rsidP="00984C0C">
      <w:pPr>
        <w:pStyle w:val="TableSource"/>
      </w:pPr>
      <w:r>
        <w:t>Source: TECO revised tariff sheets 6.030, 6.050, 6.080, 6.085, 6.806</w:t>
      </w:r>
    </w:p>
    <w:p w:rsidR="00984C0C" w:rsidRPr="00984C0C" w:rsidRDefault="00984C0C" w:rsidP="00984C0C">
      <w:pPr>
        <w:pStyle w:val="OrderBody"/>
      </w:pPr>
    </w:p>
    <w:sectPr w:rsidR="00984C0C" w:rsidRPr="00984C0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0F1" w:rsidRDefault="003740F1">
      <w:r>
        <w:separator/>
      </w:r>
    </w:p>
  </w:endnote>
  <w:endnote w:type="continuationSeparator" w:id="0">
    <w:p w:rsidR="003740F1" w:rsidRDefault="0037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0F1" w:rsidRDefault="003740F1">
      <w:r>
        <w:separator/>
      </w:r>
    </w:p>
  </w:footnote>
  <w:footnote w:type="continuationSeparator" w:id="0">
    <w:p w:rsidR="003740F1" w:rsidRDefault="003740F1">
      <w:r>
        <w:continuationSeparator/>
      </w:r>
    </w:p>
  </w:footnote>
  <w:footnote w:id="1">
    <w:p w:rsidR="003740F1" w:rsidRDefault="003740F1" w:rsidP="003740F1">
      <w:pPr>
        <w:pStyle w:val="FootnoteText"/>
      </w:pPr>
      <w:r>
        <w:rPr>
          <w:rStyle w:val="FootnoteReference"/>
        </w:rPr>
        <w:footnoteRef/>
      </w:r>
      <w:r>
        <w:t xml:space="preserve"> Order No. PSC-13-0443-FOF-EI, issued September 30, 2013, in Docket No. 130040-EI, </w:t>
      </w:r>
      <w:r w:rsidRPr="003740F1">
        <w:rPr>
          <w:u w:val="single"/>
        </w:rPr>
        <w:t>In re: Petition for rate increase by Tampa Electric Company</w:t>
      </w:r>
      <w:r>
        <w:t>.</w:t>
      </w:r>
    </w:p>
  </w:footnote>
  <w:footnote w:id="2">
    <w:p w:rsidR="003740F1" w:rsidRDefault="003740F1" w:rsidP="003740F1">
      <w:pPr>
        <w:pStyle w:val="FootnoteText"/>
      </w:pPr>
      <w:r>
        <w:rPr>
          <w:rStyle w:val="FootnoteReference"/>
        </w:rPr>
        <w:footnoteRef/>
      </w:r>
      <w:r>
        <w:t xml:space="preserve"> The current 1,000 kwh residential bill is $106.22 and under Tampa Electric’s proposal in this docket and the clause dockets, it will decrease to $104.68 or by $1.54 in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62379">
      <w:fldChar w:fldCharType="begin"/>
    </w:r>
    <w:r w:rsidR="00C62379">
      <w:instrText xml:space="preserve"> REF OrderNo0514 </w:instrText>
    </w:r>
    <w:r w:rsidR="00C62379">
      <w:fldChar w:fldCharType="separate"/>
    </w:r>
    <w:r w:rsidR="00C62379">
      <w:t>PSC-16-0514-FOF-EI</w:t>
    </w:r>
    <w:r w:rsidR="00C62379">
      <w:fldChar w:fldCharType="end"/>
    </w:r>
  </w:p>
  <w:p w:rsidR="00FA6EFD" w:rsidRDefault="003740F1">
    <w:pPr>
      <w:pStyle w:val="OrderHeader"/>
    </w:pPr>
    <w:bookmarkStart w:id="9" w:name="HeaderDocketNo"/>
    <w:bookmarkEnd w:id="9"/>
    <w:r>
      <w:t>DOCKET NO. 160204-EI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237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04-EI"/>
  </w:docVars>
  <w:rsids>
    <w:rsidRoot w:val="003740F1"/>
    <w:rsid w:val="000022B8"/>
    <w:rsid w:val="00053AB9"/>
    <w:rsid w:val="00056229"/>
    <w:rsid w:val="00065FC2"/>
    <w:rsid w:val="00090AFC"/>
    <w:rsid w:val="000D06E8"/>
    <w:rsid w:val="000E344D"/>
    <w:rsid w:val="000F3B2C"/>
    <w:rsid w:val="000F7BE3"/>
    <w:rsid w:val="00116AD3"/>
    <w:rsid w:val="00126593"/>
    <w:rsid w:val="00142A96"/>
    <w:rsid w:val="00154E82"/>
    <w:rsid w:val="00187E32"/>
    <w:rsid w:val="00191BFF"/>
    <w:rsid w:val="00194E81"/>
    <w:rsid w:val="001A33C9"/>
    <w:rsid w:val="001D008A"/>
    <w:rsid w:val="002002ED"/>
    <w:rsid w:val="0022721A"/>
    <w:rsid w:val="00230BB9"/>
    <w:rsid w:val="00241CEF"/>
    <w:rsid w:val="00252B30"/>
    <w:rsid w:val="002A11AC"/>
    <w:rsid w:val="002A6F30"/>
    <w:rsid w:val="002D7D15"/>
    <w:rsid w:val="002E187F"/>
    <w:rsid w:val="002E27EB"/>
    <w:rsid w:val="00303FDE"/>
    <w:rsid w:val="003140E8"/>
    <w:rsid w:val="003231C7"/>
    <w:rsid w:val="00331ED0"/>
    <w:rsid w:val="0035495B"/>
    <w:rsid w:val="003740F1"/>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3CC9"/>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4C0C"/>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95F"/>
    <w:rsid w:val="00B55EE5"/>
    <w:rsid w:val="00B73DE6"/>
    <w:rsid w:val="00B86EF0"/>
    <w:rsid w:val="00B97900"/>
    <w:rsid w:val="00BA44A8"/>
    <w:rsid w:val="00BF6691"/>
    <w:rsid w:val="00C028FC"/>
    <w:rsid w:val="00C62379"/>
    <w:rsid w:val="00C66692"/>
    <w:rsid w:val="00C91123"/>
    <w:rsid w:val="00CA71FF"/>
    <w:rsid w:val="00CB5276"/>
    <w:rsid w:val="00CB68D7"/>
    <w:rsid w:val="00CC7E68"/>
    <w:rsid w:val="00CD7132"/>
    <w:rsid w:val="00CE0E6F"/>
    <w:rsid w:val="00D10D18"/>
    <w:rsid w:val="00D30B48"/>
    <w:rsid w:val="00D46FAA"/>
    <w:rsid w:val="00D57BB2"/>
    <w:rsid w:val="00D8560E"/>
    <w:rsid w:val="00D8758F"/>
    <w:rsid w:val="00DC1D94"/>
    <w:rsid w:val="00DE057F"/>
    <w:rsid w:val="00DE2082"/>
    <w:rsid w:val="00DE2289"/>
    <w:rsid w:val="00E04410"/>
    <w:rsid w:val="00E11351"/>
    <w:rsid w:val="00EA1198"/>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Title">
    <w:name w:val="Table Title"/>
    <w:basedOn w:val="BodyText"/>
    <w:next w:val="BodyText"/>
    <w:qFormat/>
    <w:rsid w:val="00984C0C"/>
    <w:pPr>
      <w:spacing w:after="0"/>
      <w:jc w:val="center"/>
    </w:pPr>
    <w:rPr>
      <w:rFonts w:ascii="Arial" w:hAnsi="Arial"/>
      <w:b/>
    </w:rPr>
  </w:style>
  <w:style w:type="paragraph" w:customStyle="1" w:styleId="TableSource">
    <w:name w:val="Table Source"/>
    <w:basedOn w:val="BodyText"/>
    <w:next w:val="BodyText"/>
    <w:qFormat/>
    <w:rsid w:val="00984C0C"/>
    <w:pPr>
      <w:spacing w:after="480"/>
      <w:jc w:val="both"/>
    </w:pPr>
  </w:style>
  <w:style w:type="paragraph" w:styleId="BalloonText">
    <w:name w:val="Balloon Text"/>
    <w:basedOn w:val="Normal"/>
    <w:link w:val="BalloonTextChar"/>
    <w:rsid w:val="00EA1198"/>
    <w:rPr>
      <w:rFonts w:ascii="Tahoma" w:hAnsi="Tahoma" w:cs="Tahoma"/>
      <w:sz w:val="16"/>
      <w:szCs w:val="16"/>
    </w:rPr>
  </w:style>
  <w:style w:type="character" w:customStyle="1" w:styleId="BalloonTextChar">
    <w:name w:val="Balloon Text Char"/>
    <w:basedOn w:val="DefaultParagraphFont"/>
    <w:link w:val="BalloonText"/>
    <w:rsid w:val="00EA11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Title">
    <w:name w:val="Table Title"/>
    <w:basedOn w:val="BodyText"/>
    <w:next w:val="BodyText"/>
    <w:qFormat/>
    <w:rsid w:val="00984C0C"/>
    <w:pPr>
      <w:spacing w:after="0"/>
      <w:jc w:val="center"/>
    </w:pPr>
    <w:rPr>
      <w:rFonts w:ascii="Arial" w:hAnsi="Arial"/>
      <w:b/>
    </w:rPr>
  </w:style>
  <w:style w:type="paragraph" w:customStyle="1" w:styleId="TableSource">
    <w:name w:val="Table Source"/>
    <w:basedOn w:val="BodyText"/>
    <w:next w:val="BodyText"/>
    <w:qFormat/>
    <w:rsid w:val="00984C0C"/>
    <w:pPr>
      <w:spacing w:after="480"/>
      <w:jc w:val="both"/>
    </w:pPr>
  </w:style>
  <w:style w:type="paragraph" w:styleId="BalloonText">
    <w:name w:val="Balloon Text"/>
    <w:basedOn w:val="Normal"/>
    <w:link w:val="BalloonTextChar"/>
    <w:rsid w:val="00EA1198"/>
    <w:rPr>
      <w:rFonts w:ascii="Tahoma" w:hAnsi="Tahoma" w:cs="Tahoma"/>
      <w:sz w:val="16"/>
      <w:szCs w:val="16"/>
    </w:rPr>
  </w:style>
  <w:style w:type="character" w:customStyle="1" w:styleId="BalloonTextChar">
    <w:name w:val="Balloon Text Char"/>
    <w:basedOn w:val="DefaultParagraphFont"/>
    <w:link w:val="BalloonText"/>
    <w:rsid w:val="00EA11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1106</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2016-11-18T16:58:00Z</dcterms:created>
  <dcterms:modified xsi:type="dcterms:W3CDTF">2016-11-18T17:34:00Z</dcterms:modified>
</cp:coreProperties>
</file>