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B4C69" w:rsidP="00BB4C69">
      <w:pPr>
        <w:pStyle w:val="OrderHeading"/>
      </w:pPr>
      <w:bookmarkStart w:id="0" w:name="_GoBack"/>
      <w:bookmarkEnd w:id="0"/>
      <w:r>
        <w:t>BEFORE THE FLORIDA PUBLIC SERVICE COMMISSION</w:t>
      </w:r>
    </w:p>
    <w:p w:rsidR="00BB4C69" w:rsidRDefault="00BB4C69" w:rsidP="00BB4C69">
      <w:pPr>
        <w:pStyle w:val="OrderBody"/>
      </w:pPr>
    </w:p>
    <w:p w:rsidR="00BB4C69" w:rsidRDefault="00BB4C69" w:rsidP="00BB4C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4C69" w:rsidRPr="00C63FCF" w:rsidTr="00C63FCF">
        <w:trPr>
          <w:trHeight w:val="828"/>
        </w:trPr>
        <w:tc>
          <w:tcPr>
            <w:tcW w:w="4788" w:type="dxa"/>
            <w:tcBorders>
              <w:bottom w:val="single" w:sz="8" w:space="0" w:color="auto"/>
              <w:right w:val="double" w:sz="6" w:space="0" w:color="auto"/>
            </w:tcBorders>
            <w:shd w:val="clear" w:color="auto" w:fill="auto"/>
          </w:tcPr>
          <w:p w:rsidR="00BB4C69" w:rsidRDefault="00BB4C69" w:rsidP="00C63FCF">
            <w:pPr>
              <w:pStyle w:val="OrderBody"/>
              <w:tabs>
                <w:tab w:val="center" w:pos="4320"/>
                <w:tab w:val="right" w:pos="8640"/>
              </w:tabs>
              <w:jc w:val="left"/>
            </w:pPr>
            <w:r>
              <w:t xml:space="preserve">In re: </w:t>
            </w:r>
            <w:bookmarkStart w:id="1" w:name="SSInRe"/>
            <w:bookmarkEnd w:id="1"/>
            <w:r>
              <w:t>Nuclear cost recovery clause.</w:t>
            </w:r>
          </w:p>
        </w:tc>
        <w:tc>
          <w:tcPr>
            <w:tcW w:w="4788" w:type="dxa"/>
            <w:tcBorders>
              <w:left w:val="double" w:sz="6" w:space="0" w:color="auto"/>
            </w:tcBorders>
            <w:shd w:val="clear" w:color="auto" w:fill="auto"/>
          </w:tcPr>
          <w:p w:rsidR="00BB4C69" w:rsidRDefault="00BB4C69" w:rsidP="00BB4C69">
            <w:pPr>
              <w:pStyle w:val="OrderBody"/>
            </w:pPr>
            <w:r>
              <w:t xml:space="preserve">DOCKET NO. </w:t>
            </w:r>
            <w:bookmarkStart w:id="2" w:name="SSDocketNo"/>
            <w:bookmarkEnd w:id="2"/>
            <w:r>
              <w:t>20180009-EI</w:t>
            </w:r>
          </w:p>
          <w:p w:rsidR="00BB4C69" w:rsidRDefault="00BB4C69" w:rsidP="00C63FCF">
            <w:pPr>
              <w:pStyle w:val="OrderBody"/>
              <w:tabs>
                <w:tab w:val="center" w:pos="4320"/>
                <w:tab w:val="right" w:pos="8640"/>
              </w:tabs>
              <w:jc w:val="left"/>
            </w:pPr>
            <w:r>
              <w:t xml:space="preserve">ORDER NO. </w:t>
            </w:r>
            <w:bookmarkStart w:id="3" w:name="OrderNo0392"/>
            <w:r w:rsidR="00201A66">
              <w:t>PSC-2018-0392-P</w:t>
            </w:r>
            <w:r w:rsidR="007802D2">
              <w:t>H</w:t>
            </w:r>
            <w:r w:rsidR="00201A66">
              <w:t>O-EI</w:t>
            </w:r>
            <w:bookmarkEnd w:id="3"/>
          </w:p>
          <w:p w:rsidR="00BB4C69" w:rsidRDefault="00BB4C69" w:rsidP="00C63FCF">
            <w:pPr>
              <w:pStyle w:val="OrderBody"/>
              <w:tabs>
                <w:tab w:val="center" w:pos="4320"/>
                <w:tab w:val="right" w:pos="8640"/>
              </w:tabs>
              <w:jc w:val="left"/>
            </w:pPr>
            <w:r>
              <w:t xml:space="preserve">ISSUED: </w:t>
            </w:r>
            <w:r w:rsidR="00201A66">
              <w:t>August 6, 2018</w:t>
            </w:r>
          </w:p>
        </w:tc>
      </w:tr>
    </w:tbl>
    <w:p w:rsidR="00BB4C69" w:rsidRDefault="00BB4C69" w:rsidP="00BB4C69"/>
    <w:p w:rsidR="00BB4C69" w:rsidRPr="00701945" w:rsidRDefault="00BB4C69" w:rsidP="00BB4C69">
      <w:pPr>
        <w:ind w:firstLine="720"/>
        <w:jc w:val="both"/>
      </w:pPr>
      <w:bookmarkStart w:id="4" w:name="Commissioners"/>
      <w:bookmarkEnd w:id="4"/>
      <w:r w:rsidRPr="00701945">
        <w:t xml:space="preserve">Pursuant to Notice and in accordance with Rule 28-106.209, </w:t>
      </w:r>
      <w:r>
        <w:t>Florida Administrative Code (F.A.C.)</w:t>
      </w:r>
      <w:r w:rsidRPr="00701945">
        <w:t>, a Prehearing Conference was held on</w:t>
      </w:r>
      <w:r w:rsidRPr="00320E08">
        <w:t xml:space="preserve"> </w:t>
      </w:r>
      <w:r w:rsidR="00B52C9A" w:rsidRPr="00320E08">
        <w:t>July 25</w:t>
      </w:r>
      <w:r w:rsidRPr="00320E08">
        <w:t>, 2018</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t>Clark</w:t>
      </w:r>
      <w:r w:rsidRPr="00701945">
        <w:t>, as Prehearing Officer.</w:t>
      </w:r>
    </w:p>
    <w:p w:rsidR="00BB4C69" w:rsidRPr="00701945" w:rsidRDefault="00BB4C69" w:rsidP="00BB4C69">
      <w:pPr>
        <w:jc w:val="both"/>
      </w:pPr>
    </w:p>
    <w:p w:rsidR="00BB4C69" w:rsidRPr="00701945" w:rsidRDefault="00BB4C69" w:rsidP="00BB4C69">
      <w:pPr>
        <w:jc w:val="both"/>
      </w:pPr>
      <w:r w:rsidRPr="00701945">
        <w:t>APPEARANCES:</w:t>
      </w:r>
    </w:p>
    <w:p w:rsidR="00BB4C69" w:rsidRPr="00701945" w:rsidRDefault="00BB4C69" w:rsidP="00BB4C69">
      <w:pPr>
        <w:jc w:val="both"/>
      </w:pPr>
    </w:p>
    <w:p w:rsidR="00B52C9A" w:rsidRDefault="00B52C9A" w:rsidP="00543AAD">
      <w:pPr>
        <w:ind w:left="1440"/>
        <w:jc w:val="both"/>
      </w:pPr>
      <w:r>
        <w:t>MATTHEW BERNIER</w:t>
      </w:r>
      <w:r w:rsidRPr="00701945">
        <w:t xml:space="preserve">, ESQUIRE, </w:t>
      </w:r>
      <w:r>
        <w:t>106 East College Avenue, Suite 800, Tallahassee, Florida 32301</w:t>
      </w:r>
    </w:p>
    <w:p w:rsidR="00B52C9A" w:rsidRPr="00701945" w:rsidRDefault="00B52C9A" w:rsidP="00543AAD">
      <w:pPr>
        <w:ind w:left="1440"/>
        <w:jc w:val="both"/>
      </w:pPr>
      <w:r>
        <w:t>DIANNE M. TRIPLETT, ESQUIRE, 299 First Avenue North, St. Petersburg, Florida 33701</w:t>
      </w:r>
    </w:p>
    <w:p w:rsidR="00B52C9A" w:rsidRDefault="00B52C9A" w:rsidP="00543AAD">
      <w:pPr>
        <w:ind w:left="720" w:firstLine="720"/>
        <w:jc w:val="both"/>
      </w:pPr>
      <w:r w:rsidRPr="00701945">
        <w:rPr>
          <w:u w:val="single"/>
        </w:rPr>
        <w:t xml:space="preserve">On behalf of </w:t>
      </w:r>
      <w:r>
        <w:rPr>
          <w:u w:val="single"/>
        </w:rPr>
        <w:t>Duke Energy Florida, LLC (DEF)</w:t>
      </w:r>
    </w:p>
    <w:p w:rsidR="00B52C9A" w:rsidRDefault="00B52C9A" w:rsidP="00543AAD">
      <w:pPr>
        <w:ind w:left="720" w:firstLine="720"/>
        <w:jc w:val="both"/>
      </w:pPr>
    </w:p>
    <w:p w:rsidR="00B52C9A" w:rsidRDefault="00B52C9A" w:rsidP="00543AAD">
      <w:pPr>
        <w:ind w:left="1440"/>
        <w:jc w:val="both"/>
      </w:pPr>
      <w:r>
        <w:t>J.R. KELLY, CHARLES J. REHWINKEL, and PATRICIA A. CHRISTENSEN, ESQUIRES, 111 W. Madison Street, Room 812, Tallahassee, Florida 32399</w:t>
      </w:r>
    </w:p>
    <w:p w:rsidR="00B52C9A" w:rsidRPr="009315B8" w:rsidRDefault="00B52C9A" w:rsidP="00543AAD">
      <w:pPr>
        <w:ind w:left="1440"/>
        <w:jc w:val="both"/>
        <w:rPr>
          <w:u w:val="single"/>
        </w:rPr>
      </w:pPr>
      <w:r w:rsidRPr="009315B8">
        <w:rPr>
          <w:u w:val="single"/>
        </w:rPr>
        <w:t>On behalf of Office of Public Counsel (OPC)</w:t>
      </w:r>
    </w:p>
    <w:p w:rsidR="00B52C9A" w:rsidRDefault="00B52C9A" w:rsidP="00543AAD">
      <w:pPr>
        <w:ind w:left="1440"/>
        <w:jc w:val="both"/>
      </w:pPr>
    </w:p>
    <w:p w:rsidR="00B52C9A" w:rsidRDefault="00B52C9A" w:rsidP="00543AAD">
      <w:pPr>
        <w:ind w:left="1440"/>
        <w:jc w:val="both"/>
      </w:pPr>
      <w:r>
        <w:t>JON C. MOYLE, JR</w:t>
      </w:r>
      <w:r w:rsidR="00D76115">
        <w:t xml:space="preserve"> ESQUIRE</w:t>
      </w:r>
      <w:r>
        <w:t xml:space="preserve">, </w:t>
      </w:r>
      <w:r>
        <w:rPr>
          <w:bCs/>
        </w:rPr>
        <w:t>Moyle Law Firm, P.A.</w:t>
      </w:r>
      <w:r>
        <w:t>, 118 North Gadsden Street, Tallahassee, Florida, 32301</w:t>
      </w:r>
    </w:p>
    <w:p w:rsidR="00B52C9A" w:rsidRDefault="00B52C9A" w:rsidP="00543AAD">
      <w:pPr>
        <w:ind w:left="720" w:firstLine="720"/>
        <w:jc w:val="both"/>
        <w:rPr>
          <w:u w:val="single"/>
        </w:rPr>
      </w:pPr>
      <w:r w:rsidRPr="009315B8">
        <w:rPr>
          <w:u w:val="single"/>
        </w:rPr>
        <w:t>On behalf of Florida Industrial Power Users Group (FIPUG)</w:t>
      </w:r>
    </w:p>
    <w:p w:rsidR="00B52C9A" w:rsidRDefault="00B52C9A" w:rsidP="00543AAD">
      <w:pPr>
        <w:ind w:left="720" w:firstLine="720"/>
        <w:jc w:val="both"/>
        <w:rPr>
          <w:u w:val="single"/>
        </w:rPr>
      </w:pPr>
    </w:p>
    <w:p w:rsidR="00B52C9A" w:rsidRDefault="00B52C9A" w:rsidP="00543AAD">
      <w:pPr>
        <w:ind w:left="1440"/>
        <w:jc w:val="both"/>
      </w:pPr>
      <w:r>
        <w:t>JAMES W. BREW and LAURA A. WYNN, ESQUIRES, Ston</w:t>
      </w:r>
      <w:r w:rsidR="00D76115">
        <w:t>e Law Firm</w:t>
      </w:r>
      <w:r>
        <w:t>, 1025 Thomas Jefferson Street, Northwest, Eighth Floor, West Tower, Washington, District of Columbia 20007</w:t>
      </w:r>
    </w:p>
    <w:p w:rsidR="00B52C9A" w:rsidRPr="007C1405" w:rsidRDefault="00B52C9A" w:rsidP="00543AAD">
      <w:pPr>
        <w:ind w:left="1440"/>
        <w:jc w:val="both"/>
        <w:rPr>
          <w:u w:val="single"/>
        </w:rPr>
      </w:pPr>
      <w:r w:rsidRPr="007C1405">
        <w:rPr>
          <w:u w:val="single"/>
        </w:rPr>
        <w:t>On behalf of White Springs Agricultural Chemicals Inc. d/b/a PCS Phosphate – White Springs (PCS Phosphate)</w:t>
      </w:r>
    </w:p>
    <w:p w:rsidR="00B52C9A" w:rsidRDefault="00B52C9A" w:rsidP="00543AAD">
      <w:pPr>
        <w:ind w:left="1440"/>
        <w:jc w:val="both"/>
      </w:pPr>
    </w:p>
    <w:p w:rsidR="00B52C9A" w:rsidRDefault="00B52C9A" w:rsidP="00543AAD">
      <w:pPr>
        <w:ind w:left="1440"/>
        <w:jc w:val="both"/>
      </w:pPr>
      <w:r>
        <w:t>GEORGE CAVROS, ESQUIRE, 120 East O</w:t>
      </w:r>
      <w:r w:rsidR="006160E1">
        <w:t>akland Park Boulevard, 120 E</w:t>
      </w:r>
      <w:r w:rsidR="00543AAD">
        <w:t>.</w:t>
      </w:r>
      <w:r w:rsidR="006160E1">
        <w:t xml:space="preserve"> Oakland Park Blvd.</w:t>
      </w:r>
      <w:r>
        <w:t>, Fort Lauderdale, Florida 33334</w:t>
      </w:r>
    </w:p>
    <w:p w:rsidR="00B52C9A" w:rsidRDefault="00B52C9A" w:rsidP="00543AAD">
      <w:pPr>
        <w:ind w:left="1440"/>
        <w:jc w:val="both"/>
        <w:rPr>
          <w:u w:val="single"/>
        </w:rPr>
      </w:pPr>
      <w:r w:rsidRPr="007C1405">
        <w:rPr>
          <w:u w:val="single"/>
        </w:rPr>
        <w:t>On behalf of Southern Alliance for Clean Energy (SACE)</w:t>
      </w:r>
    </w:p>
    <w:p w:rsidR="00CB4973" w:rsidRDefault="00CB4973" w:rsidP="00CB4973">
      <w:pPr>
        <w:jc w:val="both"/>
      </w:pPr>
    </w:p>
    <w:p w:rsidR="009E101B" w:rsidRDefault="009E101B" w:rsidP="00543AAD">
      <w:pPr>
        <w:ind w:left="1440"/>
        <w:jc w:val="both"/>
      </w:pPr>
      <w:r w:rsidRPr="009E101B">
        <w:t>KYESHA R. MAPP and MARGO A. DUVAL</w:t>
      </w:r>
      <w:r w:rsidR="00543AAD">
        <w:t>,</w:t>
      </w:r>
      <w:r w:rsidRPr="009E101B">
        <w:t xml:space="preserve"> ESQUIRES, </w:t>
      </w:r>
      <w:r w:rsidR="00CB4973" w:rsidRPr="009E101B">
        <w:t>Florida</w:t>
      </w:r>
      <w:r w:rsidRPr="009E101B">
        <w:t xml:space="preserve"> Public </w:t>
      </w:r>
    </w:p>
    <w:p w:rsidR="009E101B" w:rsidRDefault="009E101B" w:rsidP="00543AAD">
      <w:pPr>
        <w:ind w:left="1440"/>
        <w:jc w:val="both"/>
      </w:pPr>
      <w:r>
        <w:t>Service Commission, 2540 Shumard Oak Boulevard, Tallahassee, FL  32399-0850</w:t>
      </w:r>
    </w:p>
    <w:p w:rsidR="009E101B" w:rsidRPr="009E101B" w:rsidRDefault="0080109C" w:rsidP="00543AAD">
      <w:pPr>
        <w:ind w:left="1440"/>
        <w:jc w:val="both"/>
        <w:rPr>
          <w:u w:val="single"/>
        </w:rPr>
      </w:pPr>
      <w:r>
        <w:rPr>
          <w:u w:val="single"/>
        </w:rPr>
        <w:t xml:space="preserve">On behalf of the </w:t>
      </w:r>
      <w:r w:rsidR="009E101B" w:rsidRPr="009E101B">
        <w:rPr>
          <w:u w:val="single"/>
        </w:rPr>
        <w:t>Florida Public</w:t>
      </w:r>
      <w:r>
        <w:rPr>
          <w:u w:val="single"/>
        </w:rPr>
        <w:t xml:space="preserve"> Service Commission (STAFF)</w:t>
      </w:r>
    </w:p>
    <w:p w:rsidR="00B52C9A" w:rsidRPr="009E101B" w:rsidRDefault="00B52C9A" w:rsidP="00543AAD">
      <w:pPr>
        <w:ind w:left="1440"/>
        <w:jc w:val="both"/>
        <w:rPr>
          <w:u w:val="single"/>
        </w:rPr>
      </w:pPr>
    </w:p>
    <w:p w:rsidR="00BB4C69" w:rsidRPr="00701945" w:rsidRDefault="00543AAD" w:rsidP="00543AAD">
      <w:pPr>
        <w:ind w:left="1440"/>
        <w:jc w:val="both"/>
      </w:pPr>
      <w:r>
        <w:t>MARY ANNE HELTON</w:t>
      </w:r>
      <w:r w:rsidR="00BB4C69">
        <w:t xml:space="preserve">, ESQUIRE, </w:t>
      </w:r>
      <w:smartTag w:uri="urn:schemas-microsoft-com:office:smarttags" w:element="place">
        <w:smartTag w:uri="urn:schemas-microsoft-com:office:smarttags" w:element="City">
          <w:r w:rsidR="00BB4C69">
            <w:t>Deputy General</w:t>
          </w:r>
        </w:smartTag>
        <w:r w:rsidR="00BB4C69">
          <w:t xml:space="preserve"> </w:t>
        </w:r>
        <w:smartTag w:uri="urn:schemas-microsoft-com:office:smarttags" w:element="State">
          <w:r w:rsidR="00BB4C69">
            <w:t>Counsel</w:t>
          </w:r>
        </w:smartTag>
        <w:r w:rsidR="00BB4C69">
          <w:t>,</w:t>
        </w:r>
        <w:r w:rsidR="00BB4C69" w:rsidRPr="00701945">
          <w:t xml:space="preserve"> </w:t>
        </w:r>
        <w:smartTag w:uri="urn:schemas-microsoft-com:office:smarttags" w:element="State">
          <w:r w:rsidR="00BB4C69" w:rsidRPr="00701945">
            <w:t>Florida</w:t>
          </w:r>
        </w:smartTag>
      </w:smartTag>
      <w:r w:rsidR="00BB4C69" w:rsidRPr="00701945">
        <w:t xml:space="preserve"> Public Service Commission, </w:t>
      </w:r>
      <w:smartTag w:uri="urn:schemas-microsoft-com:office:smarttags" w:element="address">
        <w:smartTag w:uri="urn:schemas-microsoft-com:office:smarttags" w:element="Street">
          <w:r w:rsidR="00BB4C69" w:rsidRPr="00701945">
            <w:t>2540 Shumard Oak Boulevard</w:t>
          </w:r>
        </w:smartTag>
        <w:r w:rsidR="00BB4C69" w:rsidRPr="00701945">
          <w:t xml:space="preserve">, </w:t>
        </w:r>
        <w:smartTag w:uri="urn:schemas-microsoft-com:office:smarttags" w:element="City">
          <w:r w:rsidR="00BB4C69" w:rsidRPr="00701945">
            <w:t>Tallahassee</w:t>
          </w:r>
        </w:smartTag>
        <w:r w:rsidR="00BB4C69" w:rsidRPr="00701945">
          <w:t xml:space="preserve">, </w:t>
        </w:r>
        <w:smartTag w:uri="urn:schemas-microsoft-com:office:smarttags" w:element="State">
          <w:r w:rsidR="00BB4C69" w:rsidRPr="00701945">
            <w:t>Florida</w:t>
          </w:r>
        </w:smartTag>
        <w:r w:rsidR="00BB4C69" w:rsidRPr="00701945">
          <w:t xml:space="preserve"> </w:t>
        </w:r>
        <w:smartTag w:uri="urn:schemas-microsoft-com:office:smarttags" w:element="PostalCode">
          <w:r w:rsidR="00BB4C69" w:rsidRPr="00701945">
            <w:t>32399-0850</w:t>
          </w:r>
        </w:smartTag>
      </w:smartTag>
    </w:p>
    <w:p w:rsidR="00BB4C69" w:rsidRPr="00BD1897" w:rsidRDefault="00BB4C69" w:rsidP="00BD1897">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p>
    <w:p w:rsidR="00BB4C69" w:rsidRPr="00D033EB" w:rsidRDefault="00BB4C69" w:rsidP="00543AAD">
      <w:pPr>
        <w:ind w:left="1440"/>
        <w:jc w:val="both"/>
      </w:pPr>
      <w:r w:rsidRPr="00D033EB">
        <w:lastRenderedPageBreak/>
        <w:t>KEITH HETRICK, ESQUIRE, General Counsel, Florida Public Service Commission, 2540 Shumard Oak Boulevard, Tallahassee, Florida 32399-0850</w:t>
      </w:r>
    </w:p>
    <w:p w:rsidR="00B52C9A" w:rsidRPr="008242FC" w:rsidRDefault="00BB4C69" w:rsidP="008242FC">
      <w:pPr>
        <w:ind w:left="720" w:firstLine="720"/>
        <w:jc w:val="both"/>
        <w:rPr>
          <w:u w:val="single"/>
        </w:rPr>
      </w:pPr>
      <w:r w:rsidRPr="00D033EB">
        <w:rPr>
          <w:u w:val="single"/>
        </w:rPr>
        <w:t>Florida Public Service Commission General Counsel</w:t>
      </w:r>
    </w:p>
    <w:p w:rsidR="00320E08" w:rsidRPr="00D033EB" w:rsidRDefault="00320E08" w:rsidP="00543AAD">
      <w:pPr>
        <w:ind w:left="720" w:firstLine="720"/>
        <w:jc w:val="both"/>
      </w:pPr>
    </w:p>
    <w:p w:rsidR="00BB4C69" w:rsidRPr="00701945" w:rsidRDefault="00BB4C69" w:rsidP="00BB4C69">
      <w:pPr>
        <w:jc w:val="center"/>
      </w:pPr>
      <w:r>
        <w:rPr>
          <w:b/>
          <w:bCs/>
          <w:u w:val="single"/>
        </w:rPr>
        <w:t>P</w:t>
      </w:r>
      <w:r w:rsidRPr="00701945">
        <w:rPr>
          <w:b/>
          <w:bCs/>
          <w:u w:val="single"/>
        </w:rPr>
        <w:t>REHEARING ORDER</w:t>
      </w:r>
    </w:p>
    <w:p w:rsidR="00BB4C69" w:rsidRPr="00701945" w:rsidRDefault="00BB4C69" w:rsidP="00BB4C69">
      <w:pPr>
        <w:jc w:val="both"/>
      </w:pPr>
    </w:p>
    <w:p w:rsidR="00BB4C69" w:rsidRPr="00A32DC5" w:rsidRDefault="00BB4C69" w:rsidP="00BB4C69">
      <w:pPr>
        <w:jc w:val="both"/>
        <w:rPr>
          <w:b/>
        </w:rPr>
      </w:pPr>
      <w:r w:rsidRPr="00A32DC5">
        <w:rPr>
          <w:b/>
        </w:rPr>
        <w:t>I.</w:t>
      </w:r>
      <w:r w:rsidRPr="00A32DC5">
        <w:rPr>
          <w:b/>
        </w:rPr>
        <w:tab/>
      </w:r>
      <w:r w:rsidRPr="00A32DC5">
        <w:rPr>
          <w:b/>
          <w:u w:val="single"/>
        </w:rPr>
        <w:t>CASE BACKGROUND</w:t>
      </w:r>
    </w:p>
    <w:p w:rsidR="00BB4C69" w:rsidRPr="00701945" w:rsidRDefault="00BB4C69" w:rsidP="00BB4C69">
      <w:pPr>
        <w:jc w:val="both"/>
      </w:pPr>
    </w:p>
    <w:p w:rsidR="00AE4FB2" w:rsidRPr="001E2F62" w:rsidRDefault="00AE4FB2" w:rsidP="00AE4FB2">
      <w:pPr>
        <w:ind w:firstLine="720"/>
        <w:jc w:val="both"/>
      </w:pPr>
      <w:r w:rsidRPr="001E2F62">
        <w:t xml:space="preserve">In 2006, the Florida Legislature adopted legislation encouraging the development of nuclear energy in the state.  Section 366.93, Florida Statutes (F.S.), directed the Commission to adopt rules providing for alternate cost recovery mechanisms that will encourage investor-owned electric utilities to invest in nuclear power plants.  The Commission adopted Rule 25-6.0423, Florida Administrative Code (F.A.C.), which provides for a clause recovery proceeding annually to consider investor-owned utilities’ requests for cost recovery for nuclear plants.  </w:t>
      </w:r>
    </w:p>
    <w:p w:rsidR="00AE4FB2" w:rsidRPr="001E2F62" w:rsidRDefault="00AE4FB2" w:rsidP="00AE4FB2">
      <w:pPr>
        <w:jc w:val="both"/>
      </w:pPr>
    </w:p>
    <w:p w:rsidR="00AE4FB2" w:rsidRDefault="00AE4FB2" w:rsidP="00AE4FB2">
      <w:pPr>
        <w:ind w:firstLine="720"/>
        <w:jc w:val="both"/>
      </w:pPr>
      <w:r w:rsidRPr="001E2F62">
        <w:t>DEF petitioned the Commission for recovery of costs through the Nuclear Cost Recover</w:t>
      </w:r>
      <w:r>
        <w:t>y Clause (NCRC) on March 1, 2018</w:t>
      </w:r>
      <w:r w:rsidR="00066FAC">
        <w:t>, and May 1, 2018</w:t>
      </w:r>
      <w:r w:rsidRPr="001E2F62">
        <w:t xml:space="preserve">.  This is the </w:t>
      </w:r>
      <w:r>
        <w:t>eleventh</w:t>
      </w:r>
      <w:r w:rsidRPr="001E2F62">
        <w:t xml:space="preserve"> year of this roll-over docket, which is set for hearing on August </w:t>
      </w:r>
      <w:r w:rsidR="0080109C">
        <w:t>7-9</w:t>
      </w:r>
      <w:r w:rsidRPr="001E2F62">
        <w:t>, 201</w:t>
      </w:r>
      <w:r w:rsidR="0080109C">
        <w:t>8</w:t>
      </w:r>
      <w:r>
        <w:t>.  OPC, FIPUG, PCS Phosphate, and SACE</w:t>
      </w:r>
      <w:r w:rsidRPr="001E2F62">
        <w:t xml:space="preserve"> have each been granted interven</w:t>
      </w:r>
      <w:r w:rsidR="0080109C">
        <w:t>tion in this docket.  On July 12, 2018</w:t>
      </w:r>
      <w:r w:rsidRPr="001E2F62">
        <w:t>, Prehearing Statements were filed by DEF, Staff, OPC, FIPUG</w:t>
      </w:r>
      <w:r>
        <w:t xml:space="preserve">, </w:t>
      </w:r>
      <w:r w:rsidRPr="001E2F62">
        <w:t xml:space="preserve">PCS Phosphate, </w:t>
      </w:r>
      <w:r>
        <w:t xml:space="preserve">and </w:t>
      </w:r>
      <w:r w:rsidRPr="001E2F62">
        <w:t>SACE.</w:t>
      </w:r>
      <w:r w:rsidR="0080109C">
        <w:t xml:space="preserve"> </w:t>
      </w:r>
    </w:p>
    <w:p w:rsidR="00AE4FB2" w:rsidRDefault="00AE4FB2" w:rsidP="00AE4FB2">
      <w:pPr>
        <w:jc w:val="both"/>
      </w:pPr>
    </w:p>
    <w:p w:rsidR="00BB4C69" w:rsidRPr="00A32DC5" w:rsidRDefault="00BB4C69" w:rsidP="00AE4FB2">
      <w:pPr>
        <w:jc w:val="both"/>
        <w:rPr>
          <w:b/>
        </w:rPr>
      </w:pPr>
      <w:r w:rsidRPr="00A32DC5">
        <w:rPr>
          <w:b/>
        </w:rPr>
        <w:t>II.</w:t>
      </w:r>
      <w:r w:rsidRPr="00A32DC5">
        <w:rPr>
          <w:b/>
        </w:rPr>
        <w:tab/>
      </w:r>
      <w:r w:rsidRPr="00A32DC5">
        <w:rPr>
          <w:b/>
          <w:u w:val="single"/>
        </w:rPr>
        <w:t>CONDUCT OF PROCEEDINGS</w:t>
      </w:r>
    </w:p>
    <w:p w:rsidR="00BB4C69" w:rsidRPr="00701945" w:rsidRDefault="00BB4C69" w:rsidP="00BB4C69">
      <w:pPr>
        <w:jc w:val="both"/>
      </w:pPr>
    </w:p>
    <w:p w:rsidR="00BB4C69" w:rsidRPr="00701945" w:rsidRDefault="00BB4C69" w:rsidP="00BB4C69">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BB4C69" w:rsidRPr="00701945" w:rsidRDefault="00BB4C69" w:rsidP="00BB4C69">
      <w:pPr>
        <w:jc w:val="both"/>
      </w:pPr>
    </w:p>
    <w:p w:rsidR="00BB4C69" w:rsidRPr="00A32DC5" w:rsidRDefault="00BB4C69" w:rsidP="00BB4C69">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BB4C69" w:rsidRPr="00701945" w:rsidRDefault="00BB4C69" w:rsidP="00BB4C69">
      <w:pPr>
        <w:jc w:val="both"/>
      </w:pPr>
    </w:p>
    <w:p w:rsidR="00BB4C69" w:rsidRPr="00701945" w:rsidRDefault="00BB4C69" w:rsidP="00BB4C69">
      <w:pPr>
        <w:jc w:val="both"/>
      </w:pPr>
      <w:r w:rsidRPr="00701945">
        <w:tab/>
      </w:r>
      <w:r w:rsidR="00AE4FB2" w:rsidRPr="00701945">
        <w:t>This Commission is vested with jurisdiction over the subject matter by the provisions of Chapter</w:t>
      </w:r>
      <w:r w:rsidR="00AE4FB2">
        <w:t xml:space="preserve"> </w:t>
      </w:r>
      <w:r w:rsidR="00AE4FB2" w:rsidRPr="00F30719">
        <w:t>366</w:t>
      </w:r>
      <w:r w:rsidR="00AE4FB2" w:rsidRPr="00701945">
        <w:t xml:space="preserve">, </w:t>
      </w:r>
      <w:r w:rsidR="00AE4FB2">
        <w:t>Florida Statutes (F.S</w:t>
      </w:r>
      <w:r w:rsidR="00AE4FB2" w:rsidRPr="00701945">
        <w:t>.</w:t>
      </w:r>
      <w:r w:rsidR="00AE4FB2">
        <w:t>).</w:t>
      </w:r>
      <w:r w:rsidR="00AE4FB2" w:rsidRPr="00701945">
        <w:t xml:space="preserve">  This hearing will be governed by said Chapter and Chapters</w:t>
      </w:r>
      <w:r w:rsidR="00AE4FB2">
        <w:rPr>
          <w:color w:val="FF0000"/>
        </w:rPr>
        <w:t xml:space="preserve"> </w:t>
      </w:r>
      <w:r w:rsidR="00AE4FB2">
        <w:t>25-6</w:t>
      </w:r>
      <w:r w:rsidR="00AE4FB2" w:rsidRPr="00701945">
        <w:t xml:space="preserve">, 25-22, and 28-106, </w:t>
      </w:r>
      <w:r w:rsidR="00AE4FB2">
        <w:t>F.A.C., as well as any other applicable provisions of law</w:t>
      </w:r>
      <w:r w:rsidRPr="00701945">
        <w:t>.</w:t>
      </w:r>
    </w:p>
    <w:p w:rsidR="00BB4C69" w:rsidRPr="00701945" w:rsidRDefault="00BB4C69" w:rsidP="00BB4C69">
      <w:pPr>
        <w:jc w:val="both"/>
      </w:pPr>
    </w:p>
    <w:p w:rsidR="00BB4C69" w:rsidRPr="00237584" w:rsidRDefault="00BB4C69" w:rsidP="00BB4C69">
      <w:pPr>
        <w:jc w:val="both"/>
        <w:rPr>
          <w:b/>
        </w:rPr>
      </w:pPr>
      <w:r w:rsidRPr="00237584">
        <w:rPr>
          <w:b/>
        </w:rPr>
        <w:t>IV.</w:t>
      </w:r>
      <w:r w:rsidRPr="00237584">
        <w:rPr>
          <w:b/>
        </w:rPr>
        <w:tab/>
      </w:r>
      <w:r w:rsidRPr="00237584">
        <w:rPr>
          <w:b/>
          <w:u w:val="single"/>
        </w:rPr>
        <w:t>PROCEDURE FOR HANDLING CONFIDENTIAL INFORMATION</w:t>
      </w:r>
    </w:p>
    <w:p w:rsidR="00BB4C69" w:rsidRPr="00237584" w:rsidRDefault="00BB4C69" w:rsidP="00BB4C69">
      <w:pPr>
        <w:jc w:val="both"/>
        <w:rPr>
          <w:b/>
        </w:rPr>
      </w:pPr>
    </w:p>
    <w:p w:rsidR="00BB4C69" w:rsidRDefault="00BB4C69" w:rsidP="00BB4C69">
      <w:pPr>
        <w:jc w:val="both"/>
      </w:pPr>
      <w:r w:rsidRPr="00701945">
        <w:tab/>
      </w:r>
      <w:r>
        <w:t>Information for which proprietary confidential business information status is requested</w:t>
      </w:r>
      <w:r w:rsidRPr="00A72918">
        <w:t xml:space="preserve"> pursuant to</w:t>
      </w:r>
      <w:r>
        <w:t xml:space="preserve"> </w:t>
      </w:r>
      <w:r w:rsidR="00AE4FB2" w:rsidRPr="00C27461">
        <w:t>Section 366.093, F.S., and Rule 25-22.006, F.A.C., shall be treated by the Commission as confidential</w:t>
      </w:r>
      <w:r>
        <w:t xml:space="preserve">.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00AE4FB2" w:rsidRPr="00C27461">
        <w:t>Section 366.093, F.S.</w:t>
      </w:r>
      <w:r>
        <w:t xml:space="preserve">  T</w:t>
      </w:r>
      <w:r w:rsidRPr="00B2317F">
        <w:t>he Commission may determine that continued possession of the information is necessary for the Commission to conduct its business.</w:t>
      </w:r>
    </w:p>
    <w:p w:rsidR="00BB4C69" w:rsidRDefault="00BB4C69" w:rsidP="00BB4C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It is the policy of this Commission that all Commission hearings be open to the public at all times.  The Commission also recognizes its obligation pursuant to </w:t>
      </w:r>
      <w:r w:rsidRPr="005555EC">
        <w:t>Section</w:t>
      </w:r>
      <w:r w:rsidR="00AE4FB2" w:rsidRPr="00C27461">
        <w:t xml:space="preserve"> 366.093, F.S.</w:t>
      </w:r>
      <w:r>
        <w:t xml:space="preserve">, to protect proprietary confidential business information from disclosure outside the proceeding.  Therefore, any party wishing to use any proprietary confidential business information, as that term is defined in </w:t>
      </w:r>
      <w:r w:rsidR="00AE4FB2" w:rsidRPr="00C27461">
        <w:t>Section 366.093, F.S.</w:t>
      </w:r>
      <w:r>
        <w:t>, at the hearing shall adhere to the following:</w:t>
      </w:r>
    </w:p>
    <w:p w:rsidR="00BB4C69" w:rsidRDefault="00BB4C69" w:rsidP="00BB4C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B4C69" w:rsidRDefault="00BB4C69" w:rsidP="00BB4C69">
      <w:pPr>
        <w:spacing w:line="2" w:lineRule="exact"/>
        <w:jc w:val="both"/>
      </w:pPr>
    </w:p>
    <w:p w:rsidR="00BB4C69" w:rsidRDefault="00BB4C69" w:rsidP="00BB4C69">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BB4C69" w:rsidRDefault="00BB4C69" w:rsidP="00BB4C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B4C69" w:rsidRDefault="00BB4C69" w:rsidP="00BB4C69">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BB4C69" w:rsidRDefault="00BB4C69" w:rsidP="00BB4C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BB4C69" w:rsidRDefault="00BB4C69" w:rsidP="00BB4C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CB4973" w:rsidRDefault="00CB4973" w:rsidP="00BB4C69">
      <w:pPr>
        <w:jc w:val="both"/>
      </w:pPr>
    </w:p>
    <w:p w:rsidR="00BB4C69" w:rsidRPr="00A32DC5" w:rsidRDefault="00BB4C69" w:rsidP="00BB4C69">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BB4C69" w:rsidRPr="00701945" w:rsidRDefault="00BB4C69" w:rsidP="00BB4C69">
      <w:pPr>
        <w:jc w:val="both"/>
      </w:pPr>
    </w:p>
    <w:p w:rsidR="00BB4C69" w:rsidRDefault="00BB4C69" w:rsidP="00BB4C69">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BB4C69" w:rsidRDefault="00BB4C69" w:rsidP="00BB4C69">
      <w:pPr>
        <w:jc w:val="both"/>
      </w:pPr>
    </w:p>
    <w:p w:rsidR="00BB4C69" w:rsidRPr="00701945" w:rsidRDefault="00BB4C69" w:rsidP="00BB4C69">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BB4C69" w:rsidRPr="00701945" w:rsidRDefault="00BB4C69" w:rsidP="00BB4C69">
      <w:pPr>
        <w:jc w:val="both"/>
      </w:pPr>
    </w:p>
    <w:p w:rsidR="00BB4C69" w:rsidRPr="00701945" w:rsidRDefault="00BB4C69" w:rsidP="00BB4C69">
      <w:pPr>
        <w:jc w:val="both"/>
      </w:pPr>
      <w:r w:rsidRPr="00701945">
        <w:lastRenderedPageBreak/>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BB4C69" w:rsidRPr="00B75F84" w:rsidRDefault="00BB4C69" w:rsidP="00BB4C69">
      <w:pPr>
        <w:jc w:val="both"/>
        <w:rPr>
          <w:color w:val="000000"/>
        </w:rPr>
      </w:pPr>
    </w:p>
    <w:p w:rsidR="00BB4C69" w:rsidRPr="00B75F84" w:rsidRDefault="00BB4C69" w:rsidP="00BB4C69">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BB4C69" w:rsidRPr="00701945" w:rsidRDefault="00BB4C69" w:rsidP="00BB4C69">
      <w:pPr>
        <w:jc w:val="both"/>
      </w:pPr>
    </w:p>
    <w:p w:rsidR="00BB4C69" w:rsidRPr="00A32DC5" w:rsidRDefault="00BB4C69" w:rsidP="00BB4C69">
      <w:pPr>
        <w:jc w:val="both"/>
        <w:rPr>
          <w:b/>
        </w:rPr>
      </w:pPr>
      <w:r w:rsidRPr="00A32DC5">
        <w:rPr>
          <w:b/>
        </w:rPr>
        <w:t>VI.</w:t>
      </w:r>
      <w:r w:rsidRPr="00A32DC5">
        <w:rPr>
          <w:b/>
        </w:rPr>
        <w:tab/>
      </w:r>
      <w:r w:rsidRPr="00A32DC5">
        <w:rPr>
          <w:b/>
          <w:u w:val="single"/>
        </w:rPr>
        <w:t>ORDER OF WITNESSES</w:t>
      </w:r>
    </w:p>
    <w:p w:rsidR="00BB4C69" w:rsidRDefault="00BB4C69" w:rsidP="00BB4C69">
      <w:pPr>
        <w:jc w:val="both"/>
      </w:pPr>
    </w:p>
    <w:p w:rsidR="00BB4C69" w:rsidRDefault="00BB4C69" w:rsidP="00BB4C69">
      <w:pPr>
        <w:jc w:val="both"/>
      </w:pPr>
      <w:r>
        <w:tab/>
        <w:t>Each witness whose name is preceded by a plus sign (+) will present direct and rebuttal testimony together.</w:t>
      </w:r>
    </w:p>
    <w:p w:rsidR="00BB4C69" w:rsidRDefault="00BB4C69" w:rsidP="00BB4C69">
      <w:pPr>
        <w:jc w:val="both"/>
      </w:pPr>
    </w:p>
    <w:p w:rsidR="00AF3C3D" w:rsidRPr="00701945" w:rsidRDefault="00AF3C3D" w:rsidP="00BB4C69">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BB4C69" w:rsidRPr="00701945" w:rsidTr="008F76CC">
        <w:trPr>
          <w:cantSplit/>
          <w:trHeight w:val="362"/>
          <w:tblHeader/>
        </w:trPr>
        <w:tc>
          <w:tcPr>
            <w:tcW w:w="3507" w:type="dxa"/>
            <w:tcBorders>
              <w:top w:val="nil"/>
              <w:left w:val="nil"/>
              <w:bottom w:val="nil"/>
              <w:right w:val="nil"/>
            </w:tcBorders>
          </w:tcPr>
          <w:p w:rsidR="00BB4C69" w:rsidRPr="00701945" w:rsidRDefault="00BB4C69" w:rsidP="008F76CC">
            <w:pPr>
              <w:jc w:val="both"/>
            </w:pPr>
            <w:r w:rsidRPr="00701945">
              <w:rPr>
                <w:u w:val="single"/>
              </w:rPr>
              <w:t>Witness</w:t>
            </w:r>
          </w:p>
        </w:tc>
        <w:tc>
          <w:tcPr>
            <w:tcW w:w="2511" w:type="dxa"/>
            <w:tcBorders>
              <w:top w:val="nil"/>
              <w:left w:val="nil"/>
              <w:bottom w:val="nil"/>
              <w:right w:val="nil"/>
            </w:tcBorders>
          </w:tcPr>
          <w:p w:rsidR="00BB4C69" w:rsidRPr="00701945" w:rsidRDefault="00BB4C69" w:rsidP="008F76CC">
            <w:pPr>
              <w:jc w:val="center"/>
            </w:pPr>
            <w:r w:rsidRPr="00701945">
              <w:rPr>
                <w:u w:val="single"/>
              </w:rPr>
              <w:t>Proffered By</w:t>
            </w:r>
          </w:p>
        </w:tc>
        <w:tc>
          <w:tcPr>
            <w:tcW w:w="3546" w:type="dxa"/>
            <w:tcBorders>
              <w:top w:val="nil"/>
              <w:left w:val="nil"/>
              <w:bottom w:val="nil"/>
              <w:right w:val="nil"/>
            </w:tcBorders>
          </w:tcPr>
          <w:p w:rsidR="00BB4C69" w:rsidRPr="00701945" w:rsidRDefault="00BB4C69" w:rsidP="008F76CC">
            <w:pPr>
              <w:jc w:val="both"/>
            </w:pPr>
            <w:r w:rsidRPr="00701945">
              <w:rPr>
                <w:u w:val="single"/>
              </w:rPr>
              <w:t>Issues #</w:t>
            </w:r>
          </w:p>
        </w:tc>
      </w:tr>
      <w:tr w:rsidR="00BB4C69" w:rsidRPr="00701945" w:rsidTr="008F76CC">
        <w:trPr>
          <w:cantSplit/>
          <w:trHeight w:val="362"/>
        </w:trPr>
        <w:tc>
          <w:tcPr>
            <w:tcW w:w="3507" w:type="dxa"/>
            <w:tcBorders>
              <w:top w:val="nil"/>
              <w:left w:val="nil"/>
              <w:bottom w:val="nil"/>
              <w:right w:val="nil"/>
            </w:tcBorders>
          </w:tcPr>
          <w:p w:rsidR="00BB4C69" w:rsidRPr="00AC105C" w:rsidRDefault="00BB4C69" w:rsidP="008F76CC">
            <w:pPr>
              <w:jc w:val="both"/>
              <w:rPr>
                <w:u w:val="single"/>
              </w:rPr>
            </w:pPr>
            <w:r w:rsidRPr="00AC105C">
              <w:tab/>
            </w:r>
            <w:r w:rsidRPr="00AC105C">
              <w:rPr>
                <w:u w:val="single"/>
              </w:rPr>
              <w:t>Direct</w:t>
            </w:r>
          </w:p>
        </w:tc>
        <w:tc>
          <w:tcPr>
            <w:tcW w:w="2511" w:type="dxa"/>
            <w:tcBorders>
              <w:top w:val="nil"/>
              <w:left w:val="nil"/>
              <w:bottom w:val="nil"/>
              <w:right w:val="nil"/>
            </w:tcBorders>
          </w:tcPr>
          <w:p w:rsidR="00BB4C69" w:rsidRPr="00701945" w:rsidRDefault="00BB4C69" w:rsidP="008F76CC">
            <w:pPr>
              <w:jc w:val="center"/>
            </w:pPr>
          </w:p>
        </w:tc>
        <w:tc>
          <w:tcPr>
            <w:tcW w:w="3546" w:type="dxa"/>
            <w:tcBorders>
              <w:top w:val="nil"/>
              <w:left w:val="nil"/>
              <w:bottom w:val="nil"/>
              <w:right w:val="nil"/>
            </w:tcBorders>
          </w:tcPr>
          <w:p w:rsidR="00BB4C69" w:rsidRPr="00701945" w:rsidRDefault="00BB4C69" w:rsidP="008F76CC"/>
        </w:tc>
      </w:tr>
      <w:tr w:rsidR="00BB4C69" w:rsidRPr="00701945" w:rsidTr="008F76CC">
        <w:trPr>
          <w:cantSplit/>
          <w:trHeight w:val="382"/>
        </w:trPr>
        <w:tc>
          <w:tcPr>
            <w:tcW w:w="3507" w:type="dxa"/>
            <w:tcBorders>
              <w:top w:val="nil"/>
              <w:left w:val="nil"/>
              <w:bottom w:val="nil"/>
              <w:right w:val="nil"/>
            </w:tcBorders>
          </w:tcPr>
          <w:p w:rsidR="00BB4C69" w:rsidRPr="00701945" w:rsidRDefault="00B63290" w:rsidP="008F76CC">
            <w:pPr>
              <w:jc w:val="both"/>
            </w:pPr>
            <w:r>
              <w:t>Thomas G. Foster</w:t>
            </w:r>
          </w:p>
        </w:tc>
        <w:tc>
          <w:tcPr>
            <w:tcW w:w="2511" w:type="dxa"/>
            <w:tcBorders>
              <w:top w:val="nil"/>
              <w:left w:val="nil"/>
              <w:bottom w:val="nil"/>
              <w:right w:val="nil"/>
            </w:tcBorders>
          </w:tcPr>
          <w:p w:rsidR="00BB4C69" w:rsidRPr="00701945" w:rsidRDefault="00B63290" w:rsidP="00B63290">
            <w:pPr>
              <w:jc w:val="center"/>
            </w:pPr>
            <w:r>
              <w:t>DEF</w:t>
            </w:r>
          </w:p>
        </w:tc>
        <w:tc>
          <w:tcPr>
            <w:tcW w:w="3546" w:type="dxa"/>
            <w:tcBorders>
              <w:top w:val="nil"/>
              <w:left w:val="nil"/>
              <w:bottom w:val="nil"/>
              <w:right w:val="nil"/>
            </w:tcBorders>
          </w:tcPr>
          <w:p w:rsidR="00BB4C69" w:rsidRPr="00701945" w:rsidRDefault="00B63290" w:rsidP="008F76CC">
            <w:r>
              <w:t>1,</w:t>
            </w:r>
            <w:r w:rsidR="00543AAD">
              <w:t xml:space="preserve"> </w:t>
            </w:r>
            <w:r>
              <w:t>2,</w:t>
            </w:r>
            <w:r w:rsidR="00543AAD">
              <w:t xml:space="preserve"> </w:t>
            </w:r>
            <w:r>
              <w:t>3,</w:t>
            </w:r>
            <w:r w:rsidR="00543AAD">
              <w:t xml:space="preserve"> </w:t>
            </w:r>
            <w:r>
              <w:t>4,</w:t>
            </w:r>
            <w:r w:rsidR="00543AAD">
              <w:t xml:space="preserve"> </w:t>
            </w:r>
            <w:r>
              <w:t>5</w:t>
            </w:r>
          </w:p>
        </w:tc>
      </w:tr>
    </w:tbl>
    <w:p w:rsidR="00320E08" w:rsidRDefault="00320E08" w:rsidP="00BB4C69">
      <w:pPr>
        <w:jc w:val="both"/>
        <w:rPr>
          <w:b/>
        </w:rPr>
      </w:pPr>
    </w:p>
    <w:p w:rsidR="00BB4C69" w:rsidRPr="00A32DC5" w:rsidRDefault="00320E08" w:rsidP="00BB4C69">
      <w:pPr>
        <w:jc w:val="both"/>
        <w:rPr>
          <w:b/>
        </w:rPr>
      </w:pPr>
      <w:r>
        <w:rPr>
          <w:b/>
        </w:rPr>
        <w:t>V</w:t>
      </w:r>
      <w:r w:rsidR="00BB4C69" w:rsidRPr="00A32DC5">
        <w:rPr>
          <w:b/>
        </w:rPr>
        <w:t>II.</w:t>
      </w:r>
      <w:r w:rsidR="00BB4C69" w:rsidRPr="00A32DC5">
        <w:rPr>
          <w:b/>
        </w:rPr>
        <w:tab/>
      </w:r>
      <w:r w:rsidR="00BB4C69" w:rsidRPr="00A32DC5">
        <w:rPr>
          <w:b/>
          <w:u w:val="single"/>
        </w:rPr>
        <w:t>BASIC POSITIONS</w:t>
      </w:r>
    </w:p>
    <w:p w:rsidR="00BB4C69" w:rsidRPr="00701945" w:rsidRDefault="00BB4C69" w:rsidP="00BB4C69">
      <w:pPr>
        <w:jc w:val="both"/>
      </w:pPr>
    </w:p>
    <w:p w:rsidR="00BB4C69" w:rsidRDefault="00A652FA" w:rsidP="00A652FA">
      <w:pPr>
        <w:ind w:left="1440" w:hanging="1440"/>
        <w:jc w:val="both"/>
        <w:rPr>
          <w:rFonts w:cs="Tahoma"/>
          <w:b/>
          <w:u w:val="single"/>
        </w:rPr>
      </w:pPr>
      <w:r>
        <w:rPr>
          <w:b/>
          <w:bCs/>
        </w:rPr>
        <w:t>DEF</w:t>
      </w:r>
      <w:r w:rsidR="00BB4C69" w:rsidRPr="00701945">
        <w:rPr>
          <w:b/>
          <w:bCs/>
        </w:rPr>
        <w:t>:</w:t>
      </w:r>
      <w:r>
        <w:rPr>
          <w:b/>
          <w:bCs/>
        </w:rPr>
        <w:t xml:space="preserve"> </w:t>
      </w:r>
      <w:r>
        <w:rPr>
          <w:b/>
          <w:bCs/>
        </w:rPr>
        <w:tab/>
        <w:t xml:space="preserve"> </w:t>
      </w:r>
      <w:r w:rsidRPr="00642F8E">
        <w:rPr>
          <w:rFonts w:cs="Tahoma"/>
          <w:b/>
          <w:u w:val="single"/>
        </w:rPr>
        <w:t>CR3 E</w:t>
      </w:r>
      <w:r>
        <w:rPr>
          <w:rFonts w:cs="Tahoma"/>
          <w:b/>
          <w:u w:val="single"/>
        </w:rPr>
        <w:t>PU Project</w:t>
      </w:r>
    </w:p>
    <w:p w:rsidR="00A652FA" w:rsidRDefault="00A652FA" w:rsidP="00A652FA">
      <w:pPr>
        <w:ind w:left="1440" w:hanging="1440"/>
        <w:jc w:val="both"/>
        <w:rPr>
          <w:rFonts w:cs="Tahoma"/>
          <w:b/>
          <w:u w:val="single"/>
        </w:rPr>
      </w:pPr>
    </w:p>
    <w:p w:rsidR="00A652FA" w:rsidRDefault="00A652FA" w:rsidP="00A652FA">
      <w:pPr>
        <w:pStyle w:val="NoSpacing"/>
        <w:ind w:left="1440"/>
        <w:jc w:val="both"/>
      </w:pPr>
      <w:r w:rsidRPr="00A40597">
        <w:t>The disposition</w:t>
      </w:r>
      <w:r>
        <w:t xml:space="preserve"> </w:t>
      </w:r>
      <w:r w:rsidRPr="00A40597">
        <w:t>of EPU-related assets was completed in 2015</w:t>
      </w:r>
      <w:r>
        <w:t>, the last</w:t>
      </w:r>
      <w:r w:rsidRPr="00A40597">
        <w:t xml:space="preserve"> remain</w:t>
      </w:r>
      <w:r>
        <w:t>ing</w:t>
      </w:r>
      <w:r w:rsidRPr="00A40597">
        <w:t xml:space="preserve"> EPU assets </w:t>
      </w:r>
      <w:r>
        <w:t xml:space="preserve">are those </w:t>
      </w:r>
      <w:r w:rsidRPr="00A40597">
        <w:t>that DEF has determined should be abandoned in place.</w:t>
      </w:r>
      <w:r>
        <w:t xml:space="preserve">  If DEF is able to disposition any of the remaining assets, DEF will credit customers for the value received.</w:t>
      </w:r>
      <w:r w:rsidRPr="00A40597">
        <w:t xml:space="preserve"> </w:t>
      </w:r>
      <w:r>
        <w:t xml:space="preserve"> DEF is continuing to amortize the uncollected balance of project costs as authorized by the 2017 Second RRSSA, and will continue to do so through 2019.</w:t>
      </w:r>
    </w:p>
    <w:p w:rsidR="00A652FA" w:rsidRPr="00A40597" w:rsidRDefault="00A652FA" w:rsidP="00A652FA">
      <w:pPr>
        <w:pStyle w:val="NoSpacing"/>
        <w:ind w:left="1440"/>
        <w:jc w:val="both"/>
      </w:pPr>
    </w:p>
    <w:p w:rsidR="00B5359E" w:rsidRDefault="00A652FA" w:rsidP="004A5B9A">
      <w:pPr>
        <w:pStyle w:val="NoSpacing"/>
        <w:ind w:left="1440"/>
        <w:jc w:val="both"/>
      </w:pPr>
      <w:r>
        <w:t>The Commission should approve DEF’s proposed CR3 Uprated related 2019 NCRC recovery factors, and find that DEF’s 2017 CR3 EPU</w:t>
      </w:r>
      <w:r w:rsidRPr="00065068">
        <w:t xml:space="preserve"> accounting and cost oversight controls </w:t>
      </w:r>
      <w:r>
        <w:t>were</w:t>
      </w:r>
      <w:r w:rsidRPr="00065068">
        <w:t xml:space="preserve"> reasonable and prudent</w:t>
      </w:r>
      <w:r>
        <w:t>.</w:t>
      </w:r>
    </w:p>
    <w:p w:rsidR="008242FC" w:rsidRDefault="008242FC" w:rsidP="004A5B9A">
      <w:pPr>
        <w:pStyle w:val="NoSpacing"/>
        <w:ind w:left="1440"/>
        <w:jc w:val="both"/>
      </w:pPr>
    </w:p>
    <w:p w:rsidR="00A652FA" w:rsidRDefault="0025138F" w:rsidP="00DF6315">
      <w:pPr>
        <w:pStyle w:val="NoSpacing"/>
        <w:ind w:left="1440" w:hanging="1440"/>
        <w:jc w:val="both"/>
      </w:pPr>
      <w:r w:rsidRPr="00543AAD">
        <w:rPr>
          <w:b/>
        </w:rPr>
        <w:t>OPC:</w:t>
      </w:r>
      <w:r>
        <w:tab/>
        <w:t>The proposed recovery of costs in this docket are entirely the result of costs that have been long-determined and/or are subject to slight variation due to sales or wind-down activities plus carrying costs</w:t>
      </w:r>
      <w:r w:rsidRPr="00D246B4">
        <w:t xml:space="preserve"> authorized</w:t>
      </w:r>
      <w:r>
        <w:t xml:space="preserve"> by stipulation among the parties.  The principal cost for recovery is the final installment (in the amount of $43,159,168) of the seven year amortization of the abandoned Crystal River Unit 3 (“CR3”) uprate project that is being recovered consistent with the provisions of Section 366.093(6), Fla. Stat., as expressly recognized and provided for in the </w:t>
      </w:r>
      <w:r>
        <w:lastRenderedPageBreak/>
        <w:t>Second Revised and Restated Stipulation and Settlement Agreement (“Second RRSSA”) approved in Order PSC-2017-0451-AS-EI.  The Citizens’ position is that the dollar amounts proposed for recovery in this docket are the product of long-settled and approved costs of the abandoned CR3 plant and uprate project and are beyond dispute.  The Intervenor parties, including the OPC, did not agree with the costs before settlement; however, in the compromise stipulations that have preceded this hearing, the parties received value in compromise and settlement.  Accordingly, the OPC can affirmatively stipulate to them in this docket.  To the extent that an acceptable transition statement effectively closing out Duke Energy Florida’s (“DEF”) participation in the NCRC clause can be reached among the parties, this 2018 proceeding can be the final one for the Company as proposed under the framing of Issue 5.</w:t>
      </w:r>
    </w:p>
    <w:p w:rsidR="0025138F" w:rsidRDefault="0025138F" w:rsidP="00A652FA">
      <w:pPr>
        <w:pStyle w:val="NoSpacing"/>
        <w:jc w:val="both"/>
      </w:pPr>
    </w:p>
    <w:p w:rsidR="004A5B9A" w:rsidRPr="00BC24BB" w:rsidRDefault="00AB33A3" w:rsidP="008242FC">
      <w:pPr>
        <w:pStyle w:val="NoSpacing"/>
        <w:rPr>
          <w:b/>
        </w:rPr>
      </w:pPr>
      <w:r w:rsidRPr="00543AAD">
        <w:rPr>
          <w:b/>
        </w:rPr>
        <w:t xml:space="preserve">FIPUG: </w:t>
      </w:r>
      <w:r w:rsidR="008242FC">
        <w:rPr>
          <w:b/>
        </w:rPr>
        <w:tab/>
      </w:r>
      <w:r w:rsidR="004A5B9A" w:rsidRPr="00BC24BB">
        <w:rPr>
          <w:b/>
        </w:rPr>
        <w:t>DEF</w:t>
      </w:r>
    </w:p>
    <w:p w:rsidR="004A5B9A" w:rsidRPr="00543AAD" w:rsidRDefault="004A5B9A" w:rsidP="00A652FA">
      <w:pPr>
        <w:pStyle w:val="NoSpacing"/>
        <w:jc w:val="both"/>
      </w:pPr>
    </w:p>
    <w:p w:rsidR="004A5B9A" w:rsidRDefault="00895D4A" w:rsidP="004A5B9A">
      <w:pPr>
        <w:pStyle w:val="NoSpacing"/>
        <w:ind w:left="1440"/>
        <w:jc w:val="both"/>
      </w:pPr>
      <w:r>
        <w:t>FIPU</w:t>
      </w:r>
      <w:r w:rsidR="004A5B9A" w:rsidRPr="004A5B9A">
        <w:t xml:space="preserve">G takes no position and does not object to DEF’s positions on the issues related to the recovery of the CR3 EPU project which costs are being recovered pursuant to the provisions of the Revised and Restated Stipulation and Settlement Agreement (RRSSA) approved in Order No. PSC-13-0598-FOF-EI.  For the Levy Nuclear Project (LNP), no costs should be recovered from customers.  </w:t>
      </w:r>
    </w:p>
    <w:p w:rsidR="004A5B9A" w:rsidRDefault="004A5B9A" w:rsidP="00A652FA">
      <w:pPr>
        <w:pStyle w:val="NoSpacing"/>
        <w:jc w:val="both"/>
      </w:pPr>
    </w:p>
    <w:p w:rsidR="00AB33A3" w:rsidRPr="00543AAD" w:rsidRDefault="00AB33A3" w:rsidP="00AB33A3">
      <w:pPr>
        <w:widowControl w:val="0"/>
        <w:autoSpaceDE w:val="0"/>
        <w:autoSpaceDN w:val="0"/>
        <w:adjustRightInd w:val="0"/>
        <w:jc w:val="both"/>
        <w:rPr>
          <w:b/>
        </w:rPr>
      </w:pPr>
      <w:r w:rsidRPr="00543AAD">
        <w:rPr>
          <w:b/>
        </w:rPr>
        <w:t>PCS</w:t>
      </w:r>
    </w:p>
    <w:p w:rsidR="00AB33A3" w:rsidRDefault="00AB33A3" w:rsidP="00DF6315">
      <w:pPr>
        <w:widowControl w:val="0"/>
        <w:autoSpaceDE w:val="0"/>
        <w:autoSpaceDN w:val="0"/>
        <w:adjustRightInd w:val="0"/>
        <w:ind w:left="1440" w:hanging="1440"/>
        <w:jc w:val="both"/>
      </w:pPr>
      <w:r w:rsidRPr="00543AAD">
        <w:rPr>
          <w:b/>
        </w:rPr>
        <w:t>Phosphate</w:t>
      </w:r>
      <w:r w:rsidR="00DF6315" w:rsidRPr="00543AAD">
        <w:rPr>
          <w:b/>
        </w:rPr>
        <w:t xml:space="preserve">: </w:t>
      </w:r>
      <w:r w:rsidR="00DF6315">
        <w:tab/>
        <w:t xml:space="preserve">In this docket, the proposed costs for recovery concern the final installment of the seven-year amortization of the abandoned Crystal River Unit 3 uprate project.  Recovery of those costs through the Nuclear Cost Recovery Clause is authorized by the </w:t>
      </w:r>
      <w:r w:rsidR="00DF6315" w:rsidRPr="003A0E38">
        <w:rPr>
          <w:i/>
        </w:rPr>
        <w:t>Second Revised and Restated Stipulation and Settlement Agreement</w:t>
      </w:r>
      <w:r w:rsidR="00DF6315">
        <w:t xml:space="preserve"> approved in Order PSC-2017-0451-AS-EI.  As a signatory to that Agreement, </w:t>
      </w:r>
      <w:r w:rsidR="00DF6315" w:rsidRPr="003A0E38">
        <w:t>PCS Phosphate</w:t>
      </w:r>
      <w:r w:rsidR="00DF6315">
        <w:t xml:space="preserve"> accordingly</w:t>
      </w:r>
      <w:r w:rsidR="00DF6315" w:rsidRPr="003A0E38">
        <w:t xml:space="preserve"> agrees that </w:t>
      </w:r>
      <w:r w:rsidR="00DF6315">
        <w:t>all</w:t>
      </w:r>
      <w:r w:rsidR="00DF6315" w:rsidRPr="003A0E38">
        <w:t xml:space="preserve"> issues for Duke Energy Florida, Inc. </w:t>
      </w:r>
      <w:r w:rsidR="00DF6315">
        <w:t>may</w:t>
      </w:r>
      <w:r w:rsidR="00DF6315" w:rsidRPr="003A0E38">
        <w:t xml:space="preserve"> be addressed as a Type 2 stipulation</w:t>
      </w:r>
      <w:r w:rsidR="00DF6315">
        <w:t>.  PCS Phosphate agrees with the Office of Public Counsel (“OPC”) that the parties should stipulate a transition or closeout statement.</w:t>
      </w:r>
    </w:p>
    <w:p w:rsidR="00AB33A3" w:rsidRDefault="00AB33A3" w:rsidP="00AB33A3">
      <w:pPr>
        <w:widowControl w:val="0"/>
        <w:autoSpaceDE w:val="0"/>
        <w:autoSpaceDN w:val="0"/>
        <w:adjustRightInd w:val="0"/>
        <w:jc w:val="both"/>
      </w:pPr>
    </w:p>
    <w:p w:rsidR="00DF6315" w:rsidRDefault="00DF6315" w:rsidP="00DF6315">
      <w:pPr>
        <w:pStyle w:val="NoSpacing"/>
        <w:ind w:left="1440" w:hanging="1440"/>
        <w:jc w:val="both"/>
        <w:rPr>
          <w:rFonts w:eastAsiaTheme="minorHAnsi"/>
        </w:rPr>
      </w:pPr>
      <w:r w:rsidRPr="00543AAD">
        <w:rPr>
          <w:b/>
        </w:rPr>
        <w:t xml:space="preserve">SACE: </w:t>
      </w:r>
      <w:r>
        <w:tab/>
      </w:r>
      <w:r>
        <w:rPr>
          <w:rFonts w:eastAsiaTheme="minorHAnsi"/>
        </w:rPr>
        <w:t xml:space="preserve">SACE supports the development of low cost, low risk energy resources primarily through increased energy efficiency implementation and ramping up renewable energy development. New nuclear development is neither low cost, nor low risk. </w:t>
      </w:r>
      <w:r w:rsidRPr="00F2462E">
        <w:rPr>
          <w:rFonts w:eastAsiaTheme="minorHAnsi"/>
        </w:rPr>
        <w:t xml:space="preserve">SACE </w:t>
      </w:r>
      <w:r>
        <w:rPr>
          <w:rFonts w:eastAsiaTheme="minorHAnsi"/>
        </w:rPr>
        <w:t xml:space="preserve">opposed the proposed </w:t>
      </w:r>
      <w:r w:rsidRPr="00F2462E">
        <w:rPr>
          <w:rFonts w:eastAsiaTheme="minorHAnsi"/>
        </w:rPr>
        <w:t xml:space="preserve">Levy </w:t>
      </w:r>
      <w:r>
        <w:rPr>
          <w:rFonts w:eastAsiaTheme="minorHAnsi"/>
        </w:rPr>
        <w:t xml:space="preserve">Nuclear Project (“LNP”) in 2008, and supported Duke Energy Florida’s decision to cancel the project in 2013. SACE was a party to the 2017 Second Revised and Restated Stipulation and Settlement Agreement (“RRSSA”) approved by </w:t>
      </w:r>
      <w:r>
        <w:rPr>
          <w:bCs/>
        </w:rPr>
        <w:t>Order PSC-2017-0451-AS-EI.</w:t>
      </w:r>
      <w:r>
        <w:rPr>
          <w:rFonts w:eastAsiaTheme="minorHAnsi"/>
        </w:rPr>
        <w:t xml:space="preserve"> The RSSA closed the chapter on rate recovery for costs related to the LNP. </w:t>
      </w:r>
      <w:r>
        <w:rPr>
          <w:bCs/>
        </w:rPr>
        <w:t xml:space="preserve">The dollar amounts proposed for recovery in this docket addressed in the RSSA are the product of approved costs for the retirement of the </w:t>
      </w:r>
      <w:r>
        <w:rPr>
          <w:rFonts w:eastAsiaTheme="minorHAnsi"/>
        </w:rPr>
        <w:t xml:space="preserve">Crystal River Unit 3 (“CR3”) </w:t>
      </w:r>
      <w:r>
        <w:rPr>
          <w:bCs/>
        </w:rPr>
        <w:t xml:space="preserve">plant and uprate project - </w:t>
      </w:r>
      <w:r>
        <w:rPr>
          <w:rFonts w:eastAsiaTheme="minorHAnsi"/>
        </w:rPr>
        <w:t xml:space="preserve">which were primarily addressed in a 2013 settlement agreement approved by the Commission in Order No PSC-13-0598-FOF-EI and subsequent dockets and orders in which SACE was not a party. SACE has </w:t>
      </w:r>
      <w:r>
        <w:rPr>
          <w:rFonts w:eastAsiaTheme="minorHAnsi"/>
        </w:rPr>
        <w:lastRenderedPageBreak/>
        <w:t xml:space="preserve">consistently maintained that costs related to the CR3 retirement be closely scrutinized and minimized in order to protect the financial interests Duke Energy Florida’s customers. </w:t>
      </w:r>
    </w:p>
    <w:p w:rsidR="00D34633" w:rsidRDefault="00D34633" w:rsidP="00BD1897">
      <w:pPr>
        <w:widowControl w:val="0"/>
        <w:autoSpaceDE w:val="0"/>
        <w:autoSpaceDN w:val="0"/>
        <w:adjustRightInd w:val="0"/>
        <w:ind w:left="1440" w:hanging="1440"/>
        <w:jc w:val="both"/>
        <w:rPr>
          <w:rFonts w:eastAsiaTheme="minorHAnsi"/>
        </w:rPr>
      </w:pPr>
    </w:p>
    <w:p w:rsidR="00BB4C69" w:rsidRDefault="00DF6315" w:rsidP="00BD1897">
      <w:pPr>
        <w:widowControl w:val="0"/>
        <w:autoSpaceDE w:val="0"/>
        <w:autoSpaceDN w:val="0"/>
        <w:adjustRightInd w:val="0"/>
        <w:ind w:left="1440" w:hanging="1440"/>
        <w:jc w:val="both"/>
      </w:pPr>
      <w:r w:rsidRPr="00543AAD">
        <w:rPr>
          <w:b/>
        </w:rPr>
        <w:t xml:space="preserve">STAFF:  </w:t>
      </w:r>
      <w:r>
        <w:tab/>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BB4C69" w:rsidRDefault="00BB4C69" w:rsidP="00BB4C69">
      <w:pPr>
        <w:ind w:left="1440" w:hanging="1440"/>
        <w:jc w:val="both"/>
      </w:pPr>
    </w:p>
    <w:p w:rsidR="00BB4C69" w:rsidRPr="00D34633" w:rsidRDefault="00BB4C69" w:rsidP="00BB4C69">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320E08" w:rsidRDefault="00320E08" w:rsidP="00BB4C69">
      <w:pPr>
        <w:jc w:val="both"/>
      </w:pPr>
    </w:p>
    <w:p w:rsidR="00BB4C69" w:rsidRDefault="00BB4C69" w:rsidP="00DF6315">
      <w:pPr>
        <w:ind w:left="1440" w:hanging="1440"/>
        <w:jc w:val="both"/>
        <w:rPr>
          <w:b/>
        </w:rPr>
      </w:pPr>
      <w:r w:rsidRPr="005D4B47">
        <w:rPr>
          <w:b/>
          <w:bCs/>
        </w:rPr>
        <w:t>ISSUE 1</w:t>
      </w:r>
      <w:r w:rsidRPr="00701945">
        <w:rPr>
          <w:b/>
          <w:bCs/>
        </w:rPr>
        <w:t>:</w:t>
      </w:r>
      <w:r w:rsidRPr="00701945">
        <w:tab/>
      </w:r>
      <w:r w:rsidR="00DF6315" w:rsidRPr="003B322A">
        <w:rPr>
          <w:b/>
        </w:rPr>
        <w:t>What jurisdictional amounts should the Commission approve as DEF’s actual 2017 prudently incurred costs for the Crystal River Unit 3 Uprate Project?</w:t>
      </w:r>
    </w:p>
    <w:p w:rsidR="00DF6315" w:rsidRDefault="00DF6315" w:rsidP="00DF6315">
      <w:pPr>
        <w:ind w:left="1440" w:hanging="1440"/>
        <w:jc w:val="both"/>
      </w:pPr>
      <w:r>
        <w:tab/>
      </w:r>
    </w:p>
    <w:p w:rsidR="00DF6315" w:rsidRPr="009A3E59" w:rsidRDefault="009A3E59" w:rsidP="009A3E59">
      <w:pPr>
        <w:ind w:left="1440" w:hanging="1440"/>
        <w:jc w:val="both"/>
        <w:rPr>
          <w:b/>
          <w:u w:val="single"/>
        </w:rPr>
      </w:pPr>
      <w:r w:rsidRPr="00E4229D">
        <w:rPr>
          <w:b/>
        </w:rPr>
        <w:t>DEF</w:t>
      </w:r>
      <w:r w:rsidR="00DF6315" w:rsidRPr="00E4229D">
        <w:rPr>
          <w:b/>
        </w:rPr>
        <w:t xml:space="preserve">: </w:t>
      </w:r>
      <w:r w:rsidRPr="00E4229D">
        <w:rPr>
          <w:b/>
        </w:rPr>
        <w:t xml:space="preserve"> </w:t>
      </w:r>
      <w:r>
        <w:tab/>
      </w:r>
      <w:r w:rsidR="00DF6315" w:rsidRPr="00637D70">
        <w:t>As presented in and supported by the testimony of Mr. Foster in DEF’s March 1, 2018 Actual 2017 filing, the Commission should approve the following amounts as DEF’s actual 2017 prudently incurred costs for the Crystal River Unit 3 Uprate project:</w:t>
      </w:r>
    </w:p>
    <w:p w:rsidR="00DF6315" w:rsidRPr="00637D70" w:rsidRDefault="00DF6315" w:rsidP="00DF6315">
      <w:pPr>
        <w:pStyle w:val="NoSpacing"/>
        <w:jc w:val="both"/>
      </w:pPr>
    </w:p>
    <w:p w:rsidR="00DF6315" w:rsidRDefault="00DF6315" w:rsidP="009A3E59">
      <w:pPr>
        <w:pStyle w:val="NoSpacing"/>
        <w:ind w:left="720" w:firstLine="720"/>
        <w:jc w:val="both"/>
        <w:rPr>
          <w:bCs/>
        </w:rPr>
      </w:pPr>
      <w:r w:rsidRPr="00637D70">
        <w:rPr>
          <w:bCs/>
        </w:rPr>
        <w:t>Wind-Down &amp; Exit Costs (Jurisdictional, net of joint owners)-- $24,137</w:t>
      </w:r>
    </w:p>
    <w:p w:rsidR="00DF6315" w:rsidRPr="00637D70" w:rsidRDefault="00DF6315" w:rsidP="00DF6315">
      <w:pPr>
        <w:pStyle w:val="NoSpacing"/>
        <w:jc w:val="both"/>
        <w:rPr>
          <w:bCs/>
        </w:rPr>
      </w:pPr>
    </w:p>
    <w:p w:rsidR="00DF6315" w:rsidRDefault="00DF6315" w:rsidP="009A3E59">
      <w:pPr>
        <w:pStyle w:val="NoSpacing"/>
        <w:ind w:left="720" w:firstLine="720"/>
        <w:jc w:val="both"/>
        <w:rPr>
          <w:bCs/>
        </w:rPr>
      </w:pPr>
      <w:r w:rsidRPr="00637D70">
        <w:rPr>
          <w:bCs/>
        </w:rPr>
        <w:t>Carrying Costs-- $10,077,482</w:t>
      </w:r>
    </w:p>
    <w:p w:rsidR="00DF6315" w:rsidRPr="00637D70" w:rsidRDefault="00DF6315" w:rsidP="00DF6315">
      <w:pPr>
        <w:pStyle w:val="NoSpacing"/>
        <w:jc w:val="both"/>
        <w:rPr>
          <w:bCs/>
        </w:rPr>
      </w:pPr>
    </w:p>
    <w:p w:rsidR="00DF6315" w:rsidRPr="00637D70" w:rsidRDefault="00DF6315" w:rsidP="009A3E59">
      <w:pPr>
        <w:pStyle w:val="NoSpacing"/>
        <w:ind w:left="1440"/>
        <w:jc w:val="both"/>
        <w:rPr>
          <w:bCs/>
        </w:rPr>
      </w:pPr>
      <w:r w:rsidRPr="00637D70">
        <w:rPr>
          <w:bCs/>
        </w:rPr>
        <w:t>The over-recovery of $188,006 should be included in setting the allowed 2019 NCRC recovery.</w:t>
      </w:r>
      <w:r>
        <w:rPr>
          <w:bCs/>
        </w:rPr>
        <w:t xml:space="preserve"> (Foster)</w:t>
      </w:r>
    </w:p>
    <w:p w:rsidR="00DF6315" w:rsidRPr="00DF1587" w:rsidRDefault="00DF6315" w:rsidP="00DF6315">
      <w:pPr>
        <w:rPr>
          <w:rFonts w:cs="Tahoma"/>
          <w:b/>
          <w:u w:val="single"/>
        </w:rPr>
      </w:pPr>
    </w:p>
    <w:p w:rsidR="00DF6315" w:rsidRPr="009A3E59" w:rsidRDefault="009A3E59" w:rsidP="009A3E59">
      <w:pPr>
        <w:jc w:val="both"/>
        <w:rPr>
          <w:b/>
          <w:bCs/>
          <w:u w:val="single"/>
        </w:rPr>
      </w:pPr>
      <w:r w:rsidRPr="00E4229D">
        <w:rPr>
          <w:b/>
          <w:bCs/>
        </w:rPr>
        <w:t>OPC</w:t>
      </w:r>
      <w:r w:rsidR="00DF6315" w:rsidRPr="00E4229D">
        <w:rPr>
          <w:b/>
          <w:bCs/>
        </w:rPr>
        <w:t xml:space="preserve">: </w:t>
      </w:r>
      <w:r>
        <w:rPr>
          <w:bCs/>
        </w:rPr>
        <w:tab/>
      </w:r>
      <w:r>
        <w:rPr>
          <w:bCs/>
        </w:rPr>
        <w:tab/>
      </w:r>
      <w:r w:rsidR="00DF6315">
        <w:rPr>
          <w:rFonts w:cs="Arial"/>
          <w:kern w:val="32"/>
          <w:szCs w:val="32"/>
        </w:rPr>
        <w:t>Agree with DEF.</w:t>
      </w:r>
    </w:p>
    <w:p w:rsidR="00DF6315" w:rsidRDefault="00DF6315" w:rsidP="00DF6315">
      <w:pPr>
        <w:jc w:val="both"/>
        <w:rPr>
          <w:bCs/>
        </w:rPr>
      </w:pPr>
    </w:p>
    <w:p w:rsidR="00855C0E" w:rsidRDefault="00855C0E" w:rsidP="002C6EA3">
      <w:pPr>
        <w:ind w:left="1440" w:hanging="1440"/>
        <w:jc w:val="both"/>
        <w:rPr>
          <w:kern w:val="32"/>
          <w:szCs w:val="32"/>
        </w:rPr>
      </w:pPr>
      <w:r w:rsidRPr="00E4229D">
        <w:rPr>
          <w:b/>
          <w:bCs/>
        </w:rPr>
        <w:t xml:space="preserve">FIPUG: </w:t>
      </w:r>
      <w:r>
        <w:rPr>
          <w:bCs/>
        </w:rPr>
        <w:tab/>
      </w:r>
      <w:r w:rsidRPr="00855C0E">
        <w:rPr>
          <w:kern w:val="32"/>
          <w:szCs w:val="32"/>
        </w:rPr>
        <w:t>Adopt position of OPC.</w:t>
      </w:r>
    </w:p>
    <w:p w:rsidR="00855C0E" w:rsidRDefault="00855C0E" w:rsidP="002C6EA3">
      <w:pPr>
        <w:ind w:left="1440" w:hanging="1440"/>
        <w:jc w:val="both"/>
        <w:rPr>
          <w:kern w:val="32"/>
          <w:szCs w:val="32"/>
        </w:rPr>
      </w:pPr>
    </w:p>
    <w:p w:rsidR="00855C0E" w:rsidRPr="00E4229D" w:rsidRDefault="00E4229D" w:rsidP="002C6EA3">
      <w:pPr>
        <w:ind w:left="1440" w:hanging="1440"/>
        <w:jc w:val="both"/>
        <w:rPr>
          <w:b/>
          <w:kern w:val="32"/>
          <w:szCs w:val="32"/>
        </w:rPr>
      </w:pPr>
      <w:r w:rsidRPr="00E4229D">
        <w:rPr>
          <w:b/>
          <w:kern w:val="32"/>
          <w:szCs w:val="32"/>
        </w:rPr>
        <w:t xml:space="preserve">PCS </w:t>
      </w:r>
    </w:p>
    <w:p w:rsidR="00E4229D" w:rsidRDefault="00E4229D" w:rsidP="002C6EA3">
      <w:pPr>
        <w:ind w:left="1440" w:hanging="1440"/>
        <w:jc w:val="both"/>
        <w:rPr>
          <w:kern w:val="32"/>
          <w:szCs w:val="32"/>
        </w:rPr>
      </w:pPr>
      <w:r w:rsidRPr="00E4229D">
        <w:rPr>
          <w:b/>
          <w:kern w:val="32"/>
          <w:szCs w:val="32"/>
        </w:rPr>
        <w:t xml:space="preserve">Phosphate: </w:t>
      </w:r>
      <w:r>
        <w:rPr>
          <w:kern w:val="32"/>
          <w:szCs w:val="32"/>
        </w:rPr>
        <w:tab/>
        <w:t>No Position</w:t>
      </w:r>
    </w:p>
    <w:p w:rsidR="00E4229D" w:rsidRDefault="00E4229D" w:rsidP="002C6EA3">
      <w:pPr>
        <w:ind w:left="1440" w:hanging="1440"/>
        <w:jc w:val="both"/>
        <w:rPr>
          <w:kern w:val="32"/>
          <w:szCs w:val="32"/>
        </w:rPr>
      </w:pPr>
    </w:p>
    <w:p w:rsidR="00E4229D" w:rsidRDefault="00E4229D" w:rsidP="002C6EA3">
      <w:pPr>
        <w:ind w:left="1440" w:hanging="1440"/>
        <w:jc w:val="both"/>
        <w:rPr>
          <w:kern w:val="32"/>
          <w:szCs w:val="32"/>
        </w:rPr>
      </w:pPr>
      <w:r w:rsidRPr="00E4229D">
        <w:rPr>
          <w:b/>
          <w:kern w:val="32"/>
          <w:szCs w:val="32"/>
        </w:rPr>
        <w:t xml:space="preserve">SACE: </w:t>
      </w:r>
      <w:r>
        <w:rPr>
          <w:kern w:val="32"/>
          <w:szCs w:val="32"/>
        </w:rPr>
        <w:tab/>
        <w:t>No Position</w:t>
      </w:r>
    </w:p>
    <w:p w:rsidR="00E4229D" w:rsidRDefault="00E4229D" w:rsidP="002C6EA3">
      <w:pPr>
        <w:ind w:left="1440" w:hanging="1440"/>
        <w:jc w:val="both"/>
        <w:rPr>
          <w:kern w:val="32"/>
          <w:szCs w:val="32"/>
        </w:rPr>
      </w:pPr>
    </w:p>
    <w:p w:rsidR="00E4229D" w:rsidRDefault="00E4229D" w:rsidP="002C6EA3">
      <w:pPr>
        <w:ind w:left="1440" w:hanging="1440"/>
        <w:jc w:val="both"/>
      </w:pPr>
      <w:r w:rsidRPr="00E4229D">
        <w:rPr>
          <w:b/>
          <w:kern w:val="32"/>
          <w:szCs w:val="32"/>
        </w:rPr>
        <w:t xml:space="preserve">STAFF: </w:t>
      </w:r>
      <w:r>
        <w:rPr>
          <w:kern w:val="32"/>
          <w:szCs w:val="32"/>
        </w:rPr>
        <w:tab/>
      </w:r>
      <w:r>
        <w:t>Staff has no position pending evidence adduced at hearing.</w:t>
      </w:r>
    </w:p>
    <w:p w:rsidR="00BD1897" w:rsidRDefault="00BD1897" w:rsidP="002C6EA3">
      <w:pPr>
        <w:ind w:left="1440" w:hanging="1440"/>
        <w:jc w:val="both"/>
      </w:pPr>
    </w:p>
    <w:p w:rsidR="00567CFB" w:rsidRDefault="00567CFB" w:rsidP="002C6EA3">
      <w:pPr>
        <w:ind w:left="1440" w:hanging="1440"/>
        <w:jc w:val="both"/>
        <w:rPr>
          <w:b/>
        </w:rPr>
      </w:pPr>
    </w:p>
    <w:p w:rsidR="00E4229D" w:rsidRDefault="00E4229D" w:rsidP="002C6EA3">
      <w:pPr>
        <w:ind w:left="1440" w:hanging="1440"/>
        <w:jc w:val="both"/>
        <w:rPr>
          <w:b/>
        </w:rPr>
      </w:pPr>
      <w:r w:rsidRPr="00E4229D">
        <w:rPr>
          <w:b/>
        </w:rPr>
        <w:t>ISSUE 2:</w:t>
      </w:r>
      <w:r>
        <w:rPr>
          <w:b/>
        </w:rPr>
        <w:tab/>
      </w:r>
      <w:r w:rsidRPr="003B322A">
        <w:rPr>
          <w:b/>
        </w:rPr>
        <w:t>What jurisdictional amounts should the Commission approve as reasonably estimated 2018 exit and wind down costs and carrying costs for the Crystal River Unit 3 Uprate Project?</w:t>
      </w:r>
    </w:p>
    <w:p w:rsidR="00E4229D" w:rsidRDefault="00E4229D" w:rsidP="002C6EA3">
      <w:pPr>
        <w:ind w:left="1440" w:hanging="1440"/>
        <w:jc w:val="both"/>
        <w:rPr>
          <w:b/>
        </w:rPr>
      </w:pPr>
    </w:p>
    <w:p w:rsidR="00E4229D" w:rsidRDefault="00E4229D" w:rsidP="00E4229D">
      <w:pPr>
        <w:ind w:left="1440" w:hanging="1440"/>
        <w:jc w:val="both"/>
        <w:rPr>
          <w:rFonts w:cs="Tahoma"/>
        </w:rPr>
      </w:pPr>
      <w:r w:rsidRPr="00E4229D">
        <w:rPr>
          <w:b/>
        </w:rPr>
        <w:t>DEF:</w:t>
      </w:r>
      <w:r>
        <w:rPr>
          <w:b/>
        </w:rPr>
        <w:tab/>
      </w:r>
      <w:r w:rsidRPr="00637D70">
        <w:rPr>
          <w:rFonts w:cs="Tahoma"/>
        </w:rPr>
        <w:t xml:space="preserve">As presented in and supported by the testimony of Mr. Foster in DEF’s May 1, 2018 Actual/Estimated 2018 filing, the Commission should approve the following </w:t>
      </w:r>
      <w:r w:rsidRPr="00637D70">
        <w:rPr>
          <w:rFonts w:cs="Tahoma"/>
        </w:rPr>
        <w:lastRenderedPageBreak/>
        <w:t>amounts as DEF’s reasonably estimated 2018 exit and wind down costs and carrying costs  for the Crystal River Unit 3 Uprate project consistent with Section 366.93(6), Fla. Stat., and Rule 25-6.0423(7), F.A.C.:</w:t>
      </w:r>
    </w:p>
    <w:p w:rsidR="00E4229D" w:rsidRPr="00637D70" w:rsidRDefault="00E4229D" w:rsidP="00E4229D">
      <w:pPr>
        <w:ind w:left="1440" w:hanging="1440"/>
        <w:jc w:val="both"/>
        <w:rPr>
          <w:rFonts w:cs="Tahoma"/>
        </w:rPr>
      </w:pPr>
    </w:p>
    <w:p w:rsidR="00E4229D" w:rsidRDefault="00E4229D" w:rsidP="00E4229D">
      <w:pPr>
        <w:ind w:left="720" w:firstLine="720"/>
        <w:jc w:val="both"/>
        <w:rPr>
          <w:rFonts w:cs="Tahoma"/>
          <w:bCs/>
        </w:rPr>
      </w:pPr>
      <w:r w:rsidRPr="00637D70">
        <w:rPr>
          <w:rFonts w:cs="Tahoma"/>
          <w:bCs/>
        </w:rPr>
        <w:t>Wind-Down &amp; Exit Costs (Jurisdictional, net of joint owners)-- $26,432</w:t>
      </w:r>
    </w:p>
    <w:p w:rsidR="00E4229D" w:rsidRPr="00637D70" w:rsidRDefault="00E4229D" w:rsidP="00E4229D">
      <w:pPr>
        <w:ind w:left="720" w:firstLine="720"/>
        <w:jc w:val="both"/>
        <w:rPr>
          <w:rFonts w:cs="Tahoma"/>
          <w:bCs/>
        </w:rPr>
      </w:pPr>
    </w:p>
    <w:p w:rsidR="00E4229D" w:rsidRDefault="00E4229D" w:rsidP="00E4229D">
      <w:pPr>
        <w:ind w:left="720" w:firstLine="720"/>
        <w:jc w:val="both"/>
        <w:rPr>
          <w:rFonts w:cs="Tahoma"/>
          <w:bCs/>
        </w:rPr>
      </w:pPr>
      <w:r w:rsidRPr="00637D70">
        <w:rPr>
          <w:rFonts w:cs="Tahoma"/>
          <w:bCs/>
        </w:rPr>
        <w:t>Carrying Costs -- $5,163,349</w:t>
      </w:r>
    </w:p>
    <w:p w:rsidR="00E4229D" w:rsidRPr="00637D70" w:rsidRDefault="00E4229D" w:rsidP="00E4229D">
      <w:pPr>
        <w:ind w:left="720" w:firstLine="720"/>
        <w:jc w:val="both"/>
        <w:rPr>
          <w:rFonts w:cs="Tahoma"/>
          <w:bCs/>
        </w:rPr>
      </w:pPr>
    </w:p>
    <w:p w:rsidR="00E4229D" w:rsidRDefault="00E4229D" w:rsidP="00E4229D">
      <w:pPr>
        <w:ind w:left="1440"/>
        <w:jc w:val="both"/>
        <w:rPr>
          <w:rFonts w:cs="Tahoma"/>
          <w:bCs/>
        </w:rPr>
      </w:pPr>
      <w:r w:rsidRPr="00637D70">
        <w:rPr>
          <w:rFonts w:cs="Tahoma"/>
          <w:bCs/>
        </w:rPr>
        <w:t>The over-recovery of $933,647 should be included in setting the allowed 2019 NCRC recovery.</w:t>
      </w:r>
      <w:r>
        <w:rPr>
          <w:rFonts w:cs="Tahoma"/>
          <w:bCs/>
        </w:rPr>
        <w:t xml:space="preserve"> (Foster)</w:t>
      </w:r>
    </w:p>
    <w:p w:rsidR="00E4229D" w:rsidRDefault="00E4229D" w:rsidP="00E4229D">
      <w:pPr>
        <w:jc w:val="both"/>
        <w:rPr>
          <w:rFonts w:cs="Tahoma"/>
          <w:bCs/>
        </w:rPr>
      </w:pPr>
    </w:p>
    <w:p w:rsidR="00E4229D" w:rsidRDefault="00E4229D" w:rsidP="00E4229D">
      <w:pPr>
        <w:jc w:val="both"/>
        <w:rPr>
          <w:rFonts w:cs="Arial"/>
          <w:kern w:val="32"/>
          <w:szCs w:val="32"/>
        </w:rPr>
      </w:pPr>
      <w:r w:rsidRPr="00E4229D">
        <w:rPr>
          <w:b/>
          <w:bCs/>
        </w:rPr>
        <w:t>OPC:</w:t>
      </w:r>
      <w:r>
        <w:rPr>
          <w:b/>
          <w:bCs/>
        </w:rPr>
        <w:tab/>
      </w:r>
      <w:r>
        <w:rPr>
          <w:b/>
          <w:bCs/>
        </w:rPr>
        <w:tab/>
      </w:r>
      <w:r>
        <w:rPr>
          <w:rFonts w:cs="Arial"/>
          <w:kern w:val="32"/>
          <w:szCs w:val="32"/>
        </w:rPr>
        <w:t>Agree with DEF.</w:t>
      </w:r>
    </w:p>
    <w:p w:rsidR="00E4229D" w:rsidRDefault="00E4229D" w:rsidP="00E4229D">
      <w:pPr>
        <w:jc w:val="both"/>
        <w:rPr>
          <w:rFonts w:cs="Arial"/>
          <w:kern w:val="32"/>
          <w:szCs w:val="32"/>
        </w:rPr>
      </w:pPr>
    </w:p>
    <w:p w:rsidR="00E4229D" w:rsidRDefault="00E4229D" w:rsidP="00E4229D">
      <w:pPr>
        <w:jc w:val="both"/>
        <w:rPr>
          <w:kern w:val="32"/>
          <w:szCs w:val="32"/>
        </w:rPr>
      </w:pPr>
      <w:r w:rsidRPr="00E4229D">
        <w:rPr>
          <w:b/>
          <w:bCs/>
        </w:rPr>
        <w:t>FIPUG:</w:t>
      </w:r>
      <w:r>
        <w:rPr>
          <w:b/>
          <w:bCs/>
        </w:rPr>
        <w:tab/>
      </w:r>
      <w:r>
        <w:rPr>
          <w:kern w:val="32"/>
          <w:szCs w:val="32"/>
        </w:rPr>
        <w:t>Adopt position of OPC.</w:t>
      </w:r>
    </w:p>
    <w:p w:rsidR="00E4229D" w:rsidRDefault="00E4229D" w:rsidP="00E4229D">
      <w:pPr>
        <w:jc w:val="both"/>
        <w:rPr>
          <w:kern w:val="32"/>
          <w:szCs w:val="32"/>
        </w:rPr>
      </w:pPr>
    </w:p>
    <w:p w:rsidR="00E4229D" w:rsidRPr="00E4229D" w:rsidRDefault="00E4229D" w:rsidP="00E4229D">
      <w:pPr>
        <w:ind w:left="1440" w:hanging="1440"/>
        <w:jc w:val="both"/>
        <w:rPr>
          <w:b/>
          <w:kern w:val="32"/>
          <w:szCs w:val="32"/>
        </w:rPr>
      </w:pPr>
      <w:r w:rsidRPr="00E4229D">
        <w:rPr>
          <w:b/>
          <w:kern w:val="32"/>
          <w:szCs w:val="32"/>
        </w:rPr>
        <w:t xml:space="preserve">PCS </w:t>
      </w:r>
    </w:p>
    <w:p w:rsidR="00E4229D" w:rsidRDefault="00E4229D" w:rsidP="00E4229D">
      <w:pPr>
        <w:jc w:val="both"/>
        <w:rPr>
          <w:rFonts w:cs="Arial"/>
          <w:kern w:val="32"/>
          <w:szCs w:val="32"/>
        </w:rPr>
      </w:pPr>
      <w:r w:rsidRPr="00E4229D">
        <w:rPr>
          <w:b/>
          <w:kern w:val="32"/>
          <w:szCs w:val="32"/>
        </w:rPr>
        <w:t>Phosphate:</w:t>
      </w:r>
      <w:r>
        <w:rPr>
          <w:b/>
          <w:kern w:val="32"/>
          <w:szCs w:val="32"/>
        </w:rPr>
        <w:tab/>
      </w:r>
      <w:r w:rsidR="00184747">
        <w:rPr>
          <w:rFonts w:cs="Arial"/>
          <w:kern w:val="32"/>
          <w:szCs w:val="32"/>
        </w:rPr>
        <w:t>No position.</w:t>
      </w:r>
    </w:p>
    <w:p w:rsidR="00184747" w:rsidRDefault="00184747" w:rsidP="00E4229D">
      <w:pPr>
        <w:jc w:val="both"/>
        <w:rPr>
          <w:rFonts w:cs="Arial"/>
          <w:kern w:val="32"/>
          <w:szCs w:val="32"/>
        </w:rPr>
      </w:pPr>
    </w:p>
    <w:p w:rsidR="00184747" w:rsidRDefault="00184747" w:rsidP="00E4229D">
      <w:pPr>
        <w:jc w:val="both"/>
      </w:pPr>
      <w:r w:rsidRPr="00E4229D">
        <w:rPr>
          <w:b/>
          <w:kern w:val="32"/>
          <w:szCs w:val="32"/>
        </w:rPr>
        <w:t>SACE:</w:t>
      </w:r>
      <w:r>
        <w:rPr>
          <w:b/>
          <w:kern w:val="32"/>
          <w:szCs w:val="32"/>
        </w:rPr>
        <w:tab/>
      </w:r>
      <w:r>
        <w:t>No Position</w:t>
      </w:r>
    </w:p>
    <w:p w:rsidR="00184747" w:rsidRDefault="00184747" w:rsidP="00E4229D">
      <w:pPr>
        <w:jc w:val="both"/>
      </w:pPr>
    </w:p>
    <w:p w:rsidR="00184747" w:rsidRPr="008242FC" w:rsidRDefault="00184747" w:rsidP="00E4229D">
      <w:pPr>
        <w:jc w:val="both"/>
      </w:pPr>
      <w:r w:rsidRPr="00E4229D">
        <w:rPr>
          <w:b/>
          <w:kern w:val="32"/>
          <w:szCs w:val="32"/>
        </w:rPr>
        <w:t>STAFF:</w:t>
      </w:r>
      <w:r>
        <w:rPr>
          <w:b/>
          <w:kern w:val="32"/>
          <w:szCs w:val="32"/>
        </w:rPr>
        <w:tab/>
      </w:r>
      <w:r>
        <w:t>Staff has no position pending evidence adduced at hearing.</w:t>
      </w:r>
    </w:p>
    <w:p w:rsidR="00E4229D" w:rsidRDefault="00E4229D" w:rsidP="00E4229D">
      <w:pPr>
        <w:jc w:val="both"/>
        <w:rPr>
          <w:b/>
          <w:kern w:val="32"/>
          <w:szCs w:val="32"/>
        </w:rPr>
      </w:pPr>
    </w:p>
    <w:p w:rsidR="00567CFB" w:rsidRDefault="00567CFB" w:rsidP="00BD1897">
      <w:pPr>
        <w:ind w:left="1440" w:hanging="1440"/>
        <w:jc w:val="both"/>
        <w:rPr>
          <w:b/>
          <w:kern w:val="32"/>
          <w:szCs w:val="32"/>
        </w:rPr>
      </w:pPr>
    </w:p>
    <w:p w:rsidR="00E4229D" w:rsidRDefault="00184747" w:rsidP="00BD1897">
      <w:pPr>
        <w:ind w:left="1440" w:hanging="1440"/>
        <w:jc w:val="both"/>
        <w:rPr>
          <w:b/>
        </w:rPr>
      </w:pPr>
      <w:r>
        <w:rPr>
          <w:b/>
          <w:kern w:val="32"/>
          <w:szCs w:val="32"/>
        </w:rPr>
        <w:t>ISSUE 3:</w:t>
      </w:r>
      <w:r>
        <w:rPr>
          <w:b/>
          <w:kern w:val="32"/>
          <w:szCs w:val="32"/>
        </w:rPr>
        <w:tab/>
      </w:r>
      <w:r w:rsidRPr="003B322A">
        <w:rPr>
          <w:b/>
        </w:rPr>
        <w:t>What jurisdictional amounts should the Commission approve as reasonably projected 2019 exit and wind down costs and carrying costs for the Crystal River Unit 3 Uprate Project?</w:t>
      </w:r>
    </w:p>
    <w:p w:rsidR="0030528C" w:rsidRDefault="0030528C" w:rsidP="00BD1897">
      <w:pPr>
        <w:jc w:val="both"/>
        <w:rPr>
          <w:b/>
        </w:rPr>
      </w:pPr>
    </w:p>
    <w:p w:rsidR="00DD0595" w:rsidRPr="00637D70" w:rsidRDefault="00184747" w:rsidP="00BD1897">
      <w:pPr>
        <w:ind w:left="1440" w:hanging="1440"/>
        <w:jc w:val="both"/>
        <w:rPr>
          <w:rFonts w:cs="Tahoma"/>
        </w:rPr>
      </w:pPr>
      <w:r w:rsidRPr="00E4229D">
        <w:rPr>
          <w:b/>
        </w:rPr>
        <w:t>DEF:</w:t>
      </w:r>
      <w:r w:rsidR="00DD0595">
        <w:rPr>
          <w:b/>
        </w:rPr>
        <w:tab/>
      </w:r>
      <w:r w:rsidR="00DD0595" w:rsidRPr="00637D70">
        <w:rPr>
          <w:rFonts w:cs="Tahoma"/>
        </w:rPr>
        <w:t>As presented in and supported by the testimony of Mr. Foster in DEF’s May 1, 2018, 2019 projection filing, the Commission should approve the following amounts as DEF’s reasonably estimated 2019 exit and wind down costs and carrying costs  for the Crystal River Unit 3 Uprate project consistent with Section 366.93(6) and Rule 25-6.0423(7):</w:t>
      </w:r>
    </w:p>
    <w:p w:rsidR="00DD0595" w:rsidRPr="00637D70" w:rsidRDefault="00DD0595" w:rsidP="00BD1897">
      <w:pPr>
        <w:jc w:val="both"/>
        <w:rPr>
          <w:rFonts w:cs="Tahoma"/>
        </w:rPr>
      </w:pPr>
    </w:p>
    <w:p w:rsidR="00DD0595" w:rsidRDefault="00DD0595" w:rsidP="00BD1897">
      <w:pPr>
        <w:ind w:left="720" w:firstLine="720"/>
        <w:jc w:val="both"/>
        <w:rPr>
          <w:rFonts w:cs="Tahoma"/>
          <w:bCs/>
        </w:rPr>
      </w:pPr>
      <w:r w:rsidRPr="00637D70">
        <w:rPr>
          <w:rFonts w:cs="Tahoma"/>
          <w:bCs/>
        </w:rPr>
        <w:t>Wind-Down &amp; Exit Costs (Jurisdictional, net of joint owners)-- $0</w:t>
      </w:r>
    </w:p>
    <w:p w:rsidR="00DD0595" w:rsidRPr="00637D70" w:rsidRDefault="00DD0595" w:rsidP="00BD1897">
      <w:pPr>
        <w:ind w:left="720" w:firstLine="720"/>
        <w:jc w:val="both"/>
        <w:rPr>
          <w:rFonts w:cs="Tahoma"/>
          <w:bCs/>
        </w:rPr>
      </w:pPr>
    </w:p>
    <w:p w:rsidR="00DD0595" w:rsidRDefault="00DD0595" w:rsidP="00BD1897">
      <w:pPr>
        <w:ind w:left="720" w:firstLine="720"/>
        <w:jc w:val="both"/>
        <w:rPr>
          <w:rFonts w:cs="Tahoma"/>
          <w:bCs/>
        </w:rPr>
      </w:pPr>
      <w:r w:rsidRPr="00637D70">
        <w:rPr>
          <w:rFonts w:cs="Tahoma"/>
          <w:bCs/>
        </w:rPr>
        <w:t>Carrying Costs-- $1,614,769</w:t>
      </w:r>
    </w:p>
    <w:p w:rsidR="00DD0595" w:rsidRPr="00637D70" w:rsidRDefault="00DD0595" w:rsidP="00BD1897">
      <w:pPr>
        <w:ind w:left="720" w:firstLine="720"/>
        <w:jc w:val="both"/>
        <w:rPr>
          <w:rFonts w:cs="Tahoma"/>
          <w:bCs/>
        </w:rPr>
      </w:pPr>
      <w:r w:rsidRPr="00637D70">
        <w:rPr>
          <w:rFonts w:cs="Tahoma"/>
          <w:bCs/>
        </w:rPr>
        <w:t>Amortization of 2013 Regulatory Asset -- $43,159,168</w:t>
      </w:r>
      <w:r>
        <w:rPr>
          <w:rFonts w:cs="Tahoma"/>
          <w:bCs/>
        </w:rPr>
        <w:t xml:space="preserve"> (Foster)</w:t>
      </w:r>
    </w:p>
    <w:p w:rsidR="00184747" w:rsidRDefault="00184747" w:rsidP="00BD1897">
      <w:pPr>
        <w:jc w:val="both"/>
        <w:rPr>
          <w:b/>
        </w:rPr>
      </w:pPr>
    </w:p>
    <w:p w:rsidR="00BD1897" w:rsidRDefault="00184747" w:rsidP="00BD1897">
      <w:pPr>
        <w:jc w:val="both"/>
        <w:rPr>
          <w:rFonts w:cs="Arial"/>
          <w:kern w:val="32"/>
          <w:szCs w:val="32"/>
        </w:rPr>
      </w:pPr>
      <w:r w:rsidRPr="00E4229D">
        <w:rPr>
          <w:b/>
          <w:bCs/>
        </w:rPr>
        <w:t>OPC:</w:t>
      </w:r>
      <w:r w:rsidR="0030528C">
        <w:rPr>
          <w:b/>
          <w:bCs/>
        </w:rPr>
        <w:tab/>
      </w:r>
      <w:r w:rsidR="0030528C">
        <w:rPr>
          <w:b/>
          <w:bCs/>
        </w:rPr>
        <w:tab/>
      </w:r>
      <w:r w:rsidR="0030528C" w:rsidRPr="00D246B4">
        <w:rPr>
          <w:rFonts w:cs="Arial"/>
          <w:kern w:val="32"/>
          <w:szCs w:val="32"/>
        </w:rPr>
        <w:t>Agree with DEF.</w:t>
      </w:r>
    </w:p>
    <w:p w:rsidR="008242FC" w:rsidRPr="00D34633" w:rsidRDefault="008242FC" w:rsidP="00BD1897">
      <w:pPr>
        <w:jc w:val="both"/>
        <w:rPr>
          <w:rFonts w:cs="Arial"/>
          <w:kern w:val="32"/>
          <w:szCs w:val="32"/>
        </w:rPr>
      </w:pPr>
    </w:p>
    <w:p w:rsidR="00184747" w:rsidRDefault="00184747" w:rsidP="00BD1897">
      <w:pPr>
        <w:jc w:val="both"/>
        <w:rPr>
          <w:b/>
          <w:bCs/>
        </w:rPr>
      </w:pPr>
      <w:r w:rsidRPr="00E4229D">
        <w:rPr>
          <w:b/>
          <w:bCs/>
        </w:rPr>
        <w:t>FIPUG:</w:t>
      </w:r>
      <w:r w:rsidR="00D70B5C">
        <w:rPr>
          <w:b/>
          <w:bCs/>
        </w:rPr>
        <w:tab/>
      </w:r>
      <w:r w:rsidR="00D70B5C">
        <w:rPr>
          <w:kern w:val="32"/>
          <w:szCs w:val="32"/>
        </w:rPr>
        <w:t>Adopt position of OPC.</w:t>
      </w:r>
    </w:p>
    <w:p w:rsidR="00184747" w:rsidRDefault="00184747" w:rsidP="00BD1897">
      <w:pPr>
        <w:jc w:val="both"/>
        <w:rPr>
          <w:b/>
          <w:bCs/>
        </w:rPr>
      </w:pPr>
    </w:p>
    <w:p w:rsidR="00184747" w:rsidRPr="00E4229D" w:rsidRDefault="00184747" w:rsidP="00BD1897">
      <w:pPr>
        <w:ind w:left="1440" w:hanging="1440"/>
        <w:jc w:val="both"/>
        <w:rPr>
          <w:b/>
          <w:kern w:val="32"/>
          <w:szCs w:val="32"/>
        </w:rPr>
      </w:pPr>
      <w:r w:rsidRPr="00E4229D">
        <w:rPr>
          <w:b/>
          <w:kern w:val="32"/>
          <w:szCs w:val="32"/>
        </w:rPr>
        <w:t xml:space="preserve">PCS </w:t>
      </w:r>
    </w:p>
    <w:p w:rsidR="00184747" w:rsidRDefault="00184747" w:rsidP="00BD1897">
      <w:pPr>
        <w:jc w:val="both"/>
        <w:rPr>
          <w:b/>
          <w:kern w:val="32"/>
          <w:szCs w:val="32"/>
        </w:rPr>
      </w:pPr>
      <w:r w:rsidRPr="00E4229D">
        <w:rPr>
          <w:b/>
          <w:kern w:val="32"/>
          <w:szCs w:val="32"/>
        </w:rPr>
        <w:t>Phosphate:</w:t>
      </w:r>
      <w:r w:rsidR="0030528C">
        <w:rPr>
          <w:b/>
          <w:kern w:val="32"/>
          <w:szCs w:val="32"/>
        </w:rPr>
        <w:tab/>
      </w:r>
      <w:r w:rsidR="0030528C">
        <w:rPr>
          <w:rFonts w:cs="Arial"/>
          <w:kern w:val="32"/>
          <w:szCs w:val="32"/>
        </w:rPr>
        <w:t>No position</w:t>
      </w:r>
      <w:r w:rsidR="0030528C" w:rsidRPr="00D246B4">
        <w:rPr>
          <w:rFonts w:cs="Arial"/>
          <w:kern w:val="32"/>
          <w:szCs w:val="32"/>
        </w:rPr>
        <w:t>.</w:t>
      </w:r>
    </w:p>
    <w:p w:rsidR="00184747" w:rsidRDefault="00184747" w:rsidP="00BD1897">
      <w:pPr>
        <w:jc w:val="both"/>
        <w:rPr>
          <w:b/>
          <w:kern w:val="32"/>
          <w:szCs w:val="32"/>
        </w:rPr>
      </w:pPr>
    </w:p>
    <w:p w:rsidR="00184747" w:rsidRDefault="00184747" w:rsidP="00BD1897">
      <w:pPr>
        <w:jc w:val="both"/>
      </w:pPr>
      <w:r w:rsidRPr="00E4229D">
        <w:rPr>
          <w:b/>
          <w:kern w:val="32"/>
          <w:szCs w:val="32"/>
        </w:rPr>
        <w:lastRenderedPageBreak/>
        <w:t>SACE:</w:t>
      </w:r>
      <w:r w:rsidR="0030528C">
        <w:rPr>
          <w:b/>
          <w:kern w:val="32"/>
          <w:szCs w:val="32"/>
        </w:rPr>
        <w:tab/>
      </w:r>
      <w:r w:rsidR="0030528C">
        <w:t>No Position</w:t>
      </w:r>
    </w:p>
    <w:p w:rsidR="008242FC" w:rsidRDefault="008242FC" w:rsidP="00BD1897">
      <w:pPr>
        <w:jc w:val="both"/>
        <w:rPr>
          <w:b/>
          <w:kern w:val="32"/>
          <w:szCs w:val="32"/>
        </w:rPr>
      </w:pPr>
    </w:p>
    <w:p w:rsidR="00184747" w:rsidRDefault="00184747" w:rsidP="00BD1897">
      <w:pPr>
        <w:jc w:val="both"/>
        <w:rPr>
          <w:b/>
          <w:kern w:val="32"/>
          <w:szCs w:val="32"/>
        </w:rPr>
      </w:pPr>
      <w:r w:rsidRPr="00E4229D">
        <w:rPr>
          <w:b/>
          <w:kern w:val="32"/>
          <w:szCs w:val="32"/>
        </w:rPr>
        <w:t>STAFF:</w:t>
      </w:r>
      <w:r w:rsidR="0030528C">
        <w:rPr>
          <w:b/>
          <w:kern w:val="32"/>
          <w:szCs w:val="32"/>
        </w:rPr>
        <w:tab/>
      </w:r>
      <w:r w:rsidR="0030528C">
        <w:t>Staff has no position pending evidence adduced at hearing.</w:t>
      </w:r>
    </w:p>
    <w:p w:rsidR="00D70B5C" w:rsidRDefault="00D70B5C" w:rsidP="00184747">
      <w:pPr>
        <w:ind w:left="1440" w:hanging="1440"/>
        <w:jc w:val="both"/>
        <w:rPr>
          <w:b/>
          <w:kern w:val="32"/>
          <w:szCs w:val="32"/>
        </w:rPr>
      </w:pPr>
    </w:p>
    <w:p w:rsidR="00567CFB" w:rsidRDefault="00567CFB" w:rsidP="00BD1897">
      <w:pPr>
        <w:ind w:left="1440" w:hanging="1440"/>
        <w:jc w:val="both"/>
        <w:rPr>
          <w:b/>
          <w:kern w:val="32"/>
          <w:szCs w:val="32"/>
        </w:rPr>
      </w:pPr>
    </w:p>
    <w:p w:rsidR="00184747" w:rsidRDefault="00184747" w:rsidP="00BD1897">
      <w:pPr>
        <w:ind w:left="1440" w:hanging="1440"/>
        <w:jc w:val="both"/>
        <w:rPr>
          <w:b/>
          <w:kern w:val="32"/>
          <w:szCs w:val="32"/>
        </w:rPr>
      </w:pPr>
      <w:r>
        <w:rPr>
          <w:b/>
          <w:kern w:val="32"/>
          <w:szCs w:val="32"/>
        </w:rPr>
        <w:t xml:space="preserve">ISSUE 4: </w:t>
      </w:r>
      <w:r>
        <w:rPr>
          <w:b/>
          <w:kern w:val="32"/>
          <w:szCs w:val="32"/>
        </w:rPr>
        <w:tab/>
      </w:r>
      <w:r w:rsidRPr="003B322A">
        <w:rPr>
          <w:b/>
        </w:rPr>
        <w:t>What is the total jurisdictional amount for the Crystal River Unit 3 Uprate Project to be included in establishing DEF’s 2019 Capacity Cost Recovery Clause Factor?</w:t>
      </w:r>
    </w:p>
    <w:p w:rsidR="00184747" w:rsidRDefault="00184747" w:rsidP="00BD1897">
      <w:pPr>
        <w:jc w:val="both"/>
        <w:rPr>
          <w:b/>
          <w:kern w:val="32"/>
          <w:szCs w:val="32"/>
        </w:rPr>
      </w:pPr>
    </w:p>
    <w:p w:rsidR="00184747" w:rsidRDefault="00184747" w:rsidP="00BD1897">
      <w:pPr>
        <w:ind w:left="1440" w:hanging="1440"/>
        <w:jc w:val="both"/>
        <w:rPr>
          <w:b/>
        </w:rPr>
      </w:pPr>
      <w:r w:rsidRPr="00E4229D">
        <w:rPr>
          <w:b/>
        </w:rPr>
        <w:t>DEF:</w:t>
      </w:r>
      <w:r w:rsidR="00DD0595">
        <w:rPr>
          <w:b/>
        </w:rPr>
        <w:tab/>
      </w:r>
      <w:r w:rsidR="00DD0595" w:rsidRPr="00637D70">
        <w:rPr>
          <w:rFonts w:cs="Tahoma"/>
        </w:rPr>
        <w:t>The total jurisdictional amount for the CR3 EPU project to be included in establishing DEF's 2019 Capacity Cost Recovery Clause factor should be $43,858,854</w:t>
      </w:r>
      <w:r w:rsidR="00DD0595">
        <w:rPr>
          <w:rFonts w:cs="Tahoma"/>
        </w:rPr>
        <w:t>. (Foster)</w:t>
      </w:r>
    </w:p>
    <w:p w:rsidR="00184747" w:rsidRDefault="00184747" w:rsidP="00BD1897">
      <w:pPr>
        <w:jc w:val="both"/>
        <w:rPr>
          <w:b/>
        </w:rPr>
      </w:pPr>
    </w:p>
    <w:p w:rsidR="00184747" w:rsidRDefault="00184747" w:rsidP="00BD1897">
      <w:pPr>
        <w:jc w:val="both"/>
        <w:rPr>
          <w:b/>
          <w:bCs/>
        </w:rPr>
      </w:pPr>
      <w:r w:rsidRPr="00E4229D">
        <w:rPr>
          <w:b/>
          <w:bCs/>
        </w:rPr>
        <w:t>OPC:</w:t>
      </w:r>
      <w:r w:rsidR="0030528C">
        <w:rPr>
          <w:b/>
          <w:bCs/>
        </w:rPr>
        <w:tab/>
      </w:r>
      <w:r w:rsidR="0030528C">
        <w:rPr>
          <w:b/>
          <w:bCs/>
        </w:rPr>
        <w:tab/>
      </w:r>
      <w:r w:rsidR="0030528C" w:rsidRPr="00D246B4">
        <w:rPr>
          <w:rFonts w:cs="Arial"/>
          <w:kern w:val="32"/>
          <w:szCs w:val="32"/>
        </w:rPr>
        <w:t>Agree with DEF.</w:t>
      </w:r>
    </w:p>
    <w:p w:rsidR="00184747" w:rsidRDefault="00184747" w:rsidP="00BD1897">
      <w:pPr>
        <w:jc w:val="both"/>
        <w:rPr>
          <w:b/>
          <w:bCs/>
        </w:rPr>
      </w:pPr>
    </w:p>
    <w:p w:rsidR="00D70B5C" w:rsidRPr="00D70B5C" w:rsidRDefault="00184747" w:rsidP="00BD1897">
      <w:pPr>
        <w:ind w:left="1440" w:hanging="1440"/>
        <w:jc w:val="both"/>
        <w:rPr>
          <w:kern w:val="32"/>
          <w:szCs w:val="32"/>
        </w:rPr>
      </w:pPr>
      <w:r w:rsidRPr="00E4229D">
        <w:rPr>
          <w:b/>
          <w:bCs/>
        </w:rPr>
        <w:t>FIPUG:</w:t>
      </w:r>
      <w:r w:rsidR="00D70B5C">
        <w:rPr>
          <w:b/>
          <w:bCs/>
        </w:rPr>
        <w:tab/>
      </w:r>
      <w:r w:rsidR="00D70B5C" w:rsidRPr="00D70B5C">
        <w:rPr>
          <w:kern w:val="32"/>
          <w:szCs w:val="32"/>
        </w:rPr>
        <w:t>Adopt position of OPC.</w:t>
      </w:r>
    </w:p>
    <w:p w:rsidR="00D70B5C" w:rsidRPr="00D70B5C" w:rsidRDefault="00D70B5C" w:rsidP="00BD1897">
      <w:pPr>
        <w:ind w:left="1440" w:hanging="1440"/>
        <w:jc w:val="both"/>
        <w:rPr>
          <w:kern w:val="32"/>
          <w:szCs w:val="32"/>
        </w:rPr>
      </w:pPr>
    </w:p>
    <w:p w:rsidR="00184747" w:rsidRPr="00E4229D" w:rsidRDefault="00184747" w:rsidP="00BD1897">
      <w:pPr>
        <w:ind w:left="1440" w:hanging="1440"/>
        <w:jc w:val="both"/>
        <w:rPr>
          <w:b/>
          <w:kern w:val="32"/>
          <w:szCs w:val="32"/>
        </w:rPr>
      </w:pPr>
      <w:r w:rsidRPr="00E4229D">
        <w:rPr>
          <w:b/>
          <w:kern w:val="32"/>
          <w:szCs w:val="32"/>
        </w:rPr>
        <w:t xml:space="preserve">PCS </w:t>
      </w:r>
    </w:p>
    <w:p w:rsidR="00184747" w:rsidRDefault="00184747" w:rsidP="00BD1897">
      <w:pPr>
        <w:jc w:val="both"/>
        <w:rPr>
          <w:b/>
          <w:kern w:val="32"/>
          <w:szCs w:val="32"/>
        </w:rPr>
      </w:pPr>
      <w:r w:rsidRPr="00E4229D">
        <w:rPr>
          <w:b/>
          <w:kern w:val="32"/>
          <w:szCs w:val="32"/>
        </w:rPr>
        <w:t>Phosphate:</w:t>
      </w:r>
      <w:r w:rsidR="0030528C">
        <w:rPr>
          <w:b/>
          <w:kern w:val="32"/>
          <w:szCs w:val="32"/>
        </w:rPr>
        <w:tab/>
      </w:r>
      <w:r w:rsidR="0030528C">
        <w:rPr>
          <w:rFonts w:cs="Arial"/>
          <w:kern w:val="32"/>
          <w:szCs w:val="32"/>
        </w:rPr>
        <w:t>No position</w:t>
      </w:r>
      <w:r w:rsidR="0030528C" w:rsidRPr="00D246B4">
        <w:rPr>
          <w:rFonts w:cs="Arial"/>
          <w:kern w:val="32"/>
          <w:szCs w:val="32"/>
        </w:rPr>
        <w:t>.</w:t>
      </w:r>
    </w:p>
    <w:p w:rsidR="00184747" w:rsidRDefault="00184747" w:rsidP="00BD1897">
      <w:pPr>
        <w:jc w:val="both"/>
        <w:rPr>
          <w:b/>
          <w:kern w:val="32"/>
          <w:szCs w:val="32"/>
        </w:rPr>
      </w:pPr>
    </w:p>
    <w:p w:rsidR="00184747" w:rsidRDefault="00184747" w:rsidP="00BD1897">
      <w:pPr>
        <w:jc w:val="both"/>
        <w:rPr>
          <w:b/>
          <w:kern w:val="32"/>
          <w:szCs w:val="32"/>
        </w:rPr>
      </w:pPr>
      <w:r w:rsidRPr="00E4229D">
        <w:rPr>
          <w:b/>
          <w:kern w:val="32"/>
          <w:szCs w:val="32"/>
        </w:rPr>
        <w:t>SACE:</w:t>
      </w:r>
      <w:r w:rsidR="0030528C">
        <w:rPr>
          <w:b/>
          <w:kern w:val="32"/>
          <w:szCs w:val="32"/>
        </w:rPr>
        <w:tab/>
      </w:r>
      <w:r w:rsidR="0030528C">
        <w:t>No Position</w:t>
      </w:r>
    </w:p>
    <w:p w:rsidR="00184747" w:rsidRDefault="00184747" w:rsidP="00BD1897">
      <w:pPr>
        <w:jc w:val="both"/>
        <w:rPr>
          <w:b/>
          <w:kern w:val="32"/>
          <w:szCs w:val="32"/>
        </w:rPr>
      </w:pPr>
    </w:p>
    <w:p w:rsidR="00184747" w:rsidRDefault="00184747" w:rsidP="00BD1897">
      <w:pPr>
        <w:jc w:val="both"/>
        <w:rPr>
          <w:b/>
          <w:kern w:val="32"/>
          <w:szCs w:val="32"/>
        </w:rPr>
      </w:pPr>
      <w:r w:rsidRPr="00E4229D">
        <w:rPr>
          <w:b/>
          <w:kern w:val="32"/>
          <w:szCs w:val="32"/>
        </w:rPr>
        <w:t>STAFF:</w:t>
      </w:r>
      <w:r w:rsidR="0030528C">
        <w:rPr>
          <w:b/>
          <w:kern w:val="32"/>
          <w:szCs w:val="32"/>
        </w:rPr>
        <w:tab/>
      </w:r>
      <w:r w:rsidR="0030528C">
        <w:t>Staff has no position pending evidence adduced at hearing.</w:t>
      </w:r>
    </w:p>
    <w:p w:rsidR="00184747" w:rsidRDefault="00184747" w:rsidP="00BD1897">
      <w:pPr>
        <w:jc w:val="both"/>
        <w:rPr>
          <w:b/>
          <w:bCs/>
        </w:rPr>
      </w:pPr>
    </w:p>
    <w:p w:rsidR="00567CFB" w:rsidRDefault="00567CFB" w:rsidP="00BD1897">
      <w:pPr>
        <w:ind w:left="1500" w:hanging="1500"/>
        <w:jc w:val="both"/>
        <w:rPr>
          <w:b/>
          <w:bCs/>
        </w:rPr>
      </w:pPr>
    </w:p>
    <w:p w:rsidR="00184747" w:rsidRDefault="00184747" w:rsidP="00BD1897">
      <w:pPr>
        <w:ind w:left="1500" w:hanging="1500"/>
        <w:jc w:val="both"/>
        <w:rPr>
          <w:b/>
        </w:rPr>
      </w:pPr>
      <w:r>
        <w:rPr>
          <w:b/>
          <w:bCs/>
        </w:rPr>
        <w:t>ISSUE 5:</w:t>
      </w:r>
      <w:r>
        <w:rPr>
          <w:b/>
          <w:bCs/>
        </w:rPr>
        <w:tab/>
      </w:r>
      <w:r w:rsidRPr="003B322A">
        <w:rPr>
          <w:b/>
        </w:rPr>
        <w:t>Is there a need, pursuant to Paragraph 9 of the 2017 Second Revised and Restated Stipulation and Settlement Agreement, approved in Order No. PSC-2017-0451-AS-EU, for DEF to participate in the 2019 NCRC Docket?</w:t>
      </w:r>
    </w:p>
    <w:p w:rsidR="00184747" w:rsidRDefault="00184747" w:rsidP="00BD1897">
      <w:pPr>
        <w:ind w:left="1500" w:hanging="1500"/>
        <w:jc w:val="both"/>
        <w:rPr>
          <w:b/>
        </w:rPr>
      </w:pPr>
    </w:p>
    <w:p w:rsidR="00DD0595" w:rsidRPr="00637D70" w:rsidRDefault="00184747" w:rsidP="00BD1897">
      <w:pPr>
        <w:ind w:left="1440" w:hanging="1440"/>
        <w:jc w:val="both"/>
        <w:rPr>
          <w:rFonts w:cs="Tahoma"/>
        </w:rPr>
      </w:pPr>
      <w:r w:rsidRPr="00E4229D">
        <w:rPr>
          <w:b/>
        </w:rPr>
        <w:t>DEF:</w:t>
      </w:r>
      <w:r w:rsidR="00DD0595">
        <w:rPr>
          <w:b/>
        </w:rPr>
        <w:tab/>
      </w:r>
      <w:r w:rsidR="00DD0595" w:rsidRPr="00637D70">
        <w:rPr>
          <w:rFonts w:cs="Tahoma"/>
        </w:rPr>
        <w:t xml:space="preserve">No. There is no need for DEF to participate in the 2019 NCRC Docket. Per Paragraph 9 of the 2017 Second Revised and Restated Stipulation and Settlement Agreement (RRSSA), DEF Estimated the unrecovered investment balance as of December 31, 2017 to be $86,682,782 (not including, but subject to the addition of applicable carrying costs and other recoverable costs). </w:t>
      </w:r>
    </w:p>
    <w:p w:rsidR="00DD0595" w:rsidRPr="00637D70" w:rsidRDefault="00DD0595" w:rsidP="00BD1897">
      <w:pPr>
        <w:jc w:val="both"/>
        <w:rPr>
          <w:rFonts w:cs="Tahoma"/>
        </w:rPr>
      </w:pPr>
    </w:p>
    <w:p w:rsidR="00DD0595" w:rsidRPr="00637D70" w:rsidRDefault="00DD0595" w:rsidP="00BD1897">
      <w:pPr>
        <w:ind w:left="1440"/>
        <w:jc w:val="both"/>
        <w:rPr>
          <w:rFonts w:cs="Tahoma"/>
        </w:rPr>
      </w:pPr>
      <w:r w:rsidRPr="00637D70">
        <w:rPr>
          <w:rFonts w:cs="Tahoma"/>
        </w:rPr>
        <w:t>Any final true-up of these costs after December 31, 2019 will be included in the 2019 CCR True-up filing (on or about March 1, 2020), and will collected/refunded as appropriate through that clause.  All parties will have an opportunity to review the true-up amount in that docket.    </w:t>
      </w:r>
    </w:p>
    <w:p w:rsidR="00DD0595" w:rsidRPr="00637D70" w:rsidRDefault="00DD0595" w:rsidP="00BD1897">
      <w:pPr>
        <w:jc w:val="both"/>
        <w:rPr>
          <w:rFonts w:cs="Tahoma"/>
        </w:rPr>
      </w:pPr>
    </w:p>
    <w:p w:rsidR="00DD0595" w:rsidRPr="00637D70" w:rsidRDefault="00DD0595" w:rsidP="00BD1897">
      <w:pPr>
        <w:ind w:left="1440"/>
        <w:jc w:val="both"/>
        <w:rPr>
          <w:rFonts w:cs="Tahoma"/>
        </w:rPr>
      </w:pPr>
      <w:r w:rsidRPr="00637D70">
        <w:rPr>
          <w:rFonts w:cs="Tahoma"/>
        </w:rPr>
        <w:t xml:space="preserve">The Actual unrecovered investment balance as of December 31, 2017 was $86,682,047 (not including, but subject to the addition of applicable carrying costs and other recoverable costs) as presented in (Exhibit No_TGF-1), filed on March 1, 2018 in the NCRC Docket 20180009-EI. </w:t>
      </w:r>
    </w:p>
    <w:p w:rsidR="00DD0595" w:rsidRPr="00637D70" w:rsidRDefault="00DD0595" w:rsidP="00BD1897">
      <w:pPr>
        <w:ind w:left="1440" w:hanging="1440"/>
        <w:jc w:val="both"/>
        <w:rPr>
          <w:rFonts w:cs="Tahoma"/>
        </w:rPr>
      </w:pPr>
    </w:p>
    <w:p w:rsidR="00DD0595" w:rsidRPr="00637D70" w:rsidRDefault="00DD0595" w:rsidP="00BD1897">
      <w:pPr>
        <w:numPr>
          <w:ilvl w:val="0"/>
          <w:numId w:val="2"/>
        </w:numPr>
        <w:spacing w:after="200"/>
        <w:jc w:val="both"/>
        <w:rPr>
          <w:rFonts w:cs="Tahoma"/>
        </w:rPr>
      </w:pPr>
      <w:r w:rsidRPr="00637D70">
        <w:rPr>
          <w:rFonts w:cs="Tahoma"/>
        </w:rPr>
        <w:lastRenderedPageBreak/>
        <w:t>In 2018 DEF collected $ 49,648,457 (including: approximately $6M in carrying costs &amp; other recoverable costs).</w:t>
      </w:r>
    </w:p>
    <w:p w:rsidR="00DD0595" w:rsidRPr="00637D70" w:rsidRDefault="00DD0595" w:rsidP="00BD1897">
      <w:pPr>
        <w:numPr>
          <w:ilvl w:val="0"/>
          <w:numId w:val="2"/>
        </w:numPr>
        <w:spacing w:after="200"/>
        <w:jc w:val="both"/>
        <w:rPr>
          <w:rFonts w:cs="Tahoma"/>
        </w:rPr>
      </w:pPr>
      <w:r w:rsidRPr="00637D70">
        <w:rPr>
          <w:rFonts w:cs="Tahoma"/>
        </w:rPr>
        <w:t>In 2019 DEF will collect $ 43,858,854 (including: approximately $1M carrying costs &amp; other recoverable costs).</w:t>
      </w:r>
    </w:p>
    <w:p w:rsidR="00DD0595" w:rsidRPr="00637D70" w:rsidRDefault="00DD0595" w:rsidP="00BD1897">
      <w:pPr>
        <w:numPr>
          <w:ilvl w:val="0"/>
          <w:numId w:val="2"/>
        </w:numPr>
        <w:spacing w:after="200"/>
        <w:jc w:val="both"/>
        <w:rPr>
          <w:rFonts w:cs="Tahoma"/>
        </w:rPr>
      </w:pPr>
      <w:r w:rsidRPr="00637D70">
        <w:rPr>
          <w:rFonts w:cs="Tahoma"/>
        </w:rPr>
        <w:t>DEF does not anticipate a material under or over-recovery at year-end 2019.</w:t>
      </w:r>
      <w:r>
        <w:rPr>
          <w:rFonts w:cs="Tahoma"/>
        </w:rPr>
        <w:t xml:space="preserve"> (Foster)</w:t>
      </w:r>
    </w:p>
    <w:p w:rsidR="00184747" w:rsidRDefault="00184747" w:rsidP="00184747">
      <w:pPr>
        <w:jc w:val="both"/>
        <w:rPr>
          <w:b/>
        </w:rPr>
      </w:pPr>
    </w:p>
    <w:p w:rsidR="00184747" w:rsidRDefault="00184747" w:rsidP="0030528C">
      <w:pPr>
        <w:ind w:left="1440" w:hanging="1440"/>
        <w:jc w:val="both"/>
        <w:rPr>
          <w:b/>
          <w:bCs/>
        </w:rPr>
      </w:pPr>
      <w:r w:rsidRPr="00E4229D">
        <w:rPr>
          <w:b/>
          <w:bCs/>
        </w:rPr>
        <w:t>OPC:</w:t>
      </w:r>
      <w:r w:rsidR="0030528C">
        <w:rPr>
          <w:b/>
          <w:bCs/>
        </w:rPr>
        <w:tab/>
      </w:r>
      <w:r w:rsidR="0030528C" w:rsidRPr="008D3D46">
        <w:rPr>
          <w:rFonts w:cs="Arial"/>
          <w:kern w:val="32"/>
          <w:szCs w:val="32"/>
        </w:rPr>
        <w:t xml:space="preserve">No </w:t>
      </w:r>
      <w:r w:rsidR="0030528C">
        <w:rPr>
          <w:rFonts w:cs="Arial"/>
          <w:kern w:val="32"/>
          <w:szCs w:val="32"/>
        </w:rPr>
        <w:t>p</w:t>
      </w:r>
      <w:r w:rsidR="0030528C" w:rsidRPr="008D3D46">
        <w:rPr>
          <w:rFonts w:cs="Arial"/>
          <w:kern w:val="32"/>
          <w:szCs w:val="32"/>
        </w:rPr>
        <w:t>osition</w:t>
      </w:r>
      <w:r w:rsidR="0030528C">
        <w:rPr>
          <w:rFonts w:cs="Arial"/>
          <w:kern w:val="32"/>
          <w:szCs w:val="32"/>
        </w:rPr>
        <w:t xml:space="preserve"> at this time pending execution of an acceptable transition stipulation among the parties</w:t>
      </w:r>
      <w:r w:rsidR="0030528C" w:rsidRPr="008D3D46">
        <w:rPr>
          <w:rFonts w:cs="Arial"/>
          <w:kern w:val="32"/>
          <w:szCs w:val="32"/>
        </w:rPr>
        <w:t>.</w:t>
      </w:r>
    </w:p>
    <w:p w:rsidR="00184747" w:rsidRDefault="00184747" w:rsidP="00184747">
      <w:pPr>
        <w:jc w:val="both"/>
        <w:rPr>
          <w:b/>
          <w:bCs/>
        </w:rPr>
      </w:pPr>
    </w:p>
    <w:p w:rsidR="00184747" w:rsidRDefault="00184747" w:rsidP="00184747">
      <w:pPr>
        <w:jc w:val="both"/>
        <w:rPr>
          <w:b/>
          <w:bCs/>
        </w:rPr>
      </w:pPr>
      <w:r w:rsidRPr="00E4229D">
        <w:rPr>
          <w:b/>
          <w:bCs/>
        </w:rPr>
        <w:t>FIPUG:</w:t>
      </w:r>
      <w:r w:rsidR="00D70B5C">
        <w:rPr>
          <w:b/>
          <w:bCs/>
        </w:rPr>
        <w:tab/>
      </w:r>
      <w:r w:rsidR="00D70B5C">
        <w:rPr>
          <w:kern w:val="32"/>
          <w:szCs w:val="32"/>
        </w:rPr>
        <w:t>Adopt position of OPC.</w:t>
      </w:r>
    </w:p>
    <w:p w:rsidR="00184747" w:rsidRDefault="00184747" w:rsidP="00184747">
      <w:pPr>
        <w:jc w:val="both"/>
        <w:rPr>
          <w:b/>
          <w:bCs/>
        </w:rPr>
      </w:pPr>
    </w:p>
    <w:p w:rsidR="00184747" w:rsidRPr="00E4229D" w:rsidRDefault="00184747" w:rsidP="00184747">
      <w:pPr>
        <w:ind w:left="1440" w:hanging="1440"/>
        <w:jc w:val="both"/>
        <w:rPr>
          <w:b/>
          <w:kern w:val="32"/>
          <w:szCs w:val="32"/>
        </w:rPr>
      </w:pPr>
      <w:r w:rsidRPr="00E4229D">
        <w:rPr>
          <w:b/>
          <w:kern w:val="32"/>
          <w:szCs w:val="32"/>
        </w:rPr>
        <w:t xml:space="preserve">PCS </w:t>
      </w:r>
    </w:p>
    <w:p w:rsidR="00184747" w:rsidRDefault="00184747" w:rsidP="0030528C">
      <w:pPr>
        <w:ind w:left="1440" w:hanging="1440"/>
        <w:jc w:val="both"/>
        <w:rPr>
          <w:b/>
          <w:kern w:val="32"/>
          <w:szCs w:val="32"/>
        </w:rPr>
      </w:pPr>
      <w:r w:rsidRPr="00E4229D">
        <w:rPr>
          <w:b/>
          <w:kern w:val="32"/>
          <w:szCs w:val="32"/>
        </w:rPr>
        <w:t>Phosphate:</w:t>
      </w:r>
      <w:r w:rsidR="0030528C">
        <w:rPr>
          <w:b/>
          <w:kern w:val="32"/>
          <w:szCs w:val="32"/>
        </w:rPr>
        <w:tab/>
      </w:r>
      <w:r w:rsidR="0030528C" w:rsidRPr="008D3D46">
        <w:rPr>
          <w:rFonts w:cs="Arial"/>
          <w:kern w:val="32"/>
          <w:szCs w:val="32"/>
        </w:rPr>
        <w:t xml:space="preserve">No </w:t>
      </w:r>
      <w:r w:rsidR="0030528C">
        <w:rPr>
          <w:rFonts w:cs="Arial"/>
          <w:kern w:val="32"/>
          <w:szCs w:val="32"/>
        </w:rPr>
        <w:t>p</w:t>
      </w:r>
      <w:r w:rsidR="0030528C" w:rsidRPr="008D3D46">
        <w:rPr>
          <w:rFonts w:cs="Arial"/>
          <w:kern w:val="32"/>
          <w:szCs w:val="32"/>
        </w:rPr>
        <w:t>osition.</w:t>
      </w:r>
    </w:p>
    <w:p w:rsidR="00184747" w:rsidRDefault="00184747" w:rsidP="00184747">
      <w:pPr>
        <w:jc w:val="both"/>
        <w:rPr>
          <w:b/>
          <w:kern w:val="32"/>
          <w:szCs w:val="32"/>
        </w:rPr>
      </w:pPr>
    </w:p>
    <w:p w:rsidR="00184747" w:rsidRDefault="00184747" w:rsidP="00184747">
      <w:pPr>
        <w:jc w:val="both"/>
        <w:rPr>
          <w:b/>
          <w:kern w:val="32"/>
          <w:szCs w:val="32"/>
        </w:rPr>
      </w:pPr>
      <w:r w:rsidRPr="00E4229D">
        <w:rPr>
          <w:b/>
          <w:kern w:val="32"/>
          <w:szCs w:val="32"/>
        </w:rPr>
        <w:t>SACE:</w:t>
      </w:r>
      <w:r w:rsidR="0030528C">
        <w:rPr>
          <w:b/>
          <w:kern w:val="32"/>
          <w:szCs w:val="32"/>
        </w:rPr>
        <w:tab/>
      </w:r>
      <w:r w:rsidR="0030528C">
        <w:t>No Position</w:t>
      </w:r>
    </w:p>
    <w:p w:rsidR="00184747" w:rsidRDefault="0030528C" w:rsidP="00184747">
      <w:pPr>
        <w:jc w:val="both"/>
        <w:rPr>
          <w:b/>
          <w:kern w:val="32"/>
          <w:szCs w:val="32"/>
        </w:rPr>
      </w:pPr>
      <w:r>
        <w:rPr>
          <w:b/>
          <w:kern w:val="32"/>
          <w:szCs w:val="32"/>
        </w:rPr>
        <w:tab/>
      </w:r>
    </w:p>
    <w:p w:rsidR="00184747" w:rsidRDefault="00184747" w:rsidP="00184747">
      <w:pPr>
        <w:jc w:val="both"/>
        <w:rPr>
          <w:b/>
          <w:kern w:val="32"/>
          <w:szCs w:val="32"/>
        </w:rPr>
      </w:pPr>
      <w:r w:rsidRPr="00E4229D">
        <w:rPr>
          <w:b/>
          <w:kern w:val="32"/>
          <w:szCs w:val="32"/>
        </w:rPr>
        <w:t>STAFF:</w:t>
      </w:r>
      <w:r w:rsidR="0030528C">
        <w:rPr>
          <w:b/>
          <w:kern w:val="32"/>
          <w:szCs w:val="32"/>
        </w:rPr>
        <w:tab/>
      </w:r>
      <w:r w:rsidR="0030528C">
        <w:t>Staff has no position pending evidence adduced at hearing.</w:t>
      </w:r>
    </w:p>
    <w:p w:rsidR="00184747" w:rsidRDefault="00184747" w:rsidP="00184747">
      <w:pPr>
        <w:jc w:val="both"/>
        <w:rPr>
          <w:b/>
          <w:kern w:val="32"/>
          <w:szCs w:val="32"/>
        </w:rPr>
      </w:pPr>
    </w:p>
    <w:p w:rsidR="00FB5287" w:rsidRPr="00FB5287" w:rsidRDefault="00BB4C69" w:rsidP="00BB4C69">
      <w:pPr>
        <w:jc w:val="both"/>
        <w:rPr>
          <w:b/>
          <w:u w:val="single"/>
        </w:rPr>
      </w:pPr>
      <w:r w:rsidRPr="00A32DC5">
        <w:rPr>
          <w:b/>
        </w:rPr>
        <w:t>IX.</w:t>
      </w:r>
      <w:r w:rsidRPr="00A32DC5">
        <w:rPr>
          <w:b/>
        </w:rPr>
        <w:tab/>
      </w:r>
      <w:r w:rsidRPr="00A32DC5">
        <w:rPr>
          <w:b/>
          <w:u w:val="single"/>
        </w:rPr>
        <w:t>EXHIBIT LIST</w:t>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BB4C69" w:rsidRPr="00701945" w:rsidTr="008F76CC">
        <w:trPr>
          <w:cantSplit/>
          <w:trHeight w:val="373"/>
          <w:tblHeader/>
        </w:trPr>
        <w:tc>
          <w:tcPr>
            <w:tcW w:w="3198" w:type="dxa"/>
            <w:tcBorders>
              <w:top w:val="nil"/>
              <w:left w:val="nil"/>
              <w:bottom w:val="nil"/>
              <w:right w:val="nil"/>
            </w:tcBorders>
          </w:tcPr>
          <w:p w:rsidR="00BB4C69" w:rsidRPr="00701945" w:rsidRDefault="00BB4C69" w:rsidP="008F76CC">
            <w:pPr>
              <w:jc w:val="both"/>
            </w:pPr>
            <w:r w:rsidRPr="00701945">
              <w:rPr>
                <w:u w:val="single"/>
              </w:rPr>
              <w:t>Witness</w:t>
            </w:r>
          </w:p>
        </w:tc>
        <w:tc>
          <w:tcPr>
            <w:tcW w:w="1680" w:type="dxa"/>
            <w:tcBorders>
              <w:top w:val="nil"/>
              <w:left w:val="nil"/>
              <w:bottom w:val="nil"/>
              <w:right w:val="nil"/>
            </w:tcBorders>
          </w:tcPr>
          <w:p w:rsidR="00BB4C69" w:rsidRPr="00701945" w:rsidRDefault="00BB4C69" w:rsidP="008F76CC">
            <w:pPr>
              <w:jc w:val="center"/>
            </w:pPr>
            <w:r w:rsidRPr="00701945">
              <w:rPr>
                <w:u w:val="single"/>
              </w:rPr>
              <w:t>Proffered By</w:t>
            </w:r>
          </w:p>
        </w:tc>
        <w:tc>
          <w:tcPr>
            <w:tcW w:w="1482" w:type="dxa"/>
            <w:tcBorders>
              <w:top w:val="nil"/>
              <w:left w:val="nil"/>
              <w:bottom w:val="nil"/>
              <w:right w:val="nil"/>
            </w:tcBorders>
          </w:tcPr>
          <w:p w:rsidR="00BB4C69" w:rsidRPr="004515FB" w:rsidRDefault="00BB4C69" w:rsidP="008F76CC">
            <w:pPr>
              <w:jc w:val="center"/>
            </w:pPr>
          </w:p>
        </w:tc>
        <w:tc>
          <w:tcPr>
            <w:tcW w:w="3205" w:type="dxa"/>
            <w:tcBorders>
              <w:top w:val="nil"/>
              <w:left w:val="nil"/>
              <w:bottom w:val="nil"/>
              <w:right w:val="nil"/>
            </w:tcBorders>
          </w:tcPr>
          <w:p w:rsidR="00BB4C69" w:rsidRPr="00701945" w:rsidRDefault="00BB4C69" w:rsidP="008F76CC">
            <w:pPr>
              <w:jc w:val="both"/>
            </w:pPr>
            <w:r w:rsidRPr="00701945">
              <w:rPr>
                <w:u w:val="single"/>
              </w:rPr>
              <w:t>Description</w:t>
            </w:r>
          </w:p>
        </w:tc>
      </w:tr>
      <w:tr w:rsidR="00BB4C69" w:rsidRPr="00701945" w:rsidTr="008F76CC">
        <w:trPr>
          <w:cantSplit/>
          <w:trHeight w:val="353"/>
        </w:trPr>
        <w:tc>
          <w:tcPr>
            <w:tcW w:w="3198" w:type="dxa"/>
            <w:tcBorders>
              <w:top w:val="nil"/>
              <w:left w:val="nil"/>
              <w:bottom w:val="nil"/>
              <w:right w:val="nil"/>
            </w:tcBorders>
          </w:tcPr>
          <w:p w:rsidR="00BB4C69" w:rsidRPr="00701945" w:rsidRDefault="00BB4C69" w:rsidP="008F76CC">
            <w:pPr>
              <w:jc w:val="both"/>
            </w:pPr>
            <w:r w:rsidRPr="00701945">
              <w:tab/>
            </w:r>
            <w:r w:rsidRPr="00701945">
              <w:rPr>
                <w:u w:val="single"/>
              </w:rPr>
              <w:t>Direct</w:t>
            </w:r>
          </w:p>
        </w:tc>
        <w:tc>
          <w:tcPr>
            <w:tcW w:w="1680" w:type="dxa"/>
            <w:tcBorders>
              <w:top w:val="nil"/>
              <w:left w:val="nil"/>
              <w:bottom w:val="nil"/>
              <w:right w:val="nil"/>
            </w:tcBorders>
          </w:tcPr>
          <w:p w:rsidR="00BB4C69" w:rsidRPr="00701945" w:rsidRDefault="00BB4C69" w:rsidP="008F76CC">
            <w:pPr>
              <w:jc w:val="center"/>
            </w:pPr>
          </w:p>
        </w:tc>
        <w:tc>
          <w:tcPr>
            <w:tcW w:w="1482" w:type="dxa"/>
            <w:tcBorders>
              <w:top w:val="nil"/>
              <w:left w:val="nil"/>
              <w:bottom w:val="nil"/>
              <w:right w:val="nil"/>
            </w:tcBorders>
          </w:tcPr>
          <w:p w:rsidR="00BB4C69" w:rsidRPr="004515FB" w:rsidRDefault="00BB4C69" w:rsidP="008F76CC">
            <w:pPr>
              <w:jc w:val="center"/>
            </w:pPr>
          </w:p>
        </w:tc>
        <w:tc>
          <w:tcPr>
            <w:tcW w:w="3205" w:type="dxa"/>
            <w:tcBorders>
              <w:top w:val="nil"/>
              <w:left w:val="nil"/>
              <w:bottom w:val="nil"/>
              <w:right w:val="nil"/>
            </w:tcBorders>
          </w:tcPr>
          <w:p w:rsidR="00BB4C69" w:rsidRPr="00701945" w:rsidRDefault="00BB4C69" w:rsidP="008F76CC"/>
        </w:tc>
      </w:tr>
      <w:tr w:rsidR="00BB4C69" w:rsidRPr="00701945" w:rsidTr="008F76CC">
        <w:trPr>
          <w:cantSplit/>
          <w:trHeight w:val="726"/>
        </w:trPr>
        <w:tc>
          <w:tcPr>
            <w:tcW w:w="3198" w:type="dxa"/>
            <w:tcBorders>
              <w:top w:val="nil"/>
              <w:left w:val="nil"/>
              <w:bottom w:val="nil"/>
              <w:right w:val="nil"/>
            </w:tcBorders>
          </w:tcPr>
          <w:p w:rsidR="00BB4C69" w:rsidRPr="00701945" w:rsidRDefault="00B63290" w:rsidP="008F76CC">
            <w:pPr>
              <w:jc w:val="both"/>
            </w:pPr>
            <w:r>
              <w:t>Thomas G. Foster</w:t>
            </w:r>
          </w:p>
        </w:tc>
        <w:tc>
          <w:tcPr>
            <w:tcW w:w="1680" w:type="dxa"/>
            <w:tcBorders>
              <w:top w:val="nil"/>
              <w:left w:val="nil"/>
              <w:bottom w:val="nil"/>
              <w:right w:val="nil"/>
            </w:tcBorders>
          </w:tcPr>
          <w:p w:rsidR="00BB4C69" w:rsidRPr="00701945" w:rsidRDefault="00B63290" w:rsidP="008F76CC">
            <w:pPr>
              <w:jc w:val="center"/>
            </w:pPr>
            <w:r>
              <w:t>DEF</w:t>
            </w:r>
          </w:p>
        </w:tc>
        <w:tc>
          <w:tcPr>
            <w:tcW w:w="1482" w:type="dxa"/>
            <w:tcBorders>
              <w:top w:val="nil"/>
              <w:left w:val="nil"/>
              <w:bottom w:val="nil"/>
              <w:right w:val="nil"/>
            </w:tcBorders>
          </w:tcPr>
          <w:p w:rsidR="00BB4C69" w:rsidRPr="004515FB" w:rsidRDefault="00B63290" w:rsidP="008F76CC">
            <w:pPr>
              <w:jc w:val="center"/>
            </w:pPr>
            <w:r>
              <w:t>TGF</w:t>
            </w:r>
            <w:r w:rsidR="00BB4C69">
              <w:t>-1</w:t>
            </w:r>
          </w:p>
        </w:tc>
        <w:tc>
          <w:tcPr>
            <w:tcW w:w="3205" w:type="dxa"/>
            <w:tcBorders>
              <w:top w:val="nil"/>
              <w:left w:val="nil"/>
              <w:bottom w:val="nil"/>
              <w:right w:val="nil"/>
            </w:tcBorders>
          </w:tcPr>
          <w:p w:rsidR="00EE34AE" w:rsidRDefault="00EE34AE" w:rsidP="00BD1897">
            <w:r>
              <w:t xml:space="preserve">Reflects the actual costs associated with the EPU project and consists of: </w:t>
            </w:r>
          </w:p>
          <w:p w:rsidR="00EE34AE" w:rsidRDefault="00EE34AE" w:rsidP="00BD1897">
            <w:r>
              <w:t xml:space="preserve">2017 True-Up Summary, 2017 Detail Schedule and Appendices A through E, </w:t>
            </w:r>
          </w:p>
          <w:p w:rsidR="00BB4C69" w:rsidRPr="00701945" w:rsidRDefault="00EE34AE" w:rsidP="00BD1897">
            <w:r>
              <w:t xml:space="preserve">which show DEF’s retail revenue requirements for the EPU project from January 2017 through December 2017.  </w:t>
            </w:r>
          </w:p>
        </w:tc>
      </w:tr>
      <w:tr w:rsidR="00BB4C69" w:rsidRPr="00701945" w:rsidTr="008F76CC">
        <w:trPr>
          <w:cantSplit/>
          <w:trHeight w:val="353"/>
        </w:trPr>
        <w:tc>
          <w:tcPr>
            <w:tcW w:w="3198" w:type="dxa"/>
            <w:tcBorders>
              <w:top w:val="nil"/>
              <w:left w:val="nil"/>
              <w:bottom w:val="nil"/>
              <w:right w:val="nil"/>
            </w:tcBorders>
          </w:tcPr>
          <w:p w:rsidR="00BB4C69" w:rsidRPr="00701945" w:rsidRDefault="00B63290" w:rsidP="008F76CC">
            <w:pPr>
              <w:jc w:val="both"/>
            </w:pPr>
            <w:r>
              <w:lastRenderedPageBreak/>
              <w:t xml:space="preserve">Thomas G. Foster </w:t>
            </w:r>
          </w:p>
        </w:tc>
        <w:tc>
          <w:tcPr>
            <w:tcW w:w="1680" w:type="dxa"/>
            <w:tcBorders>
              <w:top w:val="nil"/>
              <w:left w:val="nil"/>
              <w:bottom w:val="nil"/>
              <w:right w:val="nil"/>
            </w:tcBorders>
          </w:tcPr>
          <w:p w:rsidR="00BB4C69" w:rsidRPr="00701945" w:rsidRDefault="00B63290" w:rsidP="008F76CC">
            <w:pPr>
              <w:jc w:val="center"/>
            </w:pPr>
            <w:r>
              <w:t>DEF</w:t>
            </w:r>
          </w:p>
        </w:tc>
        <w:tc>
          <w:tcPr>
            <w:tcW w:w="1482" w:type="dxa"/>
            <w:tcBorders>
              <w:top w:val="nil"/>
              <w:left w:val="nil"/>
              <w:bottom w:val="nil"/>
              <w:right w:val="nil"/>
            </w:tcBorders>
          </w:tcPr>
          <w:p w:rsidR="00BB4C69" w:rsidRPr="004515FB" w:rsidRDefault="00B63290" w:rsidP="008F76CC">
            <w:pPr>
              <w:jc w:val="center"/>
            </w:pPr>
            <w:r>
              <w:t>TGF-2</w:t>
            </w:r>
          </w:p>
        </w:tc>
        <w:tc>
          <w:tcPr>
            <w:tcW w:w="3205" w:type="dxa"/>
            <w:tcBorders>
              <w:top w:val="nil"/>
              <w:left w:val="nil"/>
              <w:bottom w:val="nil"/>
              <w:right w:val="nil"/>
            </w:tcBorders>
          </w:tcPr>
          <w:p w:rsidR="00EE34AE" w:rsidRDefault="00EE34AE" w:rsidP="00BD1897">
            <w:r>
              <w:t>Reflects the expected costs associated with the EPU project and consists of: 2019 Revenue Requirement</w:t>
            </w:r>
          </w:p>
          <w:p w:rsidR="00EE34AE" w:rsidRDefault="00EE34AE" w:rsidP="00BD1897">
            <w:r>
              <w:t>Summary, 2018 Revenue Requirement Detail</w:t>
            </w:r>
          </w:p>
          <w:p w:rsidR="00EE34AE" w:rsidRDefault="00EE34AE" w:rsidP="00BD1897">
            <w:r>
              <w:t>Schedule, 2019 Revenue Requirement Detail</w:t>
            </w:r>
          </w:p>
          <w:p w:rsidR="00EE34AE" w:rsidRDefault="00EE34AE" w:rsidP="00BD1897">
            <w:r>
              <w:t xml:space="preserve">Schedule, 2019 Estimated Rate Impact Schedule, and Appendixes A through F.  </w:t>
            </w:r>
          </w:p>
          <w:p w:rsidR="00BB4C69" w:rsidRPr="00701945" w:rsidRDefault="00BB4C69" w:rsidP="00BD1897"/>
        </w:tc>
      </w:tr>
    </w:tbl>
    <w:p w:rsidR="0014771C" w:rsidRPr="00D34633" w:rsidRDefault="00BB4C69" w:rsidP="00BB4C69">
      <w:pPr>
        <w:jc w:val="both"/>
      </w:pPr>
      <w:r w:rsidRPr="00701945">
        <w:tab/>
        <w:t>Parties and Staff reserve the right to identify additional exhibits for the purpose of cross-examination.</w:t>
      </w:r>
    </w:p>
    <w:p w:rsidR="0014771C" w:rsidRDefault="0014771C" w:rsidP="00BB4C69">
      <w:pPr>
        <w:jc w:val="both"/>
        <w:rPr>
          <w:b/>
        </w:rPr>
      </w:pPr>
    </w:p>
    <w:p w:rsidR="00BB4C69" w:rsidRPr="00FB5287" w:rsidRDefault="00BB4C69" w:rsidP="00BB4C69">
      <w:pPr>
        <w:jc w:val="both"/>
      </w:pPr>
      <w:r w:rsidRPr="00A32DC5">
        <w:rPr>
          <w:b/>
        </w:rPr>
        <w:t>X.</w:t>
      </w:r>
      <w:r w:rsidRPr="00A32DC5">
        <w:rPr>
          <w:b/>
        </w:rPr>
        <w:tab/>
      </w:r>
      <w:r w:rsidRPr="00A32DC5">
        <w:rPr>
          <w:b/>
          <w:u w:val="single"/>
        </w:rPr>
        <w:t>PROPOSED STIPULATIONS</w:t>
      </w:r>
    </w:p>
    <w:p w:rsidR="00BB4C69" w:rsidRDefault="00BB4C69" w:rsidP="00BB4C69">
      <w:pPr>
        <w:jc w:val="both"/>
      </w:pPr>
    </w:p>
    <w:p w:rsidR="00BB4C69" w:rsidRDefault="00AE4FB2" w:rsidP="00BB4C69">
      <w:pPr>
        <w:ind w:firstLine="720"/>
        <w:jc w:val="both"/>
      </w:pPr>
      <w:r>
        <w:t>There are proposed stipulations on the following issues:</w:t>
      </w:r>
    </w:p>
    <w:p w:rsidR="00AE4FB2" w:rsidRDefault="00AE4FB2" w:rsidP="00BB4C69">
      <w:pPr>
        <w:ind w:firstLine="720"/>
        <w:jc w:val="both"/>
      </w:pPr>
    </w:p>
    <w:p w:rsidR="00AE4FB2" w:rsidRDefault="00AE4FB2" w:rsidP="00AE4FB2">
      <w:pPr>
        <w:ind w:left="1440" w:hanging="1440"/>
        <w:jc w:val="both"/>
        <w:rPr>
          <w:b/>
        </w:rPr>
      </w:pPr>
      <w:r w:rsidRPr="005D4B47">
        <w:rPr>
          <w:b/>
          <w:bCs/>
        </w:rPr>
        <w:t>ISSUE 1</w:t>
      </w:r>
      <w:r w:rsidRPr="00701945">
        <w:rPr>
          <w:b/>
          <w:bCs/>
        </w:rPr>
        <w:t>:</w:t>
      </w:r>
      <w:r w:rsidRPr="00701945">
        <w:tab/>
      </w:r>
      <w:r w:rsidRPr="003B322A">
        <w:rPr>
          <w:b/>
        </w:rPr>
        <w:t>What jurisdictional amounts should the Commission approve as DEF’s actual 2017 prudently incurred costs for the Crystal River Unit 3 Uprate Project?</w:t>
      </w:r>
    </w:p>
    <w:p w:rsidR="00AE4FB2" w:rsidRPr="00AF3C3D" w:rsidRDefault="00AE4FB2" w:rsidP="00BB4C69">
      <w:pPr>
        <w:ind w:firstLine="720"/>
        <w:jc w:val="both"/>
      </w:pPr>
    </w:p>
    <w:p w:rsidR="00BB4C69" w:rsidRPr="00AE4FB2" w:rsidRDefault="0014771C" w:rsidP="00BB4C69">
      <w:pPr>
        <w:ind w:left="1440" w:hanging="1440"/>
        <w:jc w:val="both"/>
        <w:rPr>
          <w:b/>
          <w:bCs/>
        </w:rPr>
      </w:pPr>
      <w:r w:rsidRPr="00AE4FB2">
        <w:rPr>
          <w:b/>
          <w:bCs/>
        </w:rPr>
        <w:t>PROPOSED STIPULATION</w:t>
      </w:r>
      <w:r w:rsidR="00AE4FB2" w:rsidRPr="00AE4FB2">
        <w:rPr>
          <w:b/>
          <w:bCs/>
        </w:rPr>
        <w:t>:</w:t>
      </w:r>
    </w:p>
    <w:p w:rsidR="00AE4FB2" w:rsidRDefault="00AE4FB2" w:rsidP="00BB4C69">
      <w:pPr>
        <w:ind w:left="1440" w:hanging="1440"/>
        <w:jc w:val="both"/>
        <w:rPr>
          <w:bCs/>
        </w:rPr>
      </w:pPr>
      <w:r>
        <w:rPr>
          <w:bCs/>
        </w:rPr>
        <w:tab/>
      </w:r>
    </w:p>
    <w:p w:rsidR="00AE4FB2" w:rsidRPr="009A3E59" w:rsidRDefault="00AE4FB2" w:rsidP="00AE4FB2">
      <w:pPr>
        <w:ind w:left="1440" w:hanging="1440"/>
        <w:jc w:val="both"/>
        <w:rPr>
          <w:b/>
          <w:u w:val="single"/>
        </w:rPr>
      </w:pPr>
      <w:r>
        <w:rPr>
          <w:bCs/>
        </w:rPr>
        <w:tab/>
      </w:r>
      <w:r w:rsidRPr="00637D70">
        <w:t>As presented in and supported by the testimony of Mr. Foster in DEF’s March 1, 2018 Actual 2017 filing, the Commission should approve the following amounts as DEF’s actual 2017 prudently incurred costs for the Crystal River Unit 3 Uprate project:</w:t>
      </w:r>
    </w:p>
    <w:p w:rsidR="00AE4FB2" w:rsidRPr="00637D70" w:rsidRDefault="00AE4FB2" w:rsidP="00AE4FB2">
      <w:pPr>
        <w:pStyle w:val="NoSpacing"/>
        <w:jc w:val="both"/>
      </w:pPr>
    </w:p>
    <w:p w:rsidR="00AE4FB2" w:rsidRDefault="00AE4FB2" w:rsidP="00AE4FB2">
      <w:pPr>
        <w:pStyle w:val="NoSpacing"/>
        <w:ind w:left="720" w:firstLine="720"/>
        <w:jc w:val="both"/>
        <w:rPr>
          <w:bCs/>
        </w:rPr>
      </w:pPr>
      <w:r w:rsidRPr="00637D70">
        <w:rPr>
          <w:bCs/>
        </w:rPr>
        <w:t>Wind-Down &amp; Exit Costs (Jurisdictional, net of joint owners)-- $24,137</w:t>
      </w:r>
    </w:p>
    <w:p w:rsidR="00AE4FB2" w:rsidRPr="00637D70" w:rsidRDefault="00AE4FB2" w:rsidP="00AE4FB2">
      <w:pPr>
        <w:pStyle w:val="NoSpacing"/>
        <w:jc w:val="both"/>
        <w:rPr>
          <w:bCs/>
        </w:rPr>
      </w:pPr>
    </w:p>
    <w:p w:rsidR="00AE4FB2" w:rsidRDefault="00AE4FB2" w:rsidP="00AE4FB2">
      <w:pPr>
        <w:pStyle w:val="NoSpacing"/>
        <w:ind w:left="720" w:firstLine="720"/>
        <w:jc w:val="both"/>
        <w:rPr>
          <w:bCs/>
        </w:rPr>
      </w:pPr>
      <w:r w:rsidRPr="00637D70">
        <w:rPr>
          <w:bCs/>
        </w:rPr>
        <w:t>Carrying Costs-- $10,077,482</w:t>
      </w:r>
    </w:p>
    <w:p w:rsidR="00AE4FB2" w:rsidRPr="00637D70" w:rsidRDefault="00AE4FB2" w:rsidP="00AE4FB2">
      <w:pPr>
        <w:pStyle w:val="NoSpacing"/>
        <w:jc w:val="both"/>
        <w:rPr>
          <w:bCs/>
        </w:rPr>
      </w:pPr>
    </w:p>
    <w:p w:rsidR="00AE4FB2" w:rsidRDefault="00AE4FB2" w:rsidP="00AE4FB2">
      <w:pPr>
        <w:ind w:left="1440"/>
        <w:jc w:val="both"/>
        <w:rPr>
          <w:bCs/>
        </w:rPr>
      </w:pPr>
      <w:r w:rsidRPr="00637D70">
        <w:rPr>
          <w:bCs/>
        </w:rPr>
        <w:t>The over-recovery of $188,006 should be included in setting the allowed 2019 NCRC recovery.</w:t>
      </w:r>
      <w:r>
        <w:rPr>
          <w:bCs/>
        </w:rPr>
        <w:t xml:space="preserve"> </w:t>
      </w:r>
    </w:p>
    <w:p w:rsidR="00AE4FB2" w:rsidRDefault="00AE4FB2" w:rsidP="00AE4FB2">
      <w:pPr>
        <w:ind w:left="1440"/>
        <w:jc w:val="both"/>
        <w:rPr>
          <w:bCs/>
        </w:rPr>
      </w:pPr>
    </w:p>
    <w:p w:rsidR="00D34633" w:rsidRDefault="00D34633" w:rsidP="0014771C">
      <w:pPr>
        <w:ind w:left="1440" w:hanging="1440"/>
        <w:jc w:val="both"/>
        <w:rPr>
          <w:b/>
        </w:rPr>
      </w:pPr>
    </w:p>
    <w:p w:rsidR="00D34633" w:rsidRDefault="00D34633" w:rsidP="0014771C">
      <w:pPr>
        <w:ind w:left="1440" w:hanging="1440"/>
        <w:jc w:val="both"/>
        <w:rPr>
          <w:b/>
        </w:rPr>
      </w:pPr>
    </w:p>
    <w:p w:rsidR="00D34633" w:rsidRDefault="00D34633" w:rsidP="0014771C">
      <w:pPr>
        <w:ind w:left="1440" w:hanging="1440"/>
        <w:jc w:val="both"/>
        <w:rPr>
          <w:b/>
        </w:rPr>
      </w:pPr>
    </w:p>
    <w:p w:rsidR="00D34633" w:rsidRDefault="00D34633" w:rsidP="0014771C">
      <w:pPr>
        <w:ind w:left="1440" w:hanging="1440"/>
        <w:jc w:val="both"/>
        <w:rPr>
          <w:b/>
        </w:rPr>
      </w:pPr>
    </w:p>
    <w:p w:rsidR="00D34633" w:rsidRDefault="00D34633" w:rsidP="0014771C">
      <w:pPr>
        <w:ind w:left="1440" w:hanging="1440"/>
        <w:jc w:val="both"/>
        <w:rPr>
          <w:b/>
        </w:rPr>
      </w:pPr>
    </w:p>
    <w:p w:rsidR="00AE4FB2" w:rsidRDefault="0014771C" w:rsidP="0014771C">
      <w:pPr>
        <w:ind w:left="1440" w:hanging="1440"/>
        <w:jc w:val="both"/>
        <w:rPr>
          <w:b/>
        </w:rPr>
      </w:pPr>
      <w:r w:rsidRPr="00E4229D">
        <w:rPr>
          <w:b/>
        </w:rPr>
        <w:lastRenderedPageBreak/>
        <w:t>ISSUE 2:</w:t>
      </w:r>
      <w:r>
        <w:rPr>
          <w:b/>
        </w:rPr>
        <w:tab/>
      </w:r>
      <w:r w:rsidRPr="003B322A">
        <w:rPr>
          <w:b/>
        </w:rPr>
        <w:t>What jurisdictional amounts should the Commission approve as reasonably estimated 2018 exit and wind down costs and carrying costs for the Crystal River Unit 3 Uprate Project?</w:t>
      </w:r>
    </w:p>
    <w:p w:rsidR="0014771C" w:rsidRDefault="0014771C" w:rsidP="0014771C">
      <w:pPr>
        <w:ind w:left="1440" w:hanging="1440"/>
        <w:jc w:val="both"/>
        <w:rPr>
          <w:b/>
        </w:rPr>
      </w:pPr>
    </w:p>
    <w:p w:rsidR="0014771C" w:rsidRPr="0014771C" w:rsidRDefault="0014771C" w:rsidP="0014771C">
      <w:pPr>
        <w:ind w:left="1440" w:hanging="1440"/>
        <w:jc w:val="both"/>
        <w:rPr>
          <w:b/>
          <w:bCs/>
        </w:rPr>
      </w:pPr>
      <w:r w:rsidRPr="0014771C">
        <w:rPr>
          <w:b/>
          <w:bCs/>
        </w:rPr>
        <w:t>PROPOSED STIPULATION:</w:t>
      </w:r>
    </w:p>
    <w:p w:rsidR="0014771C" w:rsidRDefault="0014771C" w:rsidP="0014771C">
      <w:pPr>
        <w:ind w:left="1440" w:hanging="1440"/>
        <w:jc w:val="both"/>
        <w:rPr>
          <w:bCs/>
        </w:rPr>
      </w:pPr>
    </w:p>
    <w:p w:rsidR="0014771C" w:rsidRDefault="0014771C" w:rsidP="0014771C">
      <w:pPr>
        <w:ind w:left="1440" w:hanging="1440"/>
        <w:jc w:val="both"/>
        <w:rPr>
          <w:rFonts w:cs="Tahoma"/>
        </w:rPr>
      </w:pPr>
      <w:r>
        <w:rPr>
          <w:bCs/>
        </w:rPr>
        <w:tab/>
      </w:r>
      <w:r w:rsidRPr="00637D70">
        <w:rPr>
          <w:rFonts w:cs="Tahoma"/>
        </w:rPr>
        <w:t>As presented in and supported by the testimony of Mr. Foster in DEF’s May 1, 2018 Actual/Estimated 2018 filing, the Commission should approve the following amounts as DEF’s reasonably estimated 2018 exit and wind down costs and carrying costs  for the Crystal River Unit 3 Uprate project consistent with Section 366.93(6), Fla. Stat., and Rule 25-6.0423(7), F.A.C.:</w:t>
      </w:r>
    </w:p>
    <w:p w:rsidR="0014771C" w:rsidRPr="00637D70" w:rsidRDefault="0014771C" w:rsidP="0014771C">
      <w:pPr>
        <w:ind w:left="1440" w:hanging="1440"/>
        <w:jc w:val="both"/>
        <w:rPr>
          <w:rFonts w:cs="Tahoma"/>
        </w:rPr>
      </w:pPr>
    </w:p>
    <w:p w:rsidR="0014771C" w:rsidRDefault="0014771C" w:rsidP="0014771C">
      <w:pPr>
        <w:ind w:left="720" w:firstLine="720"/>
        <w:jc w:val="both"/>
        <w:rPr>
          <w:rFonts w:cs="Tahoma"/>
          <w:bCs/>
        </w:rPr>
      </w:pPr>
      <w:r w:rsidRPr="00637D70">
        <w:rPr>
          <w:rFonts w:cs="Tahoma"/>
          <w:bCs/>
        </w:rPr>
        <w:t>Wind-Down &amp; Exit Costs (Jurisdictional, net of joint owners)-- $26,432</w:t>
      </w:r>
    </w:p>
    <w:p w:rsidR="0014771C" w:rsidRPr="00637D70" w:rsidRDefault="0014771C" w:rsidP="0014771C">
      <w:pPr>
        <w:ind w:left="720" w:firstLine="720"/>
        <w:jc w:val="both"/>
        <w:rPr>
          <w:rFonts w:cs="Tahoma"/>
          <w:bCs/>
        </w:rPr>
      </w:pPr>
    </w:p>
    <w:p w:rsidR="0014771C" w:rsidRDefault="0014771C" w:rsidP="0014771C">
      <w:pPr>
        <w:ind w:left="720" w:firstLine="720"/>
        <w:jc w:val="both"/>
        <w:rPr>
          <w:rFonts w:cs="Tahoma"/>
          <w:bCs/>
        </w:rPr>
      </w:pPr>
      <w:r w:rsidRPr="00637D70">
        <w:rPr>
          <w:rFonts w:cs="Tahoma"/>
          <w:bCs/>
        </w:rPr>
        <w:t>Carrying Costs -- $5,163,349</w:t>
      </w:r>
    </w:p>
    <w:p w:rsidR="0014771C" w:rsidRPr="00637D70" w:rsidRDefault="0014771C" w:rsidP="0014771C">
      <w:pPr>
        <w:ind w:left="720" w:firstLine="720"/>
        <w:jc w:val="both"/>
        <w:rPr>
          <w:rFonts w:cs="Tahoma"/>
          <w:bCs/>
        </w:rPr>
      </w:pPr>
    </w:p>
    <w:p w:rsidR="00BC24BB" w:rsidRDefault="0014771C" w:rsidP="00D34633">
      <w:pPr>
        <w:ind w:left="1440"/>
        <w:jc w:val="both"/>
        <w:rPr>
          <w:bCs/>
        </w:rPr>
      </w:pPr>
      <w:r w:rsidRPr="00637D70">
        <w:rPr>
          <w:rFonts w:cs="Tahoma"/>
          <w:bCs/>
        </w:rPr>
        <w:t>The over-recovery of $933,647 should be included in setting the allowed 2019 NCRC recovery.</w:t>
      </w:r>
      <w:r>
        <w:rPr>
          <w:bCs/>
        </w:rPr>
        <w:tab/>
      </w:r>
    </w:p>
    <w:p w:rsidR="0014771C" w:rsidRDefault="0014771C" w:rsidP="0014771C">
      <w:pPr>
        <w:ind w:left="1440" w:hanging="1440"/>
        <w:jc w:val="both"/>
        <w:rPr>
          <w:b/>
          <w:kern w:val="32"/>
          <w:szCs w:val="32"/>
        </w:rPr>
      </w:pPr>
    </w:p>
    <w:p w:rsidR="0014771C" w:rsidRDefault="0014771C" w:rsidP="00BC24BB">
      <w:pPr>
        <w:ind w:left="1440" w:hanging="1440"/>
        <w:jc w:val="both"/>
        <w:rPr>
          <w:b/>
        </w:rPr>
      </w:pPr>
      <w:r>
        <w:rPr>
          <w:b/>
          <w:kern w:val="32"/>
          <w:szCs w:val="32"/>
        </w:rPr>
        <w:t>ISSUE 3:</w:t>
      </w:r>
      <w:r>
        <w:rPr>
          <w:b/>
          <w:kern w:val="32"/>
          <w:szCs w:val="32"/>
        </w:rPr>
        <w:tab/>
      </w:r>
      <w:r w:rsidRPr="003B322A">
        <w:rPr>
          <w:b/>
        </w:rPr>
        <w:t>What jurisdictional amounts should the Commission approve as reasonably projected 2019 exit and wind down costs and carrying costs for the Crystal River Unit 3 Uprate Project?</w:t>
      </w:r>
    </w:p>
    <w:p w:rsidR="00BC24BB" w:rsidRDefault="00BC24BB" w:rsidP="00BC24BB">
      <w:pPr>
        <w:ind w:left="1440" w:hanging="1440"/>
        <w:jc w:val="both"/>
        <w:rPr>
          <w:b/>
        </w:rPr>
      </w:pPr>
    </w:p>
    <w:p w:rsidR="0014771C" w:rsidRDefault="0014771C" w:rsidP="0014771C">
      <w:pPr>
        <w:ind w:left="1440" w:hanging="1440"/>
        <w:jc w:val="both"/>
        <w:rPr>
          <w:b/>
        </w:rPr>
      </w:pPr>
      <w:r>
        <w:rPr>
          <w:b/>
        </w:rPr>
        <w:t>PROPOSED STIPULATION</w:t>
      </w:r>
      <w:r w:rsidRPr="00E4229D">
        <w:rPr>
          <w:b/>
        </w:rPr>
        <w:t>:</w:t>
      </w:r>
      <w:r>
        <w:rPr>
          <w:b/>
        </w:rPr>
        <w:tab/>
      </w:r>
    </w:p>
    <w:p w:rsidR="0014771C" w:rsidRPr="00637D70" w:rsidRDefault="0014771C" w:rsidP="0014771C">
      <w:pPr>
        <w:ind w:left="1440"/>
        <w:jc w:val="both"/>
        <w:rPr>
          <w:rFonts w:cs="Tahoma"/>
        </w:rPr>
      </w:pPr>
      <w:r w:rsidRPr="00637D70">
        <w:rPr>
          <w:rFonts w:cs="Tahoma"/>
        </w:rPr>
        <w:t>As presented in and supported by the testimony of Mr. Foster in DEF’s May 1, 2018, 2019 projection filing, the Commission should approve the following amounts as DEF’s reasonably estimated 2019 exit and wind down costs and carrying costs  for the Crystal River Unit 3 Uprate project consistent with Section 366.93(6) and Rule 25-6.0423(7):</w:t>
      </w:r>
    </w:p>
    <w:p w:rsidR="0014771C" w:rsidRPr="00637D70" w:rsidRDefault="0014771C" w:rsidP="0014771C">
      <w:pPr>
        <w:jc w:val="both"/>
        <w:rPr>
          <w:rFonts w:cs="Tahoma"/>
        </w:rPr>
      </w:pPr>
    </w:p>
    <w:p w:rsidR="0014771C" w:rsidRDefault="0014771C" w:rsidP="0014771C">
      <w:pPr>
        <w:ind w:left="720" w:firstLine="720"/>
        <w:jc w:val="both"/>
        <w:rPr>
          <w:rFonts w:cs="Tahoma"/>
          <w:bCs/>
        </w:rPr>
      </w:pPr>
      <w:r w:rsidRPr="00637D70">
        <w:rPr>
          <w:rFonts w:cs="Tahoma"/>
          <w:bCs/>
        </w:rPr>
        <w:t>Wind-Down &amp; Exit Costs (Jurisdictional, net of joint owners)-- $0</w:t>
      </w:r>
    </w:p>
    <w:p w:rsidR="0014771C" w:rsidRPr="00637D70" w:rsidRDefault="0014771C" w:rsidP="0014771C">
      <w:pPr>
        <w:ind w:left="720" w:firstLine="720"/>
        <w:jc w:val="both"/>
        <w:rPr>
          <w:rFonts w:cs="Tahoma"/>
          <w:bCs/>
        </w:rPr>
      </w:pPr>
    </w:p>
    <w:p w:rsidR="0014771C" w:rsidRDefault="0014771C" w:rsidP="0014771C">
      <w:pPr>
        <w:ind w:left="720" w:firstLine="720"/>
        <w:jc w:val="both"/>
        <w:rPr>
          <w:rFonts w:cs="Tahoma"/>
          <w:bCs/>
        </w:rPr>
      </w:pPr>
      <w:r w:rsidRPr="00637D70">
        <w:rPr>
          <w:rFonts w:cs="Tahoma"/>
          <w:bCs/>
        </w:rPr>
        <w:t>Carrying Costs-- $1,614,769</w:t>
      </w:r>
    </w:p>
    <w:p w:rsidR="0014771C" w:rsidRDefault="0014771C" w:rsidP="0014771C">
      <w:pPr>
        <w:ind w:left="720" w:firstLine="720"/>
        <w:jc w:val="both"/>
        <w:rPr>
          <w:rFonts w:cs="Tahoma"/>
          <w:bCs/>
        </w:rPr>
      </w:pPr>
      <w:r w:rsidRPr="00637D70">
        <w:rPr>
          <w:rFonts w:cs="Tahoma"/>
          <w:bCs/>
        </w:rPr>
        <w:t>Amortization of 2013 Regulatory Asset -- $43,159,168</w:t>
      </w:r>
    </w:p>
    <w:p w:rsidR="0014771C" w:rsidRDefault="0014771C" w:rsidP="0014771C">
      <w:pPr>
        <w:ind w:left="720" w:firstLine="720"/>
        <w:jc w:val="both"/>
        <w:rPr>
          <w:rFonts w:cs="Tahoma"/>
          <w:bCs/>
        </w:rPr>
      </w:pPr>
    </w:p>
    <w:p w:rsidR="0014771C" w:rsidRDefault="0014771C" w:rsidP="0014771C">
      <w:pPr>
        <w:ind w:left="1440" w:hanging="1440"/>
        <w:jc w:val="both"/>
        <w:rPr>
          <w:b/>
          <w:kern w:val="32"/>
          <w:szCs w:val="32"/>
        </w:rPr>
      </w:pPr>
      <w:r>
        <w:rPr>
          <w:b/>
          <w:kern w:val="32"/>
          <w:szCs w:val="32"/>
        </w:rPr>
        <w:t xml:space="preserve">ISSUE 4: </w:t>
      </w:r>
      <w:r>
        <w:rPr>
          <w:b/>
          <w:kern w:val="32"/>
          <w:szCs w:val="32"/>
        </w:rPr>
        <w:tab/>
      </w:r>
      <w:r w:rsidRPr="003B322A">
        <w:rPr>
          <w:b/>
        </w:rPr>
        <w:t>What is the total jurisdictional amount for the Crystal River Unit 3 Uprate Project to be included in establishing DEF’s 2019 Capacity Cost Recovery Clause Factor?</w:t>
      </w:r>
    </w:p>
    <w:p w:rsidR="0014771C" w:rsidRDefault="0014771C" w:rsidP="0014771C">
      <w:pPr>
        <w:jc w:val="both"/>
        <w:rPr>
          <w:b/>
          <w:kern w:val="32"/>
          <w:szCs w:val="32"/>
        </w:rPr>
      </w:pPr>
    </w:p>
    <w:p w:rsidR="0014771C" w:rsidRDefault="0014771C" w:rsidP="0014771C">
      <w:pPr>
        <w:jc w:val="both"/>
        <w:rPr>
          <w:b/>
        </w:rPr>
      </w:pPr>
      <w:r>
        <w:rPr>
          <w:b/>
        </w:rPr>
        <w:t>PROPOSED STIPULATION</w:t>
      </w:r>
      <w:r w:rsidRPr="00E4229D">
        <w:rPr>
          <w:b/>
        </w:rPr>
        <w:t>:</w:t>
      </w:r>
      <w:r>
        <w:rPr>
          <w:b/>
        </w:rPr>
        <w:tab/>
      </w:r>
    </w:p>
    <w:p w:rsidR="0014771C" w:rsidRDefault="0014771C" w:rsidP="0014771C">
      <w:pPr>
        <w:jc w:val="both"/>
        <w:rPr>
          <w:b/>
        </w:rPr>
      </w:pPr>
    </w:p>
    <w:p w:rsidR="0014771C" w:rsidRDefault="0014771C" w:rsidP="0014771C">
      <w:pPr>
        <w:ind w:left="1440"/>
        <w:jc w:val="both"/>
        <w:rPr>
          <w:bCs/>
        </w:rPr>
      </w:pPr>
      <w:r w:rsidRPr="00637D70">
        <w:rPr>
          <w:rFonts w:cs="Tahoma"/>
        </w:rPr>
        <w:t>The total jurisdictional amount for the CR3 EPU project to be included in establishing DEF's 2019 Capacity Cost Recovery Clause factor should be $43,858,854</w:t>
      </w:r>
      <w:r>
        <w:rPr>
          <w:rFonts w:cs="Tahoma"/>
        </w:rPr>
        <w:t>.</w:t>
      </w:r>
    </w:p>
    <w:p w:rsidR="00BD1897" w:rsidRDefault="00BD1897" w:rsidP="00BB4C69">
      <w:pPr>
        <w:jc w:val="both"/>
        <w:rPr>
          <w:b/>
        </w:rPr>
      </w:pPr>
    </w:p>
    <w:p w:rsidR="008D0101" w:rsidRDefault="008D0101" w:rsidP="008D0101">
      <w:pPr>
        <w:ind w:left="1500" w:hanging="1500"/>
        <w:jc w:val="both"/>
        <w:rPr>
          <w:b/>
        </w:rPr>
      </w:pPr>
      <w:r>
        <w:rPr>
          <w:b/>
          <w:bCs/>
        </w:rPr>
        <w:lastRenderedPageBreak/>
        <w:t>ISSUE 5:</w:t>
      </w:r>
      <w:r>
        <w:rPr>
          <w:b/>
          <w:bCs/>
        </w:rPr>
        <w:tab/>
      </w:r>
      <w:r w:rsidRPr="003B322A">
        <w:rPr>
          <w:b/>
        </w:rPr>
        <w:t>Is there a need, pursuant to Paragraph 9 of the 2017 Second Revised and Restated Stipulation and Settlement Agreement, approved in Order No. PSC-2017-0451-AS-EU, for DEF to participate in the 2019 NCRC Docket?</w:t>
      </w:r>
    </w:p>
    <w:p w:rsidR="008D0101" w:rsidRDefault="008D0101">
      <w:pPr>
        <w:jc w:val="both"/>
        <w:rPr>
          <w:b/>
        </w:rPr>
      </w:pPr>
    </w:p>
    <w:p w:rsidR="008D0101" w:rsidRDefault="008D0101">
      <w:pPr>
        <w:jc w:val="both"/>
        <w:rPr>
          <w:b/>
        </w:rPr>
      </w:pPr>
      <w:r>
        <w:rPr>
          <w:b/>
        </w:rPr>
        <w:t>PROPOSED STIPULATION:</w:t>
      </w:r>
    </w:p>
    <w:p w:rsidR="008D0101" w:rsidRDefault="008D0101">
      <w:pPr>
        <w:jc w:val="both"/>
        <w:rPr>
          <w:b/>
        </w:rPr>
      </w:pPr>
    </w:p>
    <w:p w:rsidR="008D0101" w:rsidRDefault="008D0101" w:rsidP="008D0101">
      <w:pPr>
        <w:ind w:left="1440"/>
        <w:jc w:val="both"/>
        <w:rPr>
          <w:b/>
        </w:rPr>
      </w:pPr>
      <w:r w:rsidRPr="008D0101">
        <w:t>No, upon the Commission’s acceptance and inclusion in the final order in this docket of the Transition Statement Regarding Crystal River 3, filed on July 30, 2018.</w:t>
      </w:r>
      <w:r>
        <w:rPr>
          <w:b/>
        </w:rPr>
        <w:tab/>
      </w:r>
    </w:p>
    <w:p w:rsidR="008D0101" w:rsidRPr="00A32DC5" w:rsidRDefault="008D0101">
      <w:pPr>
        <w:jc w:val="both"/>
        <w:rPr>
          <w:b/>
        </w:rPr>
      </w:pPr>
    </w:p>
    <w:p w:rsidR="00BB4C69" w:rsidRPr="00A32DC5" w:rsidRDefault="00BB4C69" w:rsidP="00BB4C69">
      <w:pPr>
        <w:jc w:val="both"/>
        <w:rPr>
          <w:b/>
        </w:rPr>
      </w:pPr>
      <w:r w:rsidRPr="00A32DC5">
        <w:rPr>
          <w:b/>
        </w:rPr>
        <w:t>XI.</w:t>
      </w:r>
      <w:r w:rsidRPr="00A32DC5">
        <w:rPr>
          <w:b/>
        </w:rPr>
        <w:tab/>
      </w:r>
      <w:r w:rsidRPr="00A32DC5">
        <w:rPr>
          <w:b/>
          <w:u w:val="single"/>
        </w:rPr>
        <w:t>PENDING MOTIONS</w:t>
      </w:r>
    </w:p>
    <w:p w:rsidR="00BB4C69" w:rsidRPr="00701945" w:rsidRDefault="00BB4C69" w:rsidP="00BB4C69">
      <w:pPr>
        <w:jc w:val="both"/>
      </w:pPr>
    </w:p>
    <w:p w:rsidR="00BC24BB" w:rsidRPr="002C06E5" w:rsidRDefault="00BB4C69" w:rsidP="002C06E5">
      <w:pPr>
        <w:ind w:firstLine="720"/>
        <w:jc w:val="both"/>
      </w:pPr>
      <w:r w:rsidRPr="00AF3C3D">
        <w:t>There are no pending motions at this time.</w:t>
      </w:r>
    </w:p>
    <w:p w:rsidR="00BC24BB" w:rsidRDefault="00BC24BB" w:rsidP="00BB4C69">
      <w:pPr>
        <w:jc w:val="both"/>
        <w:rPr>
          <w:b/>
        </w:rPr>
      </w:pPr>
    </w:p>
    <w:p w:rsidR="00BB4C69" w:rsidRPr="00A32DC5" w:rsidRDefault="00BB4C69" w:rsidP="00BB4C69">
      <w:pPr>
        <w:jc w:val="both"/>
        <w:rPr>
          <w:b/>
        </w:rPr>
      </w:pPr>
      <w:r w:rsidRPr="00A32DC5">
        <w:rPr>
          <w:b/>
        </w:rPr>
        <w:t>XII.</w:t>
      </w:r>
      <w:r w:rsidRPr="00A32DC5">
        <w:rPr>
          <w:b/>
        </w:rPr>
        <w:tab/>
      </w:r>
      <w:r w:rsidRPr="00A32DC5">
        <w:rPr>
          <w:b/>
          <w:u w:val="single"/>
        </w:rPr>
        <w:t>PENDING CONFIDENTIALITY MATTERS</w:t>
      </w:r>
    </w:p>
    <w:p w:rsidR="00BB4C69" w:rsidRDefault="00BB4C69" w:rsidP="00BB4C69">
      <w:pPr>
        <w:jc w:val="both"/>
      </w:pPr>
    </w:p>
    <w:p w:rsidR="00543AAD" w:rsidRDefault="00AF3C3D" w:rsidP="00930990">
      <w:pPr>
        <w:ind w:firstLine="720"/>
        <w:jc w:val="both"/>
      </w:pPr>
      <w:r w:rsidRPr="00AF3C3D">
        <w:t xml:space="preserve">DEF: </w:t>
      </w:r>
    </w:p>
    <w:p w:rsidR="00930990" w:rsidRPr="00AF3C3D" w:rsidRDefault="00930990" w:rsidP="00930990">
      <w:pPr>
        <w:ind w:firstLine="720"/>
        <w:jc w:val="both"/>
      </w:pP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0"/>
        <w:gridCol w:w="950"/>
        <w:gridCol w:w="7398"/>
      </w:tblGrid>
      <w:tr w:rsidR="00AF3C3D" w:rsidTr="00D109D1">
        <w:tc>
          <w:tcPr>
            <w:tcW w:w="1480" w:type="dxa"/>
          </w:tcPr>
          <w:p w:rsidR="00AF3C3D" w:rsidRDefault="00AF3C3D" w:rsidP="002C6EA3">
            <w:pPr>
              <w:tabs>
                <w:tab w:val="left" w:pos="720"/>
                <w:tab w:val="left" w:pos="1425"/>
              </w:tabs>
              <w:jc w:val="center"/>
              <w:rPr>
                <w:rFonts w:cs="Tahoma"/>
                <w:b/>
              </w:rPr>
            </w:pPr>
            <w:r>
              <w:rPr>
                <w:rFonts w:cs="Tahoma"/>
                <w:b/>
              </w:rPr>
              <w:t>Request Document</w:t>
            </w:r>
          </w:p>
          <w:p w:rsidR="00AF3C3D" w:rsidRDefault="00AF3C3D" w:rsidP="002C6EA3">
            <w:pPr>
              <w:tabs>
                <w:tab w:val="left" w:pos="720"/>
                <w:tab w:val="left" w:pos="1425"/>
              </w:tabs>
              <w:jc w:val="center"/>
              <w:rPr>
                <w:rFonts w:cs="Tahoma"/>
                <w:b/>
              </w:rPr>
            </w:pPr>
            <w:r>
              <w:rPr>
                <w:rFonts w:cs="Tahoma"/>
                <w:b/>
              </w:rPr>
              <w:t>No.</w:t>
            </w:r>
          </w:p>
        </w:tc>
        <w:tc>
          <w:tcPr>
            <w:tcW w:w="950" w:type="dxa"/>
          </w:tcPr>
          <w:p w:rsidR="00AF3C3D" w:rsidRDefault="00AF3C3D" w:rsidP="002C6EA3">
            <w:pPr>
              <w:tabs>
                <w:tab w:val="left" w:pos="720"/>
                <w:tab w:val="left" w:pos="1425"/>
              </w:tabs>
              <w:jc w:val="center"/>
              <w:rPr>
                <w:rFonts w:cs="Tahoma"/>
                <w:b/>
              </w:rPr>
            </w:pPr>
          </w:p>
          <w:p w:rsidR="00AF3C3D" w:rsidRDefault="00AF3C3D" w:rsidP="002C6EA3">
            <w:pPr>
              <w:tabs>
                <w:tab w:val="left" w:pos="720"/>
                <w:tab w:val="left" w:pos="1425"/>
              </w:tabs>
              <w:jc w:val="center"/>
              <w:rPr>
                <w:rFonts w:cs="Tahoma"/>
                <w:b/>
              </w:rPr>
            </w:pPr>
          </w:p>
          <w:p w:rsidR="00AF3C3D" w:rsidRDefault="00AF3C3D" w:rsidP="002C6EA3">
            <w:pPr>
              <w:tabs>
                <w:tab w:val="left" w:pos="720"/>
                <w:tab w:val="left" w:pos="1425"/>
              </w:tabs>
              <w:jc w:val="center"/>
              <w:rPr>
                <w:rFonts w:cs="Tahoma"/>
                <w:b/>
              </w:rPr>
            </w:pPr>
            <w:r>
              <w:rPr>
                <w:rFonts w:cs="Tahoma"/>
                <w:b/>
              </w:rPr>
              <w:t>Date</w:t>
            </w:r>
          </w:p>
        </w:tc>
        <w:tc>
          <w:tcPr>
            <w:tcW w:w="7398" w:type="dxa"/>
          </w:tcPr>
          <w:p w:rsidR="00AF3C3D" w:rsidRDefault="00AF3C3D" w:rsidP="002C6EA3">
            <w:pPr>
              <w:tabs>
                <w:tab w:val="left" w:pos="720"/>
                <w:tab w:val="left" w:pos="1425"/>
              </w:tabs>
              <w:jc w:val="center"/>
              <w:rPr>
                <w:rFonts w:cs="Tahoma"/>
                <w:b/>
              </w:rPr>
            </w:pPr>
          </w:p>
          <w:p w:rsidR="00AF3C3D" w:rsidRDefault="00AF3C3D" w:rsidP="002C6EA3">
            <w:pPr>
              <w:tabs>
                <w:tab w:val="left" w:pos="720"/>
                <w:tab w:val="left" w:pos="1425"/>
              </w:tabs>
              <w:jc w:val="center"/>
              <w:rPr>
                <w:rFonts w:cs="Tahoma"/>
                <w:b/>
              </w:rPr>
            </w:pPr>
          </w:p>
          <w:p w:rsidR="00AF3C3D" w:rsidRDefault="00AF3C3D" w:rsidP="002C6EA3">
            <w:pPr>
              <w:tabs>
                <w:tab w:val="left" w:pos="720"/>
                <w:tab w:val="left" w:pos="1425"/>
              </w:tabs>
              <w:jc w:val="center"/>
              <w:rPr>
                <w:rFonts w:cs="Tahoma"/>
                <w:b/>
              </w:rPr>
            </w:pPr>
            <w:r>
              <w:rPr>
                <w:rFonts w:cs="Tahoma"/>
                <w:b/>
              </w:rPr>
              <w:t>Description</w:t>
            </w:r>
          </w:p>
          <w:p w:rsidR="00D109D1" w:rsidRDefault="00D109D1" w:rsidP="002C6EA3">
            <w:pPr>
              <w:tabs>
                <w:tab w:val="left" w:pos="720"/>
                <w:tab w:val="left" w:pos="1425"/>
              </w:tabs>
              <w:jc w:val="center"/>
              <w:rPr>
                <w:rFonts w:cs="Tahoma"/>
                <w:b/>
              </w:rPr>
            </w:pPr>
          </w:p>
        </w:tc>
      </w:tr>
      <w:tr w:rsidR="00AF3C3D" w:rsidTr="00D109D1">
        <w:tc>
          <w:tcPr>
            <w:tcW w:w="1480" w:type="dxa"/>
          </w:tcPr>
          <w:p w:rsidR="00AF3C3D" w:rsidRPr="00D83E02" w:rsidRDefault="00AF3C3D" w:rsidP="002C6EA3">
            <w:pPr>
              <w:tabs>
                <w:tab w:val="left" w:pos="720"/>
                <w:tab w:val="left" w:pos="1425"/>
              </w:tabs>
              <w:jc w:val="both"/>
              <w:rPr>
                <w:rFonts w:cs="Tahoma"/>
              </w:rPr>
            </w:pPr>
            <w:r w:rsidRPr="00D83E02">
              <w:rPr>
                <w:rFonts w:cs="Tahoma"/>
              </w:rPr>
              <w:t>02520-2018</w:t>
            </w:r>
          </w:p>
        </w:tc>
        <w:tc>
          <w:tcPr>
            <w:tcW w:w="950" w:type="dxa"/>
          </w:tcPr>
          <w:p w:rsidR="00AF3C3D" w:rsidRPr="00D83E02" w:rsidRDefault="00AF3C3D" w:rsidP="002C6EA3">
            <w:pPr>
              <w:tabs>
                <w:tab w:val="left" w:pos="720"/>
                <w:tab w:val="left" w:pos="1425"/>
              </w:tabs>
              <w:jc w:val="center"/>
              <w:rPr>
                <w:rFonts w:cs="Tahoma"/>
                <w:b/>
              </w:rPr>
            </w:pPr>
            <w:r w:rsidRPr="00D83E02">
              <w:rPr>
                <w:rFonts w:cs="Tahoma"/>
              </w:rPr>
              <w:t>3/26/18</w:t>
            </w:r>
          </w:p>
        </w:tc>
        <w:tc>
          <w:tcPr>
            <w:tcW w:w="7398" w:type="dxa"/>
          </w:tcPr>
          <w:p w:rsidR="00AF3C3D" w:rsidRDefault="00AF3C3D" w:rsidP="00D109D1">
            <w:pPr>
              <w:tabs>
                <w:tab w:val="left" w:pos="720"/>
                <w:tab w:val="left" w:pos="1425"/>
              </w:tabs>
              <w:jc w:val="both"/>
              <w:rPr>
                <w:rFonts w:cs="Tahoma"/>
              </w:rPr>
            </w:pPr>
            <w:r w:rsidRPr="00D83E02">
              <w:rPr>
                <w:rFonts w:cs="Tahoma"/>
              </w:rPr>
              <w:t>Second Request for extension of confidential classification [concerning portions of staff’s audit workpapers (Audit Control No. 13-010-2-2), DN 02697-2013</w:t>
            </w:r>
            <w:r>
              <w:rPr>
                <w:rFonts w:cs="Tahoma"/>
              </w:rPr>
              <w:t>]</w:t>
            </w:r>
          </w:p>
          <w:p w:rsidR="00D109D1" w:rsidRPr="00D83E02" w:rsidRDefault="00D109D1" w:rsidP="00D109D1">
            <w:pPr>
              <w:tabs>
                <w:tab w:val="left" w:pos="720"/>
                <w:tab w:val="left" w:pos="1425"/>
              </w:tabs>
              <w:jc w:val="both"/>
              <w:rPr>
                <w:rFonts w:cs="Tahoma"/>
              </w:rPr>
            </w:pPr>
          </w:p>
        </w:tc>
      </w:tr>
      <w:tr w:rsidR="00AF3C3D" w:rsidTr="00D109D1">
        <w:tc>
          <w:tcPr>
            <w:tcW w:w="1480" w:type="dxa"/>
          </w:tcPr>
          <w:p w:rsidR="00AF3C3D" w:rsidRPr="00D83E02" w:rsidRDefault="00AF3C3D" w:rsidP="002C6EA3">
            <w:pPr>
              <w:tabs>
                <w:tab w:val="left" w:pos="720"/>
                <w:tab w:val="left" w:pos="1425"/>
              </w:tabs>
              <w:jc w:val="both"/>
              <w:rPr>
                <w:rFonts w:cs="Tahoma"/>
              </w:rPr>
            </w:pPr>
            <w:r>
              <w:rPr>
                <w:rFonts w:cs="Tahoma"/>
              </w:rPr>
              <w:t>02425-2018</w:t>
            </w:r>
          </w:p>
        </w:tc>
        <w:tc>
          <w:tcPr>
            <w:tcW w:w="950" w:type="dxa"/>
          </w:tcPr>
          <w:p w:rsidR="00AF3C3D" w:rsidRPr="00D83E02" w:rsidRDefault="00AF3C3D" w:rsidP="002C6EA3">
            <w:pPr>
              <w:tabs>
                <w:tab w:val="left" w:pos="720"/>
                <w:tab w:val="left" w:pos="1425"/>
              </w:tabs>
              <w:jc w:val="center"/>
              <w:rPr>
                <w:rFonts w:cs="Tahoma"/>
              </w:rPr>
            </w:pPr>
            <w:r w:rsidRPr="00D83E02">
              <w:rPr>
                <w:rFonts w:cs="Tahoma"/>
              </w:rPr>
              <w:t>3/20/18</w:t>
            </w:r>
          </w:p>
        </w:tc>
        <w:tc>
          <w:tcPr>
            <w:tcW w:w="7398" w:type="dxa"/>
          </w:tcPr>
          <w:p w:rsidR="00AF3C3D" w:rsidRDefault="00AF3C3D" w:rsidP="00D109D1">
            <w:pPr>
              <w:tabs>
                <w:tab w:val="left" w:pos="720"/>
                <w:tab w:val="left" w:pos="1425"/>
              </w:tabs>
              <w:jc w:val="both"/>
              <w:rPr>
                <w:rFonts w:cs="Tahoma"/>
              </w:rPr>
            </w:pPr>
            <w:r w:rsidRPr="00D83E02">
              <w:rPr>
                <w:rFonts w:cs="Tahoma"/>
              </w:rPr>
              <w:t>Second Request for extension of confidential classification</w:t>
            </w:r>
            <w:r>
              <w:rPr>
                <w:rFonts w:cs="Tahoma"/>
              </w:rPr>
              <w:t xml:space="preserve"> [of certain information provided in response to staff’s auditors for review of project management internal controls for nuclear plant uprate and construction projects Audit Report No. PA-11-11-004, DN 03912-2012]</w:t>
            </w:r>
          </w:p>
          <w:p w:rsidR="00D109D1" w:rsidRPr="00D83E02" w:rsidRDefault="00D109D1" w:rsidP="00D109D1">
            <w:pPr>
              <w:tabs>
                <w:tab w:val="left" w:pos="720"/>
                <w:tab w:val="left" w:pos="1425"/>
              </w:tabs>
              <w:jc w:val="both"/>
              <w:rPr>
                <w:rFonts w:cs="Tahoma"/>
              </w:rPr>
            </w:pPr>
          </w:p>
        </w:tc>
      </w:tr>
      <w:tr w:rsidR="00AF3C3D" w:rsidTr="00D109D1">
        <w:tc>
          <w:tcPr>
            <w:tcW w:w="1480" w:type="dxa"/>
          </w:tcPr>
          <w:p w:rsidR="00AF3C3D" w:rsidRPr="00D83E02" w:rsidRDefault="00AF3C3D" w:rsidP="002C6EA3">
            <w:pPr>
              <w:tabs>
                <w:tab w:val="left" w:pos="720"/>
                <w:tab w:val="left" w:pos="1425"/>
              </w:tabs>
              <w:jc w:val="both"/>
              <w:rPr>
                <w:rFonts w:cs="Tahoma"/>
              </w:rPr>
            </w:pPr>
            <w:r>
              <w:rPr>
                <w:rFonts w:cs="Tahoma"/>
              </w:rPr>
              <w:t>02134-2018</w:t>
            </w:r>
          </w:p>
        </w:tc>
        <w:tc>
          <w:tcPr>
            <w:tcW w:w="950" w:type="dxa"/>
          </w:tcPr>
          <w:p w:rsidR="00AF3C3D" w:rsidRPr="00D83E02" w:rsidRDefault="00AF3C3D" w:rsidP="002C6EA3">
            <w:pPr>
              <w:tabs>
                <w:tab w:val="left" w:pos="720"/>
                <w:tab w:val="left" w:pos="1425"/>
              </w:tabs>
              <w:jc w:val="center"/>
              <w:rPr>
                <w:rFonts w:cs="Tahoma"/>
              </w:rPr>
            </w:pPr>
            <w:r w:rsidRPr="00D83E02">
              <w:rPr>
                <w:rFonts w:cs="Tahoma"/>
              </w:rPr>
              <w:t>3/6/18</w:t>
            </w:r>
          </w:p>
        </w:tc>
        <w:tc>
          <w:tcPr>
            <w:tcW w:w="7398" w:type="dxa"/>
          </w:tcPr>
          <w:p w:rsidR="00AF3C3D" w:rsidRDefault="00AF3C3D" w:rsidP="00D109D1">
            <w:pPr>
              <w:tabs>
                <w:tab w:val="left" w:pos="720"/>
                <w:tab w:val="left" w:pos="1425"/>
              </w:tabs>
              <w:jc w:val="both"/>
              <w:rPr>
                <w:rFonts w:cs="Tahoma"/>
              </w:rPr>
            </w:pPr>
            <w:r w:rsidRPr="00D83E02">
              <w:rPr>
                <w:rFonts w:cs="Tahoma"/>
              </w:rPr>
              <w:t xml:space="preserve">Second </w:t>
            </w:r>
            <w:r>
              <w:rPr>
                <w:rFonts w:cs="Tahoma"/>
              </w:rPr>
              <w:t>R</w:t>
            </w:r>
            <w:r w:rsidRPr="00D83E02">
              <w:rPr>
                <w:rFonts w:cs="Tahoma"/>
              </w:rPr>
              <w:t>equest for extension of confidential classification [concerning portions of staff</w:t>
            </w:r>
            <w:r>
              <w:rPr>
                <w:rFonts w:cs="Tahoma"/>
              </w:rPr>
              <w:t xml:space="preserve"> </w:t>
            </w:r>
            <w:r w:rsidRPr="00D83E02">
              <w:rPr>
                <w:rFonts w:cs="Tahoma"/>
              </w:rPr>
              <w:t>audit</w:t>
            </w:r>
            <w:r>
              <w:rPr>
                <w:rFonts w:cs="Tahoma"/>
              </w:rPr>
              <w:t>ors’</w:t>
            </w:r>
            <w:r w:rsidRPr="00D83E02">
              <w:rPr>
                <w:rFonts w:cs="Tahoma"/>
              </w:rPr>
              <w:t xml:space="preserve"> workpapers (Audit Control No. 1</w:t>
            </w:r>
            <w:r>
              <w:rPr>
                <w:rFonts w:cs="Tahoma"/>
              </w:rPr>
              <w:t>1</w:t>
            </w:r>
            <w:r w:rsidRPr="00D83E02">
              <w:rPr>
                <w:rFonts w:cs="Tahoma"/>
              </w:rPr>
              <w:t>-0</w:t>
            </w:r>
            <w:r>
              <w:rPr>
                <w:rFonts w:cs="Tahoma"/>
              </w:rPr>
              <w:t>24</w:t>
            </w:r>
            <w:r w:rsidRPr="00D83E02">
              <w:rPr>
                <w:rFonts w:cs="Tahoma"/>
              </w:rPr>
              <w:t>-2-2), DN 02</w:t>
            </w:r>
            <w:r>
              <w:rPr>
                <w:rFonts w:cs="Tahoma"/>
              </w:rPr>
              <w:t>311</w:t>
            </w:r>
            <w:r w:rsidRPr="00D83E02">
              <w:rPr>
                <w:rFonts w:cs="Tahoma"/>
              </w:rPr>
              <w:t>-201</w:t>
            </w:r>
            <w:r>
              <w:rPr>
                <w:rFonts w:cs="Tahoma"/>
              </w:rPr>
              <w:t>6]</w:t>
            </w:r>
          </w:p>
          <w:p w:rsidR="00D109D1" w:rsidRPr="00D83E02" w:rsidRDefault="00D109D1" w:rsidP="00D109D1">
            <w:pPr>
              <w:tabs>
                <w:tab w:val="left" w:pos="720"/>
                <w:tab w:val="left" w:pos="1425"/>
              </w:tabs>
              <w:jc w:val="both"/>
              <w:rPr>
                <w:rFonts w:cs="Tahoma"/>
              </w:rPr>
            </w:pPr>
          </w:p>
        </w:tc>
      </w:tr>
      <w:tr w:rsidR="00AF3C3D" w:rsidTr="00D109D1">
        <w:tc>
          <w:tcPr>
            <w:tcW w:w="1480" w:type="dxa"/>
          </w:tcPr>
          <w:p w:rsidR="00AF3C3D" w:rsidRPr="00D83E02" w:rsidRDefault="00AF3C3D" w:rsidP="002C6EA3">
            <w:pPr>
              <w:tabs>
                <w:tab w:val="left" w:pos="720"/>
                <w:tab w:val="left" w:pos="1425"/>
              </w:tabs>
              <w:jc w:val="both"/>
              <w:rPr>
                <w:rFonts w:cs="Tahoma"/>
              </w:rPr>
            </w:pPr>
            <w:r>
              <w:rPr>
                <w:rFonts w:cs="Tahoma"/>
              </w:rPr>
              <w:t>02116-2018</w:t>
            </w:r>
          </w:p>
        </w:tc>
        <w:tc>
          <w:tcPr>
            <w:tcW w:w="950" w:type="dxa"/>
          </w:tcPr>
          <w:p w:rsidR="00AF3C3D" w:rsidRPr="00D83E02" w:rsidRDefault="00AF3C3D" w:rsidP="002C6EA3">
            <w:pPr>
              <w:tabs>
                <w:tab w:val="left" w:pos="720"/>
                <w:tab w:val="left" w:pos="1425"/>
              </w:tabs>
              <w:jc w:val="center"/>
              <w:rPr>
                <w:rFonts w:cs="Tahoma"/>
              </w:rPr>
            </w:pPr>
            <w:r w:rsidRPr="00D83E02">
              <w:rPr>
                <w:rFonts w:cs="Tahoma"/>
              </w:rPr>
              <w:t>3/5/18</w:t>
            </w:r>
          </w:p>
        </w:tc>
        <w:tc>
          <w:tcPr>
            <w:tcW w:w="7398" w:type="dxa"/>
          </w:tcPr>
          <w:p w:rsidR="00AF3C3D" w:rsidRDefault="00AF3C3D" w:rsidP="00D109D1">
            <w:pPr>
              <w:tabs>
                <w:tab w:val="left" w:pos="720"/>
                <w:tab w:val="left" w:pos="1425"/>
              </w:tabs>
              <w:jc w:val="both"/>
              <w:rPr>
                <w:rFonts w:cs="Tahoma"/>
              </w:rPr>
            </w:pPr>
            <w:r w:rsidRPr="00D83E02">
              <w:rPr>
                <w:rFonts w:cs="Tahoma"/>
              </w:rPr>
              <w:t>Second Request for extension of confidential classification [</w:t>
            </w:r>
            <w:r>
              <w:rPr>
                <w:rFonts w:cs="Tahoma"/>
              </w:rPr>
              <w:t>of</w:t>
            </w:r>
            <w:r w:rsidRPr="00D83E02">
              <w:rPr>
                <w:rFonts w:cs="Tahoma"/>
              </w:rPr>
              <w:t xml:space="preserve"> portions of staff Audit Control No. 1</w:t>
            </w:r>
            <w:r>
              <w:rPr>
                <w:rFonts w:cs="Tahoma"/>
              </w:rPr>
              <w:t>2</w:t>
            </w:r>
            <w:r w:rsidRPr="00D83E02">
              <w:rPr>
                <w:rFonts w:cs="Tahoma"/>
              </w:rPr>
              <w:t>-010-2-</w:t>
            </w:r>
            <w:r>
              <w:rPr>
                <w:rFonts w:cs="Tahoma"/>
              </w:rPr>
              <w:t>1</w:t>
            </w:r>
            <w:r w:rsidRPr="00D83E02">
              <w:rPr>
                <w:rFonts w:cs="Tahoma"/>
              </w:rPr>
              <w:t>, DN 02</w:t>
            </w:r>
            <w:r>
              <w:rPr>
                <w:rFonts w:cs="Tahoma"/>
              </w:rPr>
              <w:t>350</w:t>
            </w:r>
            <w:r w:rsidRPr="00D83E02">
              <w:rPr>
                <w:rFonts w:cs="Tahoma"/>
              </w:rPr>
              <w:t>-201</w:t>
            </w:r>
            <w:r>
              <w:rPr>
                <w:rFonts w:cs="Tahoma"/>
              </w:rPr>
              <w:t>6]</w:t>
            </w:r>
          </w:p>
          <w:p w:rsidR="00D109D1" w:rsidRPr="00D83E02" w:rsidRDefault="00D109D1" w:rsidP="00D109D1">
            <w:pPr>
              <w:tabs>
                <w:tab w:val="left" w:pos="720"/>
                <w:tab w:val="left" w:pos="1425"/>
              </w:tabs>
              <w:jc w:val="both"/>
              <w:rPr>
                <w:rFonts w:cs="Tahoma"/>
              </w:rPr>
            </w:pPr>
          </w:p>
        </w:tc>
      </w:tr>
      <w:tr w:rsidR="00AF3C3D" w:rsidTr="00D109D1">
        <w:tc>
          <w:tcPr>
            <w:tcW w:w="1480" w:type="dxa"/>
          </w:tcPr>
          <w:p w:rsidR="00AF3C3D" w:rsidRPr="00D83E02" w:rsidRDefault="00AF3C3D" w:rsidP="002C6EA3">
            <w:pPr>
              <w:tabs>
                <w:tab w:val="left" w:pos="720"/>
                <w:tab w:val="left" w:pos="1425"/>
              </w:tabs>
              <w:jc w:val="both"/>
              <w:rPr>
                <w:rFonts w:cs="Tahoma"/>
              </w:rPr>
            </w:pPr>
            <w:r>
              <w:rPr>
                <w:rFonts w:cs="Tahoma"/>
              </w:rPr>
              <w:t>01791-2018</w:t>
            </w:r>
          </w:p>
        </w:tc>
        <w:tc>
          <w:tcPr>
            <w:tcW w:w="950" w:type="dxa"/>
          </w:tcPr>
          <w:p w:rsidR="00AF3C3D" w:rsidRPr="00D83E02" w:rsidRDefault="00AF3C3D" w:rsidP="002C6EA3">
            <w:pPr>
              <w:tabs>
                <w:tab w:val="left" w:pos="720"/>
                <w:tab w:val="left" w:pos="1425"/>
              </w:tabs>
              <w:jc w:val="center"/>
              <w:rPr>
                <w:rFonts w:cs="Tahoma"/>
              </w:rPr>
            </w:pPr>
            <w:r w:rsidRPr="00D83E02">
              <w:rPr>
                <w:rFonts w:cs="Tahoma"/>
              </w:rPr>
              <w:t>2/23/18</w:t>
            </w:r>
          </w:p>
        </w:tc>
        <w:tc>
          <w:tcPr>
            <w:tcW w:w="7398" w:type="dxa"/>
          </w:tcPr>
          <w:p w:rsidR="00AF3C3D" w:rsidRDefault="00AF3C3D" w:rsidP="00D109D1">
            <w:pPr>
              <w:tabs>
                <w:tab w:val="left" w:pos="720"/>
                <w:tab w:val="left" w:pos="1425"/>
              </w:tabs>
              <w:jc w:val="both"/>
              <w:rPr>
                <w:rFonts w:cs="Tahoma"/>
              </w:rPr>
            </w:pPr>
            <w:r>
              <w:rPr>
                <w:rFonts w:cs="Tahoma"/>
              </w:rPr>
              <w:t>First</w:t>
            </w:r>
            <w:r w:rsidRPr="00D83E02">
              <w:rPr>
                <w:rFonts w:cs="Tahoma"/>
              </w:rPr>
              <w:t xml:space="preserve"> Request for extension of confidential classification</w:t>
            </w:r>
            <w:r>
              <w:rPr>
                <w:rFonts w:cs="Tahoma"/>
              </w:rPr>
              <w:t xml:space="preserve"> </w:t>
            </w:r>
            <w:r w:rsidRPr="00D83E02">
              <w:rPr>
                <w:rFonts w:cs="Tahoma"/>
              </w:rPr>
              <w:t>[</w:t>
            </w:r>
            <w:r>
              <w:rPr>
                <w:rFonts w:cs="Tahoma"/>
              </w:rPr>
              <w:t>of</w:t>
            </w:r>
            <w:r w:rsidRPr="00D83E02">
              <w:rPr>
                <w:rFonts w:cs="Tahoma"/>
              </w:rPr>
              <w:t xml:space="preserve"> portions of Audit </w:t>
            </w:r>
            <w:r>
              <w:rPr>
                <w:rFonts w:cs="Tahoma"/>
              </w:rPr>
              <w:t>Report</w:t>
            </w:r>
            <w:r w:rsidRPr="00D83E02">
              <w:rPr>
                <w:rFonts w:cs="Tahoma"/>
              </w:rPr>
              <w:t xml:space="preserve"> No. </w:t>
            </w:r>
            <w:r>
              <w:rPr>
                <w:rFonts w:cs="Tahoma"/>
              </w:rPr>
              <w:t>PA-</w:t>
            </w:r>
            <w:r w:rsidRPr="00D83E02">
              <w:rPr>
                <w:rFonts w:cs="Tahoma"/>
              </w:rPr>
              <w:t>1</w:t>
            </w:r>
            <w:r>
              <w:rPr>
                <w:rFonts w:cs="Tahoma"/>
              </w:rPr>
              <w:t>6</w:t>
            </w:r>
            <w:r w:rsidRPr="00D83E02">
              <w:rPr>
                <w:rFonts w:cs="Tahoma"/>
              </w:rPr>
              <w:t>-01-</w:t>
            </w:r>
            <w:r>
              <w:rPr>
                <w:rFonts w:cs="Tahoma"/>
              </w:rPr>
              <w:t>001</w:t>
            </w:r>
            <w:r w:rsidRPr="00D83E02">
              <w:rPr>
                <w:rFonts w:cs="Tahoma"/>
              </w:rPr>
              <w:t xml:space="preserve">, </w:t>
            </w:r>
            <w:r>
              <w:rPr>
                <w:rFonts w:cs="Tahoma"/>
              </w:rPr>
              <w:t xml:space="preserve">regarding staff’s 2016 review of project management internal controls for nuclear plant uprate and construction projects, </w:t>
            </w:r>
            <w:r w:rsidRPr="00D83E02">
              <w:rPr>
                <w:rFonts w:cs="Tahoma"/>
              </w:rPr>
              <w:t>DN 0</w:t>
            </w:r>
            <w:r>
              <w:rPr>
                <w:rFonts w:cs="Tahoma"/>
              </w:rPr>
              <w:t>3754</w:t>
            </w:r>
            <w:r w:rsidRPr="00D83E02">
              <w:rPr>
                <w:rFonts w:cs="Tahoma"/>
              </w:rPr>
              <w:t>-201</w:t>
            </w:r>
            <w:r>
              <w:rPr>
                <w:rFonts w:cs="Tahoma"/>
              </w:rPr>
              <w:t>6]</w:t>
            </w:r>
          </w:p>
          <w:p w:rsidR="00D109D1" w:rsidRPr="00D83E02" w:rsidRDefault="00D109D1" w:rsidP="00D109D1">
            <w:pPr>
              <w:tabs>
                <w:tab w:val="left" w:pos="720"/>
                <w:tab w:val="left" w:pos="1425"/>
              </w:tabs>
              <w:jc w:val="both"/>
              <w:rPr>
                <w:rFonts w:cs="Tahoma"/>
              </w:rPr>
            </w:pPr>
          </w:p>
        </w:tc>
      </w:tr>
      <w:tr w:rsidR="00AF3C3D" w:rsidTr="00D109D1">
        <w:tc>
          <w:tcPr>
            <w:tcW w:w="1480" w:type="dxa"/>
          </w:tcPr>
          <w:p w:rsidR="00AF3C3D" w:rsidRPr="00D83E02" w:rsidRDefault="00AF3C3D" w:rsidP="002C6EA3">
            <w:pPr>
              <w:tabs>
                <w:tab w:val="left" w:pos="720"/>
                <w:tab w:val="left" w:pos="1425"/>
              </w:tabs>
              <w:jc w:val="both"/>
              <w:rPr>
                <w:rFonts w:cs="Tahoma"/>
              </w:rPr>
            </w:pPr>
            <w:r>
              <w:rPr>
                <w:rFonts w:cs="Tahoma"/>
              </w:rPr>
              <w:t>01499-2018</w:t>
            </w:r>
          </w:p>
        </w:tc>
        <w:tc>
          <w:tcPr>
            <w:tcW w:w="950" w:type="dxa"/>
          </w:tcPr>
          <w:p w:rsidR="00AF3C3D" w:rsidRPr="00D83E02" w:rsidRDefault="00AF3C3D" w:rsidP="002C6EA3">
            <w:pPr>
              <w:tabs>
                <w:tab w:val="left" w:pos="720"/>
                <w:tab w:val="left" w:pos="1425"/>
              </w:tabs>
              <w:jc w:val="center"/>
              <w:rPr>
                <w:rFonts w:cs="Tahoma"/>
              </w:rPr>
            </w:pPr>
            <w:r w:rsidRPr="00D83E02">
              <w:rPr>
                <w:rFonts w:cs="Tahoma"/>
              </w:rPr>
              <w:t>2/19/18</w:t>
            </w:r>
          </w:p>
        </w:tc>
        <w:tc>
          <w:tcPr>
            <w:tcW w:w="7398" w:type="dxa"/>
          </w:tcPr>
          <w:p w:rsidR="00AF3C3D" w:rsidRPr="00D83E02" w:rsidRDefault="00AF3C3D" w:rsidP="00D109D1">
            <w:pPr>
              <w:tabs>
                <w:tab w:val="left" w:pos="720"/>
                <w:tab w:val="left" w:pos="1425"/>
              </w:tabs>
              <w:jc w:val="both"/>
              <w:rPr>
                <w:rFonts w:cs="Tahoma"/>
              </w:rPr>
            </w:pPr>
            <w:r>
              <w:rPr>
                <w:rFonts w:cs="Tahoma"/>
              </w:rPr>
              <w:t>Second</w:t>
            </w:r>
            <w:r w:rsidRPr="00D83E02">
              <w:rPr>
                <w:rFonts w:cs="Tahoma"/>
              </w:rPr>
              <w:t xml:space="preserve"> Request for extension of confidential classification</w:t>
            </w:r>
            <w:r>
              <w:rPr>
                <w:rFonts w:cs="Tahoma"/>
              </w:rPr>
              <w:t xml:space="preserve"> </w:t>
            </w:r>
            <w:r w:rsidRPr="00D83E02">
              <w:rPr>
                <w:rFonts w:cs="Tahoma"/>
              </w:rPr>
              <w:t>[</w:t>
            </w:r>
            <w:r>
              <w:rPr>
                <w:rFonts w:cs="Tahoma"/>
              </w:rPr>
              <w:t xml:space="preserve">concerning </w:t>
            </w:r>
            <w:r w:rsidRPr="00D83E02">
              <w:rPr>
                <w:rFonts w:cs="Tahoma"/>
              </w:rPr>
              <w:t xml:space="preserve">portions of Audit </w:t>
            </w:r>
            <w:r>
              <w:rPr>
                <w:rFonts w:cs="Tahoma"/>
              </w:rPr>
              <w:t>Report</w:t>
            </w:r>
            <w:r w:rsidRPr="00D83E02">
              <w:rPr>
                <w:rFonts w:cs="Tahoma"/>
              </w:rPr>
              <w:t xml:space="preserve"> No. </w:t>
            </w:r>
            <w:r>
              <w:rPr>
                <w:rFonts w:cs="Tahoma"/>
              </w:rPr>
              <w:t>PA-</w:t>
            </w:r>
            <w:r w:rsidRPr="00D83E02">
              <w:rPr>
                <w:rFonts w:cs="Tahoma"/>
              </w:rPr>
              <w:t>1</w:t>
            </w:r>
            <w:r>
              <w:rPr>
                <w:rFonts w:cs="Tahoma"/>
              </w:rPr>
              <w:t>3</w:t>
            </w:r>
            <w:r w:rsidRPr="00D83E02">
              <w:rPr>
                <w:rFonts w:cs="Tahoma"/>
              </w:rPr>
              <w:t>-01-</w:t>
            </w:r>
            <w:r>
              <w:rPr>
                <w:rFonts w:cs="Tahoma"/>
              </w:rPr>
              <w:t>001,</w:t>
            </w:r>
            <w:r w:rsidRPr="00D83E02">
              <w:rPr>
                <w:rFonts w:cs="Tahoma"/>
              </w:rPr>
              <w:t xml:space="preserve"> DN 0</w:t>
            </w:r>
            <w:r>
              <w:rPr>
                <w:rFonts w:cs="Tahoma"/>
              </w:rPr>
              <w:t>1500</w:t>
            </w:r>
            <w:r w:rsidRPr="00D83E02">
              <w:rPr>
                <w:rFonts w:cs="Tahoma"/>
              </w:rPr>
              <w:t>-201</w:t>
            </w:r>
            <w:r>
              <w:rPr>
                <w:rFonts w:cs="Tahoma"/>
              </w:rPr>
              <w:t>8]</w:t>
            </w:r>
          </w:p>
        </w:tc>
      </w:tr>
      <w:tr w:rsidR="00AF3C3D" w:rsidTr="00D109D1">
        <w:tc>
          <w:tcPr>
            <w:tcW w:w="1480" w:type="dxa"/>
          </w:tcPr>
          <w:p w:rsidR="00AF3C3D" w:rsidRPr="00D83E02" w:rsidRDefault="00AF3C3D" w:rsidP="002C6EA3">
            <w:pPr>
              <w:tabs>
                <w:tab w:val="left" w:pos="720"/>
                <w:tab w:val="left" w:pos="1425"/>
              </w:tabs>
              <w:jc w:val="both"/>
              <w:rPr>
                <w:rFonts w:cs="Tahoma"/>
              </w:rPr>
            </w:pPr>
            <w:r>
              <w:rPr>
                <w:rFonts w:cs="Tahoma"/>
              </w:rPr>
              <w:lastRenderedPageBreak/>
              <w:t>01287-2018</w:t>
            </w:r>
          </w:p>
        </w:tc>
        <w:tc>
          <w:tcPr>
            <w:tcW w:w="950" w:type="dxa"/>
          </w:tcPr>
          <w:p w:rsidR="00AF3C3D" w:rsidRPr="00D83E02" w:rsidRDefault="00AF3C3D" w:rsidP="002C6EA3">
            <w:pPr>
              <w:tabs>
                <w:tab w:val="left" w:pos="720"/>
                <w:tab w:val="left" w:pos="1425"/>
              </w:tabs>
              <w:jc w:val="center"/>
              <w:rPr>
                <w:rFonts w:cs="Tahoma"/>
              </w:rPr>
            </w:pPr>
            <w:r w:rsidRPr="00D83E02">
              <w:rPr>
                <w:rFonts w:cs="Tahoma"/>
              </w:rPr>
              <w:t>2/16/18</w:t>
            </w:r>
          </w:p>
        </w:tc>
        <w:tc>
          <w:tcPr>
            <w:tcW w:w="7398" w:type="dxa"/>
          </w:tcPr>
          <w:p w:rsidR="00AF3C3D" w:rsidRDefault="00AF3C3D" w:rsidP="00D109D1">
            <w:pPr>
              <w:tabs>
                <w:tab w:val="left" w:pos="720"/>
                <w:tab w:val="left" w:pos="1425"/>
              </w:tabs>
              <w:jc w:val="both"/>
              <w:rPr>
                <w:rFonts w:cs="Tahoma"/>
              </w:rPr>
            </w:pPr>
            <w:r w:rsidRPr="00D83E02">
              <w:rPr>
                <w:rFonts w:cs="Tahoma"/>
              </w:rPr>
              <w:t>Second Request for extension of confidential classification [</w:t>
            </w:r>
            <w:r>
              <w:rPr>
                <w:rFonts w:cs="Tahoma"/>
              </w:rPr>
              <w:t>of</w:t>
            </w:r>
            <w:r w:rsidRPr="00D83E02">
              <w:rPr>
                <w:rFonts w:cs="Tahoma"/>
              </w:rPr>
              <w:t xml:space="preserve"> DN 0</w:t>
            </w:r>
            <w:r>
              <w:rPr>
                <w:rFonts w:cs="Tahoma"/>
              </w:rPr>
              <w:t>3125</w:t>
            </w:r>
            <w:r w:rsidRPr="00D83E02">
              <w:rPr>
                <w:rFonts w:cs="Tahoma"/>
              </w:rPr>
              <w:t>-201</w:t>
            </w:r>
            <w:r>
              <w:rPr>
                <w:rFonts w:cs="Tahoma"/>
              </w:rPr>
              <w:t xml:space="preserve">4, </w:t>
            </w:r>
            <w:r w:rsidRPr="00D83E02">
              <w:rPr>
                <w:rFonts w:cs="Tahoma"/>
              </w:rPr>
              <w:t xml:space="preserve"> Audit Control No. </w:t>
            </w:r>
            <w:r>
              <w:rPr>
                <w:rFonts w:cs="Tahoma"/>
              </w:rPr>
              <w:t>PA-</w:t>
            </w:r>
            <w:r w:rsidRPr="00D83E02">
              <w:rPr>
                <w:rFonts w:cs="Tahoma"/>
              </w:rPr>
              <w:t>1</w:t>
            </w:r>
            <w:r>
              <w:rPr>
                <w:rFonts w:cs="Tahoma"/>
              </w:rPr>
              <w:t>4</w:t>
            </w:r>
            <w:r w:rsidRPr="00D83E02">
              <w:rPr>
                <w:rFonts w:cs="Tahoma"/>
              </w:rPr>
              <w:t>-01-</w:t>
            </w:r>
            <w:r>
              <w:rPr>
                <w:rFonts w:cs="Tahoma"/>
              </w:rPr>
              <w:t>001]</w:t>
            </w:r>
          </w:p>
          <w:p w:rsidR="00D109D1" w:rsidRPr="00D83E02" w:rsidRDefault="00D109D1" w:rsidP="00D109D1">
            <w:pPr>
              <w:tabs>
                <w:tab w:val="left" w:pos="720"/>
                <w:tab w:val="left" w:pos="1425"/>
              </w:tabs>
              <w:jc w:val="both"/>
              <w:rPr>
                <w:rFonts w:cs="Tahoma"/>
              </w:rPr>
            </w:pPr>
          </w:p>
        </w:tc>
      </w:tr>
      <w:tr w:rsidR="00AF3C3D" w:rsidTr="00D109D1">
        <w:tc>
          <w:tcPr>
            <w:tcW w:w="1480" w:type="dxa"/>
          </w:tcPr>
          <w:p w:rsidR="00AF3C3D" w:rsidRPr="00D83E02" w:rsidRDefault="00AF3C3D" w:rsidP="002C6EA3">
            <w:pPr>
              <w:tabs>
                <w:tab w:val="left" w:pos="720"/>
                <w:tab w:val="left" w:pos="1425"/>
              </w:tabs>
              <w:jc w:val="both"/>
              <w:rPr>
                <w:rFonts w:cs="Tahoma"/>
              </w:rPr>
            </w:pPr>
            <w:r>
              <w:rPr>
                <w:rFonts w:cs="Tahoma"/>
              </w:rPr>
              <w:t>01133-2018</w:t>
            </w:r>
          </w:p>
        </w:tc>
        <w:tc>
          <w:tcPr>
            <w:tcW w:w="950" w:type="dxa"/>
          </w:tcPr>
          <w:p w:rsidR="00AF3C3D" w:rsidRPr="00D83E02" w:rsidRDefault="00AF3C3D" w:rsidP="002C6EA3">
            <w:pPr>
              <w:tabs>
                <w:tab w:val="left" w:pos="720"/>
                <w:tab w:val="left" w:pos="1425"/>
              </w:tabs>
              <w:jc w:val="center"/>
              <w:rPr>
                <w:rFonts w:cs="Tahoma"/>
              </w:rPr>
            </w:pPr>
            <w:r w:rsidRPr="00D83E02">
              <w:rPr>
                <w:rFonts w:cs="Tahoma"/>
              </w:rPr>
              <w:t>2/12/18</w:t>
            </w:r>
          </w:p>
        </w:tc>
        <w:tc>
          <w:tcPr>
            <w:tcW w:w="7398" w:type="dxa"/>
          </w:tcPr>
          <w:p w:rsidR="00AF3C3D" w:rsidRDefault="00AF3C3D" w:rsidP="00D109D1">
            <w:pPr>
              <w:tabs>
                <w:tab w:val="left" w:pos="720"/>
                <w:tab w:val="left" w:pos="1425"/>
              </w:tabs>
              <w:jc w:val="both"/>
              <w:rPr>
                <w:rFonts w:cs="Tahoma"/>
              </w:rPr>
            </w:pPr>
            <w:r>
              <w:rPr>
                <w:rFonts w:cs="Tahoma"/>
              </w:rPr>
              <w:t>First</w:t>
            </w:r>
            <w:r w:rsidRPr="00D83E02">
              <w:rPr>
                <w:rFonts w:cs="Tahoma"/>
              </w:rPr>
              <w:t xml:space="preserve"> Request for extension of confidential classification</w:t>
            </w:r>
            <w:r>
              <w:rPr>
                <w:rFonts w:cs="Tahoma"/>
              </w:rPr>
              <w:t xml:space="preserve"> </w:t>
            </w:r>
            <w:r w:rsidRPr="00D83E02">
              <w:rPr>
                <w:rFonts w:cs="Tahoma"/>
              </w:rPr>
              <w:t>[</w:t>
            </w:r>
            <w:r>
              <w:rPr>
                <w:rFonts w:cs="Tahoma"/>
              </w:rPr>
              <w:t>of</w:t>
            </w:r>
            <w:r w:rsidRPr="00D83E02">
              <w:rPr>
                <w:rFonts w:cs="Tahoma"/>
              </w:rPr>
              <w:t xml:space="preserve"> DN 0</w:t>
            </w:r>
            <w:r>
              <w:rPr>
                <w:rFonts w:cs="Tahoma"/>
              </w:rPr>
              <w:t>3878</w:t>
            </w:r>
            <w:r w:rsidRPr="00D83E02">
              <w:rPr>
                <w:rFonts w:cs="Tahoma"/>
              </w:rPr>
              <w:t>-201</w:t>
            </w:r>
            <w:r>
              <w:rPr>
                <w:rFonts w:cs="Tahoma"/>
              </w:rPr>
              <w:t xml:space="preserve">6,  </w:t>
            </w:r>
            <w:r w:rsidRPr="00D83E02">
              <w:rPr>
                <w:rFonts w:cs="Tahoma"/>
              </w:rPr>
              <w:t xml:space="preserve">portions of staff’s </w:t>
            </w:r>
            <w:r>
              <w:rPr>
                <w:rFonts w:cs="Tahoma"/>
              </w:rPr>
              <w:t xml:space="preserve">generated financial </w:t>
            </w:r>
            <w:r w:rsidRPr="00D83E02">
              <w:rPr>
                <w:rFonts w:cs="Tahoma"/>
              </w:rPr>
              <w:t>audit</w:t>
            </w:r>
            <w:r>
              <w:rPr>
                <w:rFonts w:cs="Tahoma"/>
              </w:rPr>
              <w:t>ors</w:t>
            </w:r>
            <w:r w:rsidRPr="00D83E02">
              <w:rPr>
                <w:rFonts w:cs="Tahoma"/>
              </w:rPr>
              <w:t xml:space="preserve"> </w:t>
            </w:r>
            <w:r w:rsidR="00CB4973" w:rsidRPr="00D83E02">
              <w:rPr>
                <w:rFonts w:cs="Tahoma"/>
              </w:rPr>
              <w:t>work papers</w:t>
            </w:r>
            <w:r w:rsidRPr="00D83E02">
              <w:rPr>
                <w:rFonts w:cs="Tahoma"/>
              </w:rPr>
              <w:t xml:space="preserve"> (Audit Control No</w:t>
            </w:r>
            <w:r>
              <w:rPr>
                <w:rFonts w:cs="Tahoma"/>
              </w:rPr>
              <w:t>s</w:t>
            </w:r>
            <w:r w:rsidRPr="00D83E02">
              <w:rPr>
                <w:rFonts w:cs="Tahoma"/>
              </w:rPr>
              <w:t>. 1</w:t>
            </w:r>
            <w:r>
              <w:rPr>
                <w:rFonts w:cs="Tahoma"/>
              </w:rPr>
              <w:t>6</w:t>
            </w:r>
            <w:r w:rsidRPr="00D83E02">
              <w:rPr>
                <w:rFonts w:cs="Tahoma"/>
              </w:rPr>
              <w:t>-00</w:t>
            </w:r>
            <w:r>
              <w:rPr>
                <w:rFonts w:cs="Tahoma"/>
              </w:rPr>
              <w:t>5</w:t>
            </w:r>
            <w:r w:rsidRPr="00D83E02">
              <w:rPr>
                <w:rFonts w:cs="Tahoma"/>
              </w:rPr>
              <w:t>-2-</w:t>
            </w:r>
            <w:r>
              <w:rPr>
                <w:rFonts w:cs="Tahoma"/>
              </w:rPr>
              <w:t>1 and 16-005-2-2)]</w:t>
            </w:r>
            <w:r w:rsidRPr="00D83E02">
              <w:rPr>
                <w:rFonts w:cs="Tahoma"/>
              </w:rPr>
              <w:t xml:space="preserve">  </w:t>
            </w:r>
          </w:p>
          <w:p w:rsidR="00D109D1" w:rsidRPr="00D83E02" w:rsidRDefault="00D109D1" w:rsidP="00D109D1">
            <w:pPr>
              <w:tabs>
                <w:tab w:val="left" w:pos="720"/>
                <w:tab w:val="left" w:pos="1425"/>
              </w:tabs>
              <w:jc w:val="both"/>
              <w:rPr>
                <w:rFonts w:cs="Tahoma"/>
              </w:rPr>
            </w:pPr>
          </w:p>
        </w:tc>
      </w:tr>
      <w:tr w:rsidR="00AF3C3D" w:rsidTr="00D109D1">
        <w:tc>
          <w:tcPr>
            <w:tcW w:w="1480" w:type="dxa"/>
          </w:tcPr>
          <w:p w:rsidR="00AF3C3D" w:rsidRPr="00D83E02" w:rsidRDefault="00AF3C3D" w:rsidP="002C6EA3">
            <w:pPr>
              <w:tabs>
                <w:tab w:val="left" w:pos="720"/>
                <w:tab w:val="left" w:pos="1425"/>
              </w:tabs>
              <w:jc w:val="both"/>
              <w:rPr>
                <w:rFonts w:cs="Tahoma"/>
              </w:rPr>
            </w:pPr>
            <w:r>
              <w:rPr>
                <w:rFonts w:cs="Tahoma"/>
              </w:rPr>
              <w:t>00967-2018</w:t>
            </w:r>
          </w:p>
        </w:tc>
        <w:tc>
          <w:tcPr>
            <w:tcW w:w="950" w:type="dxa"/>
          </w:tcPr>
          <w:p w:rsidR="00AF3C3D" w:rsidRPr="00D83E02" w:rsidRDefault="00AF3C3D" w:rsidP="002C6EA3">
            <w:pPr>
              <w:tabs>
                <w:tab w:val="left" w:pos="720"/>
                <w:tab w:val="left" w:pos="1425"/>
              </w:tabs>
              <w:jc w:val="center"/>
              <w:rPr>
                <w:rFonts w:cs="Tahoma"/>
              </w:rPr>
            </w:pPr>
            <w:r w:rsidRPr="00D83E02">
              <w:rPr>
                <w:rFonts w:cs="Tahoma"/>
              </w:rPr>
              <w:t>2/5/18</w:t>
            </w:r>
          </w:p>
        </w:tc>
        <w:tc>
          <w:tcPr>
            <w:tcW w:w="7398" w:type="dxa"/>
          </w:tcPr>
          <w:p w:rsidR="00AF3C3D" w:rsidRDefault="00AF3C3D" w:rsidP="00D109D1">
            <w:pPr>
              <w:tabs>
                <w:tab w:val="left" w:pos="720"/>
                <w:tab w:val="left" w:pos="1425"/>
              </w:tabs>
              <w:jc w:val="both"/>
              <w:rPr>
                <w:rFonts w:cs="Tahoma"/>
              </w:rPr>
            </w:pPr>
            <w:r>
              <w:rPr>
                <w:rFonts w:cs="Tahoma"/>
              </w:rPr>
              <w:t>First</w:t>
            </w:r>
            <w:r w:rsidRPr="00D83E02">
              <w:rPr>
                <w:rFonts w:cs="Tahoma"/>
              </w:rPr>
              <w:t xml:space="preserve"> Request for extension of confidential classification</w:t>
            </w:r>
            <w:r>
              <w:rPr>
                <w:rFonts w:cs="Tahoma"/>
              </w:rPr>
              <w:t xml:space="preserve"> </w:t>
            </w:r>
            <w:r w:rsidRPr="00D83E02">
              <w:rPr>
                <w:rFonts w:cs="Tahoma"/>
              </w:rPr>
              <w:t>[</w:t>
            </w:r>
            <w:r>
              <w:rPr>
                <w:rFonts w:cs="Tahoma"/>
              </w:rPr>
              <w:t>of</w:t>
            </w:r>
            <w:r w:rsidRPr="00D83E02">
              <w:rPr>
                <w:rFonts w:cs="Tahoma"/>
              </w:rPr>
              <w:t xml:space="preserve"> DN 0</w:t>
            </w:r>
            <w:r>
              <w:rPr>
                <w:rFonts w:cs="Tahoma"/>
              </w:rPr>
              <w:t>0941</w:t>
            </w:r>
            <w:r w:rsidRPr="00D83E02">
              <w:rPr>
                <w:rFonts w:cs="Tahoma"/>
              </w:rPr>
              <w:t>-201</w:t>
            </w:r>
            <w:r>
              <w:rPr>
                <w:rFonts w:cs="Tahoma"/>
              </w:rPr>
              <w:t xml:space="preserve">8, auditor </w:t>
            </w:r>
            <w:r w:rsidR="00CB4973">
              <w:rPr>
                <w:rFonts w:cs="Tahoma"/>
              </w:rPr>
              <w:t>work papers</w:t>
            </w:r>
            <w:r>
              <w:rPr>
                <w:rFonts w:cs="Tahoma"/>
              </w:rPr>
              <w:t xml:space="preserve"> for Audit Control Nos. 15-005-2-1 and  15-005-2-2]</w:t>
            </w:r>
          </w:p>
          <w:p w:rsidR="00D109D1" w:rsidRPr="00D83E02" w:rsidRDefault="00D109D1" w:rsidP="00D109D1">
            <w:pPr>
              <w:tabs>
                <w:tab w:val="left" w:pos="720"/>
                <w:tab w:val="left" w:pos="1425"/>
              </w:tabs>
              <w:jc w:val="both"/>
              <w:rPr>
                <w:rFonts w:cs="Tahoma"/>
              </w:rPr>
            </w:pPr>
          </w:p>
        </w:tc>
      </w:tr>
      <w:tr w:rsidR="00AF3C3D" w:rsidTr="00D109D1">
        <w:tc>
          <w:tcPr>
            <w:tcW w:w="1480" w:type="dxa"/>
          </w:tcPr>
          <w:p w:rsidR="00AF3C3D" w:rsidRPr="00D83E02" w:rsidRDefault="00AF3C3D" w:rsidP="002C6EA3">
            <w:pPr>
              <w:tabs>
                <w:tab w:val="left" w:pos="720"/>
                <w:tab w:val="left" w:pos="1425"/>
              </w:tabs>
              <w:jc w:val="center"/>
              <w:rPr>
                <w:rFonts w:cs="Tahoma"/>
              </w:rPr>
            </w:pPr>
            <w:r>
              <w:rPr>
                <w:rFonts w:cs="Tahoma"/>
              </w:rPr>
              <w:t>00905-2018</w:t>
            </w:r>
          </w:p>
        </w:tc>
        <w:tc>
          <w:tcPr>
            <w:tcW w:w="950" w:type="dxa"/>
          </w:tcPr>
          <w:p w:rsidR="00AF3C3D" w:rsidRPr="00D83E02" w:rsidRDefault="00AF3C3D" w:rsidP="002C6EA3">
            <w:pPr>
              <w:tabs>
                <w:tab w:val="left" w:pos="720"/>
                <w:tab w:val="left" w:pos="1425"/>
              </w:tabs>
              <w:jc w:val="center"/>
              <w:rPr>
                <w:rFonts w:cs="Tahoma"/>
              </w:rPr>
            </w:pPr>
            <w:r w:rsidRPr="00D83E02">
              <w:rPr>
                <w:rFonts w:cs="Tahoma"/>
              </w:rPr>
              <w:t>2/2/18</w:t>
            </w:r>
          </w:p>
        </w:tc>
        <w:tc>
          <w:tcPr>
            <w:tcW w:w="7398" w:type="dxa"/>
          </w:tcPr>
          <w:p w:rsidR="00AF3C3D" w:rsidRPr="00D83E02" w:rsidRDefault="00AF3C3D" w:rsidP="00D109D1">
            <w:pPr>
              <w:tabs>
                <w:tab w:val="left" w:pos="720"/>
                <w:tab w:val="left" w:pos="1425"/>
              </w:tabs>
              <w:jc w:val="both"/>
              <w:rPr>
                <w:rFonts w:cs="Tahoma"/>
              </w:rPr>
            </w:pPr>
            <w:r w:rsidRPr="00D83E02">
              <w:rPr>
                <w:rFonts w:cs="Tahoma"/>
              </w:rPr>
              <w:t>Second Request for extension of confidential classification [</w:t>
            </w:r>
            <w:r>
              <w:rPr>
                <w:rFonts w:cs="Tahoma"/>
              </w:rPr>
              <w:t xml:space="preserve">concerning certain information in staff generated auditors’ </w:t>
            </w:r>
            <w:r w:rsidR="00CB4973">
              <w:rPr>
                <w:rFonts w:cs="Tahoma"/>
              </w:rPr>
              <w:t>work papers</w:t>
            </w:r>
            <w:r>
              <w:rPr>
                <w:rFonts w:cs="Tahoma"/>
              </w:rPr>
              <w:t>,</w:t>
            </w:r>
            <w:r w:rsidRPr="00D83E02">
              <w:rPr>
                <w:rFonts w:cs="Tahoma"/>
              </w:rPr>
              <w:t xml:space="preserve"> DN 0</w:t>
            </w:r>
            <w:r>
              <w:rPr>
                <w:rFonts w:cs="Tahoma"/>
              </w:rPr>
              <w:t>5217</w:t>
            </w:r>
            <w:r w:rsidRPr="00D83E02">
              <w:rPr>
                <w:rFonts w:cs="Tahoma"/>
              </w:rPr>
              <w:t>-201</w:t>
            </w:r>
            <w:r>
              <w:rPr>
                <w:rFonts w:cs="Tahoma"/>
              </w:rPr>
              <w:t>4]</w:t>
            </w:r>
          </w:p>
        </w:tc>
      </w:tr>
    </w:tbl>
    <w:p w:rsidR="00AF3C3D" w:rsidRDefault="00AF3C3D" w:rsidP="00BB4C69">
      <w:pPr>
        <w:ind w:firstLine="720"/>
        <w:jc w:val="both"/>
      </w:pPr>
    </w:p>
    <w:p w:rsidR="00BB4C69" w:rsidRPr="00A32DC5" w:rsidRDefault="00BB4C69" w:rsidP="00BB4C69">
      <w:pPr>
        <w:jc w:val="both"/>
        <w:rPr>
          <w:b/>
        </w:rPr>
      </w:pPr>
      <w:r w:rsidRPr="00A32DC5">
        <w:rPr>
          <w:b/>
        </w:rPr>
        <w:t>XIII.</w:t>
      </w:r>
      <w:r w:rsidRPr="00A32DC5">
        <w:rPr>
          <w:b/>
        </w:rPr>
        <w:tab/>
      </w:r>
      <w:r w:rsidRPr="00A32DC5">
        <w:rPr>
          <w:b/>
          <w:u w:val="single"/>
        </w:rPr>
        <w:t>POST-HEARING PROCEDURES</w:t>
      </w:r>
    </w:p>
    <w:p w:rsidR="00BB4C69" w:rsidRPr="00701945" w:rsidRDefault="00BB4C69" w:rsidP="00BB4C69">
      <w:pPr>
        <w:jc w:val="both"/>
      </w:pPr>
    </w:p>
    <w:p w:rsidR="00BB4C69" w:rsidRPr="00701945" w:rsidRDefault="00BB4C69" w:rsidP="00BB4C69">
      <w:pPr>
        <w:jc w:val="both"/>
      </w:pPr>
      <w:r w:rsidRPr="00701945">
        <w:tab/>
      </w:r>
      <w:r>
        <w:t>If no bench decision is made, e</w:t>
      </w:r>
      <w:r w:rsidRPr="00701945">
        <w:t>ach party shall file a post-hearing statement of issues and positions.  A summary of</w:t>
      </w:r>
      <w:r>
        <w:t xml:space="preserve"> each position of no more than </w:t>
      </w:r>
      <w:r w:rsidR="00D34633">
        <w:t>50</w:t>
      </w:r>
      <w:r w:rsidRPr="00701945">
        <w:t xml:space="preserve">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rsidR="00D34633">
        <w:t>50</w:t>
      </w:r>
      <w:r w:rsidRPr="00701945">
        <w:t xml:space="preserve"> words, it must be reduced to no more than </w:t>
      </w:r>
      <w:r w:rsidR="00D34633">
        <w:t>50</w:t>
      </w:r>
      <w:r w:rsidRPr="00701945">
        <w:t xml:space="preserve"> words.  If a party fails to file a post-hearing statement, that party shall have waived all issues and may be dismissed from the proceeding.</w:t>
      </w:r>
    </w:p>
    <w:p w:rsidR="00BB4C69" w:rsidRPr="00701945" w:rsidRDefault="00BB4C69" w:rsidP="00BB4C69">
      <w:pPr>
        <w:jc w:val="both"/>
      </w:pPr>
    </w:p>
    <w:p w:rsidR="00BB4C69" w:rsidRPr="00701945" w:rsidRDefault="00BB4C69" w:rsidP="00BB4C69">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D34633">
        <w:t>20</w:t>
      </w:r>
      <w:r w:rsidRPr="00701945">
        <w:t xml:space="preserve"> pages </w:t>
      </w:r>
      <w:r>
        <w:rPr>
          <w:color w:val="FF0000"/>
        </w:rPr>
        <w:t xml:space="preserve"> </w:t>
      </w:r>
      <w:r w:rsidRPr="00701945">
        <w:t>and shall be filed at the same time.</w:t>
      </w:r>
    </w:p>
    <w:p w:rsidR="00BB4C69" w:rsidRDefault="00BB4C69" w:rsidP="00BB4C69">
      <w:pPr>
        <w:jc w:val="both"/>
      </w:pPr>
    </w:p>
    <w:p w:rsidR="00BB4C69" w:rsidRPr="00A32DC5" w:rsidRDefault="00BB4C69" w:rsidP="00BB4C69">
      <w:pPr>
        <w:jc w:val="both"/>
        <w:rPr>
          <w:b/>
        </w:rPr>
      </w:pPr>
      <w:r w:rsidRPr="00A32DC5">
        <w:rPr>
          <w:b/>
        </w:rPr>
        <w:t>XIV.</w:t>
      </w:r>
      <w:r w:rsidRPr="00A32DC5">
        <w:rPr>
          <w:b/>
        </w:rPr>
        <w:tab/>
      </w:r>
      <w:r w:rsidRPr="00A32DC5">
        <w:rPr>
          <w:b/>
          <w:u w:val="single"/>
        </w:rPr>
        <w:t>RULINGS</w:t>
      </w:r>
    </w:p>
    <w:p w:rsidR="00BB4C69" w:rsidRPr="00701945" w:rsidRDefault="00BB4C69" w:rsidP="00BB4C69">
      <w:pPr>
        <w:jc w:val="both"/>
      </w:pPr>
    </w:p>
    <w:p w:rsidR="00BB4C69" w:rsidRPr="00701945" w:rsidRDefault="00BB4C69" w:rsidP="00BB4C69">
      <w:pPr>
        <w:ind w:firstLine="720"/>
        <w:jc w:val="both"/>
      </w:pPr>
      <w:r w:rsidRPr="00701945">
        <w:t>Opening statements</w:t>
      </w:r>
      <w:r w:rsidR="008D0101">
        <w:t xml:space="preserve">  have been waived</w:t>
      </w:r>
      <w:r w:rsidR="008242FC">
        <w:t xml:space="preserve"> by all parties</w:t>
      </w:r>
      <w:r w:rsidR="008D0101">
        <w:t>.</w:t>
      </w:r>
      <w:r>
        <w:t xml:space="preserve">  </w:t>
      </w:r>
    </w:p>
    <w:p w:rsidR="00BB4C69" w:rsidRDefault="00BB4C69" w:rsidP="00BB4C69">
      <w:pPr>
        <w:jc w:val="both"/>
      </w:pPr>
    </w:p>
    <w:p w:rsidR="0032055D" w:rsidRDefault="00BB4C69" w:rsidP="00FB5287">
      <w:pPr>
        <w:jc w:val="both"/>
      </w:pPr>
      <w:r w:rsidRPr="00701945">
        <w:tab/>
        <w:t>It is therefore,</w:t>
      </w:r>
      <w:r w:rsidRPr="00701945">
        <w:tab/>
      </w:r>
    </w:p>
    <w:p w:rsidR="0032055D" w:rsidRDefault="0032055D" w:rsidP="00FB5287">
      <w:pPr>
        <w:jc w:val="both"/>
      </w:pPr>
    </w:p>
    <w:p w:rsidR="00DB31BB" w:rsidRDefault="00BB4C69" w:rsidP="0032055D">
      <w:pPr>
        <w:ind w:firstLine="720"/>
        <w:jc w:val="both"/>
      </w:pPr>
      <w:r w:rsidRPr="00701945">
        <w:t>ORDERED by Comm</w:t>
      </w:r>
      <w:r w:rsidR="00FB5287">
        <w:t xml:space="preserve">issioner Gary </w:t>
      </w:r>
      <w:r w:rsidR="00543AAD">
        <w:t xml:space="preserve">F. </w:t>
      </w:r>
      <w:r w:rsidR="00FB5287">
        <w:t>Clark</w:t>
      </w:r>
      <w:r w:rsidR="00543AAD">
        <w:t>,</w:t>
      </w:r>
      <w:r w:rsidR="00543AAD" w:rsidRPr="00701945">
        <w:t xml:space="preserve"> as Prehearing Officer, that this Prehearing Order shall govern the conduct of these proceedings as set forth above unless modified by the Commission.</w:t>
      </w:r>
    </w:p>
    <w:p w:rsidR="00930990" w:rsidRDefault="00930990" w:rsidP="0032055D">
      <w:pPr>
        <w:ind w:firstLine="720"/>
        <w:jc w:val="both"/>
      </w:pPr>
    </w:p>
    <w:p w:rsidR="00FB5287" w:rsidRDefault="00FB5287" w:rsidP="00201A66">
      <w:pPr>
        <w:keepNext/>
        <w:keepLines/>
        <w:ind w:firstLine="720"/>
        <w:jc w:val="both"/>
      </w:pPr>
      <w:r>
        <w:lastRenderedPageBreak/>
        <w:t xml:space="preserve">By ORDER of Commissioner Gary F. Clark, as Prehearing Officer, this </w:t>
      </w:r>
      <w:bookmarkStart w:id="5" w:name="replaceDate"/>
      <w:bookmarkEnd w:id="5"/>
      <w:r w:rsidR="00201A66">
        <w:rPr>
          <w:u w:val="single"/>
        </w:rPr>
        <w:t>6th</w:t>
      </w:r>
      <w:r w:rsidR="00201A66">
        <w:t xml:space="preserve"> day of </w:t>
      </w:r>
      <w:r w:rsidR="00201A66">
        <w:rPr>
          <w:u w:val="single"/>
        </w:rPr>
        <w:t>August</w:t>
      </w:r>
      <w:r w:rsidR="00201A66">
        <w:t xml:space="preserve">, </w:t>
      </w:r>
      <w:r w:rsidR="00201A66">
        <w:rPr>
          <w:u w:val="single"/>
        </w:rPr>
        <w:t>2018</w:t>
      </w:r>
      <w:r w:rsidR="00201A66">
        <w:t>.</w:t>
      </w:r>
    </w:p>
    <w:p w:rsidR="00201A66" w:rsidRPr="00201A66" w:rsidRDefault="00201A66" w:rsidP="00201A66">
      <w:pPr>
        <w:keepNext/>
        <w:keepLines/>
        <w:ind w:firstLine="720"/>
        <w:jc w:val="both"/>
      </w:pPr>
    </w:p>
    <w:p w:rsidR="008176F7" w:rsidRDefault="008176F7" w:rsidP="00FB5287">
      <w:pPr>
        <w:keepNext/>
        <w:keepLines/>
        <w:jc w:val="both"/>
      </w:pPr>
    </w:p>
    <w:p w:rsidR="008176F7" w:rsidRDefault="008176F7" w:rsidP="00FB5287">
      <w:pPr>
        <w:keepNext/>
        <w:keepLines/>
        <w:jc w:val="both"/>
      </w:pPr>
    </w:p>
    <w:p w:rsidR="008176F7" w:rsidRDefault="008176F7" w:rsidP="00FB5287">
      <w:pPr>
        <w:keepNext/>
        <w:keepLines/>
        <w:jc w:val="both"/>
      </w:pPr>
    </w:p>
    <w:p w:rsidR="00FB5287" w:rsidRDefault="00FB5287" w:rsidP="00FB528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B5287" w:rsidTr="008B5341">
        <w:tc>
          <w:tcPr>
            <w:tcW w:w="720" w:type="dxa"/>
            <w:shd w:val="clear" w:color="auto" w:fill="auto"/>
          </w:tcPr>
          <w:p w:rsidR="00FB5287" w:rsidRDefault="00FB5287" w:rsidP="008B5341">
            <w:pPr>
              <w:keepNext/>
              <w:keepLines/>
              <w:jc w:val="both"/>
            </w:pPr>
            <w:bookmarkStart w:id="6" w:name="bkmrkSignature" w:colFirst="0" w:colLast="0"/>
          </w:p>
        </w:tc>
        <w:tc>
          <w:tcPr>
            <w:tcW w:w="4320" w:type="dxa"/>
            <w:tcBorders>
              <w:bottom w:val="single" w:sz="4" w:space="0" w:color="auto"/>
            </w:tcBorders>
            <w:shd w:val="clear" w:color="auto" w:fill="auto"/>
          </w:tcPr>
          <w:p w:rsidR="00FB5287" w:rsidRDefault="00201A66" w:rsidP="008B5341">
            <w:pPr>
              <w:keepNext/>
              <w:keepLines/>
              <w:jc w:val="both"/>
            </w:pPr>
            <w:r>
              <w:t>/s/ Gary F. Clark</w:t>
            </w:r>
          </w:p>
        </w:tc>
      </w:tr>
      <w:bookmarkEnd w:id="6"/>
      <w:tr w:rsidR="00FB5287" w:rsidTr="008B5341">
        <w:tc>
          <w:tcPr>
            <w:tcW w:w="720" w:type="dxa"/>
            <w:shd w:val="clear" w:color="auto" w:fill="auto"/>
          </w:tcPr>
          <w:p w:rsidR="00FB5287" w:rsidRDefault="00FB5287" w:rsidP="008B5341">
            <w:pPr>
              <w:keepNext/>
              <w:keepLines/>
              <w:jc w:val="both"/>
            </w:pPr>
          </w:p>
        </w:tc>
        <w:tc>
          <w:tcPr>
            <w:tcW w:w="4320" w:type="dxa"/>
            <w:tcBorders>
              <w:top w:val="single" w:sz="4" w:space="0" w:color="auto"/>
            </w:tcBorders>
            <w:shd w:val="clear" w:color="auto" w:fill="auto"/>
          </w:tcPr>
          <w:p w:rsidR="00FB5287" w:rsidRDefault="00FB5287" w:rsidP="008B5341">
            <w:pPr>
              <w:keepNext/>
              <w:keepLines/>
              <w:jc w:val="both"/>
            </w:pPr>
            <w:r>
              <w:t>GARY F. CLARK</w:t>
            </w:r>
          </w:p>
          <w:p w:rsidR="00FB5287" w:rsidRDefault="00FB5287" w:rsidP="008B5341">
            <w:pPr>
              <w:keepNext/>
              <w:keepLines/>
              <w:jc w:val="both"/>
            </w:pPr>
            <w:r>
              <w:t>Commissioner and Prehearing Officer</w:t>
            </w:r>
          </w:p>
        </w:tc>
      </w:tr>
    </w:tbl>
    <w:p w:rsidR="00FB5287" w:rsidRDefault="00FB5287" w:rsidP="00FB5287">
      <w:pPr>
        <w:pStyle w:val="OrderSigInfo"/>
        <w:keepNext/>
        <w:keepLines/>
      </w:pPr>
      <w:r>
        <w:t>Florida Public Service Commission</w:t>
      </w:r>
    </w:p>
    <w:p w:rsidR="00FB5287" w:rsidRDefault="00FB5287" w:rsidP="00FB5287">
      <w:pPr>
        <w:pStyle w:val="OrderSigInfo"/>
        <w:keepNext/>
        <w:keepLines/>
      </w:pPr>
      <w:r>
        <w:t>2540 Shumard Oak Boulevard</w:t>
      </w:r>
    </w:p>
    <w:p w:rsidR="00FB5287" w:rsidRDefault="00FB5287" w:rsidP="00FB5287">
      <w:pPr>
        <w:pStyle w:val="OrderSigInfo"/>
        <w:keepNext/>
        <w:keepLines/>
      </w:pPr>
      <w:r>
        <w:t>Tallahassee, Florida 32399</w:t>
      </w:r>
    </w:p>
    <w:p w:rsidR="00FB5287" w:rsidRDefault="00FB5287" w:rsidP="00FB5287">
      <w:pPr>
        <w:pStyle w:val="OrderSigInfo"/>
        <w:keepNext/>
        <w:keepLines/>
      </w:pPr>
      <w:r>
        <w:t>(850) 413</w:t>
      </w:r>
      <w:r>
        <w:noBreakHyphen/>
        <w:t>6770</w:t>
      </w:r>
    </w:p>
    <w:p w:rsidR="00FB5287" w:rsidRDefault="00FB5287" w:rsidP="00FB5287">
      <w:pPr>
        <w:pStyle w:val="OrderSigInfo"/>
        <w:keepNext/>
        <w:keepLines/>
      </w:pPr>
      <w:r>
        <w:t>www.floridapsc.com</w:t>
      </w:r>
    </w:p>
    <w:p w:rsidR="00FB5287" w:rsidRDefault="00FB5287" w:rsidP="00FB5287">
      <w:pPr>
        <w:pStyle w:val="OrderSigInfo"/>
        <w:keepNext/>
        <w:keepLines/>
      </w:pPr>
    </w:p>
    <w:p w:rsidR="00FB5287" w:rsidRDefault="00FB5287" w:rsidP="00FB5287">
      <w:pPr>
        <w:pStyle w:val="OrderSigInfo"/>
        <w:keepNext/>
        <w:keepLines/>
      </w:pPr>
      <w:r>
        <w:t>Copies furnished:  A copy of this document is provided to the parties of record at the time of issuance and, if applicable, interested persons.</w:t>
      </w:r>
    </w:p>
    <w:p w:rsidR="00FB5287" w:rsidRDefault="00FB5287" w:rsidP="00FB5287">
      <w:pPr>
        <w:keepNext/>
        <w:keepLines/>
        <w:jc w:val="both"/>
      </w:pPr>
      <w:r>
        <w:t>KRM</w:t>
      </w:r>
    </w:p>
    <w:p w:rsidR="00FB5287" w:rsidRDefault="00FB5287" w:rsidP="00FB5287">
      <w:pPr>
        <w:jc w:val="both"/>
      </w:pPr>
    </w:p>
    <w:p w:rsidR="00FB5287" w:rsidRDefault="00FB5287" w:rsidP="00DB31BB">
      <w:pPr>
        <w:keepNext/>
        <w:keepLines/>
        <w:jc w:val="both"/>
      </w:pPr>
    </w:p>
    <w:p w:rsidR="00BD1897" w:rsidRDefault="00BD1897" w:rsidP="00DB31BB">
      <w:pPr>
        <w:pStyle w:val="CenterUnderline"/>
      </w:pPr>
    </w:p>
    <w:p w:rsidR="00BD1897" w:rsidRDefault="00BD1897" w:rsidP="00DB31BB">
      <w:pPr>
        <w:pStyle w:val="CenterUnderline"/>
      </w:pPr>
    </w:p>
    <w:p w:rsidR="00BD1897" w:rsidRDefault="00BD1897">
      <w:pPr>
        <w:rPr>
          <w:u w:val="single"/>
        </w:rPr>
      </w:pPr>
      <w:r>
        <w:br w:type="page"/>
      </w:r>
    </w:p>
    <w:p w:rsidR="00DB31BB" w:rsidRDefault="00DB31BB" w:rsidP="00DB31BB">
      <w:pPr>
        <w:pStyle w:val="CenterUnderline"/>
      </w:pPr>
      <w:r>
        <w:lastRenderedPageBreak/>
        <w:t>NOTICE OF FURTHER PROCEEDINGS OR JUDICIAL REVIEW</w:t>
      </w:r>
    </w:p>
    <w:p w:rsidR="00DB31BB" w:rsidRDefault="00DB31BB" w:rsidP="00DB31BB">
      <w:pPr>
        <w:pStyle w:val="CenterUnderline"/>
      </w:pPr>
    </w:p>
    <w:p w:rsidR="00DB31BB" w:rsidRDefault="00DB31BB" w:rsidP="00DB31B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31BB" w:rsidRDefault="00DB31BB" w:rsidP="00DB31BB">
      <w:pPr>
        <w:pStyle w:val="OrderBody"/>
      </w:pPr>
    </w:p>
    <w:p w:rsidR="00DB31BB" w:rsidRDefault="00DB31BB" w:rsidP="00DB31BB">
      <w:pPr>
        <w:pStyle w:val="OrderBody"/>
      </w:pPr>
      <w:r>
        <w:tab/>
        <w:t>Mediation may be available on a case-by-case basis.  If mediation is conducted, it does not affect a substantially interested person's right to a hearing.</w:t>
      </w:r>
    </w:p>
    <w:p w:rsidR="00DB31BB" w:rsidRDefault="00DB31BB" w:rsidP="00DB31BB">
      <w:pPr>
        <w:pStyle w:val="OrderBody"/>
      </w:pPr>
    </w:p>
    <w:p w:rsidR="00DB31BB" w:rsidRDefault="00DB31BB" w:rsidP="00DB31B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B31BB" w:rsidRDefault="00DB31BB" w:rsidP="00DB31BB">
      <w:pPr>
        <w:pStyle w:val="OrderBody"/>
      </w:pPr>
    </w:p>
    <w:p w:rsidR="00DB31BB" w:rsidRDefault="00DB31BB" w:rsidP="00DB31BB">
      <w:pPr>
        <w:pStyle w:val="OrderBody"/>
      </w:pPr>
    </w:p>
    <w:sectPr w:rsidR="00DB31BB">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C69" w:rsidRDefault="00BB4C69">
      <w:r>
        <w:separator/>
      </w:r>
    </w:p>
  </w:endnote>
  <w:endnote w:type="continuationSeparator" w:id="0">
    <w:p w:rsidR="00BB4C69" w:rsidRDefault="00BB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C69" w:rsidRDefault="00BB4C69">
      <w:r>
        <w:separator/>
      </w:r>
    </w:p>
  </w:footnote>
  <w:footnote w:type="continuationSeparator" w:id="0">
    <w:p w:rsidR="00BB4C69" w:rsidRDefault="00BB4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2 ">
      <w:r w:rsidR="00A954A3">
        <w:t>PSC-2018-0392-PHO-EI</w:t>
      </w:r>
    </w:fldSimple>
  </w:p>
  <w:p w:rsidR="00FA6EFD" w:rsidRDefault="00BB4C69">
    <w:pPr>
      <w:pStyle w:val="OrderHeader"/>
    </w:pPr>
    <w:bookmarkStart w:id="7" w:name="HeaderDocketNo"/>
    <w:bookmarkEnd w:id="7"/>
    <w:r>
      <w:t>DOCKET NO. 20180009-EI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54A3">
      <w:rPr>
        <w:rStyle w:val="PageNumber"/>
        <w:noProof/>
      </w:rPr>
      <w:t>15</w:t>
    </w:r>
    <w:r>
      <w:rPr>
        <w:rStyle w:val="PageNumber"/>
      </w:rPr>
      <w:fldChar w:fldCharType="end"/>
    </w:r>
  </w:p>
  <w:p w:rsidR="004A5B9A" w:rsidRDefault="004A5B9A">
    <w:pPr>
      <w:pStyle w:val="Order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36406113"/>
    <w:multiLevelType w:val="hybridMultilevel"/>
    <w:tmpl w:val="AC608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9-EI"/>
  </w:docVars>
  <w:rsids>
    <w:rsidRoot w:val="00BB4C69"/>
    <w:rsid w:val="000022B8"/>
    <w:rsid w:val="00011CF5"/>
    <w:rsid w:val="00035A8C"/>
    <w:rsid w:val="00040F94"/>
    <w:rsid w:val="00043A73"/>
    <w:rsid w:val="00053AB9"/>
    <w:rsid w:val="00056229"/>
    <w:rsid w:val="00057AF1"/>
    <w:rsid w:val="00065FC2"/>
    <w:rsid w:val="00066FAC"/>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771C"/>
    <w:rsid w:val="001513DE"/>
    <w:rsid w:val="00154A71"/>
    <w:rsid w:val="00184747"/>
    <w:rsid w:val="00187E32"/>
    <w:rsid w:val="00194E81"/>
    <w:rsid w:val="001A15E7"/>
    <w:rsid w:val="001A33C9"/>
    <w:rsid w:val="001A58F3"/>
    <w:rsid w:val="001C2847"/>
    <w:rsid w:val="001C3F8C"/>
    <w:rsid w:val="001C6097"/>
    <w:rsid w:val="001D008A"/>
    <w:rsid w:val="001E0152"/>
    <w:rsid w:val="001E0FF5"/>
    <w:rsid w:val="002002ED"/>
    <w:rsid w:val="00201A66"/>
    <w:rsid w:val="00201DAD"/>
    <w:rsid w:val="002170E5"/>
    <w:rsid w:val="00220D57"/>
    <w:rsid w:val="0022721A"/>
    <w:rsid w:val="00230BB9"/>
    <w:rsid w:val="00241CEF"/>
    <w:rsid w:val="0025124E"/>
    <w:rsid w:val="0025138F"/>
    <w:rsid w:val="00252B30"/>
    <w:rsid w:val="002613E4"/>
    <w:rsid w:val="0026544B"/>
    <w:rsid w:val="00276CDC"/>
    <w:rsid w:val="00277655"/>
    <w:rsid w:val="002824B7"/>
    <w:rsid w:val="00282AC4"/>
    <w:rsid w:val="002A11AC"/>
    <w:rsid w:val="002A6F30"/>
    <w:rsid w:val="002B3111"/>
    <w:rsid w:val="002C06E5"/>
    <w:rsid w:val="002C7908"/>
    <w:rsid w:val="002D391B"/>
    <w:rsid w:val="002D4B1F"/>
    <w:rsid w:val="002D7D15"/>
    <w:rsid w:val="002E1B2E"/>
    <w:rsid w:val="002E27EB"/>
    <w:rsid w:val="002F2A9D"/>
    <w:rsid w:val="002F31C2"/>
    <w:rsid w:val="00303FDE"/>
    <w:rsid w:val="0030528C"/>
    <w:rsid w:val="003140E8"/>
    <w:rsid w:val="0032055D"/>
    <w:rsid w:val="00320E0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A5B9A"/>
    <w:rsid w:val="004B2108"/>
    <w:rsid w:val="004B3A2B"/>
    <w:rsid w:val="004B70D3"/>
    <w:rsid w:val="004C312D"/>
    <w:rsid w:val="004C78E9"/>
    <w:rsid w:val="004D2D1B"/>
    <w:rsid w:val="004D5067"/>
    <w:rsid w:val="004D6838"/>
    <w:rsid w:val="004D72BC"/>
    <w:rsid w:val="004E469D"/>
    <w:rsid w:val="004F16D1"/>
    <w:rsid w:val="004F2DDE"/>
    <w:rsid w:val="004F36AA"/>
    <w:rsid w:val="004F7826"/>
    <w:rsid w:val="0050097F"/>
    <w:rsid w:val="00514B1F"/>
    <w:rsid w:val="00525E93"/>
    <w:rsid w:val="0052671D"/>
    <w:rsid w:val="00543AAD"/>
    <w:rsid w:val="0055595D"/>
    <w:rsid w:val="00556A10"/>
    <w:rsid w:val="00557F50"/>
    <w:rsid w:val="00567CFB"/>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0E1"/>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234B"/>
    <w:rsid w:val="00704C5D"/>
    <w:rsid w:val="007072BC"/>
    <w:rsid w:val="00715275"/>
    <w:rsid w:val="00721B44"/>
    <w:rsid w:val="007232A2"/>
    <w:rsid w:val="00726366"/>
    <w:rsid w:val="00733B6B"/>
    <w:rsid w:val="00740808"/>
    <w:rsid w:val="007467C4"/>
    <w:rsid w:val="0076170F"/>
    <w:rsid w:val="0076669C"/>
    <w:rsid w:val="00766E46"/>
    <w:rsid w:val="00777727"/>
    <w:rsid w:val="007802D2"/>
    <w:rsid w:val="00782B79"/>
    <w:rsid w:val="007865E9"/>
    <w:rsid w:val="00792383"/>
    <w:rsid w:val="00794D5A"/>
    <w:rsid w:val="00794DD9"/>
    <w:rsid w:val="007A060F"/>
    <w:rsid w:val="007C0FBC"/>
    <w:rsid w:val="007C36E3"/>
    <w:rsid w:val="007C7134"/>
    <w:rsid w:val="007D3D20"/>
    <w:rsid w:val="007D742E"/>
    <w:rsid w:val="007E3AFD"/>
    <w:rsid w:val="0080109C"/>
    <w:rsid w:val="00801DAD"/>
    <w:rsid w:val="00803189"/>
    <w:rsid w:val="00804E7A"/>
    <w:rsid w:val="00805FBB"/>
    <w:rsid w:val="008169A4"/>
    <w:rsid w:val="008176F7"/>
    <w:rsid w:val="008242FC"/>
    <w:rsid w:val="008278FE"/>
    <w:rsid w:val="00832598"/>
    <w:rsid w:val="0083397E"/>
    <w:rsid w:val="0083534B"/>
    <w:rsid w:val="00842602"/>
    <w:rsid w:val="00847B45"/>
    <w:rsid w:val="00855C0E"/>
    <w:rsid w:val="00863A66"/>
    <w:rsid w:val="008703D7"/>
    <w:rsid w:val="00874429"/>
    <w:rsid w:val="00883D9A"/>
    <w:rsid w:val="008919EF"/>
    <w:rsid w:val="00892B20"/>
    <w:rsid w:val="00895D4A"/>
    <w:rsid w:val="008A12EC"/>
    <w:rsid w:val="008C21C8"/>
    <w:rsid w:val="008C6375"/>
    <w:rsid w:val="008C6A5B"/>
    <w:rsid w:val="008D0101"/>
    <w:rsid w:val="008E26A5"/>
    <w:rsid w:val="008E42D2"/>
    <w:rsid w:val="008E6328"/>
    <w:rsid w:val="009040EE"/>
    <w:rsid w:val="009057FD"/>
    <w:rsid w:val="00906FBA"/>
    <w:rsid w:val="009163E8"/>
    <w:rsid w:val="009228C7"/>
    <w:rsid w:val="00922A7F"/>
    <w:rsid w:val="00923A5E"/>
    <w:rsid w:val="00924FE7"/>
    <w:rsid w:val="00926E27"/>
    <w:rsid w:val="00930990"/>
    <w:rsid w:val="00931C8C"/>
    <w:rsid w:val="0094504B"/>
    <w:rsid w:val="00964A38"/>
    <w:rsid w:val="00966A9D"/>
    <w:rsid w:val="0096742B"/>
    <w:rsid w:val="009924CF"/>
    <w:rsid w:val="00994100"/>
    <w:rsid w:val="009A3E59"/>
    <w:rsid w:val="009A6B17"/>
    <w:rsid w:val="009B50CD"/>
    <w:rsid w:val="009C0DBC"/>
    <w:rsid w:val="009C6D3A"/>
    <w:rsid w:val="009D4C29"/>
    <w:rsid w:val="009E101B"/>
    <w:rsid w:val="009F6AD2"/>
    <w:rsid w:val="00A00D8D"/>
    <w:rsid w:val="00A01BB6"/>
    <w:rsid w:val="00A4303C"/>
    <w:rsid w:val="00A470FD"/>
    <w:rsid w:val="00A62DAB"/>
    <w:rsid w:val="00A652FA"/>
    <w:rsid w:val="00A6757A"/>
    <w:rsid w:val="00A726A6"/>
    <w:rsid w:val="00A74842"/>
    <w:rsid w:val="00A954A3"/>
    <w:rsid w:val="00A97535"/>
    <w:rsid w:val="00AA2BAA"/>
    <w:rsid w:val="00AA73F1"/>
    <w:rsid w:val="00AB0E1A"/>
    <w:rsid w:val="00AB1A30"/>
    <w:rsid w:val="00AB33A3"/>
    <w:rsid w:val="00AB3C36"/>
    <w:rsid w:val="00AD10EB"/>
    <w:rsid w:val="00AD1ED3"/>
    <w:rsid w:val="00AE4FB2"/>
    <w:rsid w:val="00AF3C3D"/>
    <w:rsid w:val="00B02001"/>
    <w:rsid w:val="00B03C50"/>
    <w:rsid w:val="00B0777D"/>
    <w:rsid w:val="00B11576"/>
    <w:rsid w:val="00B1195F"/>
    <w:rsid w:val="00B14D10"/>
    <w:rsid w:val="00B16514"/>
    <w:rsid w:val="00B209C7"/>
    <w:rsid w:val="00B3644F"/>
    <w:rsid w:val="00B4057A"/>
    <w:rsid w:val="00B40894"/>
    <w:rsid w:val="00B41039"/>
    <w:rsid w:val="00B444AE"/>
    <w:rsid w:val="00B45E75"/>
    <w:rsid w:val="00B50876"/>
    <w:rsid w:val="00B51074"/>
    <w:rsid w:val="00B52C9A"/>
    <w:rsid w:val="00B5359E"/>
    <w:rsid w:val="00B54DAA"/>
    <w:rsid w:val="00B55AB0"/>
    <w:rsid w:val="00B55EE5"/>
    <w:rsid w:val="00B63290"/>
    <w:rsid w:val="00B71D1F"/>
    <w:rsid w:val="00B73DE6"/>
    <w:rsid w:val="00B761CD"/>
    <w:rsid w:val="00B86EF0"/>
    <w:rsid w:val="00B94C89"/>
    <w:rsid w:val="00B96969"/>
    <w:rsid w:val="00B97900"/>
    <w:rsid w:val="00BA1229"/>
    <w:rsid w:val="00BA44A8"/>
    <w:rsid w:val="00BB4C69"/>
    <w:rsid w:val="00BC24BB"/>
    <w:rsid w:val="00BD1897"/>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4973"/>
    <w:rsid w:val="00CB5276"/>
    <w:rsid w:val="00CB5BFC"/>
    <w:rsid w:val="00CB68D7"/>
    <w:rsid w:val="00CC7E68"/>
    <w:rsid w:val="00CD7132"/>
    <w:rsid w:val="00CE0E6F"/>
    <w:rsid w:val="00CE3B21"/>
    <w:rsid w:val="00CE56FC"/>
    <w:rsid w:val="00CF4CFE"/>
    <w:rsid w:val="00D02E0F"/>
    <w:rsid w:val="00D03EE8"/>
    <w:rsid w:val="00D109D1"/>
    <w:rsid w:val="00D13535"/>
    <w:rsid w:val="00D13A87"/>
    <w:rsid w:val="00D17B79"/>
    <w:rsid w:val="00D23FEA"/>
    <w:rsid w:val="00D269CA"/>
    <w:rsid w:val="00D30B48"/>
    <w:rsid w:val="00D3168A"/>
    <w:rsid w:val="00D34633"/>
    <w:rsid w:val="00D46FAA"/>
    <w:rsid w:val="00D47A40"/>
    <w:rsid w:val="00D51D33"/>
    <w:rsid w:val="00D57BB2"/>
    <w:rsid w:val="00D57E57"/>
    <w:rsid w:val="00D70752"/>
    <w:rsid w:val="00D70B5C"/>
    <w:rsid w:val="00D76115"/>
    <w:rsid w:val="00D80E2D"/>
    <w:rsid w:val="00D84D5E"/>
    <w:rsid w:val="00D8560E"/>
    <w:rsid w:val="00D8758F"/>
    <w:rsid w:val="00DA4EDD"/>
    <w:rsid w:val="00DA6B78"/>
    <w:rsid w:val="00DA7F6C"/>
    <w:rsid w:val="00DB31BB"/>
    <w:rsid w:val="00DC1D94"/>
    <w:rsid w:val="00DC42CF"/>
    <w:rsid w:val="00DD0595"/>
    <w:rsid w:val="00DE057F"/>
    <w:rsid w:val="00DE2082"/>
    <w:rsid w:val="00DE2289"/>
    <w:rsid w:val="00DF09A7"/>
    <w:rsid w:val="00DF6315"/>
    <w:rsid w:val="00E001D6"/>
    <w:rsid w:val="00E03A76"/>
    <w:rsid w:val="00E04410"/>
    <w:rsid w:val="00E07484"/>
    <w:rsid w:val="00E11351"/>
    <w:rsid w:val="00E4225C"/>
    <w:rsid w:val="00E4229D"/>
    <w:rsid w:val="00E44879"/>
    <w:rsid w:val="00E72914"/>
    <w:rsid w:val="00E75AE0"/>
    <w:rsid w:val="00E83C1F"/>
    <w:rsid w:val="00EA172C"/>
    <w:rsid w:val="00EA259B"/>
    <w:rsid w:val="00EA35A3"/>
    <w:rsid w:val="00EA3E6A"/>
    <w:rsid w:val="00EB18EF"/>
    <w:rsid w:val="00EB7951"/>
    <w:rsid w:val="00ED6A79"/>
    <w:rsid w:val="00EE17DF"/>
    <w:rsid w:val="00EE34AE"/>
    <w:rsid w:val="00EF3402"/>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5287"/>
    <w:rsid w:val="00FB74EA"/>
    <w:rsid w:val="00FD2C9E"/>
    <w:rsid w:val="00FD4786"/>
    <w:rsid w:val="00FD616C"/>
    <w:rsid w:val="00FE4B3B"/>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BB4C69"/>
    <w:pPr>
      <w:autoSpaceDE w:val="0"/>
      <w:autoSpaceDN w:val="0"/>
      <w:adjustRightInd w:val="0"/>
      <w:ind w:left="1440"/>
    </w:pPr>
    <w:rPr>
      <w:sz w:val="24"/>
      <w:szCs w:val="24"/>
    </w:rPr>
  </w:style>
  <w:style w:type="paragraph" w:styleId="NoSpacing">
    <w:name w:val="No Spacing"/>
    <w:uiPriority w:val="1"/>
    <w:qFormat/>
    <w:rsid w:val="00A652FA"/>
    <w:rPr>
      <w:sz w:val="24"/>
      <w:szCs w:val="24"/>
    </w:rPr>
  </w:style>
  <w:style w:type="paragraph" w:styleId="BalloonText">
    <w:name w:val="Balloon Text"/>
    <w:basedOn w:val="Normal"/>
    <w:link w:val="BalloonTextChar"/>
    <w:rsid w:val="00A954A3"/>
    <w:rPr>
      <w:rFonts w:ascii="Tahoma" w:hAnsi="Tahoma" w:cs="Tahoma"/>
      <w:sz w:val="16"/>
      <w:szCs w:val="16"/>
    </w:rPr>
  </w:style>
  <w:style w:type="character" w:customStyle="1" w:styleId="BalloonTextChar">
    <w:name w:val="Balloon Text Char"/>
    <w:basedOn w:val="DefaultParagraphFont"/>
    <w:link w:val="BalloonText"/>
    <w:rsid w:val="00A954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BB4C69"/>
    <w:pPr>
      <w:autoSpaceDE w:val="0"/>
      <w:autoSpaceDN w:val="0"/>
      <w:adjustRightInd w:val="0"/>
      <w:ind w:left="1440"/>
    </w:pPr>
    <w:rPr>
      <w:sz w:val="24"/>
      <w:szCs w:val="24"/>
    </w:rPr>
  </w:style>
  <w:style w:type="paragraph" w:styleId="NoSpacing">
    <w:name w:val="No Spacing"/>
    <w:uiPriority w:val="1"/>
    <w:qFormat/>
    <w:rsid w:val="00A652FA"/>
    <w:rPr>
      <w:sz w:val="24"/>
      <w:szCs w:val="24"/>
    </w:rPr>
  </w:style>
  <w:style w:type="paragraph" w:styleId="BalloonText">
    <w:name w:val="Balloon Text"/>
    <w:basedOn w:val="Normal"/>
    <w:link w:val="BalloonTextChar"/>
    <w:rsid w:val="00A954A3"/>
    <w:rPr>
      <w:rFonts w:ascii="Tahoma" w:hAnsi="Tahoma" w:cs="Tahoma"/>
      <w:sz w:val="16"/>
      <w:szCs w:val="16"/>
    </w:rPr>
  </w:style>
  <w:style w:type="character" w:customStyle="1" w:styleId="BalloonTextChar">
    <w:name w:val="Balloon Text Char"/>
    <w:basedOn w:val="DefaultParagraphFont"/>
    <w:link w:val="BalloonText"/>
    <w:rsid w:val="00A954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06549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950CD-2A93-4E8B-8ABF-08B74179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15</Pages>
  <Words>4057</Words>
  <Characters>22994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2018-08-06T12:13:00Z</dcterms:created>
  <dcterms:modified xsi:type="dcterms:W3CDTF">2018-08-06T12:51:00Z</dcterms:modified>
</cp:coreProperties>
</file>