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2379D" w:rsidP="0092379D">
      <w:pPr>
        <w:pStyle w:val="OrderHeading"/>
      </w:pPr>
      <w:r>
        <w:t>BEFORE THE FLORIDA PUBLIC SERVICE COMMISSION</w:t>
      </w:r>
    </w:p>
    <w:p w:rsidR="0092379D" w:rsidRDefault="0092379D" w:rsidP="0092379D">
      <w:pPr>
        <w:pStyle w:val="OrderBody"/>
      </w:pPr>
    </w:p>
    <w:p w:rsidR="0092379D" w:rsidRDefault="0092379D" w:rsidP="0092379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2379D" w:rsidRPr="00C63FCF" w:rsidTr="00C63FCF">
        <w:trPr>
          <w:trHeight w:val="828"/>
        </w:trPr>
        <w:tc>
          <w:tcPr>
            <w:tcW w:w="4788" w:type="dxa"/>
            <w:tcBorders>
              <w:bottom w:val="single" w:sz="8" w:space="0" w:color="auto"/>
              <w:right w:val="double" w:sz="6" w:space="0" w:color="auto"/>
            </w:tcBorders>
            <w:shd w:val="clear" w:color="auto" w:fill="auto"/>
          </w:tcPr>
          <w:p w:rsidR="0092379D" w:rsidRDefault="0092379D"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92379D" w:rsidRDefault="0092379D" w:rsidP="0092379D">
            <w:pPr>
              <w:pStyle w:val="OrderBody"/>
            </w:pPr>
            <w:r>
              <w:t xml:space="preserve">DOCKET NO. </w:t>
            </w:r>
            <w:bookmarkStart w:id="1" w:name="SSDocketNo"/>
            <w:bookmarkEnd w:id="1"/>
            <w:r>
              <w:t>20190007-EI</w:t>
            </w:r>
          </w:p>
          <w:p w:rsidR="0092379D" w:rsidRDefault="0092379D" w:rsidP="00C63FCF">
            <w:pPr>
              <w:pStyle w:val="OrderBody"/>
              <w:tabs>
                <w:tab w:val="center" w:pos="4320"/>
                <w:tab w:val="right" w:pos="8640"/>
              </w:tabs>
              <w:jc w:val="left"/>
            </w:pPr>
            <w:r>
              <w:t xml:space="preserve">ORDER NO. </w:t>
            </w:r>
            <w:bookmarkStart w:id="2" w:name="OrderNo0500"/>
            <w:r w:rsidR="003A324B">
              <w:t>PSC-2019-0500-FOF-EI</w:t>
            </w:r>
            <w:bookmarkEnd w:id="2"/>
          </w:p>
          <w:p w:rsidR="0092379D" w:rsidRDefault="0092379D" w:rsidP="00C63FCF">
            <w:pPr>
              <w:pStyle w:val="OrderBody"/>
              <w:tabs>
                <w:tab w:val="center" w:pos="4320"/>
                <w:tab w:val="right" w:pos="8640"/>
              </w:tabs>
              <w:jc w:val="left"/>
            </w:pPr>
            <w:r>
              <w:t xml:space="preserve">ISSUED: </w:t>
            </w:r>
            <w:r w:rsidR="003A324B">
              <w:t>November 22, 2019</w:t>
            </w:r>
          </w:p>
        </w:tc>
      </w:tr>
    </w:tbl>
    <w:p w:rsidR="0092379D" w:rsidRDefault="0092379D" w:rsidP="0092379D"/>
    <w:p w:rsidR="0092379D" w:rsidRDefault="0092379D" w:rsidP="0092379D"/>
    <w:p w:rsidR="0092379D" w:rsidRDefault="0092379D">
      <w:pPr>
        <w:ind w:firstLine="720"/>
        <w:jc w:val="both"/>
      </w:pPr>
      <w:bookmarkStart w:id="3" w:name="Commissioners"/>
      <w:bookmarkEnd w:id="3"/>
      <w:r>
        <w:t>The following Commissioners participated in the disposition of this matter:</w:t>
      </w:r>
    </w:p>
    <w:p w:rsidR="0092379D" w:rsidRDefault="0092379D"/>
    <w:p w:rsidR="0092379D" w:rsidRDefault="0092379D">
      <w:pPr>
        <w:jc w:val="center"/>
      </w:pPr>
      <w:r>
        <w:t>ART GRAHAM, Chairman</w:t>
      </w:r>
    </w:p>
    <w:p w:rsidR="0092379D" w:rsidRDefault="0092379D">
      <w:pPr>
        <w:jc w:val="center"/>
      </w:pPr>
      <w:r>
        <w:t xml:space="preserve">JULIE I. BROWN </w:t>
      </w:r>
    </w:p>
    <w:p w:rsidR="0092379D" w:rsidRDefault="0092379D">
      <w:pPr>
        <w:jc w:val="center"/>
      </w:pPr>
      <w:r>
        <w:t>DONALD J. POLMANN</w:t>
      </w:r>
    </w:p>
    <w:p w:rsidR="0092379D" w:rsidRDefault="0092379D">
      <w:pPr>
        <w:jc w:val="center"/>
      </w:pPr>
      <w:r>
        <w:t>GARY F. CLARK</w:t>
      </w:r>
    </w:p>
    <w:p w:rsidR="0092379D" w:rsidRDefault="0092379D">
      <w:pPr>
        <w:jc w:val="center"/>
      </w:pPr>
      <w:r>
        <w:t>ANDREW GILES FAY</w:t>
      </w:r>
    </w:p>
    <w:p w:rsidR="0092379D" w:rsidRDefault="0092379D"/>
    <w:p w:rsidR="00C63E73" w:rsidRDefault="00C63E73"/>
    <w:p w:rsidR="00C63E73" w:rsidRPr="00E23FAB" w:rsidRDefault="00C63E73" w:rsidP="00C63E73">
      <w:pPr>
        <w:pStyle w:val="CenterUnderline"/>
      </w:pPr>
      <w:r w:rsidRPr="00E23FAB">
        <w:t>FINAL ORDER</w:t>
      </w:r>
      <w:bookmarkStart w:id="4" w:name="OrderTitle"/>
    </w:p>
    <w:p w:rsidR="00C63E73" w:rsidRPr="00E23FAB" w:rsidRDefault="00C63E73" w:rsidP="00C63E73">
      <w:pPr>
        <w:pStyle w:val="CenterUnderline"/>
      </w:pPr>
      <w:r w:rsidRPr="00E23FAB">
        <w:t xml:space="preserve"> APPROVING PROJECTED EXPENDITURES AND TRUE-UP </w:t>
      </w:r>
    </w:p>
    <w:p w:rsidR="00C63E73" w:rsidRDefault="00C63E73" w:rsidP="00C63E73">
      <w:pPr>
        <w:pStyle w:val="CenterUnderline"/>
      </w:pPr>
      <w:r w:rsidRPr="00E23FAB">
        <w:t>AMOUNTS FOR ENVIRONMENTAL COST RECOVERY</w:t>
      </w:r>
      <w:r>
        <w:t xml:space="preserve"> </w:t>
      </w:r>
      <w:bookmarkEnd w:id="4"/>
    </w:p>
    <w:p w:rsidR="00C63E73" w:rsidRDefault="00C63E73"/>
    <w:p w:rsidR="0092379D" w:rsidRDefault="0092379D">
      <w:r>
        <w:t>APPEARANCES:</w:t>
      </w:r>
    </w:p>
    <w:p w:rsidR="0092379D" w:rsidRDefault="0092379D"/>
    <w:p w:rsidR="0092379D" w:rsidRPr="00036A3F" w:rsidRDefault="0092379D" w:rsidP="0092379D">
      <w:pPr>
        <w:ind w:left="1440"/>
        <w:jc w:val="both"/>
      </w:pPr>
      <w:r w:rsidRPr="00036A3F">
        <w:t xml:space="preserve">MARIA JOSE MONCADA, R. WADE LITCHFIELD, </w:t>
      </w:r>
      <w:r w:rsidR="002F03D3" w:rsidRPr="00036A3F">
        <w:t xml:space="preserve">and </w:t>
      </w:r>
      <w:r w:rsidRPr="00036A3F">
        <w:t>DAVID LEE, ESQUIRES, 700 Universe Boulevard, Juno Beach, Florida 33408</w:t>
      </w:r>
    </w:p>
    <w:p w:rsidR="0092379D" w:rsidRPr="00036A3F" w:rsidRDefault="0092379D" w:rsidP="0092379D">
      <w:pPr>
        <w:ind w:left="1440" w:hanging="1440"/>
        <w:jc w:val="both"/>
      </w:pPr>
      <w:r w:rsidRPr="00036A3F">
        <w:tab/>
      </w:r>
      <w:proofErr w:type="gramStart"/>
      <w:r w:rsidRPr="00036A3F">
        <w:rPr>
          <w:u w:val="single"/>
        </w:rPr>
        <w:t>On behalf of Florida Power &amp; Light Company (FPL)</w:t>
      </w:r>
      <w:r w:rsidRPr="00036A3F">
        <w:t>.</w:t>
      </w:r>
      <w:proofErr w:type="gramEnd"/>
    </w:p>
    <w:p w:rsidR="0092379D" w:rsidRPr="00036A3F" w:rsidRDefault="0092379D" w:rsidP="0092379D">
      <w:pPr>
        <w:ind w:left="1440" w:hanging="1440"/>
        <w:jc w:val="both"/>
      </w:pPr>
    </w:p>
    <w:p w:rsidR="0092379D" w:rsidRPr="00036A3F" w:rsidRDefault="0092379D" w:rsidP="0092379D">
      <w:pPr>
        <w:ind w:left="1440" w:hanging="720"/>
        <w:jc w:val="both"/>
      </w:pPr>
      <w:r w:rsidRPr="00036A3F">
        <w:tab/>
        <w:t>RUSSELL A. BADDERS, ESQUIRE, One Energy Place, Pensacola, Florida 32520, STEVEN R. GRIFFIN, ESQUIRE, Beggs &amp; Lane, P.O. Box 12950, Pensacola, Florida 32591</w:t>
      </w:r>
    </w:p>
    <w:p w:rsidR="0092379D" w:rsidRPr="00036A3F" w:rsidRDefault="0092379D" w:rsidP="0092379D">
      <w:pPr>
        <w:ind w:left="1440" w:hanging="1440"/>
        <w:jc w:val="both"/>
      </w:pPr>
      <w:r w:rsidRPr="00036A3F">
        <w:tab/>
      </w:r>
      <w:proofErr w:type="gramStart"/>
      <w:r w:rsidRPr="00036A3F">
        <w:rPr>
          <w:u w:val="single"/>
        </w:rPr>
        <w:t>On behalf of Gulf Power Company (Gulf)</w:t>
      </w:r>
      <w:r w:rsidRPr="00036A3F">
        <w:t>.</w:t>
      </w:r>
      <w:proofErr w:type="gramEnd"/>
    </w:p>
    <w:p w:rsidR="0092379D" w:rsidRPr="00036A3F" w:rsidRDefault="0092379D" w:rsidP="0092379D">
      <w:pPr>
        <w:ind w:left="1440" w:hanging="1440"/>
        <w:jc w:val="both"/>
      </w:pPr>
    </w:p>
    <w:p w:rsidR="0092379D" w:rsidRPr="00036A3F" w:rsidRDefault="0092379D" w:rsidP="0092379D">
      <w:pPr>
        <w:ind w:left="1440" w:hanging="720"/>
        <w:jc w:val="both"/>
      </w:pPr>
      <w:r w:rsidRPr="00036A3F">
        <w:tab/>
        <w:t>DIANNE M. TRIPLETT, ESQUIRE, 299 First Avenue North, St. Petersburg, Florida 33701, MATTHEW R. BERNIER, ESQUIRE, 106 East College Avenue, Suite 800, Tallahassee, Florida 32301</w:t>
      </w:r>
    </w:p>
    <w:p w:rsidR="0092379D" w:rsidRPr="00036A3F" w:rsidRDefault="0092379D" w:rsidP="0092379D">
      <w:pPr>
        <w:ind w:left="1440" w:hanging="1440"/>
        <w:jc w:val="both"/>
      </w:pPr>
      <w:r w:rsidRPr="00036A3F">
        <w:tab/>
      </w:r>
      <w:proofErr w:type="gramStart"/>
      <w:r w:rsidRPr="00036A3F">
        <w:rPr>
          <w:u w:val="single"/>
        </w:rPr>
        <w:t>On behalf of Duke Energy Florida, LLC (DEF)</w:t>
      </w:r>
      <w:r w:rsidRPr="00036A3F">
        <w:t>.</w:t>
      </w:r>
      <w:proofErr w:type="gramEnd"/>
    </w:p>
    <w:p w:rsidR="0092379D" w:rsidRPr="00036A3F" w:rsidRDefault="0092379D" w:rsidP="0092379D">
      <w:pPr>
        <w:ind w:left="1440" w:hanging="1440"/>
        <w:jc w:val="both"/>
      </w:pPr>
    </w:p>
    <w:p w:rsidR="0092379D" w:rsidRPr="00036A3F" w:rsidRDefault="0092379D" w:rsidP="0092379D">
      <w:pPr>
        <w:ind w:left="1440" w:hanging="720"/>
        <w:jc w:val="both"/>
      </w:pPr>
      <w:r w:rsidRPr="00036A3F">
        <w:tab/>
        <w:t>JAMES D. BEASLEY, J. JEFFRY WAHLEN, and MALCOLM N. MEANS, ESQUIRES, Ausley McMullen, P.O. Box 391, Tallahassee, Florida 32302</w:t>
      </w:r>
    </w:p>
    <w:p w:rsidR="0092379D" w:rsidRPr="00036A3F" w:rsidRDefault="0092379D" w:rsidP="0092379D">
      <w:pPr>
        <w:ind w:left="1440" w:hanging="1440"/>
        <w:jc w:val="both"/>
      </w:pPr>
      <w:r w:rsidRPr="00036A3F">
        <w:tab/>
      </w:r>
      <w:proofErr w:type="gramStart"/>
      <w:r w:rsidRPr="00036A3F">
        <w:rPr>
          <w:u w:val="single"/>
        </w:rPr>
        <w:t>On behalf of Tampa Electric Company (TECO)</w:t>
      </w:r>
      <w:r w:rsidRPr="00036A3F">
        <w:t>.</w:t>
      </w:r>
      <w:proofErr w:type="gramEnd"/>
    </w:p>
    <w:p w:rsidR="0092379D" w:rsidRPr="00036A3F" w:rsidRDefault="0092379D" w:rsidP="00C63E73">
      <w:pPr>
        <w:jc w:val="both"/>
      </w:pPr>
    </w:p>
    <w:p w:rsidR="0092379D" w:rsidRPr="00036A3F" w:rsidRDefault="0092379D" w:rsidP="0092379D">
      <w:pPr>
        <w:ind w:left="1440" w:hanging="720"/>
        <w:jc w:val="both"/>
      </w:pPr>
      <w:r w:rsidRPr="00036A3F">
        <w:tab/>
        <w:t>JON C. MOYLE, and KAREN PUTNAL, ESQUIRES, Moyle Law Firm, P.A., 118 North Gadsden Street, Tallahassee, Florida 32301</w:t>
      </w:r>
    </w:p>
    <w:p w:rsidR="0092379D" w:rsidRPr="00036A3F" w:rsidRDefault="0092379D" w:rsidP="0092379D">
      <w:pPr>
        <w:ind w:left="1440" w:hanging="720"/>
        <w:jc w:val="both"/>
      </w:pPr>
      <w:r w:rsidRPr="00036A3F">
        <w:tab/>
      </w:r>
      <w:proofErr w:type="gramStart"/>
      <w:r w:rsidRPr="00036A3F">
        <w:rPr>
          <w:u w:val="single"/>
        </w:rPr>
        <w:t>On behalf of Florida Industrial Power Users Group (FIPUG)</w:t>
      </w:r>
      <w:r w:rsidRPr="00036A3F">
        <w:t>.</w:t>
      </w:r>
      <w:proofErr w:type="gramEnd"/>
    </w:p>
    <w:p w:rsidR="003F67AB" w:rsidRPr="00036A3F" w:rsidRDefault="003F67AB" w:rsidP="002F03D3">
      <w:pPr>
        <w:jc w:val="both"/>
        <w:rPr>
          <w:u w:val="single"/>
        </w:rPr>
      </w:pPr>
    </w:p>
    <w:p w:rsidR="0092379D" w:rsidRPr="00036A3F" w:rsidRDefault="0092379D" w:rsidP="0092379D">
      <w:pPr>
        <w:ind w:left="1440" w:hanging="720"/>
        <w:jc w:val="both"/>
      </w:pPr>
      <w:r w:rsidRPr="00036A3F">
        <w:lastRenderedPageBreak/>
        <w:tab/>
        <w:t>J.R. KELLY, PATRICIA A. CHRISTENSEN, STEPHANIE MORSE, THOMAS A. DAVID, and CHARLES J. REHWINKEL, ESQUIRES, Associate Public Counsels, Office of Public Counsel, c/o The Florida Legislature, 111 W. Madison Street, Room 812, Tallahassee, Florida 32399</w:t>
      </w:r>
    </w:p>
    <w:p w:rsidR="0092379D" w:rsidRPr="00036A3F" w:rsidRDefault="0092379D" w:rsidP="0092379D">
      <w:pPr>
        <w:ind w:left="720" w:firstLine="720"/>
        <w:jc w:val="both"/>
      </w:pPr>
      <w:proofErr w:type="gramStart"/>
      <w:r w:rsidRPr="00036A3F">
        <w:rPr>
          <w:u w:val="single"/>
        </w:rPr>
        <w:t>On behalf of the Citizens of the State of Florida (OPC)</w:t>
      </w:r>
      <w:r w:rsidRPr="00036A3F">
        <w:t>.</w:t>
      </w:r>
      <w:proofErr w:type="gramEnd"/>
      <w:r w:rsidRPr="00036A3F">
        <w:t xml:space="preserve"> </w:t>
      </w:r>
    </w:p>
    <w:p w:rsidR="0092379D" w:rsidRPr="00036A3F" w:rsidRDefault="0092379D" w:rsidP="0092379D">
      <w:pPr>
        <w:jc w:val="both"/>
      </w:pPr>
      <w:r w:rsidRPr="00036A3F">
        <w:tab/>
      </w:r>
    </w:p>
    <w:p w:rsidR="0092379D" w:rsidRPr="00036A3F" w:rsidRDefault="0092379D" w:rsidP="0092379D">
      <w:pPr>
        <w:ind w:left="1440"/>
        <w:jc w:val="both"/>
      </w:pPr>
      <w:r w:rsidRPr="00036A3F">
        <w:t>ASHLEY J. WEISENFELD and CHARLES MURPHY, ESQUIRES, Florida Public Service Commission, 2540 Shumard Oak Boulevard, Tallahassee, Florida 32399-0850</w:t>
      </w:r>
    </w:p>
    <w:p w:rsidR="0092379D" w:rsidRPr="00036A3F" w:rsidRDefault="0092379D" w:rsidP="0092379D">
      <w:pPr>
        <w:ind w:left="720" w:firstLine="720"/>
        <w:jc w:val="both"/>
      </w:pPr>
      <w:proofErr w:type="gramStart"/>
      <w:r w:rsidRPr="00036A3F">
        <w:rPr>
          <w:u w:val="single"/>
        </w:rPr>
        <w:t>On behalf of the Florida Public Service Commission (Staff)</w:t>
      </w:r>
      <w:r w:rsidRPr="00036A3F">
        <w:t>.</w:t>
      </w:r>
      <w:proofErr w:type="gramEnd"/>
    </w:p>
    <w:p w:rsidR="0092379D" w:rsidRPr="00036A3F" w:rsidRDefault="0092379D" w:rsidP="0092379D">
      <w:pPr>
        <w:jc w:val="both"/>
      </w:pPr>
    </w:p>
    <w:p w:rsidR="0092379D" w:rsidRPr="00036A3F" w:rsidRDefault="002F03D3" w:rsidP="0092379D">
      <w:pPr>
        <w:ind w:left="1440"/>
        <w:jc w:val="both"/>
      </w:pPr>
      <w:r w:rsidRPr="00036A3F">
        <w:t>LEE ENG TAN, ESQUIRE,</w:t>
      </w:r>
      <w:r w:rsidR="0092379D" w:rsidRPr="00036A3F">
        <w:t xml:space="preserve"> Florida Public Service Commission, 2540 Shumard Oak Boulevard, Tallahassee, Florida 32399-0850</w:t>
      </w:r>
    </w:p>
    <w:p w:rsidR="0092379D" w:rsidRPr="00036A3F" w:rsidRDefault="0092379D" w:rsidP="0092379D">
      <w:pPr>
        <w:ind w:left="720" w:firstLine="720"/>
        <w:jc w:val="both"/>
      </w:pPr>
      <w:proofErr w:type="gramStart"/>
      <w:r w:rsidRPr="00036A3F">
        <w:rPr>
          <w:u w:val="single"/>
        </w:rPr>
        <w:t>Advisor to the Florida Public Service Commission</w:t>
      </w:r>
      <w:r w:rsidRPr="00036A3F">
        <w:t>.</w:t>
      </w:r>
      <w:proofErr w:type="gramEnd"/>
    </w:p>
    <w:p w:rsidR="0092379D" w:rsidRPr="00036A3F" w:rsidRDefault="0092379D" w:rsidP="0092379D">
      <w:pPr>
        <w:jc w:val="center"/>
        <w:rPr>
          <w:b/>
          <w:bCs/>
          <w:u w:val="single"/>
        </w:rPr>
      </w:pPr>
    </w:p>
    <w:p w:rsidR="0092379D" w:rsidRPr="00036A3F" w:rsidRDefault="0092379D" w:rsidP="0092379D">
      <w:pPr>
        <w:ind w:left="1440"/>
        <w:jc w:val="both"/>
      </w:pPr>
      <w:r w:rsidRPr="00036A3F">
        <w:t>KEITH C. HETRICK, ESQUIRE, General Counsel, Florida Public Service Commission, 2540 Shumard Oak Boulevard, Tallahassee, Florida 32399-0850</w:t>
      </w:r>
    </w:p>
    <w:p w:rsidR="0092379D" w:rsidRDefault="0092379D" w:rsidP="0092379D">
      <w:r w:rsidRPr="00036A3F">
        <w:tab/>
      </w:r>
      <w:r w:rsidRPr="00036A3F">
        <w:tab/>
      </w:r>
      <w:r w:rsidRPr="00036A3F">
        <w:rPr>
          <w:u w:val="single"/>
        </w:rPr>
        <w:t>Florida Public Service Commission General Counsel.</w:t>
      </w:r>
    </w:p>
    <w:p w:rsidR="00CB5276" w:rsidRDefault="00CB5276">
      <w:pPr>
        <w:pStyle w:val="OrderBody"/>
      </w:pPr>
    </w:p>
    <w:p w:rsidR="0092379D" w:rsidRDefault="0092379D">
      <w:pPr>
        <w:pStyle w:val="OrderBody"/>
      </w:pPr>
    </w:p>
    <w:p w:rsidR="0092379D" w:rsidRPr="0092379D" w:rsidRDefault="0092379D" w:rsidP="0092379D">
      <w:pPr>
        <w:jc w:val="center"/>
        <w:rPr>
          <w:u w:val="single"/>
        </w:rPr>
      </w:pPr>
      <w:r w:rsidRPr="0092379D">
        <w:rPr>
          <w:u w:val="single"/>
        </w:rPr>
        <w:t>BACKGROUND</w:t>
      </w:r>
    </w:p>
    <w:p w:rsidR="0092379D" w:rsidRPr="00701945" w:rsidRDefault="0092379D" w:rsidP="0092379D">
      <w:pPr>
        <w:jc w:val="both"/>
      </w:pPr>
    </w:p>
    <w:p w:rsidR="003F67AB" w:rsidRDefault="0092379D" w:rsidP="007C79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As part of t</w:t>
      </w:r>
      <w:r w:rsidR="007C79E3">
        <w:t>his Commission’s c</w:t>
      </w:r>
      <w:r>
        <w:t>ontinuing Environmental Cost Rec</w:t>
      </w:r>
      <w:r w:rsidR="007C79E3">
        <w:t>overy Clause (ECRC) proceedings</w:t>
      </w:r>
      <w:r>
        <w:t xml:space="preserve">, a hearing </w:t>
      </w:r>
      <w:r w:rsidR="007C79E3">
        <w:t>was held in this docket on November 5, 2019.</w:t>
      </w:r>
      <w:r>
        <w:t xml:space="preserve"> </w:t>
      </w:r>
      <w:r w:rsidR="005E73CC">
        <w:t>Both Sierra Club and White Springs Agricultural Chemicals, Inc. d/b/a PCS Phosphate – White Springs (PCS Phosphate) were excused from the hearing.</w:t>
      </w:r>
      <w:r w:rsidR="007C79E3">
        <w:t xml:space="preserve"> We are vested with jurisdiction over the subject matter by the provisions of Section 366.8255, Florida Statutes (F.S.).</w:t>
      </w:r>
    </w:p>
    <w:p w:rsidR="003F67AB" w:rsidRDefault="003F67AB" w:rsidP="0092379D">
      <w:pPr>
        <w:jc w:val="both"/>
      </w:pPr>
    </w:p>
    <w:p w:rsidR="0092379D" w:rsidRDefault="00033093" w:rsidP="00033093">
      <w:pPr>
        <w:jc w:val="center"/>
        <w:rPr>
          <w:u w:val="single"/>
        </w:rPr>
      </w:pPr>
      <w:r>
        <w:rPr>
          <w:u w:val="single"/>
        </w:rPr>
        <w:t>DECISION</w:t>
      </w:r>
    </w:p>
    <w:p w:rsidR="007C79E3" w:rsidRPr="007C79E3" w:rsidRDefault="007C79E3" w:rsidP="00033093">
      <w:pPr>
        <w:jc w:val="center"/>
      </w:pPr>
    </w:p>
    <w:p w:rsidR="00027743" w:rsidRDefault="007C79E3" w:rsidP="000B1451">
      <w:pPr>
        <w:ind w:firstLine="720"/>
        <w:jc w:val="both"/>
      </w:pPr>
      <w:r w:rsidRPr="001A66B9">
        <w:t xml:space="preserve">The parties have resolved all issues by stipulation as follows: </w:t>
      </w:r>
      <w:r w:rsidR="00027743" w:rsidRPr="001A66B9">
        <w:t>DEF, FPL, Gulf, and TECO support the stipulations. OPC, FIPUG, and PCS Phosphate take no pos</w:t>
      </w:r>
      <w:r w:rsidR="00027743">
        <w:t>ition on the stipulations. Sierra Club intervened to address Issue 14 only</w:t>
      </w:r>
      <w:r w:rsidR="0068703D">
        <w:t>,</w:t>
      </w:r>
      <w:r w:rsidR="00027743">
        <w:t xml:space="preserve"> and takes no position on the stipulation of that issue.  </w:t>
      </w:r>
    </w:p>
    <w:p w:rsidR="00027743" w:rsidRDefault="00027743" w:rsidP="00027743">
      <w:pPr>
        <w:pStyle w:val="OrderBody"/>
      </w:pPr>
    </w:p>
    <w:p w:rsidR="00027743" w:rsidRDefault="00B47111" w:rsidP="00B47111">
      <w:pPr>
        <w:tabs>
          <w:tab w:val="left" w:pos="720"/>
        </w:tabs>
        <w:ind w:left="1440" w:hanging="1440"/>
        <w:jc w:val="both"/>
        <w:rPr>
          <w:rFonts w:eastAsia="Calibri"/>
          <w:b/>
        </w:rPr>
      </w:pPr>
      <w:r>
        <w:rPr>
          <w:rFonts w:eastAsia="Calibri"/>
          <w:b/>
          <w:bCs/>
        </w:rPr>
        <w:tab/>
        <w:t>1.</w:t>
      </w:r>
      <w:r w:rsidR="00027743">
        <w:rPr>
          <w:rFonts w:eastAsia="Calibri"/>
          <w:b/>
          <w:bCs/>
        </w:rPr>
        <w:tab/>
      </w:r>
      <w:r w:rsidR="00027743" w:rsidRPr="00C26029">
        <w:rPr>
          <w:rFonts w:eastAsia="Calibri"/>
          <w:b/>
        </w:rPr>
        <w:t>What are the final environmental cost recovery true-up amounts for the period January 2018 through December 2018?</w:t>
      </w:r>
    </w:p>
    <w:p w:rsidR="00027743" w:rsidRDefault="00027743" w:rsidP="00027743">
      <w:pPr>
        <w:spacing w:line="276" w:lineRule="auto"/>
        <w:ind w:left="900" w:hanging="900"/>
        <w:jc w:val="both"/>
        <w:rPr>
          <w:rFonts w:eastAsia="Calibri"/>
          <w:b/>
        </w:rPr>
      </w:pPr>
    </w:p>
    <w:tbl>
      <w:tblPr>
        <w:tblW w:w="4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416"/>
        <w:gridCol w:w="2195"/>
      </w:tblGrid>
      <w:tr w:rsidR="00027743" w:rsidRPr="00D90DAE" w:rsidTr="009303D2">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027743" w:rsidRPr="00D90DAE" w:rsidRDefault="00027743" w:rsidP="005A12AB">
            <w:pPr>
              <w:jc w:val="both"/>
              <w:rPr>
                <w:sz w:val="22"/>
                <w:szCs w:val="22"/>
              </w:rPr>
            </w:pPr>
            <w:r w:rsidRPr="00D90DAE">
              <w:rPr>
                <w:sz w:val="22"/>
                <w:szCs w:val="22"/>
              </w:rPr>
              <w:t xml:space="preserve">FPL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027743" w:rsidRPr="00D90DAE" w:rsidRDefault="00027743" w:rsidP="005A12AB">
            <w:pPr>
              <w:jc w:val="both"/>
              <w:rPr>
                <w:sz w:val="22"/>
                <w:szCs w:val="22"/>
              </w:rPr>
            </w:pPr>
            <w:r w:rsidRPr="004A4383">
              <w:rPr>
                <w:sz w:val="22"/>
                <w:szCs w:val="22"/>
              </w:rPr>
              <w:t>$22,191,591</w:t>
            </w:r>
          </w:p>
        </w:tc>
        <w:tc>
          <w:tcPr>
            <w:tcW w:w="2195" w:type="dxa"/>
            <w:tcBorders>
              <w:top w:val="single" w:sz="4" w:space="0" w:color="auto"/>
              <w:left w:val="single" w:sz="4" w:space="0" w:color="auto"/>
              <w:bottom w:val="single" w:sz="4" w:space="0" w:color="auto"/>
              <w:right w:val="single" w:sz="4" w:space="0" w:color="auto"/>
            </w:tcBorders>
            <w:noWrap/>
            <w:vAlign w:val="bottom"/>
            <w:hideMark/>
          </w:tcPr>
          <w:p w:rsidR="00027743" w:rsidRPr="00D90DAE" w:rsidRDefault="00027743" w:rsidP="005A12AB">
            <w:pPr>
              <w:jc w:val="both"/>
              <w:rPr>
                <w:sz w:val="22"/>
                <w:szCs w:val="22"/>
              </w:rPr>
            </w:pPr>
            <w:r>
              <w:rPr>
                <w:sz w:val="22"/>
                <w:szCs w:val="22"/>
              </w:rPr>
              <w:t>Over-recovery</w:t>
            </w:r>
          </w:p>
        </w:tc>
      </w:tr>
      <w:tr w:rsidR="00027743" w:rsidRPr="00D90DAE" w:rsidTr="009303D2">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027743" w:rsidRPr="00D90DAE" w:rsidRDefault="00027743" w:rsidP="005A12AB">
            <w:pPr>
              <w:jc w:val="both"/>
              <w:rPr>
                <w:sz w:val="22"/>
                <w:szCs w:val="22"/>
              </w:rPr>
            </w:pPr>
            <w:r w:rsidRPr="00D90DAE">
              <w:rPr>
                <w:sz w:val="22"/>
                <w:szCs w:val="22"/>
              </w:rPr>
              <w:t xml:space="preserve">DEF </w:t>
            </w:r>
          </w:p>
        </w:tc>
        <w:tc>
          <w:tcPr>
            <w:tcW w:w="1416" w:type="dxa"/>
            <w:tcBorders>
              <w:top w:val="single" w:sz="4" w:space="0" w:color="auto"/>
              <w:left w:val="single" w:sz="4" w:space="0" w:color="auto"/>
              <w:bottom w:val="single" w:sz="4" w:space="0" w:color="auto"/>
              <w:right w:val="single" w:sz="4" w:space="0" w:color="auto"/>
            </w:tcBorders>
            <w:noWrap/>
            <w:vAlign w:val="bottom"/>
          </w:tcPr>
          <w:p w:rsidR="00027743" w:rsidRPr="00D90DAE" w:rsidRDefault="00027743" w:rsidP="005A12AB">
            <w:pPr>
              <w:jc w:val="both"/>
              <w:rPr>
                <w:sz w:val="22"/>
                <w:szCs w:val="22"/>
              </w:rPr>
            </w:pPr>
            <w:r w:rsidRPr="00E84D6C">
              <w:rPr>
                <w:sz w:val="22"/>
                <w:szCs w:val="22"/>
              </w:rPr>
              <w:t>$1,988,942</w:t>
            </w:r>
          </w:p>
        </w:tc>
        <w:tc>
          <w:tcPr>
            <w:tcW w:w="2195" w:type="dxa"/>
            <w:tcBorders>
              <w:top w:val="single" w:sz="4" w:space="0" w:color="auto"/>
              <w:left w:val="single" w:sz="4" w:space="0" w:color="auto"/>
              <w:bottom w:val="single" w:sz="4" w:space="0" w:color="auto"/>
              <w:right w:val="single" w:sz="4" w:space="0" w:color="auto"/>
            </w:tcBorders>
            <w:noWrap/>
            <w:vAlign w:val="bottom"/>
          </w:tcPr>
          <w:p w:rsidR="00027743" w:rsidRPr="00D90DAE" w:rsidRDefault="00027743" w:rsidP="005A12AB">
            <w:pPr>
              <w:jc w:val="both"/>
              <w:rPr>
                <w:sz w:val="22"/>
                <w:szCs w:val="22"/>
              </w:rPr>
            </w:pPr>
            <w:r>
              <w:rPr>
                <w:sz w:val="22"/>
                <w:szCs w:val="22"/>
              </w:rPr>
              <w:t>Over-recovery</w:t>
            </w:r>
          </w:p>
        </w:tc>
      </w:tr>
      <w:tr w:rsidR="00027743" w:rsidRPr="00D90DAE" w:rsidTr="009303D2">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027743" w:rsidRPr="00D90DAE" w:rsidRDefault="00027743" w:rsidP="005A12AB">
            <w:pPr>
              <w:jc w:val="both"/>
              <w:rPr>
                <w:sz w:val="22"/>
                <w:szCs w:val="22"/>
              </w:rPr>
            </w:pPr>
            <w:r w:rsidRPr="00D90DAE">
              <w:rPr>
                <w:sz w:val="22"/>
                <w:szCs w:val="22"/>
              </w:rPr>
              <w:t xml:space="preserve">TECO </w:t>
            </w:r>
          </w:p>
        </w:tc>
        <w:tc>
          <w:tcPr>
            <w:tcW w:w="1416" w:type="dxa"/>
            <w:tcBorders>
              <w:top w:val="single" w:sz="4" w:space="0" w:color="auto"/>
              <w:left w:val="single" w:sz="4" w:space="0" w:color="auto"/>
              <w:bottom w:val="single" w:sz="4" w:space="0" w:color="auto"/>
              <w:right w:val="single" w:sz="4" w:space="0" w:color="auto"/>
            </w:tcBorders>
            <w:noWrap/>
            <w:vAlign w:val="bottom"/>
          </w:tcPr>
          <w:p w:rsidR="00027743" w:rsidRPr="00D90DAE" w:rsidRDefault="00027743" w:rsidP="005A12AB">
            <w:pPr>
              <w:jc w:val="both"/>
              <w:rPr>
                <w:sz w:val="22"/>
                <w:szCs w:val="22"/>
              </w:rPr>
            </w:pPr>
            <w:r w:rsidRPr="00E84D6C">
              <w:rPr>
                <w:sz w:val="22"/>
                <w:szCs w:val="22"/>
              </w:rPr>
              <w:t>$2,396,214</w:t>
            </w:r>
          </w:p>
        </w:tc>
        <w:tc>
          <w:tcPr>
            <w:tcW w:w="2195" w:type="dxa"/>
            <w:tcBorders>
              <w:top w:val="single" w:sz="4" w:space="0" w:color="auto"/>
              <w:left w:val="single" w:sz="4" w:space="0" w:color="auto"/>
              <w:bottom w:val="single" w:sz="4" w:space="0" w:color="auto"/>
              <w:right w:val="single" w:sz="4" w:space="0" w:color="auto"/>
            </w:tcBorders>
            <w:noWrap/>
            <w:vAlign w:val="bottom"/>
          </w:tcPr>
          <w:p w:rsidR="00027743" w:rsidRPr="00D90DAE" w:rsidRDefault="00027743" w:rsidP="005A12AB">
            <w:pPr>
              <w:jc w:val="both"/>
              <w:rPr>
                <w:sz w:val="22"/>
                <w:szCs w:val="22"/>
              </w:rPr>
            </w:pPr>
            <w:r>
              <w:rPr>
                <w:sz w:val="22"/>
                <w:szCs w:val="22"/>
              </w:rPr>
              <w:t>Over-recovery</w:t>
            </w:r>
          </w:p>
        </w:tc>
      </w:tr>
      <w:tr w:rsidR="00027743" w:rsidRPr="00D90DAE" w:rsidTr="009303D2">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027743" w:rsidRPr="00D90DAE" w:rsidRDefault="000D3A5F" w:rsidP="005A12AB">
            <w:pPr>
              <w:jc w:val="both"/>
              <w:rPr>
                <w:sz w:val="22"/>
                <w:szCs w:val="22"/>
              </w:rPr>
            </w:pPr>
            <w:r>
              <w:rPr>
                <w:sz w:val="22"/>
                <w:szCs w:val="22"/>
              </w:rPr>
              <w:t>Gulf</w:t>
            </w:r>
            <w:r w:rsidR="00027743" w:rsidRPr="00D90DAE">
              <w:rPr>
                <w:sz w:val="22"/>
                <w:szCs w:val="22"/>
              </w:rPr>
              <w:t xml:space="preserve"> </w:t>
            </w:r>
          </w:p>
        </w:tc>
        <w:tc>
          <w:tcPr>
            <w:tcW w:w="1416" w:type="dxa"/>
            <w:tcBorders>
              <w:top w:val="single" w:sz="4" w:space="0" w:color="auto"/>
              <w:left w:val="single" w:sz="4" w:space="0" w:color="auto"/>
              <w:bottom w:val="single" w:sz="4" w:space="0" w:color="auto"/>
              <w:right w:val="single" w:sz="4" w:space="0" w:color="auto"/>
            </w:tcBorders>
            <w:noWrap/>
            <w:vAlign w:val="bottom"/>
          </w:tcPr>
          <w:p w:rsidR="00027743" w:rsidRPr="00D90DAE" w:rsidRDefault="00027743" w:rsidP="005A12AB">
            <w:pPr>
              <w:jc w:val="both"/>
              <w:rPr>
                <w:sz w:val="22"/>
                <w:szCs w:val="22"/>
              </w:rPr>
            </w:pPr>
            <w:r w:rsidRPr="00823565">
              <w:rPr>
                <w:sz w:val="22"/>
                <w:szCs w:val="22"/>
              </w:rPr>
              <w:t>$1,896,136</w:t>
            </w:r>
          </w:p>
        </w:tc>
        <w:tc>
          <w:tcPr>
            <w:tcW w:w="2195" w:type="dxa"/>
            <w:tcBorders>
              <w:top w:val="single" w:sz="4" w:space="0" w:color="auto"/>
              <w:left w:val="single" w:sz="4" w:space="0" w:color="auto"/>
              <w:bottom w:val="single" w:sz="4" w:space="0" w:color="auto"/>
              <w:right w:val="single" w:sz="4" w:space="0" w:color="auto"/>
            </w:tcBorders>
            <w:noWrap/>
            <w:vAlign w:val="bottom"/>
          </w:tcPr>
          <w:p w:rsidR="00027743" w:rsidRPr="00D90DAE" w:rsidRDefault="00027743" w:rsidP="005A12AB">
            <w:pPr>
              <w:jc w:val="both"/>
              <w:rPr>
                <w:sz w:val="22"/>
                <w:szCs w:val="22"/>
              </w:rPr>
            </w:pPr>
            <w:r>
              <w:rPr>
                <w:sz w:val="22"/>
                <w:szCs w:val="22"/>
              </w:rPr>
              <w:t>Over-recovery</w:t>
            </w:r>
          </w:p>
        </w:tc>
      </w:tr>
    </w:tbl>
    <w:p w:rsidR="00027743" w:rsidRDefault="00027743" w:rsidP="00027743">
      <w:pPr>
        <w:spacing w:after="200" w:line="276" w:lineRule="auto"/>
        <w:jc w:val="both"/>
        <w:rPr>
          <w:rFonts w:eastAsia="Calibri"/>
          <w:sz w:val="22"/>
          <w:szCs w:val="22"/>
        </w:rPr>
      </w:pPr>
      <w:r>
        <w:rPr>
          <w:rFonts w:eastAsia="Calibri"/>
          <w:sz w:val="22"/>
          <w:szCs w:val="22"/>
        </w:rPr>
        <w:tab/>
      </w:r>
      <w:r>
        <w:rPr>
          <w:rFonts w:eastAsia="Calibri"/>
          <w:sz w:val="22"/>
          <w:szCs w:val="22"/>
        </w:rPr>
        <w:tab/>
      </w:r>
    </w:p>
    <w:p w:rsidR="007C79E3" w:rsidRPr="00D90DAE" w:rsidRDefault="007C79E3" w:rsidP="00027743">
      <w:pPr>
        <w:spacing w:after="200" w:line="276" w:lineRule="auto"/>
        <w:jc w:val="both"/>
        <w:rPr>
          <w:rFonts w:eastAsia="Calibri"/>
        </w:rPr>
      </w:pPr>
    </w:p>
    <w:p w:rsidR="00027743" w:rsidRDefault="00B47111" w:rsidP="00B47111">
      <w:pPr>
        <w:tabs>
          <w:tab w:val="left" w:pos="720"/>
        </w:tabs>
        <w:ind w:left="1440" w:hanging="1440"/>
        <w:jc w:val="both"/>
        <w:rPr>
          <w:rFonts w:eastAsia="Calibri"/>
          <w:b/>
        </w:rPr>
      </w:pPr>
      <w:r>
        <w:rPr>
          <w:rFonts w:eastAsia="Calibri"/>
          <w:b/>
          <w:bCs/>
        </w:rPr>
        <w:lastRenderedPageBreak/>
        <w:tab/>
      </w:r>
      <w:r w:rsidR="00027743" w:rsidRPr="00B47111">
        <w:rPr>
          <w:rFonts w:eastAsia="Calibri"/>
          <w:b/>
          <w:bCs/>
        </w:rPr>
        <w:t>2</w:t>
      </w:r>
      <w:r>
        <w:rPr>
          <w:rFonts w:eastAsia="Calibri"/>
          <w:b/>
          <w:bCs/>
        </w:rPr>
        <w:t>.</w:t>
      </w:r>
      <w:r w:rsidR="00027743">
        <w:rPr>
          <w:rFonts w:eastAsia="Calibri"/>
          <w:b/>
          <w:bCs/>
        </w:rPr>
        <w:tab/>
      </w:r>
      <w:r w:rsidR="00027743" w:rsidRPr="00C26029">
        <w:rPr>
          <w:rFonts w:eastAsia="Calibri"/>
          <w:b/>
        </w:rPr>
        <w:t>What are the actual/estimated environmenta</w:t>
      </w:r>
      <w:r w:rsidR="00027743">
        <w:rPr>
          <w:rFonts w:eastAsia="Calibri"/>
          <w:b/>
        </w:rPr>
        <w:t xml:space="preserve">l cost recovery true-up amounts </w:t>
      </w:r>
      <w:r w:rsidR="00027743" w:rsidRPr="00C26029">
        <w:rPr>
          <w:rFonts w:eastAsia="Calibri"/>
          <w:b/>
        </w:rPr>
        <w:t>for the period January 2019 through December 2019?</w:t>
      </w:r>
    </w:p>
    <w:p w:rsidR="00027743" w:rsidRPr="00D90DAE" w:rsidRDefault="00027743" w:rsidP="00027743">
      <w:pPr>
        <w:ind w:left="1080" w:hanging="1080"/>
        <w:jc w:val="both"/>
        <w:rPr>
          <w:rFonts w:eastAsia="Calibri"/>
          <w:b/>
        </w:rPr>
      </w:pPr>
    </w:p>
    <w:tbl>
      <w:tblPr>
        <w:tblW w:w="4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416"/>
        <w:gridCol w:w="1835"/>
      </w:tblGrid>
      <w:tr w:rsidR="00027743" w:rsidRPr="00D90DAE" w:rsidTr="009303D2">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027743" w:rsidRPr="00D90DAE" w:rsidRDefault="00027743" w:rsidP="005A12AB">
            <w:pPr>
              <w:jc w:val="both"/>
              <w:rPr>
                <w:sz w:val="22"/>
                <w:szCs w:val="22"/>
              </w:rPr>
            </w:pPr>
            <w:r w:rsidRPr="00D90DAE">
              <w:rPr>
                <w:sz w:val="22"/>
                <w:szCs w:val="22"/>
              </w:rPr>
              <w:t xml:space="preserve">FPL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027743" w:rsidRPr="00D90DAE" w:rsidRDefault="00027743" w:rsidP="005A12AB">
            <w:pPr>
              <w:jc w:val="both"/>
              <w:rPr>
                <w:sz w:val="22"/>
                <w:szCs w:val="22"/>
              </w:rPr>
            </w:pPr>
            <w:r w:rsidRPr="004A4383">
              <w:rPr>
                <w:sz w:val="22"/>
                <w:szCs w:val="22"/>
              </w:rPr>
              <w:t>$7,117,811</w:t>
            </w:r>
          </w:p>
        </w:tc>
        <w:tc>
          <w:tcPr>
            <w:tcW w:w="1835" w:type="dxa"/>
            <w:tcBorders>
              <w:top w:val="single" w:sz="4" w:space="0" w:color="auto"/>
              <w:left w:val="single" w:sz="4" w:space="0" w:color="auto"/>
              <w:bottom w:val="single" w:sz="4" w:space="0" w:color="auto"/>
              <w:right w:val="single" w:sz="4" w:space="0" w:color="auto"/>
            </w:tcBorders>
            <w:noWrap/>
            <w:vAlign w:val="bottom"/>
            <w:hideMark/>
          </w:tcPr>
          <w:p w:rsidR="00027743" w:rsidRPr="00D90DAE" w:rsidRDefault="00027743" w:rsidP="005A12AB">
            <w:pPr>
              <w:jc w:val="both"/>
              <w:rPr>
                <w:sz w:val="22"/>
                <w:szCs w:val="22"/>
              </w:rPr>
            </w:pPr>
            <w:r>
              <w:rPr>
                <w:sz w:val="22"/>
                <w:szCs w:val="22"/>
              </w:rPr>
              <w:t>O</w:t>
            </w:r>
            <w:r w:rsidRPr="004A4383">
              <w:rPr>
                <w:sz w:val="22"/>
                <w:szCs w:val="22"/>
              </w:rPr>
              <w:t>ver-recovery</w:t>
            </w:r>
          </w:p>
        </w:tc>
      </w:tr>
      <w:tr w:rsidR="00027743" w:rsidRPr="00D90DAE" w:rsidTr="009303D2">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027743" w:rsidRPr="00D90DAE" w:rsidRDefault="00027743" w:rsidP="005A12AB">
            <w:pPr>
              <w:jc w:val="both"/>
              <w:rPr>
                <w:sz w:val="22"/>
                <w:szCs w:val="22"/>
              </w:rPr>
            </w:pPr>
            <w:r w:rsidRPr="00D90DAE">
              <w:rPr>
                <w:sz w:val="22"/>
                <w:szCs w:val="22"/>
              </w:rPr>
              <w:t xml:space="preserve">DEF </w:t>
            </w:r>
          </w:p>
        </w:tc>
        <w:tc>
          <w:tcPr>
            <w:tcW w:w="1416" w:type="dxa"/>
            <w:tcBorders>
              <w:top w:val="single" w:sz="4" w:space="0" w:color="auto"/>
              <w:left w:val="single" w:sz="4" w:space="0" w:color="auto"/>
              <w:bottom w:val="single" w:sz="4" w:space="0" w:color="auto"/>
              <w:right w:val="single" w:sz="4" w:space="0" w:color="auto"/>
            </w:tcBorders>
            <w:noWrap/>
            <w:vAlign w:val="bottom"/>
          </w:tcPr>
          <w:p w:rsidR="00027743" w:rsidRPr="00D90DAE" w:rsidRDefault="00027743" w:rsidP="005A12AB">
            <w:pPr>
              <w:jc w:val="both"/>
              <w:rPr>
                <w:sz w:val="22"/>
                <w:szCs w:val="22"/>
              </w:rPr>
            </w:pPr>
            <w:r w:rsidRPr="00E84D6C">
              <w:rPr>
                <w:sz w:val="22"/>
                <w:szCs w:val="22"/>
              </w:rPr>
              <w:t>$16,666,006</w:t>
            </w:r>
          </w:p>
        </w:tc>
        <w:tc>
          <w:tcPr>
            <w:tcW w:w="1835" w:type="dxa"/>
            <w:tcBorders>
              <w:top w:val="single" w:sz="4" w:space="0" w:color="auto"/>
              <w:left w:val="single" w:sz="4" w:space="0" w:color="auto"/>
              <w:bottom w:val="single" w:sz="4" w:space="0" w:color="auto"/>
              <w:right w:val="single" w:sz="4" w:space="0" w:color="auto"/>
            </w:tcBorders>
            <w:noWrap/>
            <w:vAlign w:val="bottom"/>
          </w:tcPr>
          <w:p w:rsidR="00027743" w:rsidRPr="00D90DAE" w:rsidRDefault="00027743" w:rsidP="005A12AB">
            <w:pPr>
              <w:jc w:val="both"/>
              <w:rPr>
                <w:sz w:val="22"/>
                <w:szCs w:val="22"/>
              </w:rPr>
            </w:pPr>
            <w:r>
              <w:rPr>
                <w:sz w:val="22"/>
                <w:szCs w:val="22"/>
              </w:rPr>
              <w:t>Over-recovery</w:t>
            </w:r>
          </w:p>
        </w:tc>
      </w:tr>
      <w:tr w:rsidR="00027743" w:rsidRPr="00D90DAE" w:rsidTr="009303D2">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027743" w:rsidRPr="00D90DAE" w:rsidRDefault="00027743" w:rsidP="005A12AB">
            <w:pPr>
              <w:jc w:val="both"/>
              <w:rPr>
                <w:sz w:val="22"/>
                <w:szCs w:val="22"/>
              </w:rPr>
            </w:pPr>
            <w:r w:rsidRPr="00D90DAE">
              <w:rPr>
                <w:sz w:val="22"/>
                <w:szCs w:val="22"/>
              </w:rPr>
              <w:t xml:space="preserve">TECO </w:t>
            </w:r>
          </w:p>
        </w:tc>
        <w:tc>
          <w:tcPr>
            <w:tcW w:w="1416" w:type="dxa"/>
            <w:tcBorders>
              <w:top w:val="single" w:sz="4" w:space="0" w:color="auto"/>
              <w:left w:val="single" w:sz="4" w:space="0" w:color="auto"/>
              <w:bottom w:val="single" w:sz="4" w:space="0" w:color="auto"/>
              <w:right w:val="single" w:sz="4" w:space="0" w:color="auto"/>
            </w:tcBorders>
            <w:noWrap/>
            <w:vAlign w:val="bottom"/>
          </w:tcPr>
          <w:p w:rsidR="00027743" w:rsidRPr="00D90DAE" w:rsidRDefault="00027743" w:rsidP="005A12AB">
            <w:pPr>
              <w:jc w:val="both"/>
              <w:rPr>
                <w:sz w:val="22"/>
                <w:szCs w:val="22"/>
              </w:rPr>
            </w:pPr>
            <w:r>
              <w:rPr>
                <w:sz w:val="22"/>
                <w:szCs w:val="22"/>
              </w:rPr>
              <w:t>$</w:t>
            </w:r>
            <w:r w:rsidRPr="00823565">
              <w:rPr>
                <w:sz w:val="22"/>
                <w:szCs w:val="22"/>
              </w:rPr>
              <w:t>4,108,435</w:t>
            </w:r>
          </w:p>
        </w:tc>
        <w:tc>
          <w:tcPr>
            <w:tcW w:w="1835" w:type="dxa"/>
            <w:tcBorders>
              <w:top w:val="single" w:sz="4" w:space="0" w:color="auto"/>
              <w:left w:val="single" w:sz="4" w:space="0" w:color="auto"/>
              <w:bottom w:val="single" w:sz="4" w:space="0" w:color="auto"/>
              <w:right w:val="single" w:sz="4" w:space="0" w:color="auto"/>
            </w:tcBorders>
            <w:noWrap/>
            <w:vAlign w:val="bottom"/>
          </w:tcPr>
          <w:p w:rsidR="00027743" w:rsidRPr="00D90DAE" w:rsidRDefault="00027743" w:rsidP="005A12AB">
            <w:pPr>
              <w:jc w:val="both"/>
              <w:rPr>
                <w:sz w:val="22"/>
                <w:szCs w:val="22"/>
              </w:rPr>
            </w:pPr>
            <w:r>
              <w:rPr>
                <w:sz w:val="22"/>
                <w:szCs w:val="22"/>
              </w:rPr>
              <w:t>O</w:t>
            </w:r>
            <w:r w:rsidRPr="004A4383">
              <w:rPr>
                <w:sz w:val="22"/>
                <w:szCs w:val="22"/>
              </w:rPr>
              <w:t>ver-recovery</w:t>
            </w:r>
          </w:p>
        </w:tc>
      </w:tr>
      <w:tr w:rsidR="00027743" w:rsidRPr="00D90DAE" w:rsidTr="009303D2">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027743" w:rsidRPr="00D90DAE" w:rsidRDefault="000D3A5F" w:rsidP="005A12AB">
            <w:pPr>
              <w:jc w:val="both"/>
              <w:rPr>
                <w:sz w:val="22"/>
                <w:szCs w:val="22"/>
              </w:rPr>
            </w:pPr>
            <w:r>
              <w:rPr>
                <w:sz w:val="22"/>
                <w:szCs w:val="22"/>
              </w:rPr>
              <w:t>Gulf</w:t>
            </w:r>
            <w:r w:rsidR="00027743" w:rsidRPr="00D90DAE">
              <w:rPr>
                <w:sz w:val="22"/>
                <w:szCs w:val="22"/>
              </w:rPr>
              <w:t xml:space="preserve"> </w:t>
            </w:r>
          </w:p>
        </w:tc>
        <w:tc>
          <w:tcPr>
            <w:tcW w:w="1416" w:type="dxa"/>
            <w:tcBorders>
              <w:top w:val="single" w:sz="4" w:space="0" w:color="auto"/>
              <w:left w:val="single" w:sz="4" w:space="0" w:color="auto"/>
              <w:bottom w:val="single" w:sz="4" w:space="0" w:color="auto"/>
              <w:right w:val="single" w:sz="4" w:space="0" w:color="auto"/>
            </w:tcBorders>
            <w:noWrap/>
            <w:vAlign w:val="bottom"/>
          </w:tcPr>
          <w:p w:rsidR="00027743" w:rsidRPr="00D90DAE" w:rsidRDefault="00027743" w:rsidP="005A12AB">
            <w:pPr>
              <w:jc w:val="both"/>
              <w:rPr>
                <w:sz w:val="22"/>
                <w:szCs w:val="22"/>
              </w:rPr>
            </w:pPr>
            <w:r w:rsidRPr="00823565">
              <w:rPr>
                <w:sz w:val="22"/>
                <w:szCs w:val="22"/>
              </w:rPr>
              <w:t>$4,609,567</w:t>
            </w:r>
          </w:p>
        </w:tc>
        <w:tc>
          <w:tcPr>
            <w:tcW w:w="1835" w:type="dxa"/>
            <w:tcBorders>
              <w:top w:val="single" w:sz="4" w:space="0" w:color="auto"/>
              <w:left w:val="single" w:sz="4" w:space="0" w:color="auto"/>
              <w:bottom w:val="single" w:sz="4" w:space="0" w:color="auto"/>
              <w:right w:val="single" w:sz="4" w:space="0" w:color="auto"/>
            </w:tcBorders>
            <w:noWrap/>
            <w:vAlign w:val="bottom"/>
          </w:tcPr>
          <w:p w:rsidR="00027743" w:rsidRPr="00D90DAE" w:rsidRDefault="00027743" w:rsidP="005A12AB">
            <w:pPr>
              <w:jc w:val="both"/>
              <w:rPr>
                <w:sz w:val="22"/>
                <w:szCs w:val="22"/>
              </w:rPr>
            </w:pPr>
            <w:r w:rsidRPr="00823565">
              <w:rPr>
                <w:sz w:val="22"/>
                <w:szCs w:val="22"/>
              </w:rPr>
              <w:t>Over-recovery</w:t>
            </w:r>
          </w:p>
        </w:tc>
      </w:tr>
    </w:tbl>
    <w:p w:rsidR="00027743" w:rsidRDefault="00027743" w:rsidP="00027743">
      <w:pPr>
        <w:spacing w:after="200"/>
        <w:ind w:left="1440" w:hanging="1440"/>
        <w:jc w:val="both"/>
        <w:rPr>
          <w:rFonts w:eastAsia="Calibri"/>
          <w:b/>
          <w:bCs/>
          <w:u w:val="single"/>
        </w:rPr>
      </w:pPr>
    </w:p>
    <w:p w:rsidR="001A66B9" w:rsidRPr="00D351D9" w:rsidRDefault="00B47111" w:rsidP="001A66B9">
      <w:pPr>
        <w:tabs>
          <w:tab w:val="left" w:pos="720"/>
        </w:tabs>
        <w:spacing w:after="200"/>
        <w:ind w:left="1440" w:hanging="1440"/>
        <w:jc w:val="both"/>
        <w:rPr>
          <w:rFonts w:eastAsia="Calibri"/>
          <w:b/>
        </w:rPr>
      </w:pPr>
      <w:r>
        <w:rPr>
          <w:rFonts w:eastAsia="Calibri"/>
          <w:b/>
          <w:bCs/>
        </w:rPr>
        <w:tab/>
      </w:r>
      <w:r w:rsidR="00027743" w:rsidRPr="00B47111">
        <w:rPr>
          <w:rFonts w:eastAsia="Calibri"/>
          <w:b/>
          <w:bCs/>
        </w:rPr>
        <w:t>3</w:t>
      </w:r>
      <w:r>
        <w:rPr>
          <w:rFonts w:eastAsia="Calibri"/>
          <w:b/>
          <w:bCs/>
        </w:rPr>
        <w:t>.</w:t>
      </w:r>
      <w:r w:rsidR="00027743" w:rsidRPr="00D351D9">
        <w:rPr>
          <w:rFonts w:eastAsia="Calibri"/>
          <w:b/>
        </w:rPr>
        <w:t xml:space="preserve"> </w:t>
      </w:r>
      <w:r w:rsidR="00027743" w:rsidRPr="00D351D9">
        <w:rPr>
          <w:rFonts w:eastAsia="Calibri"/>
          <w:b/>
        </w:rPr>
        <w:tab/>
        <w:t>What are the projected environmental cost recovery amounts for the period January 2020 through December 2020?</w:t>
      </w:r>
    </w:p>
    <w:tbl>
      <w:tblPr>
        <w:tblW w:w="2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536"/>
      </w:tblGrid>
      <w:tr w:rsidR="00027743" w:rsidRPr="00D351D9" w:rsidTr="009303D2">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027743" w:rsidRPr="00D351D9" w:rsidRDefault="00027743" w:rsidP="005A12AB">
            <w:pPr>
              <w:jc w:val="both"/>
              <w:rPr>
                <w:sz w:val="22"/>
                <w:szCs w:val="22"/>
              </w:rPr>
            </w:pPr>
            <w:r w:rsidRPr="00D351D9">
              <w:rPr>
                <w:sz w:val="22"/>
                <w:szCs w:val="22"/>
              </w:rPr>
              <w:t xml:space="preserve">FPL </w:t>
            </w:r>
          </w:p>
        </w:tc>
        <w:tc>
          <w:tcPr>
            <w:tcW w:w="1536" w:type="dxa"/>
            <w:tcBorders>
              <w:top w:val="single" w:sz="4" w:space="0" w:color="auto"/>
              <w:left w:val="single" w:sz="4" w:space="0" w:color="auto"/>
              <w:bottom w:val="single" w:sz="4" w:space="0" w:color="auto"/>
              <w:right w:val="single" w:sz="4" w:space="0" w:color="auto"/>
            </w:tcBorders>
            <w:noWrap/>
            <w:vAlign w:val="bottom"/>
            <w:hideMark/>
          </w:tcPr>
          <w:p w:rsidR="00027743" w:rsidRPr="00D351D9" w:rsidRDefault="00027743" w:rsidP="005A12AB">
            <w:pPr>
              <w:jc w:val="both"/>
              <w:rPr>
                <w:sz w:val="22"/>
                <w:szCs w:val="22"/>
              </w:rPr>
            </w:pPr>
            <w:r w:rsidRPr="00D351D9">
              <w:rPr>
                <w:sz w:val="22"/>
                <w:szCs w:val="22"/>
              </w:rPr>
              <w:t>$191,146,927</w:t>
            </w:r>
          </w:p>
        </w:tc>
      </w:tr>
      <w:tr w:rsidR="00027743" w:rsidRPr="00D351D9" w:rsidTr="009303D2">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027743" w:rsidRPr="00D351D9" w:rsidRDefault="00027743" w:rsidP="005A12AB">
            <w:pPr>
              <w:jc w:val="both"/>
              <w:rPr>
                <w:sz w:val="22"/>
                <w:szCs w:val="22"/>
              </w:rPr>
            </w:pPr>
            <w:r w:rsidRPr="00D351D9">
              <w:rPr>
                <w:sz w:val="22"/>
                <w:szCs w:val="22"/>
              </w:rPr>
              <w:t xml:space="preserve">DEF </w:t>
            </w:r>
          </w:p>
        </w:tc>
        <w:tc>
          <w:tcPr>
            <w:tcW w:w="1536" w:type="dxa"/>
            <w:tcBorders>
              <w:top w:val="single" w:sz="4" w:space="0" w:color="auto"/>
              <w:left w:val="single" w:sz="4" w:space="0" w:color="auto"/>
              <w:bottom w:val="single" w:sz="4" w:space="0" w:color="auto"/>
              <w:right w:val="single" w:sz="4" w:space="0" w:color="auto"/>
            </w:tcBorders>
            <w:noWrap/>
            <w:vAlign w:val="bottom"/>
          </w:tcPr>
          <w:p w:rsidR="00027743" w:rsidRPr="00D351D9" w:rsidRDefault="00027743" w:rsidP="005A12AB">
            <w:pPr>
              <w:jc w:val="both"/>
              <w:rPr>
                <w:sz w:val="22"/>
                <w:szCs w:val="22"/>
              </w:rPr>
            </w:pPr>
            <w:r w:rsidRPr="00D351D9">
              <w:rPr>
                <w:sz w:val="22"/>
                <w:szCs w:val="22"/>
              </w:rPr>
              <w:t>$49,255,523</w:t>
            </w:r>
          </w:p>
        </w:tc>
      </w:tr>
      <w:tr w:rsidR="00027743" w:rsidRPr="00D351D9" w:rsidTr="009303D2">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027743" w:rsidRPr="00D351D9" w:rsidRDefault="00027743" w:rsidP="005A12AB">
            <w:pPr>
              <w:jc w:val="both"/>
              <w:rPr>
                <w:sz w:val="22"/>
                <w:szCs w:val="22"/>
              </w:rPr>
            </w:pPr>
            <w:r w:rsidRPr="00D351D9">
              <w:rPr>
                <w:sz w:val="22"/>
                <w:szCs w:val="22"/>
              </w:rPr>
              <w:t xml:space="preserve">TECO </w:t>
            </w:r>
          </w:p>
        </w:tc>
        <w:tc>
          <w:tcPr>
            <w:tcW w:w="1536" w:type="dxa"/>
            <w:tcBorders>
              <w:top w:val="single" w:sz="4" w:space="0" w:color="auto"/>
              <w:left w:val="single" w:sz="4" w:space="0" w:color="auto"/>
              <w:bottom w:val="single" w:sz="4" w:space="0" w:color="auto"/>
              <w:right w:val="single" w:sz="4" w:space="0" w:color="auto"/>
            </w:tcBorders>
            <w:noWrap/>
            <w:vAlign w:val="bottom"/>
          </w:tcPr>
          <w:p w:rsidR="00027743" w:rsidRPr="00D351D9" w:rsidRDefault="00027743" w:rsidP="005A12AB">
            <w:pPr>
              <w:jc w:val="both"/>
              <w:rPr>
                <w:sz w:val="22"/>
                <w:szCs w:val="22"/>
              </w:rPr>
            </w:pPr>
            <w:r w:rsidRPr="00D351D9">
              <w:rPr>
                <w:sz w:val="22"/>
                <w:szCs w:val="22"/>
              </w:rPr>
              <w:t>$53,963,728</w:t>
            </w:r>
          </w:p>
        </w:tc>
      </w:tr>
      <w:tr w:rsidR="00027743" w:rsidRPr="00D351D9" w:rsidTr="009303D2">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027743" w:rsidRPr="00D351D9" w:rsidRDefault="00027743" w:rsidP="005A12AB">
            <w:pPr>
              <w:jc w:val="both"/>
              <w:rPr>
                <w:sz w:val="22"/>
                <w:szCs w:val="22"/>
              </w:rPr>
            </w:pPr>
            <w:r w:rsidRPr="00D351D9">
              <w:rPr>
                <w:sz w:val="22"/>
                <w:szCs w:val="22"/>
              </w:rPr>
              <w:t xml:space="preserve">Gulf </w:t>
            </w:r>
          </w:p>
        </w:tc>
        <w:tc>
          <w:tcPr>
            <w:tcW w:w="1536" w:type="dxa"/>
            <w:tcBorders>
              <w:top w:val="single" w:sz="4" w:space="0" w:color="auto"/>
              <w:left w:val="single" w:sz="4" w:space="0" w:color="auto"/>
              <w:bottom w:val="single" w:sz="4" w:space="0" w:color="auto"/>
              <w:right w:val="single" w:sz="4" w:space="0" w:color="auto"/>
            </w:tcBorders>
            <w:noWrap/>
            <w:vAlign w:val="bottom"/>
          </w:tcPr>
          <w:p w:rsidR="00027743" w:rsidRPr="00D351D9" w:rsidRDefault="00027743" w:rsidP="005A12AB">
            <w:pPr>
              <w:jc w:val="both"/>
              <w:rPr>
                <w:sz w:val="22"/>
                <w:szCs w:val="22"/>
              </w:rPr>
            </w:pPr>
            <w:r w:rsidRPr="00D351D9">
              <w:rPr>
                <w:sz w:val="22"/>
                <w:szCs w:val="22"/>
              </w:rPr>
              <w:t>$188,610,975</w:t>
            </w:r>
          </w:p>
        </w:tc>
      </w:tr>
    </w:tbl>
    <w:p w:rsidR="00027743" w:rsidRPr="00D351D9" w:rsidRDefault="00027743" w:rsidP="00027743">
      <w:pPr>
        <w:spacing w:after="200" w:line="276" w:lineRule="auto"/>
        <w:jc w:val="both"/>
        <w:rPr>
          <w:rFonts w:eastAsia="Calibri"/>
        </w:rPr>
      </w:pPr>
      <w:r w:rsidRPr="00D351D9">
        <w:rPr>
          <w:rFonts w:eastAsia="Calibri"/>
          <w:sz w:val="22"/>
          <w:szCs w:val="22"/>
        </w:rPr>
        <w:tab/>
      </w:r>
      <w:r w:rsidRPr="00D351D9">
        <w:rPr>
          <w:rFonts w:eastAsia="Calibri"/>
          <w:sz w:val="22"/>
          <w:szCs w:val="22"/>
        </w:rPr>
        <w:tab/>
      </w:r>
    </w:p>
    <w:p w:rsidR="001A66B9" w:rsidRPr="00D351D9" w:rsidRDefault="00B47111" w:rsidP="001A66B9">
      <w:pPr>
        <w:tabs>
          <w:tab w:val="left" w:pos="720"/>
        </w:tabs>
        <w:spacing w:after="200"/>
        <w:ind w:left="1440" w:hanging="1440"/>
        <w:jc w:val="both"/>
        <w:rPr>
          <w:rFonts w:eastAsia="Calibri"/>
          <w:b/>
        </w:rPr>
      </w:pPr>
      <w:r>
        <w:rPr>
          <w:rFonts w:eastAsia="Calibri"/>
          <w:b/>
          <w:bCs/>
        </w:rPr>
        <w:tab/>
      </w:r>
      <w:r w:rsidR="00027743" w:rsidRPr="00B47111">
        <w:rPr>
          <w:rFonts w:eastAsia="Calibri"/>
          <w:b/>
          <w:bCs/>
        </w:rPr>
        <w:t>4</w:t>
      </w:r>
      <w:r>
        <w:rPr>
          <w:rFonts w:eastAsia="Calibri"/>
          <w:b/>
          <w:bCs/>
        </w:rPr>
        <w:t>.</w:t>
      </w:r>
      <w:r w:rsidR="00027743" w:rsidRPr="00D351D9">
        <w:rPr>
          <w:rFonts w:eastAsia="Calibri"/>
          <w:b/>
        </w:rPr>
        <w:t xml:space="preserve"> </w:t>
      </w:r>
      <w:r w:rsidR="00027743" w:rsidRPr="00D351D9">
        <w:rPr>
          <w:rFonts w:eastAsia="Calibri"/>
          <w:b/>
        </w:rPr>
        <w:tab/>
        <w:t>What are the environmental cost recovery amounts, including true-up amounts, for the period January 2020 through December 2020?</w:t>
      </w:r>
    </w:p>
    <w:tbl>
      <w:tblPr>
        <w:tblW w:w="2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536"/>
      </w:tblGrid>
      <w:tr w:rsidR="00027743" w:rsidRPr="00D351D9" w:rsidTr="009303D2">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027743" w:rsidRPr="00D351D9" w:rsidRDefault="00027743" w:rsidP="005A12AB">
            <w:pPr>
              <w:jc w:val="both"/>
              <w:rPr>
                <w:sz w:val="22"/>
                <w:szCs w:val="22"/>
              </w:rPr>
            </w:pPr>
            <w:r w:rsidRPr="00D351D9">
              <w:rPr>
                <w:sz w:val="22"/>
                <w:szCs w:val="22"/>
              </w:rPr>
              <w:t>FPL</w:t>
            </w:r>
          </w:p>
        </w:tc>
        <w:tc>
          <w:tcPr>
            <w:tcW w:w="1536" w:type="dxa"/>
            <w:tcBorders>
              <w:top w:val="single" w:sz="4" w:space="0" w:color="auto"/>
              <w:left w:val="single" w:sz="4" w:space="0" w:color="auto"/>
              <w:bottom w:val="single" w:sz="4" w:space="0" w:color="auto"/>
              <w:right w:val="single" w:sz="4" w:space="0" w:color="auto"/>
            </w:tcBorders>
            <w:noWrap/>
            <w:vAlign w:val="bottom"/>
            <w:hideMark/>
          </w:tcPr>
          <w:p w:rsidR="00027743" w:rsidRPr="00D351D9" w:rsidRDefault="00027743" w:rsidP="005A12AB">
            <w:pPr>
              <w:jc w:val="both"/>
              <w:rPr>
                <w:sz w:val="22"/>
                <w:szCs w:val="22"/>
              </w:rPr>
            </w:pPr>
            <w:r w:rsidRPr="00D351D9">
              <w:rPr>
                <w:sz w:val="22"/>
                <w:szCs w:val="22"/>
              </w:rPr>
              <w:t>$161,954,048</w:t>
            </w:r>
          </w:p>
        </w:tc>
      </w:tr>
      <w:tr w:rsidR="00027743" w:rsidRPr="00D351D9" w:rsidTr="009303D2">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027743" w:rsidRPr="00D351D9" w:rsidRDefault="00027743" w:rsidP="005A12AB">
            <w:pPr>
              <w:jc w:val="both"/>
              <w:rPr>
                <w:sz w:val="22"/>
                <w:szCs w:val="22"/>
              </w:rPr>
            </w:pPr>
            <w:r w:rsidRPr="00D351D9">
              <w:rPr>
                <w:sz w:val="22"/>
                <w:szCs w:val="22"/>
              </w:rPr>
              <w:t xml:space="preserve">DEF </w:t>
            </w:r>
          </w:p>
        </w:tc>
        <w:tc>
          <w:tcPr>
            <w:tcW w:w="1536" w:type="dxa"/>
            <w:tcBorders>
              <w:top w:val="single" w:sz="4" w:space="0" w:color="auto"/>
              <w:left w:val="single" w:sz="4" w:space="0" w:color="auto"/>
              <w:bottom w:val="single" w:sz="4" w:space="0" w:color="auto"/>
              <w:right w:val="single" w:sz="4" w:space="0" w:color="auto"/>
            </w:tcBorders>
            <w:noWrap/>
            <w:vAlign w:val="bottom"/>
          </w:tcPr>
          <w:p w:rsidR="00027743" w:rsidRPr="00D351D9" w:rsidRDefault="00027743" w:rsidP="005A12AB">
            <w:pPr>
              <w:jc w:val="both"/>
              <w:rPr>
                <w:sz w:val="22"/>
                <w:szCs w:val="22"/>
              </w:rPr>
            </w:pPr>
            <w:r w:rsidRPr="00D351D9">
              <w:rPr>
                <w:sz w:val="22"/>
                <w:szCs w:val="22"/>
              </w:rPr>
              <w:t>$30,622,607</w:t>
            </w:r>
          </w:p>
        </w:tc>
      </w:tr>
      <w:tr w:rsidR="00027743" w:rsidRPr="00D351D9" w:rsidTr="009303D2">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027743" w:rsidRPr="00D351D9" w:rsidRDefault="00027743" w:rsidP="005A12AB">
            <w:pPr>
              <w:jc w:val="both"/>
              <w:rPr>
                <w:sz w:val="22"/>
                <w:szCs w:val="22"/>
              </w:rPr>
            </w:pPr>
            <w:r w:rsidRPr="00D351D9">
              <w:rPr>
                <w:sz w:val="22"/>
                <w:szCs w:val="22"/>
              </w:rPr>
              <w:t xml:space="preserve">TECO </w:t>
            </w:r>
          </w:p>
        </w:tc>
        <w:tc>
          <w:tcPr>
            <w:tcW w:w="1536" w:type="dxa"/>
            <w:tcBorders>
              <w:top w:val="single" w:sz="4" w:space="0" w:color="auto"/>
              <w:left w:val="single" w:sz="4" w:space="0" w:color="auto"/>
              <w:bottom w:val="single" w:sz="4" w:space="0" w:color="auto"/>
              <w:right w:val="single" w:sz="4" w:space="0" w:color="auto"/>
            </w:tcBorders>
            <w:noWrap/>
            <w:vAlign w:val="bottom"/>
          </w:tcPr>
          <w:p w:rsidR="00027743" w:rsidRPr="00D351D9" w:rsidRDefault="00027743" w:rsidP="005A12AB">
            <w:pPr>
              <w:jc w:val="both"/>
              <w:rPr>
                <w:sz w:val="22"/>
                <w:szCs w:val="22"/>
              </w:rPr>
            </w:pPr>
            <w:r w:rsidRPr="00D351D9">
              <w:rPr>
                <w:sz w:val="22"/>
                <w:szCs w:val="22"/>
              </w:rPr>
              <w:t>$47,493,250</w:t>
            </w:r>
          </w:p>
        </w:tc>
      </w:tr>
      <w:tr w:rsidR="00027743" w:rsidRPr="00D90DAE" w:rsidTr="009303D2">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027743" w:rsidRPr="00D351D9" w:rsidRDefault="00027743" w:rsidP="005A12AB">
            <w:pPr>
              <w:jc w:val="both"/>
              <w:rPr>
                <w:sz w:val="22"/>
                <w:szCs w:val="22"/>
              </w:rPr>
            </w:pPr>
            <w:r w:rsidRPr="00D351D9">
              <w:rPr>
                <w:sz w:val="22"/>
                <w:szCs w:val="22"/>
              </w:rPr>
              <w:t xml:space="preserve">Gulf </w:t>
            </w:r>
          </w:p>
        </w:tc>
        <w:tc>
          <w:tcPr>
            <w:tcW w:w="1536" w:type="dxa"/>
            <w:tcBorders>
              <w:top w:val="single" w:sz="4" w:space="0" w:color="auto"/>
              <w:left w:val="single" w:sz="4" w:space="0" w:color="auto"/>
              <w:bottom w:val="single" w:sz="4" w:space="0" w:color="auto"/>
              <w:right w:val="single" w:sz="4" w:space="0" w:color="auto"/>
            </w:tcBorders>
            <w:noWrap/>
            <w:vAlign w:val="bottom"/>
          </w:tcPr>
          <w:p w:rsidR="00027743" w:rsidRPr="00D351D9" w:rsidRDefault="00027743" w:rsidP="005A12AB">
            <w:pPr>
              <w:jc w:val="both"/>
              <w:rPr>
                <w:sz w:val="22"/>
                <w:szCs w:val="22"/>
              </w:rPr>
            </w:pPr>
            <w:r w:rsidRPr="00D351D9">
              <w:rPr>
                <w:sz w:val="22"/>
                <w:szCs w:val="22"/>
              </w:rPr>
              <w:t>$182,236,387</w:t>
            </w:r>
          </w:p>
        </w:tc>
      </w:tr>
    </w:tbl>
    <w:p w:rsidR="00027743" w:rsidRDefault="00027743" w:rsidP="001A66B9">
      <w:pPr>
        <w:spacing w:after="200"/>
        <w:jc w:val="both"/>
        <w:rPr>
          <w:rFonts w:eastAsia="Calibri"/>
          <w:b/>
          <w:bCs/>
          <w:u w:val="single"/>
        </w:rPr>
      </w:pPr>
    </w:p>
    <w:p w:rsidR="00027743" w:rsidRPr="00D90DAE" w:rsidRDefault="00B47111" w:rsidP="00B47111">
      <w:pPr>
        <w:tabs>
          <w:tab w:val="left" w:pos="720"/>
        </w:tabs>
        <w:spacing w:after="200"/>
        <w:ind w:left="1440" w:hanging="1440"/>
        <w:jc w:val="both"/>
        <w:rPr>
          <w:rFonts w:eastAsia="Calibri"/>
          <w:b/>
        </w:rPr>
      </w:pPr>
      <w:r>
        <w:rPr>
          <w:rFonts w:eastAsia="Calibri"/>
          <w:b/>
          <w:bCs/>
        </w:rPr>
        <w:tab/>
      </w:r>
      <w:r w:rsidR="00027743" w:rsidRPr="00B47111">
        <w:rPr>
          <w:rFonts w:eastAsia="Calibri"/>
          <w:b/>
          <w:bCs/>
        </w:rPr>
        <w:t>5</w:t>
      </w:r>
      <w:r>
        <w:rPr>
          <w:rFonts w:eastAsia="Calibri"/>
          <w:b/>
          <w:bCs/>
        </w:rPr>
        <w:t>.</w:t>
      </w:r>
      <w:r w:rsidR="00027743" w:rsidRPr="00D90DAE">
        <w:rPr>
          <w:rFonts w:eastAsia="Calibri"/>
          <w:b/>
        </w:rPr>
        <w:t xml:space="preserve"> </w:t>
      </w:r>
      <w:r w:rsidR="00027743">
        <w:rPr>
          <w:rFonts w:eastAsia="Calibri"/>
          <w:b/>
        </w:rPr>
        <w:tab/>
      </w:r>
      <w:r w:rsidR="00027743" w:rsidRPr="00C26029">
        <w:rPr>
          <w:rFonts w:eastAsia="Calibri"/>
          <w:b/>
        </w:rPr>
        <w:t>What depreciation rates should be used to develop the depreciation expense included in the total environmental cost recovery amounts for the period January 2020 through December 2020</w:t>
      </w:r>
      <w:r w:rsidR="00027743" w:rsidRPr="00D90DAE">
        <w:rPr>
          <w:rFonts w:eastAsia="Calibri"/>
          <w:b/>
        </w:rPr>
        <w:t>?</w:t>
      </w:r>
    </w:p>
    <w:p w:rsidR="00027743" w:rsidRDefault="00027743" w:rsidP="00B47111">
      <w:pPr>
        <w:spacing w:after="200"/>
        <w:ind w:left="1440"/>
        <w:jc w:val="both"/>
        <w:rPr>
          <w:rFonts w:eastAsia="Calibri"/>
        </w:rPr>
      </w:pPr>
      <w:r w:rsidRPr="00D90DAE">
        <w:rPr>
          <w:rFonts w:eastAsia="Calibri"/>
        </w:rPr>
        <w:t>The depreciation rates used to calculate depreciation expense sh</w:t>
      </w:r>
      <w:r>
        <w:rPr>
          <w:rFonts w:eastAsia="Calibri"/>
        </w:rPr>
        <w:t>all</w:t>
      </w:r>
      <w:r w:rsidRPr="00D90DAE">
        <w:rPr>
          <w:rFonts w:eastAsia="Calibri"/>
        </w:rPr>
        <w:t xml:space="preserve"> be the rates that are in effect during the period the allowed capital investment is in service, with the following exception:</w:t>
      </w:r>
      <w:r>
        <w:rPr>
          <w:rFonts w:eastAsia="Calibri"/>
        </w:rPr>
        <w:t xml:space="preserve"> </w:t>
      </w:r>
      <w:r w:rsidRPr="00BF6528">
        <w:rPr>
          <w:rFonts w:eastAsia="Calibri"/>
        </w:rPr>
        <w:t>TECO</w:t>
      </w:r>
      <w:r>
        <w:rPr>
          <w:rFonts w:eastAsia="Calibri"/>
        </w:rPr>
        <w:t xml:space="preserve"> -- </w:t>
      </w:r>
      <w:r w:rsidRPr="00D90DAE">
        <w:rPr>
          <w:rFonts w:eastAsia="Calibri"/>
        </w:rPr>
        <w:t>Big Bend Fuel Oil Tanks I &amp; 2, which were retired in 2016, will be depreciated over a five-year period from the date of retirement.</w:t>
      </w:r>
    </w:p>
    <w:p w:rsidR="00027743" w:rsidRDefault="00027743" w:rsidP="00027743">
      <w:pPr>
        <w:spacing w:line="276" w:lineRule="auto"/>
        <w:ind w:left="1440" w:hanging="1440"/>
        <w:jc w:val="both"/>
        <w:rPr>
          <w:rFonts w:eastAsia="Calibri"/>
          <w:b/>
          <w:bCs/>
          <w:u w:val="single"/>
        </w:rPr>
      </w:pPr>
    </w:p>
    <w:p w:rsidR="00027743" w:rsidRPr="00D90DAE" w:rsidRDefault="00B47111" w:rsidP="00B47111">
      <w:pPr>
        <w:tabs>
          <w:tab w:val="left" w:pos="720"/>
        </w:tabs>
        <w:spacing w:after="200"/>
        <w:ind w:left="1440" w:hanging="1440"/>
        <w:jc w:val="both"/>
        <w:rPr>
          <w:rFonts w:eastAsia="Calibri"/>
          <w:b/>
          <w:bCs/>
        </w:rPr>
      </w:pPr>
      <w:r>
        <w:rPr>
          <w:rFonts w:eastAsia="Calibri"/>
          <w:b/>
          <w:bCs/>
        </w:rPr>
        <w:tab/>
      </w:r>
      <w:r w:rsidR="00027743" w:rsidRPr="00B47111">
        <w:rPr>
          <w:rFonts w:eastAsia="Calibri"/>
          <w:b/>
          <w:bCs/>
        </w:rPr>
        <w:t>6</w:t>
      </w:r>
      <w:r>
        <w:rPr>
          <w:rFonts w:eastAsia="Calibri"/>
          <w:b/>
          <w:bCs/>
        </w:rPr>
        <w:t>.</w:t>
      </w:r>
      <w:r w:rsidR="00027743" w:rsidRPr="00D90DAE">
        <w:rPr>
          <w:rFonts w:eastAsia="Calibri"/>
          <w:b/>
          <w:bCs/>
        </w:rPr>
        <w:t xml:space="preserve"> </w:t>
      </w:r>
      <w:r w:rsidR="00027743">
        <w:rPr>
          <w:rFonts w:eastAsia="Calibri"/>
          <w:b/>
          <w:bCs/>
        </w:rPr>
        <w:tab/>
      </w:r>
      <w:r w:rsidR="00027743" w:rsidRPr="00C26029">
        <w:rPr>
          <w:rFonts w:eastAsia="Calibri"/>
          <w:b/>
          <w:bCs/>
        </w:rPr>
        <w:t>What are the appropriate jurisdictional separation factors for the projected period January 2020 through December 2020</w:t>
      </w:r>
      <w:r w:rsidR="00027743" w:rsidRPr="00D90DAE">
        <w:rPr>
          <w:rFonts w:eastAsia="Calibri"/>
          <w:b/>
          <w:bCs/>
        </w:rPr>
        <w:t>?</w:t>
      </w:r>
    </w:p>
    <w:p w:rsidR="00027743" w:rsidRDefault="00027743" w:rsidP="00027743">
      <w:pPr>
        <w:spacing w:after="200" w:line="276" w:lineRule="auto"/>
        <w:ind w:left="1440"/>
        <w:jc w:val="both"/>
        <w:rPr>
          <w:rFonts w:eastAsia="Calibri"/>
        </w:rPr>
      </w:pPr>
      <w:r w:rsidRPr="00D90DAE">
        <w:rPr>
          <w:rFonts w:eastAsia="Calibri"/>
        </w:rPr>
        <w:t>The appropriate jurisdictional separation factors for the period January 20</w:t>
      </w:r>
      <w:r>
        <w:rPr>
          <w:rFonts w:eastAsia="Calibri"/>
        </w:rPr>
        <w:t>20</w:t>
      </w:r>
      <w:r w:rsidRPr="00D90DAE">
        <w:rPr>
          <w:rFonts w:eastAsia="Calibri"/>
        </w:rPr>
        <w:t xml:space="preserve"> through December 20</w:t>
      </w:r>
      <w:r>
        <w:rPr>
          <w:rFonts w:eastAsia="Calibri"/>
        </w:rPr>
        <w:t>20</w:t>
      </w:r>
      <w:r w:rsidRPr="00D90DAE">
        <w:rPr>
          <w:rFonts w:eastAsia="Calibri"/>
        </w:rPr>
        <w:t xml:space="preserve"> are as follows:</w:t>
      </w:r>
    </w:p>
    <w:p w:rsidR="007C79E3" w:rsidRDefault="007C79E3" w:rsidP="00B47111">
      <w:pPr>
        <w:spacing w:line="276" w:lineRule="auto"/>
        <w:jc w:val="center"/>
        <w:rPr>
          <w:rFonts w:eastAsia="Calibri"/>
          <w:b/>
          <w:bCs/>
        </w:rPr>
      </w:pPr>
    </w:p>
    <w:p w:rsidR="00B47111" w:rsidRDefault="00027743" w:rsidP="00B47111">
      <w:pPr>
        <w:spacing w:line="276" w:lineRule="auto"/>
        <w:jc w:val="center"/>
        <w:rPr>
          <w:rFonts w:eastAsia="Calibri"/>
          <w:b/>
          <w:bCs/>
        </w:rPr>
      </w:pPr>
      <w:r w:rsidRPr="00D90DAE">
        <w:rPr>
          <w:rFonts w:eastAsia="Calibri"/>
          <w:b/>
          <w:bCs/>
        </w:rPr>
        <w:lastRenderedPageBreak/>
        <w:t>FPL</w:t>
      </w:r>
    </w:p>
    <w:p w:rsidR="00027743" w:rsidRDefault="00B47111" w:rsidP="00027743">
      <w:pPr>
        <w:spacing w:line="276" w:lineRule="auto"/>
        <w:jc w:val="both"/>
        <w:rPr>
          <w:rFonts w:eastAsia="Calibri"/>
        </w:rPr>
      </w:pPr>
      <w:r>
        <w:rPr>
          <w:rFonts w:eastAsia="Calibri"/>
        </w:rPr>
        <w:tab/>
      </w:r>
      <w:r>
        <w:rPr>
          <w:rFonts w:eastAsia="Calibri"/>
        </w:rPr>
        <w:tab/>
      </w:r>
      <w:r w:rsidR="00027743" w:rsidRPr="004A4383">
        <w:rPr>
          <w:rFonts w:eastAsia="Calibri"/>
        </w:rPr>
        <w:t>Retail Energy Jurisdiction</w:t>
      </w:r>
      <w:r w:rsidR="00027743">
        <w:rPr>
          <w:rFonts w:eastAsia="Calibri"/>
        </w:rPr>
        <w:t>al Factor - Base/Solar 95.8799%</w:t>
      </w:r>
    </w:p>
    <w:p w:rsidR="00027743" w:rsidRPr="004A4383" w:rsidRDefault="00027743" w:rsidP="00027743">
      <w:pPr>
        <w:spacing w:line="276" w:lineRule="auto"/>
        <w:ind w:left="1440"/>
        <w:jc w:val="both"/>
        <w:rPr>
          <w:rFonts w:eastAsia="Calibri"/>
        </w:rPr>
      </w:pPr>
      <w:r w:rsidRPr="004A4383">
        <w:rPr>
          <w:rFonts w:eastAsia="Calibri"/>
        </w:rPr>
        <w:t>Retail Energy Jurisdictional Factor - Intermediate 94.2430%</w:t>
      </w:r>
    </w:p>
    <w:p w:rsidR="00027743" w:rsidRPr="004A4383" w:rsidRDefault="00027743" w:rsidP="00027743">
      <w:pPr>
        <w:spacing w:line="276" w:lineRule="auto"/>
        <w:ind w:left="1440"/>
        <w:jc w:val="both"/>
        <w:rPr>
          <w:rFonts w:eastAsia="Calibri"/>
        </w:rPr>
      </w:pPr>
      <w:r w:rsidRPr="004A4383">
        <w:rPr>
          <w:rFonts w:eastAsia="Calibri"/>
        </w:rPr>
        <w:t>Retail Energy Jurisdictional Factor - Peaking 95.1325%</w:t>
      </w:r>
    </w:p>
    <w:p w:rsidR="00027743" w:rsidRPr="004A4383" w:rsidRDefault="00027743" w:rsidP="00027743">
      <w:pPr>
        <w:spacing w:line="276" w:lineRule="auto"/>
        <w:ind w:left="1440"/>
        <w:jc w:val="both"/>
        <w:rPr>
          <w:rFonts w:eastAsia="Calibri"/>
        </w:rPr>
      </w:pPr>
      <w:r w:rsidRPr="004A4383">
        <w:rPr>
          <w:rFonts w:eastAsia="Calibri"/>
        </w:rPr>
        <w:t>Retail Demand Jurisdictional Factor - Transmission 89.9387%</w:t>
      </w:r>
    </w:p>
    <w:p w:rsidR="00027743" w:rsidRPr="004A4383" w:rsidRDefault="00027743" w:rsidP="00027743">
      <w:pPr>
        <w:spacing w:line="276" w:lineRule="auto"/>
        <w:ind w:left="1440"/>
        <w:jc w:val="both"/>
        <w:rPr>
          <w:rFonts w:eastAsia="Calibri"/>
        </w:rPr>
      </w:pPr>
      <w:r w:rsidRPr="004A4383">
        <w:rPr>
          <w:rFonts w:eastAsia="Calibri"/>
        </w:rPr>
        <w:t>Retail Demand Jurisdictional Factor - Base/Solar 95.7922%</w:t>
      </w:r>
    </w:p>
    <w:p w:rsidR="00027743" w:rsidRPr="004A4383" w:rsidRDefault="00027743" w:rsidP="00027743">
      <w:pPr>
        <w:spacing w:line="276" w:lineRule="auto"/>
        <w:ind w:left="1440"/>
        <w:jc w:val="both"/>
        <w:rPr>
          <w:rFonts w:eastAsia="Calibri"/>
        </w:rPr>
      </w:pPr>
      <w:r w:rsidRPr="004A4383">
        <w:rPr>
          <w:rFonts w:eastAsia="Calibri"/>
        </w:rPr>
        <w:t>Retail Demand Jurisdictional Factor - Intermediate 94.1569%</w:t>
      </w:r>
    </w:p>
    <w:p w:rsidR="00027743" w:rsidRPr="004A4383" w:rsidRDefault="00027743" w:rsidP="00027743">
      <w:pPr>
        <w:spacing w:line="276" w:lineRule="auto"/>
        <w:ind w:left="1440"/>
        <w:jc w:val="both"/>
        <w:rPr>
          <w:rFonts w:eastAsia="Calibri"/>
        </w:rPr>
      </w:pPr>
      <w:r w:rsidRPr="004A4383">
        <w:rPr>
          <w:rFonts w:eastAsia="Calibri"/>
        </w:rPr>
        <w:t>Retail Demand Jurisdictional Factor - Peaking 95.0455%</w:t>
      </w:r>
    </w:p>
    <w:p w:rsidR="00027743" w:rsidRPr="004A4383" w:rsidRDefault="00027743" w:rsidP="00027743">
      <w:pPr>
        <w:spacing w:line="276" w:lineRule="auto"/>
        <w:ind w:left="1440"/>
        <w:jc w:val="both"/>
        <w:rPr>
          <w:rFonts w:eastAsia="Calibri"/>
        </w:rPr>
      </w:pPr>
      <w:r w:rsidRPr="004A4383">
        <w:rPr>
          <w:rFonts w:eastAsia="Calibri"/>
        </w:rPr>
        <w:t>Retail Demand Jurisdictional Factor - General Plant 96.9124%</w:t>
      </w:r>
    </w:p>
    <w:p w:rsidR="00027743" w:rsidRPr="008726B2" w:rsidRDefault="00027743" w:rsidP="00027743">
      <w:pPr>
        <w:spacing w:after="200" w:line="276" w:lineRule="auto"/>
        <w:ind w:left="1440"/>
        <w:jc w:val="both"/>
        <w:rPr>
          <w:rFonts w:eastAsia="Calibri"/>
          <w:b/>
          <w:bCs/>
        </w:rPr>
      </w:pPr>
      <w:r w:rsidRPr="004A4383">
        <w:rPr>
          <w:rFonts w:eastAsia="Calibri"/>
        </w:rPr>
        <w:t>Retail Demand Jurisdictional Factor - Distribution 100.0000%</w:t>
      </w:r>
      <w:r>
        <w:rPr>
          <w:rFonts w:eastAsia="Calibri"/>
          <w:b/>
          <w:bCs/>
        </w:rPr>
        <w:tab/>
      </w:r>
      <w:r>
        <w:rPr>
          <w:rFonts w:eastAsia="Calibri"/>
          <w:b/>
          <w:bCs/>
        </w:rPr>
        <w:tab/>
      </w:r>
    </w:p>
    <w:p w:rsidR="00B47111" w:rsidRDefault="00027743" w:rsidP="00B47111">
      <w:pPr>
        <w:ind w:left="1440" w:hanging="1440"/>
        <w:jc w:val="center"/>
        <w:rPr>
          <w:rFonts w:eastAsia="Calibri"/>
          <w:b/>
          <w:bCs/>
        </w:rPr>
      </w:pPr>
      <w:r w:rsidRPr="00D90DAE">
        <w:rPr>
          <w:rFonts w:eastAsia="Calibri"/>
          <w:b/>
          <w:bCs/>
        </w:rPr>
        <w:t>DEF</w:t>
      </w:r>
    </w:p>
    <w:p w:rsidR="00027743" w:rsidRDefault="00B47111" w:rsidP="00027743">
      <w:pPr>
        <w:ind w:left="1440" w:hanging="1440"/>
        <w:jc w:val="both"/>
        <w:rPr>
          <w:rFonts w:eastAsia="Calibri"/>
        </w:rPr>
      </w:pPr>
      <w:r>
        <w:rPr>
          <w:rFonts w:eastAsia="Calibri"/>
        </w:rPr>
        <w:tab/>
      </w:r>
      <w:r w:rsidR="00027743" w:rsidRPr="004A4383">
        <w:rPr>
          <w:rFonts w:eastAsia="Calibri"/>
        </w:rPr>
        <w:t xml:space="preserve">The Energy separation factor is calculated for each month based on retail kWh sales as a percentage of projected total kWh sales. The remaining separation factors are below and are consistent with DEF’s 2017 Second Revised and Restated Stipulation and Settlement Agreement (“2017 Agreement”) approved in Order No. </w:t>
      </w:r>
      <w:proofErr w:type="gramStart"/>
      <w:r w:rsidR="00027743" w:rsidRPr="004A4383">
        <w:rPr>
          <w:rFonts w:eastAsia="Calibri"/>
        </w:rPr>
        <w:t>PSC-2017-0451-AS-EU.</w:t>
      </w:r>
      <w:proofErr w:type="gramEnd"/>
    </w:p>
    <w:p w:rsidR="00027743" w:rsidRPr="004A4383" w:rsidRDefault="00027743" w:rsidP="00027743">
      <w:pPr>
        <w:ind w:left="1440" w:hanging="1440"/>
        <w:jc w:val="both"/>
        <w:rPr>
          <w:rFonts w:eastAsia="Calibri"/>
        </w:rPr>
      </w:pPr>
    </w:p>
    <w:p w:rsidR="00027743" w:rsidRPr="004A4383" w:rsidRDefault="00027743" w:rsidP="00027743">
      <w:pPr>
        <w:ind w:left="2880" w:hanging="1440"/>
        <w:jc w:val="both"/>
        <w:rPr>
          <w:rFonts w:eastAsia="Calibri"/>
        </w:rPr>
      </w:pPr>
      <w:r w:rsidRPr="004A4383">
        <w:rPr>
          <w:rFonts w:eastAsia="Calibri"/>
        </w:rPr>
        <w:t>Transmission Average 12 CP Demand – 70.203%</w:t>
      </w:r>
    </w:p>
    <w:p w:rsidR="00027743" w:rsidRDefault="00027743" w:rsidP="00027743">
      <w:pPr>
        <w:ind w:left="2880" w:hanging="1440"/>
        <w:jc w:val="both"/>
        <w:rPr>
          <w:rFonts w:eastAsia="Calibri"/>
        </w:rPr>
      </w:pPr>
      <w:r w:rsidRPr="004A4383">
        <w:rPr>
          <w:rFonts w:eastAsia="Calibri"/>
        </w:rPr>
        <w:t>Distribution Primary Demand – 99.561%</w:t>
      </w:r>
    </w:p>
    <w:p w:rsidR="00027743" w:rsidRPr="004A4383" w:rsidRDefault="00027743" w:rsidP="00027743">
      <w:pPr>
        <w:ind w:left="2880" w:hanging="1440"/>
        <w:jc w:val="both"/>
        <w:rPr>
          <w:rFonts w:eastAsia="Calibri"/>
        </w:rPr>
      </w:pPr>
    </w:p>
    <w:p w:rsidR="00027743" w:rsidRPr="004A4383" w:rsidRDefault="00027743" w:rsidP="00027743">
      <w:pPr>
        <w:ind w:left="2880" w:hanging="1440"/>
        <w:jc w:val="both"/>
        <w:rPr>
          <w:rFonts w:eastAsia="Calibri"/>
        </w:rPr>
      </w:pPr>
      <w:r w:rsidRPr="004A4383">
        <w:rPr>
          <w:rFonts w:eastAsia="Calibri"/>
        </w:rPr>
        <w:t>Production Demand:</w:t>
      </w:r>
    </w:p>
    <w:p w:rsidR="00027743" w:rsidRPr="004A4383" w:rsidRDefault="00027743" w:rsidP="00027743">
      <w:pPr>
        <w:ind w:left="2880" w:hanging="1440"/>
        <w:jc w:val="both"/>
        <w:rPr>
          <w:rFonts w:eastAsia="Calibri"/>
        </w:rPr>
      </w:pPr>
      <w:r w:rsidRPr="004A4383">
        <w:rPr>
          <w:rFonts w:eastAsia="Calibri"/>
        </w:rPr>
        <w:t>Production Base – 92.885%</w:t>
      </w:r>
    </w:p>
    <w:p w:rsidR="00027743" w:rsidRPr="004A4383" w:rsidRDefault="00027743" w:rsidP="00027743">
      <w:pPr>
        <w:ind w:left="2880" w:hanging="1440"/>
        <w:jc w:val="both"/>
        <w:rPr>
          <w:rFonts w:eastAsia="Calibri"/>
        </w:rPr>
      </w:pPr>
      <w:r w:rsidRPr="004A4383">
        <w:rPr>
          <w:rFonts w:eastAsia="Calibri"/>
        </w:rPr>
        <w:t>Production Intermediate – 72.703%</w:t>
      </w:r>
    </w:p>
    <w:p w:rsidR="00027743" w:rsidRPr="004A4383" w:rsidRDefault="00027743" w:rsidP="00027743">
      <w:pPr>
        <w:ind w:left="2880" w:hanging="1440"/>
        <w:jc w:val="both"/>
        <w:rPr>
          <w:rFonts w:eastAsia="Calibri"/>
        </w:rPr>
      </w:pPr>
      <w:r w:rsidRPr="004A4383">
        <w:rPr>
          <w:rFonts w:eastAsia="Calibri"/>
        </w:rPr>
        <w:t>Production Peaking – 95.924%</w:t>
      </w:r>
    </w:p>
    <w:p w:rsidR="00027743" w:rsidRDefault="00027743" w:rsidP="00027743">
      <w:pPr>
        <w:ind w:left="2880" w:hanging="1440"/>
        <w:jc w:val="both"/>
        <w:rPr>
          <w:rFonts w:eastAsia="Calibri"/>
          <w:bCs/>
        </w:rPr>
      </w:pPr>
      <w:r w:rsidRPr="004A4383">
        <w:rPr>
          <w:rFonts w:eastAsia="Calibri"/>
        </w:rPr>
        <w:t>Production A&amp;G – 93.221%</w:t>
      </w:r>
    </w:p>
    <w:p w:rsidR="00027743" w:rsidRPr="00135BDA" w:rsidRDefault="00027743" w:rsidP="00027743">
      <w:pPr>
        <w:ind w:left="1440"/>
        <w:jc w:val="both"/>
        <w:rPr>
          <w:rFonts w:eastAsia="Calibri"/>
          <w:bCs/>
        </w:rPr>
      </w:pPr>
    </w:p>
    <w:p w:rsidR="00B47111" w:rsidRDefault="00027743" w:rsidP="00B47111">
      <w:pPr>
        <w:jc w:val="center"/>
        <w:rPr>
          <w:rFonts w:eastAsia="Calibri"/>
          <w:b/>
          <w:bCs/>
        </w:rPr>
      </w:pPr>
      <w:r w:rsidRPr="00D90DAE">
        <w:rPr>
          <w:rFonts w:eastAsia="Calibri"/>
          <w:b/>
          <w:bCs/>
        </w:rPr>
        <w:t>TECO</w:t>
      </w:r>
    </w:p>
    <w:p w:rsidR="00027743" w:rsidRPr="008726B2" w:rsidRDefault="00B47111" w:rsidP="00027743">
      <w:pPr>
        <w:jc w:val="both"/>
        <w:rPr>
          <w:rFonts w:eastAsia="Calibri"/>
          <w:b/>
          <w:bCs/>
        </w:rPr>
      </w:pPr>
      <w:r>
        <w:rPr>
          <w:rFonts w:eastAsia="Calibri"/>
        </w:rPr>
        <w:tab/>
      </w:r>
      <w:r>
        <w:rPr>
          <w:rFonts w:eastAsia="Calibri"/>
        </w:rPr>
        <w:tab/>
      </w:r>
      <w:r w:rsidR="00027743" w:rsidRPr="00D90DAE">
        <w:rPr>
          <w:rFonts w:eastAsia="Calibri"/>
        </w:rPr>
        <w:t>Energy: 100.00%</w:t>
      </w:r>
    </w:p>
    <w:p w:rsidR="00027743" w:rsidRPr="00D90DAE" w:rsidRDefault="00027743" w:rsidP="00027743">
      <w:pPr>
        <w:ind w:left="1440"/>
        <w:jc w:val="both"/>
        <w:rPr>
          <w:rFonts w:eastAsia="Calibri"/>
        </w:rPr>
      </w:pPr>
      <w:r w:rsidRPr="00D90DAE">
        <w:rPr>
          <w:rFonts w:eastAsia="Calibri"/>
        </w:rPr>
        <w:t>Demand: 100.00%</w:t>
      </w:r>
    </w:p>
    <w:p w:rsidR="00027743" w:rsidRPr="00D90DAE" w:rsidRDefault="00027743" w:rsidP="00027743">
      <w:pPr>
        <w:ind w:left="720"/>
        <w:jc w:val="both"/>
        <w:rPr>
          <w:rFonts w:eastAsia="Calibri"/>
          <w:b/>
          <w:bCs/>
        </w:rPr>
      </w:pPr>
    </w:p>
    <w:p w:rsidR="00B47111" w:rsidRDefault="000D3A5F" w:rsidP="00B47111">
      <w:pPr>
        <w:ind w:left="1440" w:hanging="1440"/>
        <w:jc w:val="center"/>
        <w:rPr>
          <w:rFonts w:eastAsia="Calibri"/>
          <w:b/>
          <w:bCs/>
        </w:rPr>
      </w:pPr>
      <w:r>
        <w:rPr>
          <w:rFonts w:eastAsia="Calibri"/>
          <w:b/>
          <w:bCs/>
        </w:rPr>
        <w:t>Gulf</w:t>
      </w:r>
    </w:p>
    <w:p w:rsidR="00027743" w:rsidRPr="004A4383" w:rsidRDefault="00B47111" w:rsidP="00027743">
      <w:pPr>
        <w:ind w:left="1440" w:hanging="1440"/>
        <w:jc w:val="both"/>
        <w:rPr>
          <w:rFonts w:eastAsia="Calibri"/>
          <w:bCs/>
        </w:rPr>
      </w:pPr>
      <w:r>
        <w:rPr>
          <w:rFonts w:eastAsia="Calibri"/>
          <w:bCs/>
        </w:rPr>
        <w:tab/>
      </w:r>
      <w:r w:rsidR="00027743" w:rsidRPr="004A4383">
        <w:rPr>
          <w:rFonts w:eastAsia="Calibri"/>
          <w:bCs/>
        </w:rPr>
        <w:t>The demand jurisdictional separat</w:t>
      </w:r>
      <w:r w:rsidR="00027743">
        <w:rPr>
          <w:rFonts w:eastAsia="Calibri"/>
          <w:bCs/>
        </w:rPr>
        <w:t xml:space="preserve">ion factor is 97.23427%. Energy </w:t>
      </w:r>
      <w:r w:rsidR="00027743" w:rsidRPr="004A4383">
        <w:rPr>
          <w:rFonts w:eastAsia="Calibri"/>
          <w:bCs/>
        </w:rPr>
        <w:t>jurisdictional separation factors are calculated each month based on projected</w:t>
      </w:r>
      <w:r w:rsidR="00027743">
        <w:rPr>
          <w:rFonts w:eastAsia="Calibri"/>
          <w:bCs/>
        </w:rPr>
        <w:t xml:space="preserve"> </w:t>
      </w:r>
      <w:r w:rsidR="00027743" w:rsidRPr="004A4383">
        <w:rPr>
          <w:rFonts w:eastAsia="Calibri"/>
          <w:bCs/>
        </w:rPr>
        <w:t>retail kWh sales as a percentage of projected total territorial kWh sales</w:t>
      </w:r>
      <w:r w:rsidR="00027743">
        <w:rPr>
          <w:rFonts w:eastAsia="Calibri"/>
          <w:bCs/>
        </w:rPr>
        <w:t>.</w:t>
      </w:r>
    </w:p>
    <w:p w:rsidR="00027743" w:rsidRPr="00D90DAE" w:rsidRDefault="00027743" w:rsidP="00027743">
      <w:pPr>
        <w:spacing w:after="240"/>
        <w:ind w:left="1440" w:hanging="1440"/>
        <w:jc w:val="both"/>
        <w:rPr>
          <w:rFonts w:eastAsia="Calibri"/>
          <w:b/>
          <w:bCs/>
        </w:rPr>
      </w:pPr>
    </w:p>
    <w:p w:rsidR="00027743" w:rsidRPr="00D90DAE" w:rsidRDefault="00B47111" w:rsidP="00B47111">
      <w:pPr>
        <w:tabs>
          <w:tab w:val="left" w:pos="720"/>
        </w:tabs>
        <w:spacing w:after="200"/>
        <w:ind w:left="1440" w:hanging="1440"/>
        <w:jc w:val="both"/>
        <w:rPr>
          <w:rFonts w:eastAsia="Calibri"/>
          <w:b/>
        </w:rPr>
      </w:pPr>
      <w:r>
        <w:rPr>
          <w:rFonts w:eastAsia="Calibri"/>
          <w:b/>
        </w:rPr>
        <w:tab/>
      </w:r>
      <w:r w:rsidR="00027743" w:rsidRPr="00D90DAE">
        <w:rPr>
          <w:rFonts w:eastAsia="Calibri"/>
          <w:b/>
        </w:rPr>
        <w:t>7</w:t>
      </w:r>
      <w:r>
        <w:rPr>
          <w:rFonts w:eastAsia="Calibri"/>
          <w:b/>
        </w:rPr>
        <w:t>.</w:t>
      </w:r>
      <w:r w:rsidR="00027743">
        <w:rPr>
          <w:rFonts w:eastAsia="Calibri"/>
          <w:b/>
        </w:rPr>
        <w:tab/>
      </w:r>
      <w:r w:rsidR="00027743" w:rsidRPr="00C26029">
        <w:rPr>
          <w:rFonts w:eastAsia="Calibri"/>
          <w:b/>
        </w:rPr>
        <w:t>What are the appropriate environmental cost recovery factors for the period January 2020 through December 2020 for each rate group</w:t>
      </w:r>
      <w:r w:rsidR="00027743" w:rsidRPr="00D90DAE">
        <w:rPr>
          <w:rFonts w:eastAsia="Calibri"/>
          <w:b/>
        </w:rPr>
        <w:t>?</w:t>
      </w:r>
    </w:p>
    <w:p w:rsidR="00027743" w:rsidRDefault="00027743" w:rsidP="00027743">
      <w:pPr>
        <w:ind w:left="1440"/>
        <w:jc w:val="both"/>
        <w:rPr>
          <w:rFonts w:eastAsia="Calibri"/>
          <w:bCs/>
        </w:rPr>
      </w:pPr>
      <w:r w:rsidRPr="00D90DAE">
        <w:rPr>
          <w:rFonts w:eastAsia="Calibri"/>
          <w:bCs/>
        </w:rPr>
        <w:t xml:space="preserve">The appropriate environmental cost recovery factors for the period January </w:t>
      </w:r>
      <w:r>
        <w:rPr>
          <w:rFonts w:eastAsia="Calibri"/>
          <w:bCs/>
        </w:rPr>
        <w:t>2020</w:t>
      </w:r>
      <w:r w:rsidRPr="00D90DAE">
        <w:rPr>
          <w:rFonts w:eastAsia="Calibri"/>
          <w:bCs/>
        </w:rPr>
        <w:t xml:space="preserve"> through December </w:t>
      </w:r>
      <w:r>
        <w:rPr>
          <w:rFonts w:eastAsia="Calibri"/>
          <w:bCs/>
        </w:rPr>
        <w:t>2020</w:t>
      </w:r>
      <w:r w:rsidRPr="00D90DAE">
        <w:rPr>
          <w:rFonts w:eastAsia="Calibri"/>
          <w:bCs/>
        </w:rPr>
        <w:t xml:space="preserve"> for each rate group are as follows:</w:t>
      </w:r>
    </w:p>
    <w:p w:rsidR="00027743" w:rsidRPr="00D90DAE" w:rsidRDefault="00027743" w:rsidP="00027743">
      <w:pPr>
        <w:ind w:left="1440"/>
        <w:jc w:val="both"/>
        <w:rPr>
          <w:rFonts w:eastAsia="Calibri"/>
          <w:bCs/>
        </w:rPr>
      </w:pPr>
    </w:p>
    <w:p w:rsidR="007C79E3" w:rsidRDefault="007C79E3" w:rsidP="00B47111">
      <w:pPr>
        <w:spacing w:after="200" w:line="276" w:lineRule="auto"/>
        <w:jc w:val="center"/>
        <w:rPr>
          <w:rFonts w:eastAsia="Calibri"/>
          <w:b/>
          <w:bCs/>
        </w:rPr>
      </w:pPr>
    </w:p>
    <w:p w:rsidR="00027743" w:rsidRDefault="00027743" w:rsidP="00B47111">
      <w:pPr>
        <w:spacing w:after="200" w:line="276" w:lineRule="auto"/>
        <w:jc w:val="center"/>
        <w:rPr>
          <w:rFonts w:eastAsia="Calibri"/>
        </w:rPr>
      </w:pPr>
      <w:r w:rsidRPr="00D90DAE">
        <w:rPr>
          <w:rFonts w:eastAsia="Calibri"/>
          <w:b/>
          <w:bCs/>
        </w:rPr>
        <w:lastRenderedPageBreak/>
        <w:t>FPL</w:t>
      </w:r>
    </w:p>
    <w:tbl>
      <w:tblPr>
        <w:tblW w:w="6357" w:type="dxa"/>
        <w:jc w:val="center"/>
        <w:tblLook w:val="04A0" w:firstRow="1" w:lastRow="0" w:firstColumn="1" w:lastColumn="0" w:noHBand="0" w:noVBand="1"/>
      </w:tblPr>
      <w:tblGrid>
        <w:gridCol w:w="3937"/>
        <w:gridCol w:w="2420"/>
      </w:tblGrid>
      <w:tr w:rsidR="00027743" w:rsidRPr="00D033EB" w:rsidTr="001A66B9">
        <w:trPr>
          <w:trHeight w:val="915"/>
          <w:tblHeader/>
          <w:jc w:val="center"/>
        </w:trPr>
        <w:tc>
          <w:tcPr>
            <w:tcW w:w="3937"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027743" w:rsidRPr="00D033EB" w:rsidRDefault="00027743" w:rsidP="005A12AB">
            <w:pPr>
              <w:jc w:val="both"/>
              <w:rPr>
                <w:b/>
              </w:rPr>
            </w:pPr>
            <w:r w:rsidRPr="00D033EB">
              <w:rPr>
                <w:b/>
              </w:rPr>
              <w:t>Rate Class</w:t>
            </w:r>
          </w:p>
        </w:tc>
        <w:tc>
          <w:tcPr>
            <w:tcW w:w="242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027743" w:rsidRPr="00D033EB" w:rsidRDefault="00027743" w:rsidP="005A12AB">
            <w:pPr>
              <w:jc w:val="both"/>
              <w:rPr>
                <w:b/>
              </w:rPr>
            </w:pPr>
            <w:r w:rsidRPr="00D033EB">
              <w:rPr>
                <w:b/>
              </w:rPr>
              <w:t>Environmental Cost</w:t>
            </w:r>
          </w:p>
          <w:p w:rsidR="00027743" w:rsidRPr="00D033EB" w:rsidRDefault="00027743" w:rsidP="005A12AB">
            <w:pPr>
              <w:jc w:val="both"/>
              <w:rPr>
                <w:b/>
              </w:rPr>
            </w:pPr>
            <w:r>
              <w:rPr>
                <w:b/>
              </w:rPr>
              <w:t>Recovery Factor</w:t>
            </w:r>
          </w:p>
          <w:p w:rsidR="00027743" w:rsidRPr="00D033EB" w:rsidRDefault="00027743" w:rsidP="005A12AB">
            <w:pPr>
              <w:jc w:val="both"/>
              <w:rPr>
                <w:b/>
              </w:rPr>
            </w:pPr>
            <w:r w:rsidRPr="00D033EB">
              <w:rPr>
                <w:b/>
              </w:rPr>
              <w:t>(cents/kWh)</w:t>
            </w:r>
          </w:p>
        </w:tc>
      </w:tr>
      <w:tr w:rsidR="00027743" w:rsidRPr="00D033EB" w:rsidTr="001A66B9">
        <w:trPr>
          <w:trHeight w:val="285"/>
          <w:jc w:val="center"/>
        </w:trPr>
        <w:tc>
          <w:tcPr>
            <w:tcW w:w="3937" w:type="dxa"/>
            <w:tcBorders>
              <w:top w:val="nil"/>
              <w:left w:val="single" w:sz="8" w:space="0" w:color="auto"/>
              <w:bottom w:val="nil"/>
              <w:right w:val="nil"/>
            </w:tcBorders>
            <w:shd w:val="clear" w:color="auto" w:fill="auto"/>
            <w:noWrap/>
            <w:vAlign w:val="bottom"/>
            <w:hideMark/>
          </w:tcPr>
          <w:p w:rsidR="00027743" w:rsidRPr="00D033EB" w:rsidRDefault="00027743" w:rsidP="005A12AB">
            <w:pPr>
              <w:jc w:val="both"/>
            </w:pPr>
            <w:r w:rsidRPr="00D033EB">
              <w:t>RS1/RTR1</w:t>
            </w:r>
          </w:p>
        </w:tc>
        <w:tc>
          <w:tcPr>
            <w:tcW w:w="2420" w:type="dxa"/>
            <w:tcBorders>
              <w:top w:val="nil"/>
              <w:left w:val="single" w:sz="8" w:space="0" w:color="auto"/>
              <w:bottom w:val="nil"/>
              <w:right w:val="single" w:sz="8" w:space="0" w:color="auto"/>
            </w:tcBorders>
            <w:shd w:val="clear" w:color="auto" w:fill="auto"/>
            <w:noWrap/>
            <w:vAlign w:val="bottom"/>
          </w:tcPr>
          <w:p w:rsidR="00027743" w:rsidRPr="00D033EB" w:rsidRDefault="00027743" w:rsidP="005A12AB">
            <w:pPr>
              <w:jc w:val="both"/>
              <w:rPr>
                <w:color w:val="000000"/>
              </w:rPr>
            </w:pPr>
            <w:r w:rsidRPr="00E21E1D">
              <w:rPr>
                <w:color w:val="000000"/>
              </w:rPr>
              <w:t>0.155</w:t>
            </w:r>
          </w:p>
        </w:tc>
      </w:tr>
      <w:tr w:rsidR="00027743" w:rsidRPr="00D033EB" w:rsidTr="001A66B9">
        <w:trPr>
          <w:trHeight w:val="285"/>
          <w:jc w:val="center"/>
        </w:trPr>
        <w:tc>
          <w:tcPr>
            <w:tcW w:w="3937" w:type="dxa"/>
            <w:tcBorders>
              <w:top w:val="nil"/>
              <w:left w:val="single" w:sz="8" w:space="0" w:color="auto"/>
              <w:bottom w:val="nil"/>
              <w:right w:val="nil"/>
            </w:tcBorders>
            <w:shd w:val="clear" w:color="auto" w:fill="auto"/>
            <w:noWrap/>
            <w:vAlign w:val="bottom"/>
            <w:hideMark/>
          </w:tcPr>
          <w:p w:rsidR="00027743" w:rsidRPr="00D033EB" w:rsidRDefault="00027743" w:rsidP="005A12AB">
            <w:pPr>
              <w:jc w:val="both"/>
            </w:pPr>
            <w:r w:rsidRPr="00D033EB">
              <w:t>GS1/GST1</w:t>
            </w:r>
          </w:p>
        </w:tc>
        <w:tc>
          <w:tcPr>
            <w:tcW w:w="2420" w:type="dxa"/>
            <w:tcBorders>
              <w:top w:val="nil"/>
              <w:left w:val="single" w:sz="8" w:space="0" w:color="auto"/>
              <w:bottom w:val="nil"/>
              <w:right w:val="single" w:sz="8" w:space="0" w:color="auto"/>
            </w:tcBorders>
            <w:shd w:val="clear" w:color="auto" w:fill="auto"/>
            <w:noWrap/>
            <w:vAlign w:val="bottom"/>
          </w:tcPr>
          <w:p w:rsidR="00027743" w:rsidRPr="00D033EB" w:rsidRDefault="00027743" w:rsidP="005A12AB">
            <w:pPr>
              <w:jc w:val="both"/>
              <w:rPr>
                <w:color w:val="000000"/>
              </w:rPr>
            </w:pPr>
            <w:r w:rsidRPr="00E21E1D">
              <w:rPr>
                <w:color w:val="000000"/>
              </w:rPr>
              <w:t>0.152</w:t>
            </w:r>
          </w:p>
        </w:tc>
      </w:tr>
      <w:tr w:rsidR="00027743" w:rsidRPr="00D033EB" w:rsidTr="001A66B9">
        <w:trPr>
          <w:trHeight w:val="285"/>
          <w:jc w:val="center"/>
        </w:trPr>
        <w:tc>
          <w:tcPr>
            <w:tcW w:w="3937" w:type="dxa"/>
            <w:tcBorders>
              <w:top w:val="nil"/>
              <w:left w:val="single" w:sz="8" w:space="0" w:color="auto"/>
              <w:bottom w:val="nil"/>
              <w:right w:val="nil"/>
            </w:tcBorders>
            <w:shd w:val="clear" w:color="auto" w:fill="auto"/>
            <w:noWrap/>
            <w:vAlign w:val="bottom"/>
            <w:hideMark/>
          </w:tcPr>
          <w:p w:rsidR="00027743" w:rsidRPr="00D033EB" w:rsidRDefault="00027743" w:rsidP="005A12AB">
            <w:pPr>
              <w:jc w:val="both"/>
            </w:pPr>
            <w:r w:rsidRPr="00D033EB">
              <w:t>GSD1/GSDT1/HLFT1</w:t>
            </w:r>
          </w:p>
        </w:tc>
        <w:tc>
          <w:tcPr>
            <w:tcW w:w="2420" w:type="dxa"/>
            <w:tcBorders>
              <w:top w:val="nil"/>
              <w:left w:val="single" w:sz="8" w:space="0" w:color="auto"/>
              <w:bottom w:val="nil"/>
              <w:right w:val="single" w:sz="8" w:space="0" w:color="auto"/>
            </w:tcBorders>
            <w:shd w:val="clear" w:color="auto" w:fill="auto"/>
            <w:noWrap/>
            <w:vAlign w:val="bottom"/>
          </w:tcPr>
          <w:p w:rsidR="00027743" w:rsidRPr="00D033EB" w:rsidRDefault="00027743" w:rsidP="005A12AB">
            <w:pPr>
              <w:jc w:val="both"/>
              <w:rPr>
                <w:color w:val="000000"/>
              </w:rPr>
            </w:pPr>
            <w:r>
              <w:rPr>
                <w:color w:val="000000"/>
              </w:rPr>
              <w:t>0.139</w:t>
            </w:r>
          </w:p>
        </w:tc>
      </w:tr>
      <w:tr w:rsidR="00027743" w:rsidRPr="00D033EB" w:rsidTr="001A66B9">
        <w:trPr>
          <w:trHeight w:val="285"/>
          <w:jc w:val="center"/>
        </w:trPr>
        <w:tc>
          <w:tcPr>
            <w:tcW w:w="3937" w:type="dxa"/>
            <w:tcBorders>
              <w:top w:val="nil"/>
              <w:left w:val="single" w:sz="8" w:space="0" w:color="auto"/>
              <w:bottom w:val="nil"/>
              <w:right w:val="nil"/>
            </w:tcBorders>
            <w:shd w:val="clear" w:color="auto" w:fill="auto"/>
            <w:noWrap/>
            <w:vAlign w:val="bottom"/>
            <w:hideMark/>
          </w:tcPr>
          <w:p w:rsidR="00027743" w:rsidRPr="00D033EB" w:rsidRDefault="00027743" w:rsidP="005A12AB">
            <w:pPr>
              <w:jc w:val="both"/>
            </w:pPr>
            <w:r w:rsidRPr="00D033EB">
              <w:t>OS2</w:t>
            </w:r>
          </w:p>
        </w:tc>
        <w:tc>
          <w:tcPr>
            <w:tcW w:w="2420" w:type="dxa"/>
            <w:tcBorders>
              <w:top w:val="nil"/>
              <w:left w:val="single" w:sz="8" w:space="0" w:color="auto"/>
              <w:bottom w:val="nil"/>
              <w:right w:val="single" w:sz="8" w:space="0" w:color="auto"/>
            </w:tcBorders>
            <w:shd w:val="clear" w:color="auto" w:fill="auto"/>
            <w:noWrap/>
            <w:vAlign w:val="bottom"/>
          </w:tcPr>
          <w:p w:rsidR="00027743" w:rsidRPr="00D033EB" w:rsidRDefault="00027743" w:rsidP="005A12AB">
            <w:pPr>
              <w:jc w:val="both"/>
              <w:rPr>
                <w:color w:val="000000"/>
              </w:rPr>
            </w:pPr>
            <w:r>
              <w:rPr>
                <w:color w:val="000000"/>
              </w:rPr>
              <w:t>0.084</w:t>
            </w:r>
          </w:p>
        </w:tc>
      </w:tr>
      <w:tr w:rsidR="00027743" w:rsidRPr="00D033EB" w:rsidTr="001A66B9">
        <w:trPr>
          <w:trHeight w:val="285"/>
          <w:jc w:val="center"/>
        </w:trPr>
        <w:tc>
          <w:tcPr>
            <w:tcW w:w="3937" w:type="dxa"/>
            <w:tcBorders>
              <w:top w:val="nil"/>
              <w:left w:val="single" w:sz="8" w:space="0" w:color="auto"/>
              <w:bottom w:val="nil"/>
              <w:right w:val="nil"/>
            </w:tcBorders>
            <w:shd w:val="clear" w:color="auto" w:fill="auto"/>
            <w:noWrap/>
            <w:vAlign w:val="bottom"/>
            <w:hideMark/>
          </w:tcPr>
          <w:p w:rsidR="00027743" w:rsidRPr="00D033EB" w:rsidRDefault="00027743" w:rsidP="005A12AB">
            <w:pPr>
              <w:jc w:val="both"/>
            </w:pPr>
            <w:r w:rsidRPr="00D033EB">
              <w:t>GSLD1/GSLDT1/CS1/CST1/HLFT2</w:t>
            </w:r>
          </w:p>
        </w:tc>
        <w:tc>
          <w:tcPr>
            <w:tcW w:w="2420" w:type="dxa"/>
            <w:tcBorders>
              <w:top w:val="nil"/>
              <w:left w:val="single" w:sz="8" w:space="0" w:color="auto"/>
              <w:bottom w:val="nil"/>
              <w:right w:val="single" w:sz="8" w:space="0" w:color="auto"/>
            </w:tcBorders>
            <w:shd w:val="clear" w:color="auto" w:fill="auto"/>
            <w:noWrap/>
            <w:vAlign w:val="bottom"/>
          </w:tcPr>
          <w:p w:rsidR="00027743" w:rsidRPr="00D033EB" w:rsidRDefault="00027743" w:rsidP="005A12AB">
            <w:pPr>
              <w:jc w:val="both"/>
              <w:rPr>
                <w:color w:val="000000"/>
              </w:rPr>
            </w:pPr>
            <w:r w:rsidRPr="00E21E1D">
              <w:rPr>
                <w:color w:val="000000"/>
              </w:rPr>
              <w:t>0.138</w:t>
            </w:r>
          </w:p>
        </w:tc>
      </w:tr>
      <w:tr w:rsidR="00027743" w:rsidRPr="00D033EB" w:rsidTr="001A66B9">
        <w:trPr>
          <w:trHeight w:val="285"/>
          <w:jc w:val="center"/>
        </w:trPr>
        <w:tc>
          <w:tcPr>
            <w:tcW w:w="3937" w:type="dxa"/>
            <w:tcBorders>
              <w:top w:val="nil"/>
              <w:left w:val="single" w:sz="8" w:space="0" w:color="auto"/>
              <w:bottom w:val="nil"/>
              <w:right w:val="nil"/>
            </w:tcBorders>
            <w:shd w:val="clear" w:color="auto" w:fill="auto"/>
            <w:noWrap/>
            <w:vAlign w:val="bottom"/>
            <w:hideMark/>
          </w:tcPr>
          <w:p w:rsidR="00027743" w:rsidRPr="00D033EB" w:rsidRDefault="00027743" w:rsidP="005A12AB">
            <w:pPr>
              <w:jc w:val="both"/>
            </w:pPr>
            <w:r w:rsidRPr="00D033EB">
              <w:t>GSLD2/GSLDT2/CS2/CST2/HLFT3</w:t>
            </w:r>
          </w:p>
        </w:tc>
        <w:tc>
          <w:tcPr>
            <w:tcW w:w="2420" w:type="dxa"/>
            <w:tcBorders>
              <w:top w:val="nil"/>
              <w:left w:val="single" w:sz="8" w:space="0" w:color="auto"/>
              <w:bottom w:val="nil"/>
              <w:right w:val="single" w:sz="8" w:space="0" w:color="auto"/>
            </w:tcBorders>
            <w:shd w:val="clear" w:color="auto" w:fill="auto"/>
            <w:noWrap/>
            <w:vAlign w:val="bottom"/>
          </w:tcPr>
          <w:p w:rsidR="00027743" w:rsidRPr="00D033EB" w:rsidRDefault="00027743" w:rsidP="005A12AB">
            <w:pPr>
              <w:jc w:val="both"/>
              <w:rPr>
                <w:color w:val="000000"/>
              </w:rPr>
            </w:pPr>
            <w:r w:rsidRPr="00E21E1D">
              <w:rPr>
                <w:color w:val="000000"/>
              </w:rPr>
              <w:t>0.120</w:t>
            </w:r>
          </w:p>
        </w:tc>
      </w:tr>
      <w:tr w:rsidR="00027743" w:rsidRPr="00D033EB" w:rsidTr="001A66B9">
        <w:trPr>
          <w:trHeight w:val="285"/>
          <w:jc w:val="center"/>
        </w:trPr>
        <w:tc>
          <w:tcPr>
            <w:tcW w:w="3937" w:type="dxa"/>
            <w:tcBorders>
              <w:top w:val="nil"/>
              <w:left w:val="single" w:sz="8" w:space="0" w:color="auto"/>
              <w:bottom w:val="nil"/>
              <w:right w:val="nil"/>
            </w:tcBorders>
            <w:shd w:val="clear" w:color="auto" w:fill="auto"/>
            <w:noWrap/>
            <w:vAlign w:val="bottom"/>
            <w:hideMark/>
          </w:tcPr>
          <w:p w:rsidR="00027743" w:rsidRPr="00D033EB" w:rsidRDefault="00027743" w:rsidP="005A12AB">
            <w:pPr>
              <w:jc w:val="both"/>
            </w:pPr>
            <w:r w:rsidRPr="00D033EB">
              <w:t>GSLD3/GSLDT3/CS3/CST3</w:t>
            </w:r>
          </w:p>
        </w:tc>
        <w:tc>
          <w:tcPr>
            <w:tcW w:w="2420" w:type="dxa"/>
            <w:tcBorders>
              <w:top w:val="nil"/>
              <w:left w:val="single" w:sz="8" w:space="0" w:color="auto"/>
              <w:bottom w:val="nil"/>
              <w:right w:val="single" w:sz="8" w:space="0" w:color="auto"/>
            </w:tcBorders>
            <w:shd w:val="clear" w:color="auto" w:fill="auto"/>
            <w:noWrap/>
            <w:vAlign w:val="bottom"/>
          </w:tcPr>
          <w:p w:rsidR="00027743" w:rsidRPr="00D033EB" w:rsidRDefault="00027743" w:rsidP="005A12AB">
            <w:pPr>
              <w:jc w:val="both"/>
              <w:rPr>
                <w:color w:val="000000"/>
              </w:rPr>
            </w:pPr>
            <w:r w:rsidRPr="00E21E1D">
              <w:rPr>
                <w:color w:val="000000"/>
              </w:rPr>
              <w:t>0.121</w:t>
            </w:r>
          </w:p>
        </w:tc>
      </w:tr>
      <w:tr w:rsidR="00027743" w:rsidRPr="00D033EB" w:rsidTr="001A66B9">
        <w:trPr>
          <w:trHeight w:val="285"/>
          <w:jc w:val="center"/>
        </w:trPr>
        <w:tc>
          <w:tcPr>
            <w:tcW w:w="3937" w:type="dxa"/>
            <w:tcBorders>
              <w:top w:val="nil"/>
              <w:left w:val="single" w:sz="8" w:space="0" w:color="auto"/>
              <w:bottom w:val="nil"/>
              <w:right w:val="nil"/>
            </w:tcBorders>
            <w:shd w:val="clear" w:color="auto" w:fill="auto"/>
            <w:noWrap/>
            <w:vAlign w:val="bottom"/>
            <w:hideMark/>
          </w:tcPr>
          <w:p w:rsidR="00027743" w:rsidRPr="00D033EB" w:rsidRDefault="00027743" w:rsidP="005A12AB">
            <w:pPr>
              <w:jc w:val="both"/>
            </w:pPr>
            <w:r w:rsidRPr="00D033EB">
              <w:t>SST1T</w:t>
            </w:r>
          </w:p>
        </w:tc>
        <w:tc>
          <w:tcPr>
            <w:tcW w:w="2420" w:type="dxa"/>
            <w:tcBorders>
              <w:top w:val="nil"/>
              <w:left w:val="single" w:sz="8" w:space="0" w:color="auto"/>
              <w:bottom w:val="nil"/>
              <w:right w:val="single" w:sz="8" w:space="0" w:color="auto"/>
            </w:tcBorders>
            <w:shd w:val="clear" w:color="auto" w:fill="auto"/>
            <w:noWrap/>
            <w:vAlign w:val="bottom"/>
          </w:tcPr>
          <w:p w:rsidR="00027743" w:rsidRPr="00D033EB" w:rsidRDefault="00027743" w:rsidP="005A12AB">
            <w:pPr>
              <w:jc w:val="both"/>
              <w:rPr>
                <w:color w:val="000000"/>
              </w:rPr>
            </w:pPr>
            <w:r w:rsidRPr="00E21E1D">
              <w:rPr>
                <w:color w:val="000000"/>
              </w:rPr>
              <w:t>0.106</w:t>
            </w:r>
          </w:p>
        </w:tc>
      </w:tr>
      <w:tr w:rsidR="00027743" w:rsidRPr="00D033EB" w:rsidTr="001A66B9">
        <w:trPr>
          <w:trHeight w:val="285"/>
          <w:jc w:val="center"/>
        </w:trPr>
        <w:tc>
          <w:tcPr>
            <w:tcW w:w="3937" w:type="dxa"/>
            <w:tcBorders>
              <w:top w:val="nil"/>
              <w:left w:val="single" w:sz="8" w:space="0" w:color="auto"/>
              <w:bottom w:val="nil"/>
              <w:right w:val="nil"/>
            </w:tcBorders>
            <w:shd w:val="clear" w:color="auto" w:fill="auto"/>
            <w:noWrap/>
            <w:vAlign w:val="bottom"/>
            <w:hideMark/>
          </w:tcPr>
          <w:p w:rsidR="00027743" w:rsidRPr="00D033EB" w:rsidRDefault="00027743" w:rsidP="005A12AB">
            <w:pPr>
              <w:jc w:val="both"/>
            </w:pPr>
            <w:r w:rsidRPr="00D033EB">
              <w:t>SST1D1/SST1D2/SST1D3</w:t>
            </w:r>
          </w:p>
        </w:tc>
        <w:tc>
          <w:tcPr>
            <w:tcW w:w="2420" w:type="dxa"/>
            <w:tcBorders>
              <w:top w:val="nil"/>
              <w:left w:val="single" w:sz="8" w:space="0" w:color="auto"/>
              <w:bottom w:val="nil"/>
              <w:right w:val="single" w:sz="8" w:space="0" w:color="auto"/>
            </w:tcBorders>
            <w:shd w:val="clear" w:color="auto" w:fill="auto"/>
            <w:noWrap/>
            <w:vAlign w:val="bottom"/>
          </w:tcPr>
          <w:p w:rsidR="00027743" w:rsidRPr="00D033EB" w:rsidRDefault="00027743" w:rsidP="005A12AB">
            <w:pPr>
              <w:jc w:val="both"/>
              <w:rPr>
                <w:color w:val="000000"/>
              </w:rPr>
            </w:pPr>
            <w:r w:rsidRPr="00E21E1D">
              <w:rPr>
                <w:color w:val="000000"/>
              </w:rPr>
              <w:t>0.161</w:t>
            </w:r>
          </w:p>
        </w:tc>
      </w:tr>
      <w:tr w:rsidR="00027743" w:rsidRPr="00D033EB" w:rsidTr="001A66B9">
        <w:trPr>
          <w:trHeight w:val="285"/>
          <w:jc w:val="center"/>
        </w:trPr>
        <w:tc>
          <w:tcPr>
            <w:tcW w:w="3937" w:type="dxa"/>
            <w:tcBorders>
              <w:top w:val="nil"/>
              <w:left w:val="single" w:sz="8" w:space="0" w:color="auto"/>
              <w:bottom w:val="nil"/>
              <w:right w:val="nil"/>
            </w:tcBorders>
            <w:shd w:val="clear" w:color="auto" w:fill="auto"/>
            <w:noWrap/>
            <w:vAlign w:val="bottom"/>
            <w:hideMark/>
          </w:tcPr>
          <w:p w:rsidR="00027743" w:rsidRPr="00D033EB" w:rsidRDefault="00027743" w:rsidP="005A12AB">
            <w:pPr>
              <w:jc w:val="both"/>
            </w:pPr>
            <w:r w:rsidRPr="00D033EB">
              <w:t>CILC D/CILC G</w:t>
            </w:r>
          </w:p>
        </w:tc>
        <w:tc>
          <w:tcPr>
            <w:tcW w:w="2420" w:type="dxa"/>
            <w:tcBorders>
              <w:top w:val="nil"/>
              <w:left w:val="single" w:sz="8" w:space="0" w:color="auto"/>
              <w:bottom w:val="nil"/>
              <w:right w:val="single" w:sz="8" w:space="0" w:color="auto"/>
            </w:tcBorders>
            <w:shd w:val="clear" w:color="auto" w:fill="auto"/>
            <w:noWrap/>
            <w:vAlign w:val="bottom"/>
          </w:tcPr>
          <w:p w:rsidR="00027743" w:rsidRPr="00D033EB" w:rsidRDefault="00027743" w:rsidP="005A12AB">
            <w:pPr>
              <w:jc w:val="both"/>
              <w:rPr>
                <w:color w:val="000000"/>
              </w:rPr>
            </w:pPr>
            <w:r w:rsidRPr="00E21E1D">
              <w:rPr>
                <w:color w:val="000000"/>
              </w:rPr>
              <w:t>0.119</w:t>
            </w:r>
          </w:p>
        </w:tc>
      </w:tr>
      <w:tr w:rsidR="00027743" w:rsidRPr="00D033EB" w:rsidTr="001A66B9">
        <w:trPr>
          <w:trHeight w:val="285"/>
          <w:jc w:val="center"/>
        </w:trPr>
        <w:tc>
          <w:tcPr>
            <w:tcW w:w="3937" w:type="dxa"/>
            <w:tcBorders>
              <w:top w:val="nil"/>
              <w:left w:val="single" w:sz="8" w:space="0" w:color="auto"/>
              <w:bottom w:val="nil"/>
              <w:right w:val="nil"/>
            </w:tcBorders>
            <w:shd w:val="clear" w:color="auto" w:fill="auto"/>
            <w:noWrap/>
            <w:vAlign w:val="bottom"/>
            <w:hideMark/>
          </w:tcPr>
          <w:p w:rsidR="00027743" w:rsidRPr="00D033EB" w:rsidRDefault="00027743" w:rsidP="005A12AB">
            <w:pPr>
              <w:jc w:val="both"/>
            </w:pPr>
            <w:r w:rsidRPr="00D033EB">
              <w:t>CILC T</w:t>
            </w:r>
          </w:p>
        </w:tc>
        <w:tc>
          <w:tcPr>
            <w:tcW w:w="2420" w:type="dxa"/>
            <w:tcBorders>
              <w:top w:val="nil"/>
              <w:left w:val="single" w:sz="8" w:space="0" w:color="auto"/>
              <w:bottom w:val="nil"/>
              <w:right w:val="single" w:sz="8" w:space="0" w:color="auto"/>
            </w:tcBorders>
            <w:shd w:val="clear" w:color="auto" w:fill="auto"/>
            <w:noWrap/>
            <w:vAlign w:val="bottom"/>
          </w:tcPr>
          <w:p w:rsidR="00027743" w:rsidRPr="00D033EB" w:rsidRDefault="00027743" w:rsidP="005A12AB">
            <w:pPr>
              <w:jc w:val="both"/>
              <w:rPr>
                <w:color w:val="000000"/>
              </w:rPr>
            </w:pPr>
            <w:r w:rsidRPr="00E21E1D">
              <w:rPr>
                <w:color w:val="000000"/>
              </w:rPr>
              <w:t>0.110</w:t>
            </w:r>
          </w:p>
        </w:tc>
      </w:tr>
      <w:tr w:rsidR="00027743" w:rsidRPr="00D033EB" w:rsidTr="001A66B9">
        <w:trPr>
          <w:trHeight w:val="285"/>
          <w:jc w:val="center"/>
        </w:trPr>
        <w:tc>
          <w:tcPr>
            <w:tcW w:w="3937" w:type="dxa"/>
            <w:tcBorders>
              <w:top w:val="nil"/>
              <w:left w:val="single" w:sz="8" w:space="0" w:color="auto"/>
              <w:bottom w:val="nil"/>
              <w:right w:val="nil"/>
            </w:tcBorders>
            <w:shd w:val="clear" w:color="auto" w:fill="auto"/>
            <w:noWrap/>
            <w:vAlign w:val="bottom"/>
            <w:hideMark/>
          </w:tcPr>
          <w:p w:rsidR="00027743" w:rsidRPr="00D033EB" w:rsidRDefault="00027743" w:rsidP="005A12AB">
            <w:pPr>
              <w:jc w:val="both"/>
            </w:pPr>
            <w:r w:rsidRPr="00D033EB">
              <w:t>MET</w:t>
            </w:r>
          </w:p>
        </w:tc>
        <w:tc>
          <w:tcPr>
            <w:tcW w:w="2420" w:type="dxa"/>
            <w:tcBorders>
              <w:top w:val="nil"/>
              <w:left w:val="single" w:sz="8" w:space="0" w:color="auto"/>
              <w:bottom w:val="nil"/>
              <w:right w:val="single" w:sz="8" w:space="0" w:color="auto"/>
            </w:tcBorders>
            <w:shd w:val="clear" w:color="auto" w:fill="auto"/>
            <w:noWrap/>
            <w:vAlign w:val="bottom"/>
          </w:tcPr>
          <w:p w:rsidR="00027743" w:rsidRPr="00D033EB" w:rsidRDefault="00027743" w:rsidP="005A12AB">
            <w:pPr>
              <w:jc w:val="both"/>
              <w:rPr>
                <w:color w:val="000000"/>
              </w:rPr>
            </w:pPr>
            <w:r w:rsidRPr="00E21E1D">
              <w:rPr>
                <w:color w:val="000000"/>
              </w:rPr>
              <w:t>0.128</w:t>
            </w:r>
          </w:p>
        </w:tc>
      </w:tr>
      <w:tr w:rsidR="00027743" w:rsidRPr="00D033EB" w:rsidTr="001A66B9">
        <w:trPr>
          <w:trHeight w:val="285"/>
          <w:jc w:val="center"/>
        </w:trPr>
        <w:tc>
          <w:tcPr>
            <w:tcW w:w="3937" w:type="dxa"/>
            <w:tcBorders>
              <w:top w:val="nil"/>
              <w:left w:val="single" w:sz="8" w:space="0" w:color="auto"/>
              <w:bottom w:val="nil"/>
              <w:right w:val="nil"/>
            </w:tcBorders>
            <w:shd w:val="clear" w:color="auto" w:fill="auto"/>
            <w:noWrap/>
            <w:vAlign w:val="bottom"/>
            <w:hideMark/>
          </w:tcPr>
          <w:p w:rsidR="00027743" w:rsidRPr="00D033EB" w:rsidRDefault="00027743" w:rsidP="005A12AB">
            <w:pPr>
              <w:jc w:val="both"/>
            </w:pPr>
            <w:r w:rsidRPr="00D033EB">
              <w:t>OL1/SL1/SL1M/PL1</w:t>
            </w:r>
          </w:p>
        </w:tc>
        <w:tc>
          <w:tcPr>
            <w:tcW w:w="2420" w:type="dxa"/>
            <w:tcBorders>
              <w:top w:val="nil"/>
              <w:left w:val="single" w:sz="8" w:space="0" w:color="auto"/>
              <w:bottom w:val="nil"/>
              <w:right w:val="single" w:sz="8" w:space="0" w:color="auto"/>
            </w:tcBorders>
            <w:shd w:val="clear" w:color="auto" w:fill="auto"/>
            <w:noWrap/>
            <w:vAlign w:val="bottom"/>
          </w:tcPr>
          <w:p w:rsidR="00027743" w:rsidRPr="00D033EB" w:rsidRDefault="00027743" w:rsidP="005A12AB">
            <w:pPr>
              <w:jc w:val="both"/>
              <w:rPr>
                <w:color w:val="000000"/>
              </w:rPr>
            </w:pPr>
            <w:r w:rsidRPr="00E21E1D">
              <w:rPr>
                <w:color w:val="000000"/>
              </w:rPr>
              <w:t>0.035</w:t>
            </w:r>
          </w:p>
        </w:tc>
      </w:tr>
      <w:tr w:rsidR="00027743" w:rsidRPr="00D033EB" w:rsidTr="001A66B9">
        <w:trPr>
          <w:trHeight w:val="285"/>
          <w:jc w:val="center"/>
        </w:trPr>
        <w:tc>
          <w:tcPr>
            <w:tcW w:w="3937" w:type="dxa"/>
            <w:tcBorders>
              <w:top w:val="nil"/>
              <w:left w:val="single" w:sz="8" w:space="0" w:color="auto"/>
              <w:bottom w:val="nil"/>
              <w:right w:val="nil"/>
            </w:tcBorders>
            <w:shd w:val="clear" w:color="auto" w:fill="auto"/>
            <w:noWrap/>
            <w:vAlign w:val="bottom"/>
            <w:hideMark/>
          </w:tcPr>
          <w:p w:rsidR="00027743" w:rsidRPr="00D033EB" w:rsidRDefault="00027743" w:rsidP="005A12AB">
            <w:pPr>
              <w:jc w:val="both"/>
            </w:pPr>
            <w:r w:rsidRPr="00D033EB">
              <w:t>SL2/SL2M/GSCU1</w:t>
            </w:r>
          </w:p>
        </w:tc>
        <w:tc>
          <w:tcPr>
            <w:tcW w:w="2420" w:type="dxa"/>
            <w:tcBorders>
              <w:top w:val="nil"/>
              <w:left w:val="single" w:sz="8" w:space="0" w:color="auto"/>
              <w:bottom w:val="nil"/>
              <w:right w:val="single" w:sz="8" w:space="0" w:color="auto"/>
            </w:tcBorders>
            <w:shd w:val="clear" w:color="auto" w:fill="auto"/>
            <w:noWrap/>
            <w:vAlign w:val="bottom"/>
          </w:tcPr>
          <w:p w:rsidR="00027743" w:rsidRPr="00D033EB" w:rsidRDefault="00027743" w:rsidP="005A12AB">
            <w:pPr>
              <w:jc w:val="both"/>
              <w:rPr>
                <w:color w:val="000000"/>
              </w:rPr>
            </w:pPr>
            <w:r w:rsidRPr="00E21E1D">
              <w:rPr>
                <w:color w:val="000000"/>
              </w:rPr>
              <w:t>0.111</w:t>
            </w:r>
          </w:p>
        </w:tc>
      </w:tr>
      <w:tr w:rsidR="00027743" w:rsidRPr="00D033EB" w:rsidTr="001A66B9">
        <w:trPr>
          <w:trHeight w:val="285"/>
          <w:jc w:val="center"/>
        </w:trPr>
        <w:tc>
          <w:tcPr>
            <w:tcW w:w="3937" w:type="dxa"/>
            <w:tcBorders>
              <w:top w:val="nil"/>
              <w:left w:val="single" w:sz="8" w:space="0" w:color="auto"/>
              <w:bottom w:val="nil"/>
              <w:right w:val="nil"/>
            </w:tcBorders>
            <w:shd w:val="clear" w:color="auto" w:fill="auto"/>
            <w:noWrap/>
            <w:vAlign w:val="bottom"/>
            <w:hideMark/>
          </w:tcPr>
          <w:p w:rsidR="00027743" w:rsidRPr="00D033EB" w:rsidRDefault="00027743" w:rsidP="005A12AB">
            <w:pPr>
              <w:jc w:val="both"/>
              <w:rPr>
                <w:color w:val="000000"/>
              </w:rPr>
            </w:pPr>
            <w:r w:rsidRPr="00D033EB">
              <w:rPr>
                <w:color w:val="000000"/>
              </w:rPr>
              <w:t> </w:t>
            </w:r>
          </w:p>
        </w:tc>
        <w:tc>
          <w:tcPr>
            <w:tcW w:w="2420" w:type="dxa"/>
            <w:tcBorders>
              <w:top w:val="nil"/>
              <w:left w:val="single" w:sz="8" w:space="0" w:color="auto"/>
              <w:bottom w:val="nil"/>
              <w:right w:val="single" w:sz="8" w:space="0" w:color="auto"/>
            </w:tcBorders>
            <w:shd w:val="clear" w:color="auto" w:fill="auto"/>
            <w:noWrap/>
            <w:vAlign w:val="bottom"/>
          </w:tcPr>
          <w:p w:rsidR="00027743" w:rsidRPr="00D033EB" w:rsidRDefault="00027743" w:rsidP="005A12AB">
            <w:pPr>
              <w:jc w:val="both"/>
              <w:rPr>
                <w:color w:val="000000"/>
              </w:rPr>
            </w:pPr>
          </w:p>
        </w:tc>
      </w:tr>
      <w:tr w:rsidR="00027743" w:rsidRPr="00D033EB" w:rsidTr="001A66B9">
        <w:trPr>
          <w:trHeight w:val="300"/>
          <w:jc w:val="center"/>
        </w:trPr>
        <w:tc>
          <w:tcPr>
            <w:tcW w:w="3937" w:type="dxa"/>
            <w:tcBorders>
              <w:top w:val="nil"/>
              <w:left w:val="single" w:sz="8" w:space="0" w:color="auto"/>
              <w:bottom w:val="single" w:sz="8" w:space="0" w:color="auto"/>
              <w:right w:val="nil"/>
            </w:tcBorders>
            <w:shd w:val="clear" w:color="auto" w:fill="auto"/>
            <w:noWrap/>
            <w:vAlign w:val="bottom"/>
            <w:hideMark/>
          </w:tcPr>
          <w:p w:rsidR="00027743" w:rsidRPr="00D033EB" w:rsidRDefault="00027743" w:rsidP="005A12AB">
            <w:pPr>
              <w:jc w:val="both"/>
            </w:pPr>
            <w:r w:rsidRPr="00D033EB">
              <w:t>Total</w:t>
            </w:r>
          </w:p>
        </w:tc>
        <w:tc>
          <w:tcPr>
            <w:tcW w:w="2420" w:type="dxa"/>
            <w:tcBorders>
              <w:top w:val="nil"/>
              <w:left w:val="single" w:sz="8" w:space="0" w:color="auto"/>
              <w:bottom w:val="single" w:sz="8" w:space="0" w:color="auto"/>
              <w:right w:val="single" w:sz="8" w:space="0" w:color="auto"/>
            </w:tcBorders>
            <w:shd w:val="clear" w:color="auto" w:fill="auto"/>
            <w:noWrap/>
            <w:vAlign w:val="bottom"/>
          </w:tcPr>
          <w:p w:rsidR="00027743" w:rsidRPr="00D033EB" w:rsidRDefault="00027743" w:rsidP="005A12AB">
            <w:pPr>
              <w:jc w:val="both"/>
              <w:rPr>
                <w:color w:val="000000"/>
              </w:rPr>
            </w:pPr>
            <w:r w:rsidRPr="00E21E1D">
              <w:rPr>
                <w:color w:val="000000"/>
              </w:rPr>
              <w:t>0.146</w:t>
            </w:r>
          </w:p>
        </w:tc>
      </w:tr>
    </w:tbl>
    <w:p w:rsidR="00027743" w:rsidRDefault="00027743" w:rsidP="00027743">
      <w:pPr>
        <w:jc w:val="both"/>
        <w:rPr>
          <w:rFonts w:eastAsia="Calibri"/>
          <w:b/>
          <w:bCs/>
        </w:rPr>
      </w:pPr>
    </w:p>
    <w:p w:rsidR="007C79E3" w:rsidRDefault="007C79E3" w:rsidP="007C79E3">
      <w:pPr>
        <w:spacing w:after="200" w:line="276" w:lineRule="auto"/>
        <w:jc w:val="center"/>
        <w:rPr>
          <w:rFonts w:eastAsia="Calibri"/>
          <w:b/>
          <w:bCs/>
        </w:rPr>
      </w:pPr>
    </w:p>
    <w:p w:rsidR="007C79E3" w:rsidRDefault="007C79E3" w:rsidP="007C79E3">
      <w:pPr>
        <w:spacing w:after="200" w:line="276" w:lineRule="auto"/>
        <w:jc w:val="center"/>
        <w:rPr>
          <w:rFonts w:eastAsia="Calibri"/>
          <w:b/>
          <w:bCs/>
        </w:rPr>
      </w:pPr>
    </w:p>
    <w:p w:rsidR="007C79E3" w:rsidRDefault="007C79E3" w:rsidP="007C79E3">
      <w:pPr>
        <w:spacing w:after="200" w:line="276" w:lineRule="auto"/>
        <w:jc w:val="center"/>
        <w:rPr>
          <w:rFonts w:eastAsia="Calibri"/>
          <w:b/>
          <w:bCs/>
        </w:rPr>
      </w:pPr>
    </w:p>
    <w:p w:rsidR="007C79E3" w:rsidRDefault="007C79E3" w:rsidP="007C79E3">
      <w:pPr>
        <w:spacing w:after="200" w:line="276" w:lineRule="auto"/>
        <w:jc w:val="center"/>
        <w:rPr>
          <w:rFonts w:eastAsia="Calibri"/>
          <w:b/>
          <w:bCs/>
        </w:rPr>
      </w:pPr>
    </w:p>
    <w:p w:rsidR="007C79E3" w:rsidRDefault="007C79E3" w:rsidP="007C79E3">
      <w:pPr>
        <w:spacing w:after="200" w:line="276" w:lineRule="auto"/>
        <w:jc w:val="center"/>
        <w:rPr>
          <w:rFonts w:eastAsia="Calibri"/>
          <w:b/>
          <w:bCs/>
        </w:rPr>
      </w:pPr>
    </w:p>
    <w:p w:rsidR="007C79E3" w:rsidRDefault="007C79E3" w:rsidP="007C79E3">
      <w:pPr>
        <w:spacing w:after="200" w:line="276" w:lineRule="auto"/>
        <w:jc w:val="center"/>
        <w:rPr>
          <w:rFonts w:eastAsia="Calibri"/>
          <w:b/>
          <w:bCs/>
        </w:rPr>
      </w:pPr>
    </w:p>
    <w:p w:rsidR="007C79E3" w:rsidRDefault="007C79E3" w:rsidP="007C79E3">
      <w:pPr>
        <w:spacing w:after="200" w:line="276" w:lineRule="auto"/>
        <w:jc w:val="center"/>
        <w:rPr>
          <w:rFonts w:eastAsia="Calibri"/>
          <w:b/>
          <w:bCs/>
        </w:rPr>
      </w:pPr>
    </w:p>
    <w:p w:rsidR="007C79E3" w:rsidRDefault="007C79E3" w:rsidP="007C79E3">
      <w:pPr>
        <w:spacing w:after="200" w:line="276" w:lineRule="auto"/>
        <w:jc w:val="center"/>
        <w:rPr>
          <w:rFonts w:eastAsia="Calibri"/>
          <w:b/>
          <w:bCs/>
        </w:rPr>
      </w:pPr>
    </w:p>
    <w:p w:rsidR="007C79E3" w:rsidRDefault="007C79E3" w:rsidP="007C79E3">
      <w:pPr>
        <w:spacing w:after="200" w:line="276" w:lineRule="auto"/>
        <w:jc w:val="center"/>
        <w:rPr>
          <w:rFonts w:eastAsia="Calibri"/>
          <w:b/>
          <w:bCs/>
        </w:rPr>
      </w:pPr>
    </w:p>
    <w:p w:rsidR="007C79E3" w:rsidRDefault="007C79E3" w:rsidP="007C79E3">
      <w:pPr>
        <w:spacing w:after="200" w:line="276" w:lineRule="auto"/>
        <w:jc w:val="center"/>
        <w:rPr>
          <w:rFonts w:eastAsia="Calibri"/>
          <w:b/>
          <w:bCs/>
        </w:rPr>
      </w:pPr>
    </w:p>
    <w:p w:rsidR="007C79E3" w:rsidRDefault="007C79E3" w:rsidP="007C79E3">
      <w:pPr>
        <w:spacing w:after="200" w:line="276" w:lineRule="auto"/>
        <w:jc w:val="center"/>
        <w:rPr>
          <w:rFonts w:eastAsia="Calibri"/>
          <w:b/>
          <w:bCs/>
        </w:rPr>
      </w:pPr>
    </w:p>
    <w:p w:rsidR="007C79E3" w:rsidRDefault="007C79E3" w:rsidP="007C79E3">
      <w:pPr>
        <w:spacing w:after="200" w:line="276" w:lineRule="auto"/>
        <w:jc w:val="center"/>
        <w:rPr>
          <w:rFonts w:eastAsia="Calibri"/>
          <w:b/>
          <w:bCs/>
        </w:rPr>
      </w:pPr>
    </w:p>
    <w:p w:rsidR="00027743" w:rsidRPr="007C79E3" w:rsidRDefault="00027743" w:rsidP="007C79E3">
      <w:pPr>
        <w:spacing w:after="200" w:line="276" w:lineRule="auto"/>
        <w:jc w:val="center"/>
        <w:rPr>
          <w:rFonts w:eastAsia="Calibri"/>
          <w:b/>
          <w:bCs/>
        </w:rPr>
      </w:pPr>
      <w:r w:rsidRPr="00D90DAE">
        <w:rPr>
          <w:rFonts w:eastAsia="Calibri"/>
          <w:b/>
          <w:bCs/>
        </w:rPr>
        <w:lastRenderedPageBreak/>
        <w:t>DEF</w:t>
      </w:r>
    </w:p>
    <w:tbl>
      <w:tblPr>
        <w:tblW w:w="5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980"/>
      </w:tblGrid>
      <w:tr w:rsidR="00027743" w:rsidRPr="00D90DAE" w:rsidTr="001A66B9">
        <w:trPr>
          <w:trHeight w:val="534"/>
          <w:jc w:val="center"/>
        </w:trPr>
        <w:tc>
          <w:tcPr>
            <w:tcW w:w="3348" w:type="dxa"/>
            <w:tcBorders>
              <w:top w:val="single" w:sz="4" w:space="0" w:color="auto"/>
              <w:left w:val="single" w:sz="4" w:space="0" w:color="auto"/>
              <w:bottom w:val="single" w:sz="4" w:space="0" w:color="auto"/>
              <w:right w:val="single" w:sz="4" w:space="0" w:color="auto"/>
            </w:tcBorders>
            <w:vAlign w:val="center"/>
            <w:hideMark/>
          </w:tcPr>
          <w:p w:rsidR="00027743" w:rsidRPr="00D90DAE" w:rsidRDefault="00027743" w:rsidP="005A12AB">
            <w:pPr>
              <w:keepNext/>
              <w:suppressLineNumbers/>
              <w:jc w:val="both"/>
              <w:rPr>
                <w:rFonts w:eastAsia="Calibri"/>
                <w:b/>
              </w:rPr>
            </w:pPr>
            <w:r w:rsidRPr="00D90DAE">
              <w:rPr>
                <w:rFonts w:eastAsia="Calibri"/>
                <w:b/>
              </w:rPr>
              <w:t>RATE CLASS</w:t>
            </w:r>
          </w:p>
        </w:tc>
        <w:tc>
          <w:tcPr>
            <w:tcW w:w="1980" w:type="dxa"/>
            <w:tcBorders>
              <w:top w:val="single" w:sz="4" w:space="0" w:color="auto"/>
              <w:left w:val="single" w:sz="4" w:space="0" w:color="auto"/>
              <w:bottom w:val="single" w:sz="4" w:space="0" w:color="auto"/>
              <w:right w:val="single" w:sz="4" w:space="0" w:color="auto"/>
            </w:tcBorders>
            <w:vAlign w:val="center"/>
            <w:hideMark/>
          </w:tcPr>
          <w:p w:rsidR="00027743" w:rsidRPr="00D90DAE" w:rsidRDefault="00027743" w:rsidP="005A12AB">
            <w:pPr>
              <w:keepNext/>
              <w:suppressLineNumbers/>
              <w:jc w:val="both"/>
              <w:rPr>
                <w:rFonts w:eastAsia="Calibri"/>
                <w:b/>
              </w:rPr>
            </w:pPr>
            <w:r w:rsidRPr="00D90DAE">
              <w:rPr>
                <w:rFonts w:eastAsia="Calibri"/>
                <w:b/>
              </w:rPr>
              <w:t>ECRC FACTORS</w:t>
            </w:r>
          </w:p>
        </w:tc>
      </w:tr>
      <w:tr w:rsidR="00027743" w:rsidRPr="00D90DAE" w:rsidTr="001A66B9">
        <w:trPr>
          <w:trHeight w:val="282"/>
          <w:jc w:val="center"/>
        </w:trPr>
        <w:tc>
          <w:tcPr>
            <w:tcW w:w="3348" w:type="dxa"/>
            <w:tcBorders>
              <w:top w:val="single" w:sz="4" w:space="0" w:color="auto"/>
              <w:left w:val="single" w:sz="4" w:space="0" w:color="auto"/>
              <w:bottom w:val="single" w:sz="4" w:space="0" w:color="auto"/>
              <w:right w:val="single" w:sz="4" w:space="0" w:color="auto"/>
            </w:tcBorders>
            <w:hideMark/>
          </w:tcPr>
          <w:p w:rsidR="00027743" w:rsidRPr="00D90DAE" w:rsidRDefault="00027743" w:rsidP="005A12AB">
            <w:pPr>
              <w:keepNext/>
              <w:suppressLineNumbers/>
              <w:jc w:val="both"/>
              <w:rPr>
                <w:rFonts w:eastAsia="Calibri"/>
              </w:rPr>
            </w:pPr>
            <w:r w:rsidRPr="00D90DAE">
              <w:rPr>
                <w:rFonts w:eastAsia="Calibri"/>
              </w:rPr>
              <w:t>Residential</w:t>
            </w:r>
          </w:p>
        </w:tc>
        <w:tc>
          <w:tcPr>
            <w:tcW w:w="1980" w:type="dxa"/>
            <w:tcBorders>
              <w:top w:val="single" w:sz="4" w:space="0" w:color="auto"/>
              <w:left w:val="single" w:sz="4" w:space="0" w:color="auto"/>
              <w:bottom w:val="single" w:sz="4" w:space="0" w:color="auto"/>
              <w:right w:val="single" w:sz="4" w:space="0" w:color="auto"/>
            </w:tcBorders>
            <w:hideMark/>
          </w:tcPr>
          <w:p w:rsidR="00027743" w:rsidRPr="00D90DAE" w:rsidRDefault="00027743" w:rsidP="005A12AB">
            <w:pPr>
              <w:keepNext/>
              <w:suppressLineNumbers/>
              <w:jc w:val="both"/>
              <w:rPr>
                <w:rFonts w:eastAsia="Calibri"/>
              </w:rPr>
            </w:pPr>
            <w:r>
              <w:rPr>
                <w:rFonts w:eastAsia="Calibri"/>
              </w:rPr>
              <w:t xml:space="preserve">0.079 </w:t>
            </w:r>
            <w:r w:rsidRPr="00D90DAE">
              <w:rPr>
                <w:rFonts w:eastAsia="Calibri"/>
              </w:rPr>
              <w:t>cents/kWh</w:t>
            </w:r>
          </w:p>
        </w:tc>
      </w:tr>
      <w:tr w:rsidR="00027743" w:rsidRPr="00D90DAE" w:rsidTr="001A66B9">
        <w:trPr>
          <w:trHeight w:val="1138"/>
          <w:jc w:val="center"/>
        </w:trPr>
        <w:tc>
          <w:tcPr>
            <w:tcW w:w="3348" w:type="dxa"/>
            <w:tcBorders>
              <w:top w:val="single" w:sz="4" w:space="0" w:color="auto"/>
              <w:left w:val="single" w:sz="4" w:space="0" w:color="auto"/>
              <w:bottom w:val="single" w:sz="4" w:space="0" w:color="auto"/>
              <w:right w:val="single" w:sz="4" w:space="0" w:color="auto"/>
            </w:tcBorders>
            <w:hideMark/>
          </w:tcPr>
          <w:p w:rsidR="00027743" w:rsidRPr="00D90DAE" w:rsidRDefault="00027743" w:rsidP="005A12AB">
            <w:pPr>
              <w:keepNext/>
              <w:suppressLineNumbers/>
              <w:tabs>
                <w:tab w:val="left" w:pos="576"/>
                <w:tab w:val="left" w:pos="1440"/>
                <w:tab w:val="left" w:pos="1728"/>
                <w:tab w:val="left" w:pos="5904"/>
              </w:tabs>
              <w:jc w:val="both"/>
              <w:rPr>
                <w:rFonts w:eastAsia="Calibri"/>
              </w:rPr>
            </w:pPr>
            <w:r w:rsidRPr="00D90DAE">
              <w:rPr>
                <w:rFonts w:eastAsia="Calibri"/>
              </w:rPr>
              <w:t>General Service Non-Demand</w:t>
            </w:r>
          </w:p>
          <w:p w:rsidR="00027743" w:rsidRPr="00D90DAE" w:rsidRDefault="00027743" w:rsidP="005A12AB">
            <w:pPr>
              <w:keepNext/>
              <w:suppressLineNumbers/>
              <w:tabs>
                <w:tab w:val="left" w:pos="576"/>
                <w:tab w:val="left" w:pos="1440"/>
                <w:tab w:val="left" w:pos="1728"/>
                <w:tab w:val="left" w:pos="5904"/>
              </w:tabs>
              <w:jc w:val="both"/>
              <w:rPr>
                <w:rFonts w:eastAsia="Calibri"/>
              </w:rPr>
            </w:pPr>
            <w:r w:rsidRPr="00D90DAE">
              <w:rPr>
                <w:rFonts w:eastAsia="Calibri"/>
              </w:rPr>
              <w:t>@ Secondary Voltage</w:t>
            </w:r>
          </w:p>
          <w:p w:rsidR="00027743" w:rsidRPr="00D90DAE" w:rsidRDefault="00027743" w:rsidP="005A12AB">
            <w:pPr>
              <w:keepNext/>
              <w:suppressLineNumbers/>
              <w:tabs>
                <w:tab w:val="left" w:pos="576"/>
                <w:tab w:val="left" w:pos="1440"/>
                <w:tab w:val="left" w:pos="1728"/>
                <w:tab w:val="left" w:pos="5904"/>
              </w:tabs>
              <w:jc w:val="both"/>
              <w:rPr>
                <w:rFonts w:eastAsia="Calibri"/>
              </w:rPr>
            </w:pPr>
            <w:r w:rsidRPr="00D90DAE">
              <w:rPr>
                <w:rFonts w:eastAsia="Calibri"/>
              </w:rPr>
              <w:t>@ Primary Voltage</w:t>
            </w:r>
          </w:p>
          <w:p w:rsidR="00027743" w:rsidRPr="00D90DAE" w:rsidRDefault="00027743" w:rsidP="005A12AB">
            <w:pPr>
              <w:keepNext/>
              <w:suppressLineNumbers/>
              <w:tabs>
                <w:tab w:val="left" w:pos="576"/>
                <w:tab w:val="left" w:pos="1440"/>
                <w:tab w:val="left" w:pos="1728"/>
                <w:tab w:val="left" w:pos="5904"/>
              </w:tabs>
              <w:jc w:val="both"/>
              <w:rPr>
                <w:rFonts w:eastAsia="Calibri"/>
              </w:rPr>
            </w:pPr>
            <w:r w:rsidRPr="00D90DAE">
              <w:rPr>
                <w:rFonts w:eastAsia="Calibri"/>
              </w:rPr>
              <w:t>@ Transmission Voltage</w:t>
            </w:r>
          </w:p>
        </w:tc>
        <w:tc>
          <w:tcPr>
            <w:tcW w:w="1980" w:type="dxa"/>
            <w:tcBorders>
              <w:top w:val="single" w:sz="4" w:space="0" w:color="auto"/>
              <w:left w:val="single" w:sz="4" w:space="0" w:color="auto"/>
              <w:bottom w:val="single" w:sz="4" w:space="0" w:color="auto"/>
              <w:right w:val="single" w:sz="4" w:space="0" w:color="auto"/>
            </w:tcBorders>
          </w:tcPr>
          <w:p w:rsidR="00027743" w:rsidRPr="00D90DAE" w:rsidRDefault="00027743" w:rsidP="005A12AB">
            <w:pPr>
              <w:keepNext/>
              <w:suppressLineNumbers/>
              <w:jc w:val="both"/>
              <w:rPr>
                <w:rFonts w:eastAsia="Calibri"/>
              </w:rPr>
            </w:pPr>
          </w:p>
          <w:p w:rsidR="00027743" w:rsidRPr="00D90DAE" w:rsidRDefault="00027743" w:rsidP="005A12AB">
            <w:pPr>
              <w:keepNext/>
              <w:suppressLineNumbers/>
              <w:jc w:val="both"/>
              <w:rPr>
                <w:rFonts w:eastAsia="Calibri"/>
              </w:rPr>
            </w:pPr>
            <w:r>
              <w:rPr>
                <w:rFonts w:eastAsia="Calibri"/>
              </w:rPr>
              <w:t xml:space="preserve">0.079 </w:t>
            </w:r>
            <w:r w:rsidRPr="00D90DAE">
              <w:rPr>
                <w:rFonts w:eastAsia="Calibri"/>
              </w:rPr>
              <w:t>cents/kWh</w:t>
            </w:r>
          </w:p>
          <w:p w:rsidR="00027743" w:rsidRPr="00D90DAE" w:rsidRDefault="00027743" w:rsidP="005A12AB">
            <w:pPr>
              <w:keepNext/>
              <w:suppressLineNumbers/>
              <w:jc w:val="both"/>
              <w:rPr>
                <w:rFonts w:eastAsia="Calibri"/>
              </w:rPr>
            </w:pPr>
            <w:r>
              <w:rPr>
                <w:rFonts w:eastAsia="Calibri"/>
              </w:rPr>
              <w:t xml:space="preserve">0.078 </w:t>
            </w:r>
            <w:r w:rsidRPr="00D90DAE">
              <w:rPr>
                <w:rFonts w:eastAsia="Calibri"/>
              </w:rPr>
              <w:t>cents/kWh</w:t>
            </w:r>
          </w:p>
          <w:p w:rsidR="00027743" w:rsidRPr="00D90DAE" w:rsidRDefault="00027743" w:rsidP="005A12AB">
            <w:pPr>
              <w:keepNext/>
              <w:suppressLineNumbers/>
              <w:jc w:val="both"/>
              <w:rPr>
                <w:rFonts w:eastAsia="Calibri"/>
              </w:rPr>
            </w:pPr>
            <w:r>
              <w:rPr>
                <w:rFonts w:eastAsia="Calibri"/>
              </w:rPr>
              <w:t xml:space="preserve">0.077 </w:t>
            </w:r>
            <w:r w:rsidRPr="00D90DAE">
              <w:rPr>
                <w:rFonts w:eastAsia="Calibri"/>
              </w:rPr>
              <w:t>cents/kWh</w:t>
            </w:r>
          </w:p>
        </w:tc>
      </w:tr>
      <w:tr w:rsidR="00027743" w:rsidRPr="00D90DAE" w:rsidTr="001A66B9">
        <w:trPr>
          <w:trHeight w:val="282"/>
          <w:jc w:val="center"/>
        </w:trPr>
        <w:tc>
          <w:tcPr>
            <w:tcW w:w="3348" w:type="dxa"/>
            <w:tcBorders>
              <w:top w:val="single" w:sz="4" w:space="0" w:color="auto"/>
              <w:left w:val="single" w:sz="4" w:space="0" w:color="auto"/>
              <w:bottom w:val="single" w:sz="4" w:space="0" w:color="auto"/>
              <w:right w:val="single" w:sz="4" w:space="0" w:color="auto"/>
            </w:tcBorders>
            <w:hideMark/>
          </w:tcPr>
          <w:p w:rsidR="00027743" w:rsidRPr="00D90DAE" w:rsidRDefault="00027743" w:rsidP="005A12AB">
            <w:pPr>
              <w:keepNext/>
              <w:suppressLineNumbers/>
              <w:jc w:val="both"/>
              <w:rPr>
                <w:rFonts w:eastAsia="Calibri"/>
              </w:rPr>
            </w:pPr>
            <w:r w:rsidRPr="00D90DAE">
              <w:rPr>
                <w:rFonts w:eastAsia="Calibri"/>
              </w:rPr>
              <w:t>General Service 100% Load Factor</w:t>
            </w:r>
          </w:p>
        </w:tc>
        <w:tc>
          <w:tcPr>
            <w:tcW w:w="1980" w:type="dxa"/>
            <w:tcBorders>
              <w:top w:val="single" w:sz="4" w:space="0" w:color="auto"/>
              <w:left w:val="single" w:sz="4" w:space="0" w:color="auto"/>
              <w:bottom w:val="single" w:sz="4" w:space="0" w:color="auto"/>
              <w:right w:val="single" w:sz="4" w:space="0" w:color="auto"/>
            </w:tcBorders>
            <w:hideMark/>
          </w:tcPr>
          <w:p w:rsidR="00027743" w:rsidRPr="00D90DAE" w:rsidRDefault="00027743" w:rsidP="005A12AB">
            <w:pPr>
              <w:keepNext/>
              <w:suppressLineNumbers/>
              <w:jc w:val="both"/>
              <w:rPr>
                <w:rFonts w:eastAsia="Calibri"/>
              </w:rPr>
            </w:pPr>
            <w:r>
              <w:rPr>
                <w:rFonts w:eastAsia="Calibri"/>
              </w:rPr>
              <w:t xml:space="preserve">0.075 </w:t>
            </w:r>
            <w:r w:rsidRPr="00D90DAE">
              <w:rPr>
                <w:rFonts w:eastAsia="Calibri"/>
              </w:rPr>
              <w:t>cents/kWh</w:t>
            </w:r>
          </w:p>
        </w:tc>
      </w:tr>
      <w:tr w:rsidR="00027743" w:rsidRPr="00D90DAE" w:rsidTr="001A66B9">
        <w:trPr>
          <w:trHeight w:val="1171"/>
          <w:jc w:val="center"/>
        </w:trPr>
        <w:tc>
          <w:tcPr>
            <w:tcW w:w="3348" w:type="dxa"/>
            <w:tcBorders>
              <w:top w:val="single" w:sz="4" w:space="0" w:color="auto"/>
              <w:left w:val="single" w:sz="4" w:space="0" w:color="auto"/>
              <w:bottom w:val="single" w:sz="4" w:space="0" w:color="auto"/>
              <w:right w:val="single" w:sz="4" w:space="0" w:color="auto"/>
            </w:tcBorders>
            <w:hideMark/>
          </w:tcPr>
          <w:p w:rsidR="00027743" w:rsidRPr="00D90DAE" w:rsidRDefault="00027743" w:rsidP="005A12AB">
            <w:pPr>
              <w:keepNext/>
              <w:suppressLineNumbers/>
              <w:tabs>
                <w:tab w:val="left" w:pos="576"/>
                <w:tab w:val="left" w:pos="1440"/>
                <w:tab w:val="left" w:pos="1728"/>
                <w:tab w:val="left" w:pos="5904"/>
              </w:tabs>
              <w:jc w:val="both"/>
              <w:rPr>
                <w:rFonts w:eastAsia="Calibri"/>
              </w:rPr>
            </w:pPr>
            <w:r w:rsidRPr="00D90DAE">
              <w:rPr>
                <w:rFonts w:eastAsia="Calibri"/>
              </w:rPr>
              <w:t>General Service Demand</w:t>
            </w:r>
          </w:p>
          <w:p w:rsidR="00027743" w:rsidRPr="00D90DAE" w:rsidRDefault="00027743" w:rsidP="005A12AB">
            <w:pPr>
              <w:keepNext/>
              <w:suppressLineNumbers/>
              <w:jc w:val="both"/>
              <w:rPr>
                <w:rFonts w:eastAsia="Calibri"/>
              </w:rPr>
            </w:pPr>
            <w:r w:rsidRPr="00D90DAE">
              <w:rPr>
                <w:rFonts w:eastAsia="Calibri"/>
              </w:rPr>
              <w:t>@ Secondary Voltage</w:t>
            </w:r>
          </w:p>
          <w:p w:rsidR="00027743" w:rsidRPr="00D90DAE" w:rsidRDefault="00027743" w:rsidP="005A12AB">
            <w:pPr>
              <w:keepNext/>
              <w:suppressLineNumbers/>
              <w:jc w:val="both"/>
              <w:rPr>
                <w:rFonts w:eastAsia="Calibri"/>
              </w:rPr>
            </w:pPr>
            <w:r w:rsidRPr="00D90DAE">
              <w:rPr>
                <w:rFonts w:eastAsia="Calibri"/>
              </w:rPr>
              <w:t>@ Primary Voltage</w:t>
            </w:r>
          </w:p>
          <w:p w:rsidR="00027743" w:rsidRPr="00D90DAE" w:rsidRDefault="00027743" w:rsidP="005A12AB">
            <w:pPr>
              <w:keepNext/>
              <w:suppressLineNumbers/>
              <w:jc w:val="both"/>
              <w:rPr>
                <w:rFonts w:eastAsia="Calibri"/>
              </w:rPr>
            </w:pPr>
            <w:r w:rsidRPr="00D90DAE">
              <w:rPr>
                <w:rFonts w:eastAsia="Calibri"/>
              </w:rPr>
              <w:t>@ Transmission Voltage</w:t>
            </w:r>
          </w:p>
        </w:tc>
        <w:tc>
          <w:tcPr>
            <w:tcW w:w="1980" w:type="dxa"/>
            <w:tcBorders>
              <w:top w:val="single" w:sz="4" w:space="0" w:color="auto"/>
              <w:left w:val="single" w:sz="4" w:space="0" w:color="auto"/>
              <w:bottom w:val="single" w:sz="4" w:space="0" w:color="auto"/>
              <w:right w:val="single" w:sz="4" w:space="0" w:color="auto"/>
            </w:tcBorders>
          </w:tcPr>
          <w:p w:rsidR="00027743" w:rsidRPr="00D90DAE" w:rsidRDefault="00027743" w:rsidP="005A12AB">
            <w:pPr>
              <w:keepNext/>
              <w:suppressLineNumbers/>
              <w:suppressAutoHyphens/>
              <w:jc w:val="both"/>
              <w:outlineLvl w:val="2"/>
              <w:rPr>
                <w:rFonts w:eastAsia="Calibri"/>
              </w:rPr>
            </w:pPr>
          </w:p>
          <w:p w:rsidR="00027743" w:rsidRPr="00D90DAE" w:rsidRDefault="00027743" w:rsidP="005A12AB">
            <w:pPr>
              <w:keepNext/>
              <w:suppressLineNumbers/>
              <w:jc w:val="both"/>
              <w:rPr>
                <w:rFonts w:eastAsia="Calibri"/>
              </w:rPr>
            </w:pPr>
            <w:r>
              <w:rPr>
                <w:rFonts w:eastAsia="Calibri"/>
              </w:rPr>
              <w:t xml:space="preserve">0.076 </w:t>
            </w:r>
            <w:r w:rsidRPr="00D90DAE">
              <w:rPr>
                <w:rFonts w:eastAsia="Calibri"/>
              </w:rPr>
              <w:t>cents/kWh</w:t>
            </w:r>
          </w:p>
          <w:p w:rsidR="00027743" w:rsidRPr="00D90DAE" w:rsidRDefault="00027743" w:rsidP="005A12AB">
            <w:pPr>
              <w:keepNext/>
              <w:suppressLineNumbers/>
              <w:jc w:val="both"/>
              <w:rPr>
                <w:rFonts w:eastAsia="Calibri"/>
              </w:rPr>
            </w:pPr>
            <w:r>
              <w:rPr>
                <w:rFonts w:eastAsia="Calibri"/>
              </w:rPr>
              <w:t xml:space="preserve">0.075 </w:t>
            </w:r>
            <w:r w:rsidRPr="00D90DAE">
              <w:rPr>
                <w:rFonts w:eastAsia="Calibri"/>
              </w:rPr>
              <w:t>cents/kWh</w:t>
            </w:r>
          </w:p>
          <w:p w:rsidR="00027743" w:rsidRPr="00D90DAE" w:rsidRDefault="00027743" w:rsidP="005A12AB">
            <w:pPr>
              <w:keepNext/>
              <w:suppressLineNumbers/>
              <w:jc w:val="both"/>
              <w:rPr>
                <w:rFonts w:eastAsia="Calibri"/>
              </w:rPr>
            </w:pPr>
            <w:r>
              <w:rPr>
                <w:rFonts w:eastAsia="Calibri"/>
              </w:rPr>
              <w:t xml:space="preserve">0.074 </w:t>
            </w:r>
            <w:r w:rsidRPr="00D90DAE">
              <w:rPr>
                <w:rFonts w:eastAsia="Calibri"/>
              </w:rPr>
              <w:t>cents/kWh</w:t>
            </w:r>
          </w:p>
        </w:tc>
      </w:tr>
      <w:tr w:rsidR="00027743" w:rsidRPr="00D90DAE" w:rsidTr="001A66B9">
        <w:trPr>
          <w:trHeight w:val="1138"/>
          <w:jc w:val="center"/>
        </w:trPr>
        <w:tc>
          <w:tcPr>
            <w:tcW w:w="3348" w:type="dxa"/>
            <w:tcBorders>
              <w:top w:val="single" w:sz="4" w:space="0" w:color="auto"/>
              <w:left w:val="single" w:sz="4" w:space="0" w:color="auto"/>
              <w:bottom w:val="single" w:sz="4" w:space="0" w:color="auto"/>
              <w:right w:val="single" w:sz="4" w:space="0" w:color="auto"/>
            </w:tcBorders>
            <w:hideMark/>
          </w:tcPr>
          <w:p w:rsidR="00027743" w:rsidRPr="00D90DAE" w:rsidRDefault="00027743" w:rsidP="005A12AB">
            <w:pPr>
              <w:keepNext/>
              <w:suppressLineNumbers/>
              <w:tabs>
                <w:tab w:val="left" w:pos="576"/>
                <w:tab w:val="left" w:pos="1440"/>
                <w:tab w:val="left" w:pos="1728"/>
                <w:tab w:val="left" w:pos="5904"/>
              </w:tabs>
              <w:ind w:firstLine="90"/>
              <w:jc w:val="both"/>
              <w:rPr>
                <w:rFonts w:eastAsia="Calibri"/>
              </w:rPr>
            </w:pPr>
            <w:r w:rsidRPr="00D90DAE">
              <w:rPr>
                <w:rFonts w:eastAsia="Calibri"/>
              </w:rPr>
              <w:t>Curtailable</w:t>
            </w:r>
          </w:p>
          <w:p w:rsidR="00027743" w:rsidRPr="00D90DAE" w:rsidRDefault="00027743" w:rsidP="005A12AB">
            <w:pPr>
              <w:keepNext/>
              <w:suppressLineNumbers/>
              <w:tabs>
                <w:tab w:val="left" w:pos="576"/>
                <w:tab w:val="left" w:pos="1440"/>
                <w:tab w:val="left" w:pos="1728"/>
                <w:tab w:val="left" w:pos="5904"/>
              </w:tabs>
              <w:ind w:firstLine="90"/>
              <w:jc w:val="both"/>
              <w:rPr>
                <w:rFonts w:eastAsia="Calibri"/>
              </w:rPr>
            </w:pPr>
            <w:r w:rsidRPr="00D90DAE">
              <w:rPr>
                <w:rFonts w:eastAsia="Calibri"/>
              </w:rPr>
              <w:t>@ Secondary Voltage</w:t>
            </w:r>
          </w:p>
          <w:p w:rsidR="00027743" w:rsidRPr="00D90DAE" w:rsidRDefault="00027743" w:rsidP="005A12AB">
            <w:pPr>
              <w:keepNext/>
              <w:suppressLineNumbers/>
              <w:tabs>
                <w:tab w:val="left" w:pos="576"/>
                <w:tab w:val="left" w:pos="1440"/>
                <w:tab w:val="left" w:pos="1728"/>
                <w:tab w:val="left" w:pos="5904"/>
              </w:tabs>
              <w:ind w:firstLine="90"/>
              <w:jc w:val="both"/>
              <w:rPr>
                <w:rFonts w:eastAsia="Calibri"/>
              </w:rPr>
            </w:pPr>
            <w:r w:rsidRPr="00D90DAE">
              <w:rPr>
                <w:rFonts w:eastAsia="Calibri"/>
              </w:rPr>
              <w:t>@ Primary Voltage</w:t>
            </w:r>
          </w:p>
          <w:p w:rsidR="00027743" w:rsidRPr="00D90DAE" w:rsidRDefault="00027743" w:rsidP="005A12AB">
            <w:pPr>
              <w:keepNext/>
              <w:suppressLineNumbers/>
              <w:tabs>
                <w:tab w:val="left" w:pos="576"/>
                <w:tab w:val="left" w:pos="1440"/>
                <w:tab w:val="left" w:pos="1728"/>
                <w:tab w:val="left" w:pos="5904"/>
              </w:tabs>
              <w:ind w:firstLine="90"/>
              <w:jc w:val="both"/>
              <w:rPr>
                <w:rFonts w:eastAsia="Calibri"/>
              </w:rPr>
            </w:pPr>
            <w:r w:rsidRPr="00D90DAE">
              <w:rPr>
                <w:rFonts w:eastAsia="Calibri"/>
              </w:rPr>
              <w:t>@ Transmission Voltage</w:t>
            </w:r>
          </w:p>
        </w:tc>
        <w:tc>
          <w:tcPr>
            <w:tcW w:w="1980" w:type="dxa"/>
            <w:tcBorders>
              <w:top w:val="single" w:sz="4" w:space="0" w:color="auto"/>
              <w:left w:val="single" w:sz="4" w:space="0" w:color="auto"/>
              <w:bottom w:val="single" w:sz="4" w:space="0" w:color="auto"/>
              <w:right w:val="single" w:sz="4" w:space="0" w:color="auto"/>
            </w:tcBorders>
          </w:tcPr>
          <w:p w:rsidR="00027743" w:rsidRPr="00D90DAE" w:rsidRDefault="00027743" w:rsidP="005A12AB">
            <w:pPr>
              <w:keepNext/>
              <w:suppressLineNumbers/>
              <w:jc w:val="both"/>
              <w:rPr>
                <w:rFonts w:eastAsia="Calibri"/>
              </w:rPr>
            </w:pPr>
          </w:p>
          <w:p w:rsidR="00027743" w:rsidRPr="00D90DAE" w:rsidRDefault="00027743" w:rsidP="005A12AB">
            <w:pPr>
              <w:keepNext/>
              <w:suppressLineNumbers/>
              <w:jc w:val="both"/>
              <w:rPr>
                <w:rFonts w:eastAsia="Calibri"/>
              </w:rPr>
            </w:pPr>
            <w:r>
              <w:rPr>
                <w:rFonts w:eastAsia="Calibri"/>
              </w:rPr>
              <w:t xml:space="preserve">0.072 </w:t>
            </w:r>
            <w:r w:rsidRPr="00D90DAE">
              <w:rPr>
                <w:rFonts w:eastAsia="Calibri"/>
              </w:rPr>
              <w:t>cents/kWh</w:t>
            </w:r>
          </w:p>
          <w:p w:rsidR="00027743" w:rsidRPr="00D90DAE" w:rsidRDefault="00027743" w:rsidP="005A12AB">
            <w:pPr>
              <w:keepNext/>
              <w:suppressLineNumbers/>
              <w:jc w:val="both"/>
              <w:rPr>
                <w:rFonts w:eastAsia="Calibri"/>
              </w:rPr>
            </w:pPr>
            <w:r>
              <w:rPr>
                <w:rFonts w:eastAsia="Calibri"/>
              </w:rPr>
              <w:t xml:space="preserve">0.071 </w:t>
            </w:r>
            <w:r w:rsidRPr="00D90DAE">
              <w:rPr>
                <w:rFonts w:eastAsia="Calibri"/>
              </w:rPr>
              <w:t>cents/kWh</w:t>
            </w:r>
          </w:p>
          <w:p w:rsidR="00027743" w:rsidRPr="00D90DAE" w:rsidRDefault="00027743" w:rsidP="005A12AB">
            <w:pPr>
              <w:keepNext/>
              <w:suppressLineNumbers/>
              <w:jc w:val="both"/>
              <w:rPr>
                <w:rFonts w:eastAsia="Calibri"/>
              </w:rPr>
            </w:pPr>
            <w:r>
              <w:rPr>
                <w:rFonts w:eastAsia="Calibri"/>
              </w:rPr>
              <w:t xml:space="preserve">0.071 </w:t>
            </w:r>
            <w:r w:rsidRPr="00D90DAE">
              <w:rPr>
                <w:rFonts w:eastAsia="Calibri"/>
              </w:rPr>
              <w:t>cents/kWh</w:t>
            </w:r>
          </w:p>
        </w:tc>
      </w:tr>
      <w:tr w:rsidR="00027743" w:rsidRPr="00D90DAE" w:rsidTr="001A66B9">
        <w:trPr>
          <w:trHeight w:val="291"/>
          <w:jc w:val="center"/>
        </w:trPr>
        <w:tc>
          <w:tcPr>
            <w:tcW w:w="3348" w:type="dxa"/>
            <w:tcBorders>
              <w:top w:val="single" w:sz="4" w:space="0" w:color="auto"/>
              <w:left w:val="single" w:sz="4" w:space="0" w:color="auto"/>
              <w:bottom w:val="single" w:sz="4" w:space="0" w:color="auto"/>
              <w:right w:val="single" w:sz="4" w:space="0" w:color="auto"/>
            </w:tcBorders>
            <w:hideMark/>
          </w:tcPr>
          <w:p w:rsidR="00027743" w:rsidRPr="00D90DAE" w:rsidRDefault="00027743" w:rsidP="005A12AB">
            <w:pPr>
              <w:keepNext/>
              <w:suppressLineNumbers/>
              <w:tabs>
                <w:tab w:val="left" w:pos="576"/>
                <w:tab w:val="left" w:pos="1440"/>
                <w:tab w:val="left" w:pos="1728"/>
                <w:tab w:val="left" w:pos="5904"/>
              </w:tabs>
              <w:ind w:firstLine="90"/>
              <w:jc w:val="both"/>
              <w:rPr>
                <w:rFonts w:eastAsia="Calibri"/>
              </w:rPr>
            </w:pPr>
            <w:r w:rsidRPr="00D90DAE">
              <w:rPr>
                <w:rFonts w:eastAsia="Calibri"/>
              </w:rPr>
              <w:t>Interruptible</w:t>
            </w:r>
          </w:p>
          <w:p w:rsidR="00027743" w:rsidRPr="00D90DAE" w:rsidRDefault="00027743" w:rsidP="005A12AB">
            <w:pPr>
              <w:keepNext/>
              <w:suppressLineNumbers/>
              <w:tabs>
                <w:tab w:val="left" w:pos="576"/>
                <w:tab w:val="left" w:pos="1440"/>
                <w:tab w:val="left" w:pos="1728"/>
                <w:tab w:val="left" w:pos="5904"/>
              </w:tabs>
              <w:ind w:firstLine="90"/>
              <w:jc w:val="both"/>
              <w:rPr>
                <w:rFonts w:eastAsia="Calibri"/>
              </w:rPr>
            </w:pPr>
            <w:r w:rsidRPr="00D90DAE">
              <w:rPr>
                <w:rFonts w:eastAsia="Calibri"/>
              </w:rPr>
              <w:t>@ Secondary Voltage</w:t>
            </w:r>
          </w:p>
          <w:p w:rsidR="00027743" w:rsidRPr="00D90DAE" w:rsidRDefault="00027743" w:rsidP="005A12AB">
            <w:pPr>
              <w:keepNext/>
              <w:suppressLineNumbers/>
              <w:tabs>
                <w:tab w:val="left" w:pos="576"/>
                <w:tab w:val="left" w:pos="1440"/>
                <w:tab w:val="left" w:pos="1728"/>
                <w:tab w:val="left" w:pos="5904"/>
              </w:tabs>
              <w:ind w:firstLine="90"/>
              <w:jc w:val="both"/>
              <w:rPr>
                <w:rFonts w:eastAsia="Calibri"/>
              </w:rPr>
            </w:pPr>
            <w:r w:rsidRPr="00D90DAE">
              <w:rPr>
                <w:rFonts w:eastAsia="Calibri"/>
              </w:rPr>
              <w:t>@ Primary Voltage</w:t>
            </w:r>
          </w:p>
          <w:p w:rsidR="00027743" w:rsidRPr="00D90DAE" w:rsidRDefault="00027743" w:rsidP="005A12AB">
            <w:pPr>
              <w:keepNext/>
              <w:suppressLineNumbers/>
              <w:tabs>
                <w:tab w:val="left" w:pos="576"/>
                <w:tab w:val="left" w:pos="1440"/>
                <w:tab w:val="left" w:pos="1728"/>
                <w:tab w:val="left" w:pos="5904"/>
              </w:tabs>
              <w:ind w:firstLine="90"/>
              <w:jc w:val="both"/>
              <w:rPr>
                <w:rFonts w:eastAsia="Calibri"/>
              </w:rPr>
            </w:pPr>
            <w:r w:rsidRPr="00D90DAE">
              <w:rPr>
                <w:rFonts w:eastAsia="Calibri"/>
              </w:rPr>
              <w:t>@ Transmission Voltage</w:t>
            </w:r>
          </w:p>
        </w:tc>
        <w:tc>
          <w:tcPr>
            <w:tcW w:w="1980" w:type="dxa"/>
            <w:tcBorders>
              <w:top w:val="single" w:sz="4" w:space="0" w:color="auto"/>
              <w:left w:val="single" w:sz="4" w:space="0" w:color="auto"/>
              <w:bottom w:val="single" w:sz="4" w:space="0" w:color="auto"/>
              <w:right w:val="single" w:sz="4" w:space="0" w:color="auto"/>
            </w:tcBorders>
          </w:tcPr>
          <w:p w:rsidR="00027743" w:rsidRPr="00D90DAE" w:rsidRDefault="00027743" w:rsidP="005A12AB">
            <w:pPr>
              <w:keepNext/>
              <w:suppressLineNumbers/>
              <w:jc w:val="both"/>
              <w:rPr>
                <w:rFonts w:eastAsia="Calibri"/>
              </w:rPr>
            </w:pPr>
          </w:p>
          <w:p w:rsidR="00027743" w:rsidRPr="00D90DAE" w:rsidRDefault="00027743" w:rsidP="005A12AB">
            <w:pPr>
              <w:keepNext/>
              <w:suppressLineNumbers/>
              <w:jc w:val="both"/>
              <w:rPr>
                <w:rFonts w:eastAsia="Calibri"/>
              </w:rPr>
            </w:pPr>
            <w:r>
              <w:rPr>
                <w:rFonts w:eastAsia="Calibri"/>
              </w:rPr>
              <w:t xml:space="preserve">0.073 </w:t>
            </w:r>
            <w:r w:rsidRPr="00D90DAE">
              <w:rPr>
                <w:rFonts w:eastAsia="Calibri"/>
              </w:rPr>
              <w:t>cents/kWh</w:t>
            </w:r>
          </w:p>
          <w:p w:rsidR="00027743" w:rsidRPr="00D90DAE" w:rsidRDefault="00027743" w:rsidP="005A12AB">
            <w:pPr>
              <w:keepNext/>
              <w:suppressLineNumbers/>
              <w:jc w:val="both"/>
              <w:rPr>
                <w:rFonts w:eastAsia="Calibri"/>
              </w:rPr>
            </w:pPr>
            <w:r>
              <w:rPr>
                <w:rFonts w:eastAsia="Calibri"/>
              </w:rPr>
              <w:t xml:space="preserve">0.072 </w:t>
            </w:r>
            <w:r w:rsidRPr="00D90DAE">
              <w:rPr>
                <w:rFonts w:eastAsia="Calibri"/>
              </w:rPr>
              <w:t>cents/kWh</w:t>
            </w:r>
          </w:p>
          <w:p w:rsidR="00027743" w:rsidRPr="00D90DAE" w:rsidRDefault="00027743" w:rsidP="005A12AB">
            <w:pPr>
              <w:keepNext/>
              <w:suppressLineNumbers/>
              <w:jc w:val="both"/>
              <w:rPr>
                <w:rFonts w:eastAsia="Calibri"/>
              </w:rPr>
            </w:pPr>
            <w:r>
              <w:rPr>
                <w:rFonts w:eastAsia="Calibri"/>
              </w:rPr>
              <w:t xml:space="preserve">0.072 </w:t>
            </w:r>
            <w:r w:rsidRPr="00D90DAE">
              <w:rPr>
                <w:rFonts w:eastAsia="Calibri"/>
              </w:rPr>
              <w:t>cents/kWh</w:t>
            </w:r>
          </w:p>
        </w:tc>
      </w:tr>
      <w:tr w:rsidR="00027743" w:rsidRPr="00D90DAE" w:rsidTr="001A66B9">
        <w:trPr>
          <w:trHeight w:val="291"/>
          <w:jc w:val="center"/>
        </w:trPr>
        <w:tc>
          <w:tcPr>
            <w:tcW w:w="3348" w:type="dxa"/>
            <w:tcBorders>
              <w:top w:val="single" w:sz="4" w:space="0" w:color="auto"/>
              <w:left w:val="single" w:sz="4" w:space="0" w:color="auto"/>
              <w:bottom w:val="single" w:sz="4" w:space="0" w:color="auto"/>
              <w:right w:val="single" w:sz="4" w:space="0" w:color="auto"/>
            </w:tcBorders>
            <w:hideMark/>
          </w:tcPr>
          <w:p w:rsidR="00027743" w:rsidRPr="00D90DAE" w:rsidRDefault="00027743" w:rsidP="005A12AB">
            <w:pPr>
              <w:suppressLineNumbers/>
              <w:jc w:val="both"/>
              <w:rPr>
                <w:rFonts w:eastAsia="Calibri"/>
              </w:rPr>
            </w:pPr>
            <w:r w:rsidRPr="00D90DAE">
              <w:rPr>
                <w:rFonts w:eastAsia="Calibri"/>
              </w:rPr>
              <w:t>Lighting</w:t>
            </w:r>
          </w:p>
        </w:tc>
        <w:tc>
          <w:tcPr>
            <w:tcW w:w="1980" w:type="dxa"/>
            <w:tcBorders>
              <w:top w:val="single" w:sz="4" w:space="0" w:color="auto"/>
              <w:left w:val="single" w:sz="4" w:space="0" w:color="auto"/>
              <w:bottom w:val="single" w:sz="4" w:space="0" w:color="auto"/>
              <w:right w:val="single" w:sz="4" w:space="0" w:color="auto"/>
            </w:tcBorders>
            <w:hideMark/>
          </w:tcPr>
          <w:p w:rsidR="00027743" w:rsidRPr="00D90DAE" w:rsidRDefault="00027743" w:rsidP="005A12AB">
            <w:pPr>
              <w:suppressLineNumbers/>
              <w:jc w:val="both"/>
              <w:rPr>
                <w:rFonts w:eastAsia="Calibri"/>
              </w:rPr>
            </w:pPr>
            <w:r>
              <w:rPr>
                <w:rFonts w:eastAsia="Calibri"/>
              </w:rPr>
              <w:t xml:space="preserve">0.070 </w:t>
            </w:r>
            <w:r w:rsidRPr="00D90DAE">
              <w:rPr>
                <w:rFonts w:eastAsia="Calibri"/>
              </w:rPr>
              <w:t>cents/kWh</w:t>
            </w:r>
          </w:p>
        </w:tc>
      </w:tr>
    </w:tbl>
    <w:p w:rsidR="00027743" w:rsidRDefault="00027743" w:rsidP="00027743">
      <w:pPr>
        <w:spacing w:after="200" w:line="276" w:lineRule="auto"/>
        <w:ind w:right="-360"/>
        <w:jc w:val="both"/>
        <w:rPr>
          <w:rFonts w:eastAsia="Calibri"/>
          <w:b/>
          <w:bCs/>
          <w:sz w:val="22"/>
          <w:szCs w:val="22"/>
        </w:rPr>
      </w:pPr>
    </w:p>
    <w:p w:rsidR="00027743" w:rsidRPr="00D90DAE" w:rsidRDefault="00027743" w:rsidP="00B47111">
      <w:pPr>
        <w:ind w:right="-360"/>
        <w:jc w:val="center"/>
        <w:rPr>
          <w:rFonts w:eastAsia="Calibri"/>
          <w:b/>
          <w:bCs/>
        </w:rPr>
      </w:pPr>
      <w:r w:rsidRPr="00D90DAE">
        <w:rPr>
          <w:rFonts w:eastAsia="Calibri"/>
          <w:b/>
          <w:bCs/>
        </w:rPr>
        <w:t>TECO</w:t>
      </w:r>
    </w:p>
    <w:p w:rsidR="00027743" w:rsidRPr="00D90DAE" w:rsidRDefault="00027743" w:rsidP="00027743">
      <w:pPr>
        <w:ind w:left="720" w:right="-360" w:firstLine="720"/>
        <w:jc w:val="both"/>
        <w:rPr>
          <w:rFonts w:eastAsia="Calibri"/>
          <w:b/>
          <w:color w:val="000000" w:themeColor="text1"/>
          <w:u w:val="single"/>
        </w:rPr>
      </w:pPr>
      <w:r w:rsidRPr="00D90DAE">
        <w:rPr>
          <w:rFonts w:eastAsia="Calibri"/>
          <w:b/>
          <w:u w:val="single"/>
        </w:rPr>
        <w:t>Rate Class</w:t>
      </w:r>
      <w:r w:rsidRPr="00D90DAE">
        <w:rPr>
          <w:rFonts w:eastAsia="Calibri"/>
        </w:rPr>
        <w:tab/>
      </w:r>
      <w:r w:rsidRPr="00D90DAE">
        <w:rPr>
          <w:rFonts w:eastAsia="Calibri"/>
        </w:rPr>
        <w:tab/>
      </w:r>
      <w:r w:rsidRPr="00D90DAE">
        <w:rPr>
          <w:rFonts w:eastAsia="Calibri"/>
        </w:rPr>
        <w:tab/>
      </w:r>
      <w:r w:rsidRPr="00D90DAE">
        <w:rPr>
          <w:rFonts w:eastAsia="Calibri"/>
        </w:rPr>
        <w:tab/>
      </w:r>
      <w:r w:rsidRPr="00D90DAE">
        <w:rPr>
          <w:rFonts w:eastAsia="Calibri"/>
        </w:rPr>
        <w:tab/>
      </w:r>
      <w:r w:rsidRPr="00D90DAE">
        <w:rPr>
          <w:rFonts w:eastAsia="Calibri"/>
        </w:rPr>
        <w:tab/>
      </w:r>
      <w:r w:rsidRPr="00D90DAE">
        <w:rPr>
          <w:rFonts w:eastAsia="Calibri"/>
          <w:b/>
          <w:u w:val="single"/>
        </w:rPr>
        <w:t>Factor (¢/kWh</w:t>
      </w:r>
      <w:r w:rsidRPr="00D90DAE">
        <w:rPr>
          <w:rFonts w:eastAsia="Calibri"/>
          <w:b/>
          <w:color w:val="000000" w:themeColor="text1"/>
          <w:u w:val="single"/>
        </w:rPr>
        <w:t>)</w:t>
      </w:r>
    </w:p>
    <w:p w:rsidR="00027743" w:rsidRPr="00D90DAE" w:rsidRDefault="00027743" w:rsidP="00027743">
      <w:pPr>
        <w:ind w:left="720" w:right="-360" w:hanging="720"/>
        <w:jc w:val="both"/>
        <w:rPr>
          <w:rFonts w:eastAsia="Calibri"/>
          <w:b/>
          <w:u w:val="single"/>
        </w:rPr>
      </w:pPr>
    </w:p>
    <w:p w:rsidR="00027743" w:rsidRPr="00D90DAE" w:rsidRDefault="00027743" w:rsidP="00027743">
      <w:pPr>
        <w:tabs>
          <w:tab w:val="left" w:pos="-1440"/>
          <w:tab w:val="left" w:pos="-720"/>
          <w:tab w:val="left" w:pos="720"/>
          <w:tab w:val="left" w:pos="1440"/>
          <w:tab w:val="left" w:pos="7200"/>
        </w:tabs>
        <w:ind w:right="-360" w:firstLine="1440"/>
        <w:jc w:val="both"/>
        <w:rPr>
          <w:rFonts w:eastAsia="Calibri"/>
        </w:rPr>
      </w:pPr>
      <w:r w:rsidRPr="00D90DAE">
        <w:rPr>
          <w:rFonts w:eastAsia="Calibri"/>
        </w:rPr>
        <w:t>RS</w:t>
      </w:r>
      <w:r w:rsidRPr="00D90DAE">
        <w:rPr>
          <w:rFonts w:eastAsia="Calibri"/>
        </w:rPr>
        <w:tab/>
      </w:r>
      <w:r>
        <w:rPr>
          <w:rFonts w:eastAsia="Calibri"/>
        </w:rPr>
        <w:t>0.244</w:t>
      </w:r>
    </w:p>
    <w:p w:rsidR="00027743" w:rsidRPr="00D90DAE" w:rsidRDefault="00027743" w:rsidP="00027743">
      <w:pPr>
        <w:tabs>
          <w:tab w:val="left" w:pos="-1440"/>
          <w:tab w:val="left" w:pos="-720"/>
          <w:tab w:val="left" w:pos="720"/>
          <w:tab w:val="left" w:pos="1440"/>
          <w:tab w:val="left" w:pos="7200"/>
        </w:tabs>
        <w:ind w:right="-360" w:firstLine="1440"/>
        <w:jc w:val="both"/>
        <w:rPr>
          <w:rFonts w:eastAsia="Calibri"/>
        </w:rPr>
      </w:pPr>
      <w:r w:rsidRPr="00D90DAE">
        <w:rPr>
          <w:rFonts w:eastAsia="Calibri"/>
        </w:rPr>
        <w:t>GS, CS</w:t>
      </w:r>
      <w:r w:rsidRPr="00D90DAE">
        <w:rPr>
          <w:rFonts w:eastAsia="Calibri"/>
        </w:rPr>
        <w:tab/>
      </w:r>
      <w:r>
        <w:rPr>
          <w:rFonts w:eastAsia="Calibri"/>
        </w:rPr>
        <w:t>0.244</w:t>
      </w:r>
    </w:p>
    <w:p w:rsidR="00027743" w:rsidRPr="00D90DAE" w:rsidRDefault="00027743" w:rsidP="00027743">
      <w:pPr>
        <w:tabs>
          <w:tab w:val="left" w:pos="-1440"/>
          <w:tab w:val="left" w:pos="-720"/>
          <w:tab w:val="left" w:pos="720"/>
          <w:tab w:val="left" w:pos="1440"/>
          <w:tab w:val="left" w:pos="6840"/>
        </w:tabs>
        <w:ind w:right="-360" w:firstLine="1440"/>
        <w:jc w:val="both"/>
        <w:rPr>
          <w:rFonts w:eastAsia="Calibri"/>
        </w:rPr>
      </w:pPr>
      <w:r w:rsidRPr="00D90DAE">
        <w:rPr>
          <w:rFonts w:eastAsia="Calibri"/>
        </w:rPr>
        <w:t>GSD, SBF</w:t>
      </w:r>
    </w:p>
    <w:p w:rsidR="00027743" w:rsidRPr="00D90DAE" w:rsidRDefault="00027743" w:rsidP="00027743">
      <w:pPr>
        <w:tabs>
          <w:tab w:val="left" w:pos="-1440"/>
          <w:tab w:val="left" w:pos="-720"/>
          <w:tab w:val="left" w:pos="720"/>
          <w:tab w:val="left" w:pos="1440"/>
          <w:tab w:val="left" w:pos="1800"/>
          <w:tab w:val="left" w:pos="7200"/>
        </w:tabs>
        <w:ind w:right="-360"/>
        <w:jc w:val="both"/>
        <w:rPr>
          <w:rFonts w:eastAsia="Calibri"/>
        </w:rPr>
      </w:pPr>
      <w:r w:rsidRPr="00D90DAE">
        <w:rPr>
          <w:rFonts w:eastAsia="Calibri"/>
        </w:rPr>
        <w:tab/>
      </w:r>
      <w:r w:rsidRPr="00D90DAE">
        <w:rPr>
          <w:rFonts w:eastAsia="Calibri"/>
        </w:rPr>
        <w:tab/>
      </w:r>
      <w:r w:rsidRPr="00D90DAE">
        <w:rPr>
          <w:rFonts w:eastAsia="Calibri"/>
        </w:rPr>
        <w:tab/>
        <w:t>Secondary</w:t>
      </w:r>
      <w:r w:rsidRPr="00D90DAE">
        <w:rPr>
          <w:rFonts w:eastAsia="Calibri"/>
        </w:rPr>
        <w:tab/>
      </w:r>
      <w:r>
        <w:rPr>
          <w:rFonts w:eastAsia="Calibri"/>
        </w:rPr>
        <w:t>0.243</w:t>
      </w:r>
    </w:p>
    <w:p w:rsidR="00027743" w:rsidRPr="00D90DAE" w:rsidRDefault="00027743" w:rsidP="00027743">
      <w:pPr>
        <w:tabs>
          <w:tab w:val="left" w:pos="-1440"/>
          <w:tab w:val="left" w:pos="-720"/>
          <w:tab w:val="left" w:pos="720"/>
          <w:tab w:val="left" w:pos="1440"/>
          <w:tab w:val="left" w:pos="1800"/>
          <w:tab w:val="left" w:pos="7200"/>
        </w:tabs>
        <w:ind w:right="-360"/>
        <w:jc w:val="both"/>
        <w:rPr>
          <w:rFonts w:eastAsia="Calibri"/>
        </w:rPr>
      </w:pPr>
      <w:r w:rsidRPr="00D90DAE">
        <w:rPr>
          <w:rFonts w:eastAsia="Calibri"/>
        </w:rPr>
        <w:tab/>
      </w:r>
      <w:r w:rsidRPr="00D90DAE">
        <w:rPr>
          <w:rFonts w:eastAsia="Calibri"/>
        </w:rPr>
        <w:tab/>
      </w:r>
      <w:r w:rsidRPr="00D90DAE">
        <w:rPr>
          <w:rFonts w:eastAsia="Calibri"/>
        </w:rPr>
        <w:tab/>
        <w:t>Primary</w:t>
      </w:r>
      <w:r w:rsidRPr="00D90DAE">
        <w:rPr>
          <w:rFonts w:eastAsia="Calibri"/>
        </w:rPr>
        <w:tab/>
      </w:r>
      <w:r>
        <w:rPr>
          <w:rFonts w:eastAsia="Calibri"/>
        </w:rPr>
        <w:t>0.241</w:t>
      </w:r>
    </w:p>
    <w:p w:rsidR="00027743" w:rsidRPr="00D90DAE" w:rsidRDefault="00027743" w:rsidP="00027743">
      <w:pPr>
        <w:tabs>
          <w:tab w:val="left" w:pos="-1440"/>
          <w:tab w:val="left" w:pos="-720"/>
          <w:tab w:val="left" w:pos="720"/>
          <w:tab w:val="left" w:pos="1440"/>
          <w:tab w:val="left" w:pos="1800"/>
          <w:tab w:val="left" w:pos="7200"/>
        </w:tabs>
        <w:ind w:right="-360"/>
        <w:jc w:val="both"/>
        <w:rPr>
          <w:rFonts w:eastAsia="Calibri"/>
        </w:rPr>
      </w:pPr>
      <w:r w:rsidRPr="00D90DAE">
        <w:rPr>
          <w:rFonts w:eastAsia="Calibri"/>
        </w:rPr>
        <w:tab/>
      </w:r>
      <w:r w:rsidRPr="00D90DAE">
        <w:rPr>
          <w:rFonts w:eastAsia="Calibri"/>
        </w:rPr>
        <w:tab/>
      </w:r>
      <w:r w:rsidRPr="00D90DAE">
        <w:rPr>
          <w:rFonts w:eastAsia="Calibri"/>
        </w:rPr>
        <w:tab/>
        <w:t>Transmission</w:t>
      </w:r>
      <w:r w:rsidRPr="00D90DAE">
        <w:rPr>
          <w:rFonts w:eastAsia="Calibri"/>
        </w:rPr>
        <w:tab/>
      </w:r>
      <w:r>
        <w:rPr>
          <w:rFonts w:eastAsia="Calibri"/>
        </w:rPr>
        <w:t>0.238</w:t>
      </w:r>
    </w:p>
    <w:p w:rsidR="00027743" w:rsidRPr="00D90DAE" w:rsidRDefault="00027743" w:rsidP="00027743">
      <w:pPr>
        <w:tabs>
          <w:tab w:val="left" w:pos="4590"/>
          <w:tab w:val="left" w:pos="6660"/>
          <w:tab w:val="left" w:pos="6840"/>
        </w:tabs>
        <w:ind w:right="-360" w:firstLine="1440"/>
        <w:jc w:val="both"/>
        <w:rPr>
          <w:rFonts w:eastAsia="Calibri"/>
        </w:rPr>
      </w:pPr>
      <w:r w:rsidRPr="00D90DAE">
        <w:rPr>
          <w:rFonts w:eastAsia="Calibri"/>
        </w:rPr>
        <w:t>IS</w:t>
      </w:r>
    </w:p>
    <w:p w:rsidR="00027743" w:rsidRPr="00D90DAE" w:rsidRDefault="00027743" w:rsidP="00027743">
      <w:pPr>
        <w:tabs>
          <w:tab w:val="left" w:pos="1800"/>
          <w:tab w:val="left" w:pos="4590"/>
          <w:tab w:val="left" w:pos="6840"/>
        </w:tabs>
        <w:ind w:right="-360" w:firstLine="1440"/>
        <w:jc w:val="both"/>
        <w:rPr>
          <w:rFonts w:eastAsia="Calibri"/>
        </w:rPr>
      </w:pPr>
      <w:r w:rsidRPr="00D90DAE">
        <w:rPr>
          <w:rFonts w:eastAsia="Calibri"/>
        </w:rPr>
        <w:tab/>
        <w:t>Secondary</w:t>
      </w:r>
      <w:r w:rsidRPr="00D90DAE">
        <w:rPr>
          <w:rFonts w:eastAsia="Calibri"/>
        </w:rPr>
        <w:tab/>
      </w:r>
      <w:r w:rsidRPr="00D90DAE">
        <w:rPr>
          <w:rFonts w:eastAsia="Calibri"/>
        </w:rPr>
        <w:tab/>
      </w:r>
      <w:r w:rsidRPr="00D90DAE">
        <w:rPr>
          <w:rFonts w:eastAsia="Calibri"/>
        </w:rPr>
        <w:tab/>
      </w:r>
      <w:r>
        <w:rPr>
          <w:rFonts w:eastAsia="Calibri"/>
        </w:rPr>
        <w:t>0.239</w:t>
      </w:r>
    </w:p>
    <w:p w:rsidR="00027743" w:rsidRPr="00D90DAE" w:rsidRDefault="00027743" w:rsidP="00027743">
      <w:pPr>
        <w:tabs>
          <w:tab w:val="left" w:pos="1800"/>
          <w:tab w:val="left" w:pos="4590"/>
          <w:tab w:val="left" w:pos="6840"/>
        </w:tabs>
        <w:ind w:right="-360" w:firstLine="1440"/>
        <w:jc w:val="both"/>
        <w:rPr>
          <w:rFonts w:eastAsia="Calibri"/>
        </w:rPr>
      </w:pPr>
      <w:r w:rsidRPr="00D90DAE">
        <w:rPr>
          <w:rFonts w:eastAsia="Calibri"/>
        </w:rPr>
        <w:tab/>
        <w:t>Primary</w:t>
      </w:r>
      <w:r w:rsidRPr="00D90DAE">
        <w:rPr>
          <w:rFonts w:eastAsia="Calibri"/>
        </w:rPr>
        <w:tab/>
      </w:r>
      <w:r w:rsidRPr="00D90DAE">
        <w:rPr>
          <w:rFonts w:eastAsia="Calibri"/>
        </w:rPr>
        <w:tab/>
      </w:r>
      <w:r w:rsidRPr="00D90DAE">
        <w:rPr>
          <w:rFonts w:eastAsia="Calibri"/>
        </w:rPr>
        <w:tab/>
      </w:r>
      <w:r>
        <w:rPr>
          <w:rFonts w:eastAsia="Calibri"/>
        </w:rPr>
        <w:t>0.237</w:t>
      </w:r>
    </w:p>
    <w:p w:rsidR="00027743" w:rsidRPr="00D90DAE" w:rsidRDefault="00027743" w:rsidP="00027743">
      <w:pPr>
        <w:tabs>
          <w:tab w:val="left" w:pos="1800"/>
          <w:tab w:val="left" w:pos="4590"/>
          <w:tab w:val="left" w:pos="6840"/>
        </w:tabs>
        <w:ind w:right="-360" w:firstLine="1440"/>
        <w:jc w:val="both"/>
        <w:rPr>
          <w:rFonts w:eastAsia="Calibri"/>
        </w:rPr>
      </w:pPr>
      <w:r w:rsidRPr="00D90DAE">
        <w:rPr>
          <w:rFonts w:eastAsia="Calibri"/>
        </w:rPr>
        <w:tab/>
        <w:t>Transmission</w:t>
      </w:r>
      <w:r w:rsidRPr="00D90DAE">
        <w:rPr>
          <w:rFonts w:eastAsia="Calibri"/>
        </w:rPr>
        <w:tab/>
      </w:r>
      <w:r w:rsidRPr="00D90DAE">
        <w:rPr>
          <w:rFonts w:eastAsia="Calibri"/>
        </w:rPr>
        <w:tab/>
      </w:r>
      <w:r w:rsidRPr="00D90DAE">
        <w:rPr>
          <w:rFonts w:eastAsia="Calibri"/>
        </w:rPr>
        <w:tab/>
      </w:r>
      <w:r>
        <w:rPr>
          <w:rFonts w:eastAsia="Calibri"/>
        </w:rPr>
        <w:t>0.234</w:t>
      </w:r>
    </w:p>
    <w:p w:rsidR="00027743" w:rsidRPr="00D90DAE" w:rsidRDefault="00027743" w:rsidP="00027743">
      <w:pPr>
        <w:tabs>
          <w:tab w:val="left" w:pos="1800"/>
          <w:tab w:val="left" w:pos="4590"/>
          <w:tab w:val="left" w:pos="6840"/>
        </w:tabs>
        <w:ind w:right="-360" w:firstLine="1440"/>
        <w:jc w:val="both"/>
        <w:rPr>
          <w:rFonts w:eastAsia="Calibri"/>
        </w:rPr>
      </w:pPr>
    </w:p>
    <w:p w:rsidR="00027743" w:rsidRPr="00D90DAE" w:rsidRDefault="00027743" w:rsidP="00027743">
      <w:pPr>
        <w:tabs>
          <w:tab w:val="left" w:pos="-1440"/>
          <w:tab w:val="left" w:pos="-720"/>
          <w:tab w:val="left" w:pos="720"/>
          <w:tab w:val="left" w:pos="1440"/>
          <w:tab w:val="left" w:pos="7200"/>
        </w:tabs>
        <w:ind w:right="-360" w:firstLine="1440"/>
        <w:jc w:val="both"/>
        <w:rPr>
          <w:rFonts w:eastAsia="Calibri"/>
        </w:rPr>
      </w:pPr>
      <w:r w:rsidRPr="00D90DAE">
        <w:rPr>
          <w:rFonts w:eastAsia="Calibri"/>
        </w:rPr>
        <w:t>LS1</w:t>
      </w:r>
      <w:r w:rsidRPr="00D90DAE">
        <w:rPr>
          <w:rFonts w:eastAsia="Calibri"/>
        </w:rPr>
        <w:tab/>
      </w:r>
      <w:r>
        <w:rPr>
          <w:rFonts w:eastAsia="Calibri"/>
        </w:rPr>
        <w:t>0.241</w:t>
      </w:r>
    </w:p>
    <w:p w:rsidR="00027743" w:rsidRPr="00D90DAE" w:rsidRDefault="00027743" w:rsidP="00027743">
      <w:pPr>
        <w:tabs>
          <w:tab w:val="left" w:pos="-1440"/>
          <w:tab w:val="left" w:pos="-720"/>
          <w:tab w:val="left" w:pos="720"/>
          <w:tab w:val="left" w:pos="1440"/>
          <w:tab w:val="left" w:pos="7200"/>
        </w:tabs>
        <w:ind w:right="-360" w:firstLine="1440"/>
        <w:jc w:val="both"/>
        <w:rPr>
          <w:rFonts w:eastAsia="Calibri"/>
        </w:rPr>
      </w:pPr>
    </w:p>
    <w:p w:rsidR="00027743" w:rsidRDefault="00027743" w:rsidP="00027743">
      <w:pPr>
        <w:tabs>
          <w:tab w:val="left" w:pos="-1440"/>
          <w:tab w:val="left" w:pos="-720"/>
          <w:tab w:val="left" w:pos="720"/>
          <w:tab w:val="left" w:pos="1440"/>
          <w:tab w:val="left" w:pos="7200"/>
          <w:tab w:val="right" w:pos="8640"/>
        </w:tabs>
        <w:ind w:right="-360" w:firstLine="1440"/>
        <w:jc w:val="both"/>
      </w:pPr>
      <w:r w:rsidRPr="00D90DAE">
        <w:t>Average Factor</w:t>
      </w:r>
      <w:r w:rsidRPr="00D90DAE">
        <w:tab/>
      </w:r>
      <w:r>
        <w:t>0.244</w:t>
      </w:r>
    </w:p>
    <w:p w:rsidR="00027743" w:rsidRDefault="00027743" w:rsidP="00027743">
      <w:pPr>
        <w:tabs>
          <w:tab w:val="left" w:pos="-1440"/>
          <w:tab w:val="left" w:pos="-720"/>
          <w:tab w:val="left" w:pos="720"/>
          <w:tab w:val="left" w:pos="1440"/>
          <w:tab w:val="left" w:pos="7200"/>
          <w:tab w:val="right" w:pos="8640"/>
        </w:tabs>
        <w:ind w:right="-360"/>
        <w:jc w:val="both"/>
      </w:pPr>
    </w:p>
    <w:p w:rsidR="007C79E3" w:rsidRDefault="007C79E3" w:rsidP="00B47111">
      <w:pPr>
        <w:tabs>
          <w:tab w:val="left" w:pos="-1440"/>
          <w:tab w:val="left" w:pos="-720"/>
          <w:tab w:val="left" w:pos="720"/>
          <w:tab w:val="left" w:pos="1440"/>
          <w:tab w:val="left" w:pos="7200"/>
          <w:tab w:val="right" w:pos="8640"/>
        </w:tabs>
        <w:ind w:right="-360"/>
        <w:jc w:val="center"/>
        <w:rPr>
          <w:rFonts w:eastAsia="Calibri"/>
          <w:b/>
          <w:bCs/>
        </w:rPr>
      </w:pPr>
    </w:p>
    <w:p w:rsidR="00027743" w:rsidRDefault="000D3A5F" w:rsidP="00B47111">
      <w:pPr>
        <w:tabs>
          <w:tab w:val="left" w:pos="-1440"/>
          <w:tab w:val="left" w:pos="-720"/>
          <w:tab w:val="left" w:pos="720"/>
          <w:tab w:val="left" w:pos="1440"/>
          <w:tab w:val="left" w:pos="7200"/>
          <w:tab w:val="right" w:pos="8640"/>
        </w:tabs>
        <w:ind w:right="-360"/>
        <w:jc w:val="center"/>
        <w:rPr>
          <w:rFonts w:eastAsia="Calibri"/>
          <w:b/>
          <w:bCs/>
        </w:rPr>
      </w:pPr>
      <w:r>
        <w:rPr>
          <w:rFonts w:eastAsia="Calibri"/>
          <w:b/>
          <w:bCs/>
        </w:rPr>
        <w:lastRenderedPageBreak/>
        <w:t>Gulf</w:t>
      </w:r>
    </w:p>
    <w:p w:rsidR="007C79E3" w:rsidRPr="00B65DE8" w:rsidRDefault="007C79E3" w:rsidP="00B47111">
      <w:pPr>
        <w:tabs>
          <w:tab w:val="left" w:pos="-1440"/>
          <w:tab w:val="left" w:pos="-720"/>
          <w:tab w:val="left" w:pos="720"/>
          <w:tab w:val="left" w:pos="1440"/>
          <w:tab w:val="left" w:pos="7200"/>
          <w:tab w:val="right" w:pos="8640"/>
        </w:tabs>
        <w:ind w:right="-360"/>
        <w:jc w:val="center"/>
      </w:pPr>
    </w:p>
    <w:tbl>
      <w:tblPr>
        <w:tblW w:w="0" w:type="auto"/>
        <w:tblInd w:w="1810" w:type="dxa"/>
        <w:tblLayout w:type="fixed"/>
        <w:tblCellMar>
          <w:left w:w="100" w:type="dxa"/>
          <w:right w:w="100" w:type="dxa"/>
        </w:tblCellMar>
        <w:tblLook w:val="04A0" w:firstRow="1" w:lastRow="0" w:firstColumn="1" w:lastColumn="0" w:noHBand="0" w:noVBand="1"/>
      </w:tblPr>
      <w:tblGrid>
        <w:gridCol w:w="2754"/>
        <w:gridCol w:w="3366"/>
      </w:tblGrid>
      <w:tr w:rsidR="00027743" w:rsidRPr="00080491" w:rsidTr="005A12AB">
        <w:trPr>
          <w:cantSplit/>
          <w:trHeight w:val="876"/>
        </w:trPr>
        <w:tc>
          <w:tcPr>
            <w:tcW w:w="2754" w:type="dxa"/>
            <w:tcBorders>
              <w:top w:val="single" w:sz="6" w:space="0" w:color="auto"/>
              <w:left w:val="single" w:sz="6" w:space="0" w:color="auto"/>
              <w:bottom w:val="single" w:sz="6" w:space="0" w:color="auto"/>
              <w:right w:val="single" w:sz="6" w:space="0" w:color="auto"/>
            </w:tcBorders>
          </w:tcPr>
          <w:p w:rsidR="00027743" w:rsidRPr="00D90DAE" w:rsidRDefault="00027743" w:rsidP="005A12AB">
            <w:pPr>
              <w:jc w:val="both"/>
              <w:rPr>
                <w:rFonts w:eastAsia="Calibri"/>
                <w:b/>
                <w:bCs/>
              </w:rPr>
            </w:pPr>
          </w:p>
          <w:p w:rsidR="00027743" w:rsidRPr="00080491" w:rsidRDefault="00027743" w:rsidP="005A12AB">
            <w:pPr>
              <w:jc w:val="both"/>
              <w:rPr>
                <w:rFonts w:eastAsia="Calibri"/>
                <w:b/>
                <w:bCs/>
              </w:rPr>
            </w:pPr>
            <w:r w:rsidRPr="00080491">
              <w:rPr>
                <w:rFonts w:eastAsia="Calibri"/>
                <w:b/>
                <w:bCs/>
              </w:rPr>
              <w:t>RATE</w:t>
            </w:r>
          </w:p>
          <w:p w:rsidR="00027743" w:rsidRPr="00080491" w:rsidRDefault="00027743" w:rsidP="005A12AB">
            <w:pPr>
              <w:jc w:val="both"/>
              <w:rPr>
                <w:rFonts w:eastAsia="Calibri"/>
              </w:rPr>
            </w:pPr>
            <w:r w:rsidRPr="00080491">
              <w:rPr>
                <w:rFonts w:eastAsia="Calibri"/>
                <w:b/>
                <w:bCs/>
              </w:rPr>
              <w:t>CLASS</w:t>
            </w:r>
          </w:p>
        </w:tc>
        <w:tc>
          <w:tcPr>
            <w:tcW w:w="3366" w:type="dxa"/>
            <w:tcBorders>
              <w:top w:val="single" w:sz="6" w:space="0" w:color="auto"/>
              <w:left w:val="single" w:sz="6" w:space="0" w:color="auto"/>
              <w:bottom w:val="single" w:sz="6" w:space="0" w:color="auto"/>
              <w:right w:val="single" w:sz="6" w:space="0" w:color="auto"/>
            </w:tcBorders>
            <w:hideMark/>
          </w:tcPr>
          <w:p w:rsidR="00027743" w:rsidRPr="00080491" w:rsidRDefault="00027743" w:rsidP="005A12AB">
            <w:pPr>
              <w:jc w:val="both"/>
              <w:rPr>
                <w:rFonts w:eastAsia="Calibri"/>
              </w:rPr>
            </w:pPr>
            <w:r w:rsidRPr="00080491">
              <w:rPr>
                <w:rFonts w:eastAsia="Calibri"/>
                <w:b/>
                <w:bCs/>
              </w:rPr>
              <w:t>ENVIRONMENTAL COST RECOVERY FACTORS</w:t>
            </w:r>
          </w:p>
          <w:p w:rsidR="00027743" w:rsidRPr="00080491" w:rsidRDefault="00027743" w:rsidP="005A12AB">
            <w:pPr>
              <w:jc w:val="both"/>
              <w:rPr>
                <w:rFonts w:eastAsia="Calibri"/>
              </w:rPr>
            </w:pPr>
            <w:r w:rsidRPr="00080491">
              <w:rPr>
                <w:rFonts w:eastAsia="Calibri"/>
                <w:b/>
                <w:bCs/>
              </w:rPr>
              <w:t>¢/kWh</w:t>
            </w:r>
          </w:p>
        </w:tc>
      </w:tr>
      <w:tr w:rsidR="00027743" w:rsidRPr="00080491" w:rsidTr="005A12AB">
        <w:trPr>
          <w:cantSplit/>
          <w:trHeight w:val="291"/>
        </w:trPr>
        <w:tc>
          <w:tcPr>
            <w:tcW w:w="2754" w:type="dxa"/>
            <w:tcBorders>
              <w:top w:val="single" w:sz="6" w:space="0" w:color="auto"/>
              <w:left w:val="single" w:sz="6" w:space="0" w:color="auto"/>
              <w:bottom w:val="single" w:sz="6" w:space="0" w:color="auto"/>
              <w:right w:val="single" w:sz="6" w:space="0" w:color="auto"/>
            </w:tcBorders>
            <w:hideMark/>
          </w:tcPr>
          <w:p w:rsidR="00027743" w:rsidRPr="00080491" w:rsidRDefault="00027743" w:rsidP="005A12AB">
            <w:pPr>
              <w:jc w:val="both"/>
              <w:rPr>
                <w:rFonts w:eastAsia="Calibri"/>
              </w:rPr>
            </w:pPr>
            <w:r w:rsidRPr="00080491">
              <w:rPr>
                <w:rFonts w:eastAsia="Calibri"/>
              </w:rPr>
              <w:t>RS, RSVP, RSTOU</w:t>
            </w:r>
          </w:p>
        </w:tc>
        <w:tc>
          <w:tcPr>
            <w:tcW w:w="3366" w:type="dxa"/>
            <w:tcBorders>
              <w:top w:val="single" w:sz="6" w:space="0" w:color="auto"/>
              <w:left w:val="single" w:sz="6" w:space="0" w:color="auto"/>
              <w:bottom w:val="single" w:sz="6" w:space="0" w:color="auto"/>
              <w:right w:val="single" w:sz="6" w:space="0" w:color="auto"/>
            </w:tcBorders>
          </w:tcPr>
          <w:p w:rsidR="00027743" w:rsidRPr="00080491" w:rsidRDefault="00027743" w:rsidP="005A12AB">
            <w:pPr>
              <w:jc w:val="both"/>
              <w:rPr>
                <w:rFonts w:eastAsia="Calibri"/>
              </w:rPr>
            </w:pPr>
            <w:r w:rsidRPr="00080491">
              <w:rPr>
                <w:rFonts w:eastAsia="Calibri"/>
              </w:rPr>
              <w:t>1.886</w:t>
            </w:r>
          </w:p>
        </w:tc>
      </w:tr>
      <w:tr w:rsidR="00027743" w:rsidRPr="00080491" w:rsidTr="005A12AB">
        <w:trPr>
          <w:cantSplit/>
          <w:trHeight w:val="291"/>
        </w:trPr>
        <w:tc>
          <w:tcPr>
            <w:tcW w:w="2754" w:type="dxa"/>
            <w:tcBorders>
              <w:top w:val="single" w:sz="6" w:space="0" w:color="auto"/>
              <w:left w:val="single" w:sz="6" w:space="0" w:color="auto"/>
              <w:bottom w:val="single" w:sz="6" w:space="0" w:color="auto"/>
              <w:right w:val="single" w:sz="6" w:space="0" w:color="auto"/>
            </w:tcBorders>
            <w:hideMark/>
          </w:tcPr>
          <w:p w:rsidR="00027743" w:rsidRPr="00080491" w:rsidRDefault="00027743" w:rsidP="005A12AB">
            <w:pPr>
              <w:jc w:val="both"/>
              <w:rPr>
                <w:rFonts w:eastAsia="Calibri"/>
              </w:rPr>
            </w:pPr>
            <w:r w:rsidRPr="00080491">
              <w:rPr>
                <w:rFonts w:eastAsia="Calibri"/>
              </w:rPr>
              <w:t>GS</w:t>
            </w:r>
          </w:p>
        </w:tc>
        <w:tc>
          <w:tcPr>
            <w:tcW w:w="3366" w:type="dxa"/>
            <w:tcBorders>
              <w:top w:val="single" w:sz="6" w:space="0" w:color="auto"/>
              <w:left w:val="single" w:sz="6" w:space="0" w:color="auto"/>
              <w:bottom w:val="single" w:sz="6" w:space="0" w:color="auto"/>
              <w:right w:val="single" w:sz="6" w:space="0" w:color="auto"/>
            </w:tcBorders>
          </w:tcPr>
          <w:p w:rsidR="00027743" w:rsidRPr="00080491" w:rsidRDefault="00027743" w:rsidP="005A12AB">
            <w:pPr>
              <w:jc w:val="both"/>
              <w:rPr>
                <w:rFonts w:eastAsia="Calibri"/>
              </w:rPr>
            </w:pPr>
            <w:r w:rsidRPr="00080491">
              <w:rPr>
                <w:rFonts w:eastAsia="Calibri"/>
              </w:rPr>
              <w:t>1.915</w:t>
            </w:r>
          </w:p>
        </w:tc>
      </w:tr>
      <w:tr w:rsidR="00027743" w:rsidRPr="00080491" w:rsidTr="005A12AB">
        <w:trPr>
          <w:cantSplit/>
          <w:trHeight w:val="291"/>
        </w:trPr>
        <w:tc>
          <w:tcPr>
            <w:tcW w:w="2754" w:type="dxa"/>
            <w:tcBorders>
              <w:top w:val="single" w:sz="6" w:space="0" w:color="auto"/>
              <w:left w:val="single" w:sz="6" w:space="0" w:color="auto"/>
              <w:bottom w:val="single" w:sz="6" w:space="0" w:color="auto"/>
              <w:right w:val="single" w:sz="6" w:space="0" w:color="auto"/>
            </w:tcBorders>
            <w:hideMark/>
          </w:tcPr>
          <w:p w:rsidR="00027743" w:rsidRPr="00080491" w:rsidRDefault="00027743" w:rsidP="005A12AB">
            <w:pPr>
              <w:jc w:val="both"/>
              <w:rPr>
                <w:rFonts w:eastAsia="Calibri"/>
              </w:rPr>
            </w:pPr>
            <w:r w:rsidRPr="00080491">
              <w:rPr>
                <w:rFonts w:eastAsia="Calibri"/>
              </w:rPr>
              <w:t>GSD, GSDT, GSTOU</w:t>
            </w:r>
          </w:p>
        </w:tc>
        <w:tc>
          <w:tcPr>
            <w:tcW w:w="3366" w:type="dxa"/>
            <w:tcBorders>
              <w:top w:val="single" w:sz="6" w:space="0" w:color="auto"/>
              <w:left w:val="single" w:sz="6" w:space="0" w:color="auto"/>
              <w:bottom w:val="single" w:sz="6" w:space="0" w:color="auto"/>
              <w:right w:val="single" w:sz="6" w:space="0" w:color="auto"/>
            </w:tcBorders>
          </w:tcPr>
          <w:p w:rsidR="00027743" w:rsidRPr="00080491" w:rsidRDefault="00027743" w:rsidP="005A12AB">
            <w:pPr>
              <w:jc w:val="both"/>
              <w:rPr>
                <w:rFonts w:eastAsia="Calibri"/>
              </w:rPr>
            </w:pPr>
            <w:r w:rsidRPr="00080491">
              <w:rPr>
                <w:rFonts w:eastAsia="Calibri"/>
              </w:rPr>
              <w:t>1.543</w:t>
            </w:r>
          </w:p>
        </w:tc>
      </w:tr>
      <w:tr w:rsidR="00027743" w:rsidRPr="00080491" w:rsidTr="005A12AB">
        <w:trPr>
          <w:cantSplit/>
          <w:trHeight w:val="291"/>
        </w:trPr>
        <w:tc>
          <w:tcPr>
            <w:tcW w:w="2754" w:type="dxa"/>
            <w:tcBorders>
              <w:top w:val="single" w:sz="6" w:space="0" w:color="auto"/>
              <w:left w:val="single" w:sz="6" w:space="0" w:color="auto"/>
              <w:bottom w:val="single" w:sz="6" w:space="0" w:color="auto"/>
              <w:right w:val="single" w:sz="6" w:space="0" w:color="auto"/>
            </w:tcBorders>
            <w:hideMark/>
          </w:tcPr>
          <w:p w:rsidR="00027743" w:rsidRPr="00080491" w:rsidRDefault="00027743" w:rsidP="005A12AB">
            <w:pPr>
              <w:jc w:val="both"/>
              <w:rPr>
                <w:rFonts w:eastAsia="Calibri"/>
              </w:rPr>
            </w:pPr>
            <w:r w:rsidRPr="00080491">
              <w:rPr>
                <w:rFonts w:eastAsia="Calibri"/>
              </w:rPr>
              <w:t>LP, LPT</w:t>
            </w:r>
          </w:p>
        </w:tc>
        <w:tc>
          <w:tcPr>
            <w:tcW w:w="3366" w:type="dxa"/>
            <w:tcBorders>
              <w:top w:val="single" w:sz="6" w:space="0" w:color="auto"/>
              <w:left w:val="single" w:sz="6" w:space="0" w:color="auto"/>
              <w:bottom w:val="single" w:sz="6" w:space="0" w:color="auto"/>
              <w:right w:val="single" w:sz="6" w:space="0" w:color="auto"/>
            </w:tcBorders>
          </w:tcPr>
          <w:p w:rsidR="00027743" w:rsidRPr="00080491" w:rsidRDefault="00027743" w:rsidP="005A12AB">
            <w:pPr>
              <w:jc w:val="both"/>
              <w:rPr>
                <w:rFonts w:eastAsia="Calibri"/>
              </w:rPr>
            </w:pPr>
            <w:r w:rsidRPr="00080491">
              <w:rPr>
                <w:rFonts w:eastAsia="Calibri"/>
              </w:rPr>
              <w:t>1.356</w:t>
            </w:r>
          </w:p>
        </w:tc>
      </w:tr>
      <w:tr w:rsidR="00027743" w:rsidRPr="00080491" w:rsidTr="005A12AB">
        <w:trPr>
          <w:cantSplit/>
          <w:trHeight w:val="291"/>
        </w:trPr>
        <w:tc>
          <w:tcPr>
            <w:tcW w:w="2754" w:type="dxa"/>
            <w:tcBorders>
              <w:top w:val="single" w:sz="6" w:space="0" w:color="auto"/>
              <w:left w:val="single" w:sz="6" w:space="0" w:color="auto"/>
              <w:bottom w:val="single" w:sz="6" w:space="0" w:color="auto"/>
              <w:right w:val="single" w:sz="6" w:space="0" w:color="auto"/>
            </w:tcBorders>
            <w:hideMark/>
          </w:tcPr>
          <w:p w:rsidR="00027743" w:rsidRPr="00080491" w:rsidRDefault="00027743" w:rsidP="005A12AB">
            <w:pPr>
              <w:jc w:val="both"/>
              <w:rPr>
                <w:rFonts w:eastAsia="Calibri"/>
              </w:rPr>
            </w:pPr>
            <w:r w:rsidRPr="00080491">
              <w:rPr>
                <w:rFonts w:eastAsia="Calibri"/>
              </w:rPr>
              <w:t>PX, PXT, RTP, SBS</w:t>
            </w:r>
          </w:p>
        </w:tc>
        <w:tc>
          <w:tcPr>
            <w:tcW w:w="3366" w:type="dxa"/>
            <w:tcBorders>
              <w:top w:val="single" w:sz="6" w:space="0" w:color="auto"/>
              <w:left w:val="single" w:sz="6" w:space="0" w:color="auto"/>
              <w:bottom w:val="single" w:sz="6" w:space="0" w:color="auto"/>
              <w:right w:val="single" w:sz="6" w:space="0" w:color="auto"/>
            </w:tcBorders>
          </w:tcPr>
          <w:p w:rsidR="00027743" w:rsidRPr="00080491" w:rsidRDefault="00027743" w:rsidP="005A12AB">
            <w:pPr>
              <w:jc w:val="both"/>
              <w:rPr>
                <w:rFonts w:eastAsia="Calibri"/>
              </w:rPr>
            </w:pPr>
            <w:r w:rsidRPr="00080491">
              <w:rPr>
                <w:rFonts w:eastAsia="Calibri"/>
              </w:rPr>
              <w:t>1.333</w:t>
            </w:r>
          </w:p>
        </w:tc>
      </w:tr>
      <w:tr w:rsidR="00027743" w:rsidRPr="00080491" w:rsidTr="005A12AB">
        <w:trPr>
          <w:cantSplit/>
          <w:trHeight w:val="291"/>
        </w:trPr>
        <w:tc>
          <w:tcPr>
            <w:tcW w:w="2754" w:type="dxa"/>
            <w:tcBorders>
              <w:top w:val="single" w:sz="6" w:space="0" w:color="auto"/>
              <w:left w:val="single" w:sz="6" w:space="0" w:color="auto"/>
              <w:bottom w:val="single" w:sz="6" w:space="0" w:color="auto"/>
              <w:right w:val="single" w:sz="6" w:space="0" w:color="auto"/>
            </w:tcBorders>
            <w:hideMark/>
          </w:tcPr>
          <w:p w:rsidR="00027743" w:rsidRPr="00080491" w:rsidRDefault="00027743" w:rsidP="005A12AB">
            <w:pPr>
              <w:jc w:val="both"/>
              <w:rPr>
                <w:rFonts w:eastAsia="Calibri"/>
              </w:rPr>
            </w:pPr>
            <w:r w:rsidRPr="00080491">
              <w:rPr>
                <w:rFonts w:eastAsia="Calibri"/>
              </w:rPr>
              <w:t>OS-I/II</w:t>
            </w:r>
          </w:p>
        </w:tc>
        <w:tc>
          <w:tcPr>
            <w:tcW w:w="3366" w:type="dxa"/>
            <w:tcBorders>
              <w:top w:val="single" w:sz="6" w:space="0" w:color="auto"/>
              <w:left w:val="single" w:sz="6" w:space="0" w:color="auto"/>
              <w:bottom w:val="single" w:sz="6" w:space="0" w:color="auto"/>
              <w:right w:val="single" w:sz="6" w:space="0" w:color="auto"/>
            </w:tcBorders>
          </w:tcPr>
          <w:p w:rsidR="00027743" w:rsidRPr="00080491" w:rsidRDefault="00027743" w:rsidP="005A12AB">
            <w:pPr>
              <w:jc w:val="both"/>
              <w:rPr>
                <w:rFonts w:eastAsia="Calibri"/>
              </w:rPr>
            </w:pPr>
            <w:r w:rsidRPr="00080491">
              <w:rPr>
                <w:rFonts w:eastAsia="Calibri"/>
              </w:rPr>
              <w:t>0.403</w:t>
            </w:r>
          </w:p>
        </w:tc>
      </w:tr>
      <w:tr w:rsidR="00027743" w:rsidRPr="00D90DAE" w:rsidTr="005A12AB">
        <w:trPr>
          <w:cantSplit/>
          <w:trHeight w:val="291"/>
        </w:trPr>
        <w:tc>
          <w:tcPr>
            <w:tcW w:w="2754" w:type="dxa"/>
            <w:tcBorders>
              <w:top w:val="single" w:sz="6" w:space="0" w:color="auto"/>
              <w:left w:val="single" w:sz="6" w:space="0" w:color="auto"/>
              <w:bottom w:val="single" w:sz="6" w:space="0" w:color="auto"/>
              <w:right w:val="single" w:sz="6" w:space="0" w:color="auto"/>
            </w:tcBorders>
            <w:hideMark/>
          </w:tcPr>
          <w:p w:rsidR="00027743" w:rsidRPr="00080491" w:rsidRDefault="00027743" w:rsidP="005A12AB">
            <w:pPr>
              <w:jc w:val="both"/>
              <w:rPr>
                <w:rFonts w:eastAsia="Calibri"/>
              </w:rPr>
            </w:pPr>
            <w:r w:rsidRPr="00080491">
              <w:rPr>
                <w:rFonts w:eastAsia="Calibri"/>
              </w:rPr>
              <w:t>OS-III</w:t>
            </w:r>
          </w:p>
        </w:tc>
        <w:tc>
          <w:tcPr>
            <w:tcW w:w="3366" w:type="dxa"/>
            <w:tcBorders>
              <w:top w:val="single" w:sz="6" w:space="0" w:color="auto"/>
              <w:left w:val="single" w:sz="6" w:space="0" w:color="auto"/>
              <w:bottom w:val="single" w:sz="6" w:space="0" w:color="auto"/>
              <w:right w:val="single" w:sz="6" w:space="0" w:color="auto"/>
            </w:tcBorders>
          </w:tcPr>
          <w:p w:rsidR="00027743" w:rsidRPr="00080491" w:rsidRDefault="00027743" w:rsidP="005A12AB">
            <w:pPr>
              <w:jc w:val="both"/>
              <w:rPr>
                <w:rFonts w:eastAsia="Calibri"/>
              </w:rPr>
            </w:pPr>
            <w:r w:rsidRPr="00080491">
              <w:rPr>
                <w:rFonts w:eastAsia="Calibri"/>
              </w:rPr>
              <w:t>1.229</w:t>
            </w:r>
          </w:p>
        </w:tc>
      </w:tr>
    </w:tbl>
    <w:p w:rsidR="00027743" w:rsidRPr="00D90DAE" w:rsidRDefault="00027743" w:rsidP="00027743">
      <w:pPr>
        <w:spacing w:after="200" w:line="276" w:lineRule="auto"/>
        <w:ind w:left="1440" w:hanging="1440"/>
        <w:jc w:val="both"/>
        <w:rPr>
          <w:rFonts w:eastAsia="Calibri"/>
          <w:b/>
          <w:bCs/>
        </w:rPr>
      </w:pPr>
    </w:p>
    <w:p w:rsidR="00027743" w:rsidRPr="00D90DAE" w:rsidRDefault="00B47111" w:rsidP="00B47111">
      <w:pPr>
        <w:tabs>
          <w:tab w:val="left" w:pos="720"/>
        </w:tabs>
        <w:spacing w:after="200"/>
        <w:ind w:left="1440" w:hanging="1440"/>
        <w:jc w:val="both"/>
        <w:rPr>
          <w:rFonts w:eastAsia="Calibri"/>
          <w:b/>
        </w:rPr>
      </w:pPr>
      <w:r>
        <w:rPr>
          <w:rFonts w:eastAsia="Calibri"/>
          <w:b/>
          <w:bCs/>
        </w:rPr>
        <w:tab/>
      </w:r>
      <w:r w:rsidR="00027743" w:rsidRPr="00B47111">
        <w:rPr>
          <w:rFonts w:eastAsia="Calibri"/>
          <w:b/>
          <w:bCs/>
        </w:rPr>
        <w:t>8</w:t>
      </w:r>
      <w:r>
        <w:rPr>
          <w:rFonts w:eastAsia="Calibri"/>
          <w:b/>
        </w:rPr>
        <w:t>.</w:t>
      </w:r>
      <w:r w:rsidR="00027743" w:rsidRPr="00D90DAE">
        <w:rPr>
          <w:rFonts w:eastAsia="Calibri"/>
          <w:b/>
        </w:rPr>
        <w:t xml:space="preserve"> </w:t>
      </w:r>
      <w:r w:rsidR="00027743">
        <w:rPr>
          <w:rFonts w:eastAsia="Calibri"/>
          <w:b/>
        </w:rPr>
        <w:tab/>
      </w:r>
      <w:r w:rsidR="00027743" w:rsidRPr="00C26029">
        <w:rPr>
          <w:rFonts w:eastAsia="Calibri"/>
          <w:b/>
        </w:rPr>
        <w:t>What should be the effective date of the new environmental cost recovery factors for billing purposes</w:t>
      </w:r>
      <w:r w:rsidR="00027743" w:rsidRPr="00D90DAE">
        <w:rPr>
          <w:rFonts w:eastAsia="Calibri"/>
          <w:b/>
        </w:rPr>
        <w:t>?</w:t>
      </w:r>
    </w:p>
    <w:p w:rsidR="00027743" w:rsidRPr="007C79E3" w:rsidRDefault="00027743" w:rsidP="007C79E3">
      <w:pPr>
        <w:spacing w:after="200"/>
        <w:ind w:left="1440"/>
        <w:jc w:val="both"/>
        <w:rPr>
          <w:rFonts w:eastAsia="Calibri"/>
        </w:rPr>
      </w:pPr>
      <w:r w:rsidRPr="00D90DAE">
        <w:rPr>
          <w:rFonts w:eastAsia="Calibri"/>
        </w:rPr>
        <w:t>The factors sh</w:t>
      </w:r>
      <w:r>
        <w:rPr>
          <w:rFonts w:eastAsia="Calibri"/>
        </w:rPr>
        <w:t>all</w:t>
      </w:r>
      <w:r w:rsidRPr="00D90DAE">
        <w:rPr>
          <w:rFonts w:eastAsia="Calibri"/>
        </w:rPr>
        <w:t xml:space="preserve"> be effective beginning with the specified environmental cost recovery cycle and thereafter for the period January 20</w:t>
      </w:r>
      <w:r>
        <w:rPr>
          <w:rFonts w:eastAsia="Calibri"/>
        </w:rPr>
        <w:t>20</w:t>
      </w:r>
      <w:r w:rsidRPr="00D90DAE">
        <w:rPr>
          <w:rFonts w:eastAsia="Calibri"/>
        </w:rPr>
        <w:t xml:space="preserve"> through December 20</w:t>
      </w:r>
      <w:r>
        <w:rPr>
          <w:rFonts w:eastAsia="Calibri"/>
        </w:rPr>
        <w:t>20</w:t>
      </w:r>
      <w:r w:rsidRPr="00D90DAE">
        <w:rPr>
          <w:rFonts w:eastAsia="Calibri"/>
        </w:rPr>
        <w:t>. Billing cycles may start before January 1, 20</w:t>
      </w:r>
      <w:r>
        <w:rPr>
          <w:rFonts w:eastAsia="Calibri"/>
        </w:rPr>
        <w:t>20</w:t>
      </w:r>
      <w:r w:rsidRPr="00D90DAE">
        <w:rPr>
          <w:rFonts w:eastAsia="Calibri"/>
        </w:rPr>
        <w:t xml:space="preserve"> and the last cycle may read after December 31, 20</w:t>
      </w:r>
      <w:r>
        <w:rPr>
          <w:rFonts w:eastAsia="Calibri"/>
        </w:rPr>
        <w:t>20</w:t>
      </w:r>
      <w:r w:rsidRPr="00D90DAE">
        <w:rPr>
          <w:rFonts w:eastAsia="Calibri"/>
        </w:rPr>
        <w:t>, so that each customer is billed for twelve months regardless of when the adjustment factor became effective. These charges will continue in effect u</w:t>
      </w:r>
      <w:r w:rsidR="007C79E3">
        <w:rPr>
          <w:rFonts w:eastAsia="Calibri"/>
        </w:rPr>
        <w:t>ntil modified by the Commission.</w:t>
      </w:r>
    </w:p>
    <w:p w:rsidR="00027743" w:rsidRDefault="00027743" w:rsidP="00027743">
      <w:pPr>
        <w:jc w:val="both"/>
      </w:pPr>
    </w:p>
    <w:p w:rsidR="00027743" w:rsidRPr="003A183D" w:rsidRDefault="00B47111" w:rsidP="00B47111">
      <w:pPr>
        <w:tabs>
          <w:tab w:val="left" w:pos="720"/>
        </w:tabs>
        <w:ind w:left="1440" w:hanging="1440"/>
        <w:jc w:val="both"/>
        <w:rPr>
          <w:b/>
          <w:bCs/>
        </w:rPr>
      </w:pPr>
      <w:r>
        <w:rPr>
          <w:b/>
        </w:rPr>
        <w:tab/>
      </w:r>
      <w:r w:rsidR="00027743" w:rsidRPr="00B47111">
        <w:rPr>
          <w:b/>
        </w:rPr>
        <w:t>9</w:t>
      </w:r>
      <w:r>
        <w:rPr>
          <w:b/>
        </w:rPr>
        <w:t>.</w:t>
      </w:r>
      <w:r w:rsidR="00027743">
        <w:rPr>
          <w:b/>
        </w:rPr>
        <w:tab/>
      </w:r>
      <w:r w:rsidR="00027743" w:rsidRPr="00C26029">
        <w:rPr>
          <w:b/>
          <w:bCs/>
        </w:rPr>
        <w:t>Should the Commission approve revised tariffs reflecting the environmental cost recovery amounts and environmental cost recovery factors determined to be appropriate in this proceeding</w:t>
      </w:r>
      <w:r w:rsidR="00027743">
        <w:rPr>
          <w:b/>
          <w:bCs/>
        </w:rPr>
        <w:t>?</w:t>
      </w:r>
    </w:p>
    <w:p w:rsidR="00027743" w:rsidRDefault="00027743" w:rsidP="00027743">
      <w:pPr>
        <w:jc w:val="both"/>
        <w:rPr>
          <w:b/>
          <w:bCs/>
        </w:rPr>
      </w:pPr>
    </w:p>
    <w:p w:rsidR="00027743" w:rsidRDefault="00027743" w:rsidP="00027743">
      <w:pPr>
        <w:ind w:left="1440" w:hanging="1440"/>
        <w:jc w:val="both"/>
        <w:rPr>
          <w:b/>
          <w:bCs/>
        </w:rPr>
      </w:pPr>
      <w:r>
        <w:rPr>
          <w:bCs/>
        </w:rPr>
        <w:tab/>
        <w:t xml:space="preserve">Yes. </w:t>
      </w:r>
      <w:r w:rsidRPr="00BF0BF5">
        <w:rPr>
          <w:bCs/>
        </w:rPr>
        <w:t>The Commission shall approve revised tariffs reflecting the environmental cost recovery factors determined to be appropriate in this proceeding. Staff shall verify that the revised tariffs are consistent with the Commission’s decision</w:t>
      </w:r>
      <w:r>
        <w:rPr>
          <w:bCs/>
        </w:rPr>
        <w:t xml:space="preserve">.  </w:t>
      </w:r>
      <w:r>
        <w:rPr>
          <w:b/>
          <w:bCs/>
        </w:rPr>
        <w:tab/>
      </w:r>
    </w:p>
    <w:p w:rsidR="00027743" w:rsidRPr="00D90DAE" w:rsidRDefault="00027743" w:rsidP="00027743">
      <w:pPr>
        <w:spacing w:after="200"/>
        <w:ind w:left="1440"/>
        <w:jc w:val="both"/>
        <w:rPr>
          <w:rFonts w:eastAsia="Calibri"/>
        </w:rPr>
      </w:pPr>
    </w:p>
    <w:p w:rsidR="00027743" w:rsidRPr="00D858C1" w:rsidRDefault="00B47111" w:rsidP="00B47111">
      <w:pPr>
        <w:tabs>
          <w:tab w:val="left" w:pos="720"/>
        </w:tabs>
        <w:ind w:left="1440" w:hanging="1440"/>
        <w:jc w:val="both"/>
        <w:rPr>
          <w:rFonts w:eastAsia="Calibri"/>
          <w:b/>
        </w:rPr>
      </w:pPr>
      <w:r>
        <w:rPr>
          <w:rFonts w:eastAsia="Calibri"/>
          <w:b/>
        </w:rPr>
        <w:tab/>
      </w:r>
      <w:r w:rsidR="00027743" w:rsidRPr="00B47111">
        <w:rPr>
          <w:rFonts w:eastAsia="Calibri"/>
          <w:b/>
        </w:rPr>
        <w:t>10</w:t>
      </w:r>
      <w:r>
        <w:rPr>
          <w:rFonts w:eastAsia="Calibri"/>
          <w:b/>
        </w:rPr>
        <w:t>.</w:t>
      </w:r>
      <w:r w:rsidR="00027743">
        <w:rPr>
          <w:rFonts w:eastAsia="Calibri"/>
        </w:rPr>
        <w:tab/>
      </w:r>
      <w:r w:rsidR="00027743" w:rsidRPr="00C26029">
        <w:rPr>
          <w:rFonts w:eastAsia="Calibri"/>
          <w:b/>
        </w:rPr>
        <w:t>Should this docket be closed</w:t>
      </w:r>
      <w:r w:rsidR="00027743" w:rsidRPr="00D858C1">
        <w:rPr>
          <w:rFonts w:eastAsia="Calibri"/>
          <w:b/>
        </w:rPr>
        <w:t>?</w:t>
      </w:r>
    </w:p>
    <w:p w:rsidR="00027743" w:rsidRPr="00D858C1" w:rsidRDefault="00027743" w:rsidP="00027743">
      <w:pPr>
        <w:jc w:val="both"/>
        <w:rPr>
          <w:rFonts w:eastAsia="Calibri"/>
          <w:b/>
        </w:rPr>
      </w:pPr>
    </w:p>
    <w:p w:rsidR="00027743" w:rsidRDefault="00027743" w:rsidP="00027743">
      <w:pPr>
        <w:ind w:left="1440"/>
        <w:jc w:val="both"/>
        <w:rPr>
          <w:rFonts w:eastAsia="Calibri"/>
        </w:rPr>
      </w:pPr>
      <w:r w:rsidRPr="00D90DAE">
        <w:rPr>
          <w:rFonts w:eastAsia="Calibri"/>
        </w:rPr>
        <w:t>No. While a separate docket number is assigned each year for administrative convenience, this is a continuing docket and shall remain open.</w:t>
      </w:r>
    </w:p>
    <w:p w:rsidR="00027743" w:rsidRDefault="00027743" w:rsidP="00027743">
      <w:pPr>
        <w:spacing w:after="200"/>
        <w:ind w:left="1440"/>
        <w:jc w:val="both"/>
        <w:rPr>
          <w:rFonts w:eastAsia="Calibri"/>
        </w:rPr>
      </w:pPr>
    </w:p>
    <w:p w:rsidR="007C79E3" w:rsidRDefault="007C79E3" w:rsidP="00027743">
      <w:pPr>
        <w:pStyle w:val="OrderBody"/>
        <w:ind w:left="1440" w:hanging="1440"/>
      </w:pPr>
    </w:p>
    <w:p w:rsidR="007C79E3" w:rsidRDefault="007C79E3" w:rsidP="00027743">
      <w:pPr>
        <w:pStyle w:val="OrderBody"/>
        <w:ind w:left="1440" w:hanging="1440"/>
      </w:pPr>
    </w:p>
    <w:p w:rsidR="007C79E3" w:rsidRDefault="007C79E3" w:rsidP="00027743">
      <w:pPr>
        <w:pStyle w:val="OrderBody"/>
        <w:ind w:left="1440" w:hanging="1440"/>
      </w:pPr>
    </w:p>
    <w:p w:rsidR="007C79E3" w:rsidRDefault="007C79E3" w:rsidP="00027743">
      <w:pPr>
        <w:pStyle w:val="OrderBody"/>
        <w:ind w:left="1440" w:hanging="1440"/>
      </w:pPr>
    </w:p>
    <w:p w:rsidR="007C79E3" w:rsidRDefault="007C79E3" w:rsidP="00027743">
      <w:pPr>
        <w:pStyle w:val="OrderBody"/>
        <w:ind w:left="1440" w:hanging="1440"/>
      </w:pPr>
    </w:p>
    <w:p w:rsidR="00027743" w:rsidRDefault="00027743" w:rsidP="00027743">
      <w:pPr>
        <w:pStyle w:val="OrderBody"/>
        <w:ind w:left="1440" w:hanging="1440"/>
      </w:pPr>
      <w:r>
        <w:lastRenderedPageBreak/>
        <w:t>COMPANY-</w:t>
      </w:r>
      <w:r w:rsidRPr="00616B86">
        <w:t>SPECIFIC ENVIRONMENTAL COST RECOVERY ISSUES</w:t>
      </w:r>
    </w:p>
    <w:p w:rsidR="00027743" w:rsidRDefault="00027743" w:rsidP="00027743">
      <w:pPr>
        <w:pStyle w:val="OrderBody"/>
        <w:ind w:left="1440" w:hanging="1440"/>
      </w:pPr>
    </w:p>
    <w:p w:rsidR="00027743" w:rsidRDefault="00027743" w:rsidP="00027743">
      <w:pPr>
        <w:pStyle w:val="OrderBody"/>
        <w:ind w:left="1440" w:hanging="1440"/>
      </w:pPr>
      <w:r>
        <w:t>Duke Energy Florida, LLC:</w:t>
      </w:r>
    </w:p>
    <w:p w:rsidR="00027743" w:rsidRPr="00ED7F1B" w:rsidRDefault="00027743" w:rsidP="00027743">
      <w:pPr>
        <w:pStyle w:val="OrderBody"/>
        <w:ind w:left="1440" w:hanging="1440"/>
      </w:pPr>
    </w:p>
    <w:p w:rsidR="00027743" w:rsidRPr="00D858C1" w:rsidRDefault="00B47111" w:rsidP="00B47111">
      <w:pPr>
        <w:tabs>
          <w:tab w:val="left" w:pos="720"/>
        </w:tabs>
        <w:ind w:left="1440" w:hanging="1440"/>
        <w:jc w:val="both"/>
        <w:rPr>
          <w:rFonts w:eastAsia="Calibri"/>
          <w:b/>
        </w:rPr>
      </w:pPr>
      <w:r>
        <w:rPr>
          <w:rFonts w:eastAsia="Calibri"/>
          <w:b/>
        </w:rPr>
        <w:tab/>
      </w:r>
      <w:r w:rsidR="00027743" w:rsidRPr="00B47111">
        <w:rPr>
          <w:rFonts w:eastAsia="Calibri"/>
          <w:b/>
        </w:rPr>
        <w:t>11</w:t>
      </w:r>
      <w:r>
        <w:rPr>
          <w:rFonts w:eastAsia="Calibri"/>
          <w:b/>
        </w:rPr>
        <w:t>.</w:t>
      </w:r>
      <w:r w:rsidR="00027743">
        <w:rPr>
          <w:rFonts w:eastAsia="Calibri"/>
        </w:rPr>
        <w:tab/>
      </w:r>
      <w:r w:rsidR="00027743" w:rsidRPr="00C26029">
        <w:rPr>
          <w:rFonts w:eastAsia="Calibri"/>
          <w:b/>
        </w:rPr>
        <w:t>Should the Commission approve DEF’s Crystal River Coal Combustion Residual Ash Landfill Project for cost recovery through the Environmental Cost Recovery Clause</w:t>
      </w:r>
      <w:r w:rsidR="00027743" w:rsidRPr="00D858C1">
        <w:rPr>
          <w:rFonts w:eastAsia="Calibri"/>
          <w:b/>
        </w:rPr>
        <w:t>?</w:t>
      </w:r>
    </w:p>
    <w:p w:rsidR="00027743" w:rsidRDefault="00027743" w:rsidP="00027743">
      <w:pPr>
        <w:jc w:val="both"/>
        <w:rPr>
          <w:rFonts w:eastAsia="Calibri"/>
          <w:b/>
        </w:rPr>
      </w:pPr>
    </w:p>
    <w:p w:rsidR="00027743" w:rsidRPr="00E84D6C" w:rsidRDefault="00027743" w:rsidP="00027743">
      <w:pPr>
        <w:ind w:left="1440"/>
        <w:jc w:val="both"/>
        <w:rPr>
          <w:rFonts w:eastAsia="Calibri"/>
        </w:rPr>
      </w:pPr>
      <w:r w:rsidRPr="00E84D6C">
        <w:rPr>
          <w:rFonts w:eastAsia="Calibri"/>
        </w:rPr>
        <w:t xml:space="preserve">Yes. </w:t>
      </w:r>
      <w:proofErr w:type="gramStart"/>
      <w:r w:rsidRPr="00E84D6C">
        <w:rPr>
          <w:rFonts w:eastAsia="Calibri"/>
        </w:rPr>
        <w:t>In Order Nos.</w:t>
      </w:r>
      <w:proofErr w:type="gramEnd"/>
      <w:r w:rsidRPr="00E84D6C">
        <w:rPr>
          <w:rFonts w:eastAsia="Calibri"/>
        </w:rPr>
        <w:t xml:space="preserve"> PSC-2015-0536-FOF-EI and PSC-2018-0594-FOF-EI, the Commission found that DEF’s CCR Program (Project 18) met the criteria for recovery through the Environmental Cost Recovery Clause. DEF’s CCR Ash Landfill project meets the criteria for recovery through the Environmental Cost Recovery Clause</w:t>
      </w:r>
    </w:p>
    <w:p w:rsidR="00027743" w:rsidRDefault="00027743" w:rsidP="00027743">
      <w:pPr>
        <w:spacing w:after="240"/>
        <w:jc w:val="both"/>
      </w:pPr>
    </w:p>
    <w:p w:rsidR="00027743" w:rsidRPr="00D858C1" w:rsidRDefault="00B47111" w:rsidP="00B47111">
      <w:pPr>
        <w:tabs>
          <w:tab w:val="left" w:pos="720"/>
        </w:tabs>
        <w:ind w:left="1440" w:hanging="1440"/>
        <w:jc w:val="both"/>
        <w:rPr>
          <w:rFonts w:eastAsia="Calibri"/>
          <w:b/>
        </w:rPr>
      </w:pPr>
      <w:r>
        <w:rPr>
          <w:rFonts w:eastAsia="Calibri"/>
          <w:b/>
        </w:rPr>
        <w:tab/>
      </w:r>
      <w:r w:rsidR="00027743" w:rsidRPr="00B47111">
        <w:rPr>
          <w:rFonts w:eastAsia="Calibri"/>
          <w:b/>
        </w:rPr>
        <w:t>12</w:t>
      </w:r>
      <w:r>
        <w:rPr>
          <w:rFonts w:eastAsia="Calibri"/>
          <w:b/>
        </w:rPr>
        <w:t>.</w:t>
      </w:r>
      <w:r w:rsidR="00027743">
        <w:rPr>
          <w:rFonts w:eastAsia="Calibri"/>
        </w:rPr>
        <w:tab/>
      </w:r>
      <w:r w:rsidR="00027743">
        <w:rPr>
          <w:rFonts w:eastAsia="Calibri"/>
          <w:b/>
        </w:rPr>
        <w:t xml:space="preserve">How should </w:t>
      </w:r>
      <w:r w:rsidR="00027743" w:rsidRPr="00C26029">
        <w:rPr>
          <w:rFonts w:eastAsia="Calibri"/>
          <w:b/>
        </w:rPr>
        <w:t>any approved Environmental Cost Recovery Clause costs associated with DEF’s Crystal River CCR Ash Landfill Project be allocated to the rate classes</w:t>
      </w:r>
      <w:r w:rsidR="00027743" w:rsidRPr="00D858C1">
        <w:rPr>
          <w:rFonts w:eastAsia="Calibri"/>
          <w:b/>
        </w:rPr>
        <w:t>?</w:t>
      </w:r>
    </w:p>
    <w:p w:rsidR="00027743" w:rsidRDefault="00027743" w:rsidP="00027743">
      <w:pPr>
        <w:jc w:val="both"/>
      </w:pPr>
    </w:p>
    <w:p w:rsidR="00027743" w:rsidRDefault="00027743" w:rsidP="00027743">
      <w:pPr>
        <w:ind w:left="1440"/>
        <w:jc w:val="both"/>
      </w:pPr>
      <w:proofErr w:type="gramStart"/>
      <w:r w:rsidRPr="00E84D6C">
        <w:t>Consistent with Order No.</w:t>
      </w:r>
      <w:proofErr w:type="gramEnd"/>
      <w:r w:rsidRPr="00E84D6C">
        <w:t xml:space="preserve"> PSC-2015-0536-FOF-EI which approved the cost allocation methodology for DEF’s CCR Program, Capital costs for the CCR Ash Landfill Project sh</w:t>
      </w:r>
      <w:r>
        <w:t>all</w:t>
      </w:r>
      <w:r w:rsidRPr="00E84D6C">
        <w:t xml:space="preserve"> be allocated to the rate classes on a demand basis; O&amp;M costs should be allocated to the rate classes on an energy basis</w:t>
      </w:r>
      <w:r>
        <w:t>.</w:t>
      </w:r>
    </w:p>
    <w:p w:rsidR="007C79E3" w:rsidRDefault="007C79E3" w:rsidP="007C79E3">
      <w:pPr>
        <w:jc w:val="both"/>
        <w:rPr>
          <w:rFonts w:eastAsia="Calibri"/>
          <w:b/>
          <w:u w:val="single"/>
        </w:rPr>
      </w:pPr>
    </w:p>
    <w:p w:rsidR="00027743" w:rsidRDefault="00027743" w:rsidP="00027743">
      <w:pPr>
        <w:ind w:left="1440" w:hanging="1440"/>
        <w:jc w:val="both"/>
        <w:rPr>
          <w:rFonts w:eastAsia="Calibri"/>
          <w:b/>
          <w:u w:val="single"/>
        </w:rPr>
      </w:pPr>
    </w:p>
    <w:p w:rsidR="00027743" w:rsidRDefault="00B47111" w:rsidP="00B47111">
      <w:pPr>
        <w:tabs>
          <w:tab w:val="left" w:pos="720"/>
        </w:tabs>
        <w:ind w:left="1440" w:hanging="1440"/>
        <w:jc w:val="both"/>
        <w:rPr>
          <w:rFonts w:eastAsia="Calibri"/>
          <w:b/>
        </w:rPr>
      </w:pPr>
      <w:r>
        <w:rPr>
          <w:rFonts w:eastAsia="Calibri"/>
          <w:b/>
        </w:rPr>
        <w:tab/>
      </w:r>
      <w:r w:rsidR="00027743" w:rsidRPr="00B47111">
        <w:rPr>
          <w:rFonts w:eastAsia="Calibri"/>
          <w:b/>
        </w:rPr>
        <w:t>13</w:t>
      </w:r>
      <w:r>
        <w:rPr>
          <w:rFonts w:eastAsia="Calibri"/>
          <w:b/>
        </w:rPr>
        <w:t>.</w:t>
      </w:r>
      <w:r w:rsidR="00027743">
        <w:rPr>
          <w:rFonts w:eastAsia="Calibri"/>
        </w:rPr>
        <w:tab/>
      </w:r>
      <w:r w:rsidR="00027743" w:rsidRPr="00C26029">
        <w:rPr>
          <w:rFonts w:eastAsia="Calibri"/>
          <w:b/>
        </w:rPr>
        <w:t>Should the Commission approve DEF’s proposed treatment for the ECRC assets associated with the retirement of Avon Park and Higgins, as proposed in DEF’s 2020 Projection Filing</w:t>
      </w:r>
      <w:r w:rsidR="00027743" w:rsidRPr="00D858C1">
        <w:rPr>
          <w:rFonts w:eastAsia="Calibri"/>
          <w:b/>
        </w:rPr>
        <w:t>?</w:t>
      </w:r>
    </w:p>
    <w:p w:rsidR="00027743" w:rsidRPr="00D858C1" w:rsidRDefault="00027743" w:rsidP="00027743">
      <w:pPr>
        <w:ind w:left="1440" w:hanging="1440"/>
        <w:jc w:val="both"/>
        <w:rPr>
          <w:rFonts w:eastAsia="Calibri"/>
          <w:b/>
        </w:rPr>
      </w:pPr>
    </w:p>
    <w:p w:rsidR="00027743" w:rsidRPr="00E84D6C" w:rsidRDefault="00027743" w:rsidP="00027743">
      <w:pPr>
        <w:ind w:left="1440"/>
        <w:jc w:val="both"/>
        <w:rPr>
          <w:rFonts w:eastAsia="Calibri"/>
        </w:rPr>
      </w:pPr>
      <w:r w:rsidRPr="00E84D6C">
        <w:rPr>
          <w:rFonts w:eastAsia="Calibri"/>
        </w:rPr>
        <w:t>Yes. DEF’s proposed treatment for the Avon Park and Higgins assets is consistent with prior Commission Order Nos PSC-2011-0553-FOF-EI, PSC-2013-0381-PAA-EI and PSC-2016-0535-FOF-EI</w:t>
      </w:r>
      <w:r>
        <w:rPr>
          <w:rFonts w:eastAsia="Calibri"/>
        </w:rPr>
        <w:t>.</w:t>
      </w:r>
    </w:p>
    <w:p w:rsidR="00027743" w:rsidRDefault="00027743" w:rsidP="00027743">
      <w:pPr>
        <w:spacing w:after="240"/>
        <w:jc w:val="both"/>
        <w:rPr>
          <w:rFonts w:eastAsia="Calibri"/>
          <w:b/>
        </w:rPr>
      </w:pPr>
    </w:p>
    <w:p w:rsidR="00027743" w:rsidRDefault="00027743" w:rsidP="00027743">
      <w:pPr>
        <w:ind w:left="1440" w:hanging="1440"/>
        <w:jc w:val="both"/>
        <w:rPr>
          <w:color w:val="000000"/>
        </w:rPr>
      </w:pPr>
      <w:r w:rsidRPr="00503AE4">
        <w:rPr>
          <w:color w:val="000000"/>
        </w:rPr>
        <w:t>Gulf Power Company:</w:t>
      </w:r>
    </w:p>
    <w:p w:rsidR="00027743" w:rsidRPr="00E84D6C" w:rsidRDefault="00027743" w:rsidP="00027743">
      <w:pPr>
        <w:ind w:left="1440" w:hanging="1440"/>
        <w:jc w:val="both"/>
        <w:rPr>
          <w:color w:val="000000"/>
        </w:rPr>
      </w:pPr>
    </w:p>
    <w:p w:rsidR="00027743" w:rsidRDefault="00B47111" w:rsidP="00B47111">
      <w:pPr>
        <w:tabs>
          <w:tab w:val="left" w:pos="720"/>
        </w:tabs>
        <w:ind w:left="1440" w:hanging="1440"/>
        <w:jc w:val="both"/>
        <w:rPr>
          <w:rFonts w:eastAsia="Calibri"/>
          <w:b/>
        </w:rPr>
      </w:pPr>
      <w:r>
        <w:rPr>
          <w:rFonts w:eastAsia="Calibri"/>
          <w:b/>
        </w:rPr>
        <w:tab/>
      </w:r>
      <w:r w:rsidR="00027743" w:rsidRPr="00B47111">
        <w:rPr>
          <w:rFonts w:eastAsia="Calibri"/>
          <w:b/>
        </w:rPr>
        <w:t>14</w:t>
      </w:r>
      <w:r>
        <w:rPr>
          <w:rFonts w:eastAsia="Calibri"/>
          <w:b/>
        </w:rPr>
        <w:t>.</w:t>
      </w:r>
      <w:r w:rsidR="00027743">
        <w:rPr>
          <w:rFonts w:eastAsia="Calibri"/>
        </w:rPr>
        <w:tab/>
      </w:r>
      <w:r w:rsidR="00027743" w:rsidRPr="00C26029">
        <w:rPr>
          <w:rFonts w:eastAsia="Calibri"/>
          <w:b/>
        </w:rPr>
        <w:t>Should the Commission approve the 2020 expenditures for Gulf’s ownership portion of the Plant Daniel CCR projects for recovery through the Environmental Cost Recovery Clause</w:t>
      </w:r>
      <w:r w:rsidR="00027743" w:rsidRPr="00D858C1">
        <w:rPr>
          <w:rFonts w:eastAsia="Calibri"/>
          <w:b/>
        </w:rPr>
        <w:t>?</w:t>
      </w:r>
    </w:p>
    <w:p w:rsidR="00027743" w:rsidRDefault="00027743" w:rsidP="00027743">
      <w:pPr>
        <w:ind w:left="1440" w:hanging="1440"/>
        <w:jc w:val="both"/>
        <w:rPr>
          <w:rFonts w:eastAsia="Calibri"/>
          <w:b/>
        </w:rPr>
      </w:pPr>
    </w:p>
    <w:p w:rsidR="00027743" w:rsidRDefault="00027743" w:rsidP="00027743">
      <w:pPr>
        <w:ind w:left="1440"/>
        <w:jc w:val="both"/>
        <w:rPr>
          <w:rFonts w:eastAsia="Calibri"/>
        </w:rPr>
      </w:pPr>
      <w:r w:rsidRPr="00AE399B">
        <w:rPr>
          <w:rFonts w:eastAsia="Calibri"/>
        </w:rPr>
        <w:t xml:space="preserve">Gulf has discovered possible alternatives for CCR compliance that may be more cost-effective, </w:t>
      </w:r>
      <w:r>
        <w:rPr>
          <w:rFonts w:eastAsia="Calibri"/>
        </w:rPr>
        <w:t>and</w:t>
      </w:r>
      <w:r w:rsidR="009460CA">
        <w:rPr>
          <w:rFonts w:eastAsia="Calibri"/>
        </w:rPr>
        <w:t xml:space="preserve"> requested deferral of </w:t>
      </w:r>
      <w:r w:rsidRPr="00AE399B">
        <w:rPr>
          <w:rFonts w:eastAsia="Calibri"/>
        </w:rPr>
        <w:t xml:space="preserve">Issue 14 related to the recovery of certain Plant Daniel CCR costs through the ECRC mechanism.  As such, this issue shall be deferred and $23,234,491 associated with Plant Daniel CCR costs shall be </w:t>
      </w:r>
      <w:r w:rsidRPr="00AE399B">
        <w:rPr>
          <w:rFonts w:eastAsia="Calibri"/>
        </w:rPr>
        <w:lastRenderedPageBreak/>
        <w:t>removed from the factors in this docket. Gulf’s position</w:t>
      </w:r>
      <w:r>
        <w:rPr>
          <w:rFonts w:eastAsia="Calibri"/>
        </w:rPr>
        <w:t>s</w:t>
      </w:r>
      <w:r w:rsidRPr="00AE399B">
        <w:rPr>
          <w:rFonts w:eastAsia="Calibri"/>
        </w:rPr>
        <w:t xml:space="preserve"> in other issues </w:t>
      </w:r>
      <w:r>
        <w:rPr>
          <w:rFonts w:eastAsia="Calibri"/>
        </w:rPr>
        <w:t>have been</w:t>
      </w:r>
      <w:r w:rsidRPr="00AE399B">
        <w:rPr>
          <w:rFonts w:eastAsia="Calibri"/>
        </w:rPr>
        <w:t xml:space="preserve"> adjusted accordingly.</w:t>
      </w:r>
    </w:p>
    <w:p w:rsidR="00027743" w:rsidRDefault="00027743" w:rsidP="00027743">
      <w:pPr>
        <w:ind w:left="1440"/>
        <w:jc w:val="both"/>
        <w:rPr>
          <w:rFonts w:eastAsia="Calibri"/>
          <w:highlight w:val="yellow"/>
        </w:rPr>
      </w:pPr>
    </w:p>
    <w:p w:rsidR="00027743" w:rsidRPr="00433235" w:rsidRDefault="00027743" w:rsidP="00027743">
      <w:pPr>
        <w:ind w:left="1440"/>
        <w:jc w:val="both"/>
        <w:rPr>
          <w:rFonts w:eastAsia="Calibri"/>
        </w:rPr>
      </w:pPr>
    </w:p>
    <w:p w:rsidR="00027743" w:rsidRDefault="00B47111" w:rsidP="00B47111">
      <w:pPr>
        <w:tabs>
          <w:tab w:val="left" w:pos="720"/>
        </w:tabs>
        <w:ind w:left="1440" w:hanging="1440"/>
        <w:jc w:val="both"/>
        <w:rPr>
          <w:rFonts w:eastAsia="Calibri"/>
          <w:b/>
        </w:rPr>
      </w:pPr>
      <w:r>
        <w:rPr>
          <w:rFonts w:eastAsia="Calibri"/>
          <w:b/>
        </w:rPr>
        <w:tab/>
      </w:r>
      <w:r w:rsidR="00027743" w:rsidRPr="00B47111">
        <w:rPr>
          <w:rFonts w:eastAsia="Calibri"/>
          <w:b/>
        </w:rPr>
        <w:t>15</w:t>
      </w:r>
      <w:r>
        <w:rPr>
          <w:rFonts w:eastAsia="Calibri"/>
          <w:b/>
        </w:rPr>
        <w:t>.</w:t>
      </w:r>
      <w:r w:rsidR="00027743">
        <w:rPr>
          <w:rFonts w:eastAsia="Calibri"/>
        </w:rPr>
        <w:tab/>
      </w:r>
      <w:r w:rsidR="00027743" w:rsidRPr="00C26029">
        <w:rPr>
          <w:rFonts w:eastAsia="Calibri"/>
          <w:b/>
        </w:rPr>
        <w:t>Should the Commission approve Gulf’s Crist Closed Ash Landfill Project for cost recovery through the Environmental Cost Recovery Clause</w:t>
      </w:r>
      <w:r w:rsidR="00027743" w:rsidRPr="00D858C1">
        <w:rPr>
          <w:rFonts w:eastAsia="Calibri"/>
          <w:b/>
        </w:rPr>
        <w:t>?</w:t>
      </w:r>
    </w:p>
    <w:p w:rsidR="00027743" w:rsidRDefault="00027743" w:rsidP="00027743">
      <w:pPr>
        <w:ind w:left="1440" w:hanging="1440"/>
        <w:jc w:val="both"/>
        <w:rPr>
          <w:rFonts w:eastAsia="Calibri"/>
          <w:b/>
        </w:rPr>
      </w:pPr>
    </w:p>
    <w:p w:rsidR="00027743" w:rsidRDefault="00027743" w:rsidP="00027743">
      <w:pPr>
        <w:spacing w:after="240"/>
        <w:ind w:left="1440"/>
        <w:jc w:val="both"/>
      </w:pPr>
      <w:r w:rsidRPr="00E84D6C">
        <w:rPr>
          <w:rFonts w:eastAsia="Calibri"/>
        </w:rPr>
        <w:t xml:space="preserve">Yes. The Plant Crist industrial wastewater permit (FL0002275) and FDEP Order 17-1224 require Gulf to complete FDEP approved rehabilitation actions by July 23, 2023, for the Plant Crist Closed Ash Landfill (CAL). Gulf plans to regrade the surface of the CAL and then cap the CAL with a low permeability synthetic material to reduce water infiltration, to provide separation of ash and </w:t>
      </w:r>
      <w:proofErr w:type="spellStart"/>
      <w:r w:rsidRPr="00E84D6C">
        <w:rPr>
          <w:rFonts w:eastAsia="Calibri"/>
        </w:rPr>
        <w:t>stormwater</w:t>
      </w:r>
      <w:proofErr w:type="spellEnd"/>
      <w:r w:rsidRPr="00E84D6C">
        <w:rPr>
          <w:rFonts w:eastAsia="Calibri"/>
        </w:rPr>
        <w:t>, and to provide stability improvements as recommended in the FDEP approved action plan. The capital expenditures associated with this project are projected to be $10.1 million in 2020. Gulf has not projected O&amp;M costs associated with the project in 2020; however, future O&amp;M costs are expected after the project is completed in the 2021-2022 timeframe</w:t>
      </w:r>
      <w:r>
        <w:rPr>
          <w:rFonts w:eastAsia="Calibri"/>
        </w:rPr>
        <w:t>.</w:t>
      </w:r>
      <w:r w:rsidRPr="00E84D6C">
        <w:t xml:space="preserve"> </w:t>
      </w:r>
    </w:p>
    <w:p w:rsidR="00027743" w:rsidRPr="007C79E3" w:rsidRDefault="00027743" w:rsidP="007C79E3">
      <w:pPr>
        <w:spacing w:after="240"/>
        <w:ind w:left="1440"/>
        <w:jc w:val="both"/>
        <w:rPr>
          <w:rFonts w:eastAsia="Calibri"/>
        </w:rPr>
      </w:pPr>
      <w:r w:rsidRPr="00E84D6C">
        <w:rPr>
          <w:rFonts w:eastAsia="Calibri"/>
        </w:rPr>
        <w:t>The proposed Crist CAL project meets the criteri</w:t>
      </w:r>
      <w:r>
        <w:rPr>
          <w:rFonts w:eastAsia="Calibri"/>
        </w:rPr>
        <w:t xml:space="preserve">a for cost recovery established </w:t>
      </w:r>
      <w:r w:rsidRPr="00E84D6C">
        <w:rPr>
          <w:rFonts w:eastAsia="Calibri"/>
        </w:rPr>
        <w:t xml:space="preserve">by the Commission in Order No. </w:t>
      </w:r>
      <w:proofErr w:type="gramStart"/>
      <w:r w:rsidRPr="00E84D6C">
        <w:rPr>
          <w:rFonts w:eastAsia="Calibri"/>
        </w:rPr>
        <w:t>PSC-94-0044-FOF-EI</w:t>
      </w:r>
      <w:r>
        <w:rPr>
          <w:rFonts w:eastAsia="Calibri"/>
        </w:rPr>
        <w:t>.</w:t>
      </w:r>
      <w:proofErr w:type="gramEnd"/>
    </w:p>
    <w:p w:rsidR="00027743" w:rsidRDefault="00027743" w:rsidP="00027743">
      <w:pPr>
        <w:ind w:left="1440" w:hanging="1440"/>
        <w:jc w:val="both"/>
        <w:rPr>
          <w:rFonts w:eastAsia="Calibri"/>
          <w:b/>
          <w:u w:val="single"/>
        </w:rPr>
      </w:pPr>
    </w:p>
    <w:p w:rsidR="00027743" w:rsidRPr="00D858C1" w:rsidRDefault="00B47111" w:rsidP="00B47111">
      <w:pPr>
        <w:tabs>
          <w:tab w:val="left" w:pos="720"/>
        </w:tabs>
        <w:ind w:left="1440" w:hanging="1440"/>
        <w:jc w:val="both"/>
        <w:rPr>
          <w:rFonts w:eastAsia="Calibri"/>
          <w:b/>
        </w:rPr>
      </w:pPr>
      <w:r>
        <w:rPr>
          <w:rFonts w:eastAsia="Calibri"/>
          <w:b/>
        </w:rPr>
        <w:tab/>
      </w:r>
      <w:r w:rsidR="00027743" w:rsidRPr="00B47111">
        <w:rPr>
          <w:rFonts w:eastAsia="Calibri"/>
          <w:b/>
        </w:rPr>
        <w:t>16</w:t>
      </w:r>
      <w:r>
        <w:rPr>
          <w:rFonts w:eastAsia="Calibri"/>
          <w:b/>
        </w:rPr>
        <w:t>.</w:t>
      </w:r>
      <w:r w:rsidR="00027743">
        <w:rPr>
          <w:rFonts w:eastAsia="Calibri"/>
        </w:rPr>
        <w:tab/>
      </w:r>
      <w:r w:rsidR="00027743">
        <w:rPr>
          <w:rFonts w:eastAsia="Calibri"/>
          <w:b/>
        </w:rPr>
        <w:t>How should</w:t>
      </w:r>
      <w:r w:rsidR="00027743" w:rsidRPr="00C26029">
        <w:rPr>
          <w:rFonts w:eastAsia="Calibri"/>
          <w:b/>
        </w:rPr>
        <w:t xml:space="preserve"> any approved Environmental Cost Recovery Clause costs associated with Gulf’s Crist Closed Ash Landfill Project be allocated to the rate classes</w:t>
      </w:r>
      <w:r w:rsidR="00027743" w:rsidRPr="00D858C1">
        <w:rPr>
          <w:rFonts w:eastAsia="Calibri"/>
          <w:b/>
        </w:rPr>
        <w:t>?</w:t>
      </w:r>
    </w:p>
    <w:p w:rsidR="00027743" w:rsidRDefault="00027743" w:rsidP="00027743">
      <w:pPr>
        <w:jc w:val="both"/>
      </w:pPr>
    </w:p>
    <w:p w:rsidR="00027743" w:rsidRPr="0068703D" w:rsidRDefault="00027743" w:rsidP="0068703D">
      <w:pPr>
        <w:spacing w:after="240"/>
        <w:ind w:left="1440"/>
        <w:jc w:val="both"/>
      </w:pPr>
      <w:r>
        <w:t>Capital costs for the CAL project should be allocated to the rate classes on an average 12-MCP demand and 1/13th energy basis. O&amp;M cost for the program should be allocated to the rate classes on a demand basis.</w:t>
      </w:r>
    </w:p>
    <w:p w:rsidR="009974A0" w:rsidRDefault="009974A0" w:rsidP="00027743">
      <w:pPr>
        <w:ind w:left="1440" w:hanging="1440"/>
        <w:jc w:val="both"/>
        <w:rPr>
          <w:color w:val="000000"/>
        </w:rPr>
      </w:pPr>
    </w:p>
    <w:p w:rsidR="00027743" w:rsidRPr="00B42F84" w:rsidRDefault="00027743" w:rsidP="00027743">
      <w:pPr>
        <w:ind w:left="1440" w:hanging="1440"/>
        <w:jc w:val="both"/>
        <w:rPr>
          <w:color w:val="000000"/>
        </w:rPr>
      </w:pPr>
      <w:r w:rsidRPr="00B42F84">
        <w:rPr>
          <w:color w:val="000000"/>
        </w:rPr>
        <w:t>MOTION</w:t>
      </w:r>
    </w:p>
    <w:p w:rsidR="00027743" w:rsidRDefault="00027743" w:rsidP="00027743">
      <w:pPr>
        <w:jc w:val="both"/>
      </w:pPr>
    </w:p>
    <w:p w:rsidR="00027743" w:rsidRDefault="00B47111" w:rsidP="00B47111">
      <w:pPr>
        <w:tabs>
          <w:tab w:val="left" w:pos="720"/>
        </w:tabs>
        <w:ind w:left="1440" w:hanging="1440"/>
        <w:jc w:val="both"/>
        <w:rPr>
          <w:rFonts w:eastAsia="Calibri"/>
          <w:b/>
        </w:rPr>
      </w:pPr>
      <w:r>
        <w:rPr>
          <w:rFonts w:eastAsia="Calibri"/>
          <w:b/>
        </w:rPr>
        <w:tab/>
      </w:r>
      <w:r w:rsidR="00027743" w:rsidRPr="00B47111">
        <w:rPr>
          <w:rFonts w:eastAsia="Calibri"/>
          <w:b/>
        </w:rPr>
        <w:t>17</w:t>
      </w:r>
      <w:r>
        <w:rPr>
          <w:rFonts w:eastAsia="Calibri"/>
          <w:b/>
        </w:rPr>
        <w:t>.</w:t>
      </w:r>
      <w:r w:rsidR="00027743">
        <w:rPr>
          <w:rFonts w:eastAsia="Calibri"/>
        </w:rPr>
        <w:tab/>
      </w:r>
      <w:r w:rsidR="00027743" w:rsidRPr="00C26029">
        <w:rPr>
          <w:rFonts w:eastAsia="Calibri"/>
          <w:b/>
        </w:rPr>
        <w:t xml:space="preserve">Should the Joint Motion to Modify Order </w:t>
      </w:r>
      <w:proofErr w:type="gramStart"/>
      <w:r w:rsidR="00027743" w:rsidRPr="00C26029">
        <w:rPr>
          <w:rFonts w:eastAsia="Calibri"/>
          <w:b/>
        </w:rPr>
        <w:t>No.</w:t>
      </w:r>
      <w:proofErr w:type="gramEnd"/>
      <w:r w:rsidR="00027743" w:rsidRPr="00C26029">
        <w:rPr>
          <w:rFonts w:eastAsia="Calibri"/>
          <w:b/>
        </w:rPr>
        <w:t xml:space="preserve"> PSC-2012-0425-PAA-EU Regarding Weighted Average Cost of Capital Methodology </w:t>
      </w:r>
      <w:proofErr w:type="gramStart"/>
      <w:r w:rsidR="00027743" w:rsidRPr="00C26029">
        <w:rPr>
          <w:rFonts w:eastAsia="Calibri"/>
          <w:b/>
        </w:rPr>
        <w:t>be</w:t>
      </w:r>
      <w:proofErr w:type="gramEnd"/>
      <w:r w:rsidR="00027743" w:rsidRPr="00C26029">
        <w:rPr>
          <w:rFonts w:eastAsia="Calibri"/>
          <w:b/>
        </w:rPr>
        <w:t xml:space="preserve"> approved</w:t>
      </w:r>
      <w:r w:rsidR="00027743" w:rsidRPr="00D858C1">
        <w:rPr>
          <w:rFonts w:eastAsia="Calibri"/>
          <w:b/>
        </w:rPr>
        <w:t>?</w:t>
      </w:r>
    </w:p>
    <w:p w:rsidR="00027743" w:rsidRDefault="00027743" w:rsidP="00027743">
      <w:pPr>
        <w:ind w:left="1440" w:hanging="1440"/>
        <w:jc w:val="both"/>
        <w:rPr>
          <w:rFonts w:eastAsia="Calibri"/>
          <w:b/>
        </w:rPr>
      </w:pPr>
    </w:p>
    <w:p w:rsidR="00027743" w:rsidRDefault="00B47111" w:rsidP="003F67AB">
      <w:pPr>
        <w:pStyle w:val="OrderBody"/>
        <w:ind w:left="1440" w:hanging="1440"/>
      </w:pPr>
      <w:r>
        <w:tab/>
      </w:r>
      <w:r w:rsidR="00027743" w:rsidRPr="00900B9B">
        <w:t xml:space="preserve">No. </w:t>
      </w:r>
      <w:r w:rsidR="00027743">
        <w:t>T</w:t>
      </w:r>
      <w:r w:rsidR="00027743" w:rsidRPr="00900B9B">
        <w:t>he normalization provisions of the Internal Revenue Code (IRC) Treasury Regulation Section 1.167(1)-1(h</w:t>
      </w:r>
      <w:proofErr w:type="gramStart"/>
      <w:r w:rsidR="00027743" w:rsidRPr="00900B9B">
        <w:t>)(</w:t>
      </w:r>
      <w:proofErr w:type="gramEnd"/>
      <w:r w:rsidR="00027743" w:rsidRPr="00900B9B">
        <w:t>6) sh</w:t>
      </w:r>
      <w:r w:rsidR="00027743">
        <w:t>all</w:t>
      </w:r>
      <w:r w:rsidR="00027743" w:rsidRPr="00900B9B">
        <w:t xml:space="preserve"> be applied to the Weighted Average Cost of Capital (WACC) in this docket</w:t>
      </w:r>
      <w:r w:rsidR="00027743">
        <w:t xml:space="preserve">, </w:t>
      </w:r>
      <w:r w:rsidR="00027743" w:rsidRPr="005B2609">
        <w:t>subject to true-up.</w:t>
      </w:r>
      <w:r w:rsidR="00027743">
        <w:t xml:space="preserve"> T</w:t>
      </w:r>
      <w:r w:rsidR="00027743" w:rsidRPr="00900B9B">
        <w:t>he determination of the WACC to be applied in future clause dockets sh</w:t>
      </w:r>
      <w:r w:rsidR="00027743">
        <w:t xml:space="preserve">all </w:t>
      </w:r>
      <w:r w:rsidR="00027743" w:rsidRPr="00900B9B">
        <w:t>be the subject of a workshop to be held by Commission staff.</w:t>
      </w:r>
    </w:p>
    <w:p w:rsidR="0092379D" w:rsidRDefault="0092379D" w:rsidP="0092379D">
      <w:pPr>
        <w:pStyle w:val="OrderBody"/>
      </w:pPr>
    </w:p>
    <w:p w:rsidR="007C79E3" w:rsidRDefault="0092379D" w:rsidP="0092379D">
      <w:bookmarkStart w:id="5" w:name="OrderText"/>
      <w:bookmarkEnd w:id="5"/>
      <w:r w:rsidRPr="00692EBC">
        <w:tab/>
      </w:r>
    </w:p>
    <w:p w:rsidR="0068703D" w:rsidRDefault="0068703D" w:rsidP="0092379D"/>
    <w:p w:rsidR="007C79E3" w:rsidRDefault="007C79E3" w:rsidP="0092379D"/>
    <w:p w:rsidR="0092379D" w:rsidRPr="00692EBC" w:rsidRDefault="0092379D" w:rsidP="007C79E3">
      <w:pPr>
        <w:ind w:firstLine="720"/>
      </w:pPr>
      <w:r w:rsidRPr="00692EBC">
        <w:lastRenderedPageBreak/>
        <w:t>Based on the foregoing, it is</w:t>
      </w:r>
    </w:p>
    <w:p w:rsidR="0092379D" w:rsidRPr="00692EBC" w:rsidRDefault="0092379D" w:rsidP="000B1451">
      <w:pPr>
        <w:jc w:val="both"/>
      </w:pPr>
    </w:p>
    <w:p w:rsidR="0092379D" w:rsidRDefault="0092379D" w:rsidP="000B1451">
      <w:pPr>
        <w:jc w:val="both"/>
      </w:pPr>
      <w:r w:rsidRPr="00692EBC">
        <w:tab/>
      </w:r>
      <w:proofErr w:type="gramStart"/>
      <w:r w:rsidRPr="00692EBC">
        <w:t xml:space="preserve">ORDERED by the Florida Public Service Commission that </w:t>
      </w:r>
      <w:r w:rsidR="007C79E3">
        <w:t>the stipulations</w:t>
      </w:r>
      <w:r>
        <w:t xml:space="preserve"> </w:t>
      </w:r>
      <w:r w:rsidR="0063352A">
        <w:t xml:space="preserve">and findings </w:t>
      </w:r>
      <w:r w:rsidR="007C79E3">
        <w:t>set forth in the body of this Order are hereby approved.</w:t>
      </w:r>
      <w:proofErr w:type="gramEnd"/>
      <w:r w:rsidR="007C79E3">
        <w:t xml:space="preserve"> </w:t>
      </w:r>
      <w:r>
        <w:t>It is further</w:t>
      </w:r>
    </w:p>
    <w:p w:rsidR="0092379D" w:rsidRDefault="0092379D" w:rsidP="000B1451">
      <w:pPr>
        <w:jc w:val="both"/>
      </w:pPr>
    </w:p>
    <w:p w:rsidR="0092379D" w:rsidRDefault="0092379D" w:rsidP="000B1451">
      <w:pPr>
        <w:jc w:val="both"/>
      </w:pPr>
      <w:r>
        <w:tab/>
        <w:t>ORDERED that each utility that was a party to this docket s</w:t>
      </w:r>
      <w:r w:rsidR="00E23FAB">
        <w:t xml:space="preserve">hall abide by the stipulations </w:t>
      </w:r>
      <w:r w:rsidR="0063352A">
        <w:t xml:space="preserve">and findings </w:t>
      </w:r>
      <w:r>
        <w:t>herein which are applicable to it.  It is further</w:t>
      </w:r>
    </w:p>
    <w:p w:rsidR="0092379D" w:rsidRDefault="0092379D" w:rsidP="000B1451">
      <w:pPr>
        <w:jc w:val="both"/>
      </w:pPr>
    </w:p>
    <w:p w:rsidR="0092379D" w:rsidRDefault="0092379D" w:rsidP="000B1451">
      <w:pPr>
        <w:jc w:val="both"/>
      </w:pPr>
      <w:r>
        <w:tab/>
        <w:t xml:space="preserve">ORDERED that </w:t>
      </w:r>
      <w:r w:rsidR="007C79E3">
        <w:t xml:space="preserve">the utilities named herein are authorized to collect the environmental cost recovery amounts and use the factors approved herein beginning with the first billing cycle for 2020. The first billing cycle may start before January 1, 2020, and thereafter, the environmental cost recovery factors shall remain in effect until modified by this Commission. </w:t>
      </w:r>
      <w:r>
        <w:t xml:space="preserve">   It is further</w:t>
      </w:r>
    </w:p>
    <w:p w:rsidR="007C79E3" w:rsidRDefault="007C79E3" w:rsidP="000B1451">
      <w:pPr>
        <w:jc w:val="both"/>
      </w:pPr>
    </w:p>
    <w:p w:rsidR="007C79E3" w:rsidRDefault="007C79E3" w:rsidP="000B1451">
      <w:pPr>
        <w:ind w:firstLine="720"/>
        <w:jc w:val="both"/>
      </w:pPr>
      <w:r>
        <w:t xml:space="preserve">ORDERED that the Environmental Cost Recovery Clause docket is an on-going docket and shall remain open. </w:t>
      </w:r>
    </w:p>
    <w:p w:rsidR="0092379D" w:rsidRDefault="0092379D" w:rsidP="000B1451">
      <w:pPr>
        <w:jc w:val="both"/>
      </w:pPr>
    </w:p>
    <w:p w:rsidR="00B47111" w:rsidRDefault="00B47111" w:rsidP="000B1451">
      <w:pPr>
        <w:keepNext/>
        <w:keepLines/>
        <w:jc w:val="both"/>
      </w:pPr>
      <w:r>
        <w:tab/>
        <w:t xml:space="preserve">By ORDER of the Florida Public Service Commission this </w:t>
      </w:r>
      <w:bookmarkStart w:id="6" w:name="replaceDate"/>
      <w:bookmarkEnd w:id="6"/>
      <w:r w:rsidR="003A324B">
        <w:rPr>
          <w:u w:val="single"/>
        </w:rPr>
        <w:t>22nd</w:t>
      </w:r>
      <w:r w:rsidR="003A324B">
        <w:t xml:space="preserve"> day of </w:t>
      </w:r>
      <w:r w:rsidR="003A324B">
        <w:rPr>
          <w:u w:val="single"/>
        </w:rPr>
        <w:t>November</w:t>
      </w:r>
      <w:r w:rsidR="003A324B">
        <w:t xml:space="preserve">, </w:t>
      </w:r>
      <w:r w:rsidR="003A324B">
        <w:rPr>
          <w:u w:val="single"/>
        </w:rPr>
        <w:t>2019</w:t>
      </w:r>
      <w:r w:rsidR="003A324B">
        <w:t>.</w:t>
      </w:r>
    </w:p>
    <w:p w:rsidR="003A324B" w:rsidRPr="003A324B" w:rsidRDefault="003A324B" w:rsidP="000B1451">
      <w:pPr>
        <w:keepNext/>
        <w:keepLines/>
        <w:jc w:val="both"/>
      </w:pPr>
    </w:p>
    <w:p w:rsidR="00B47111" w:rsidRDefault="00B47111" w:rsidP="000B1451">
      <w:pPr>
        <w:keepNext/>
        <w:keepLines/>
        <w:jc w:val="both"/>
      </w:pPr>
    </w:p>
    <w:p w:rsidR="0068703D" w:rsidRDefault="0068703D" w:rsidP="00B47111">
      <w:pPr>
        <w:keepNext/>
        <w:keepLines/>
        <w:jc w:val="both"/>
      </w:pPr>
    </w:p>
    <w:p w:rsidR="0068703D" w:rsidRDefault="0068703D" w:rsidP="00B47111">
      <w:pPr>
        <w:keepNext/>
        <w:keepLines/>
        <w:jc w:val="both"/>
      </w:pPr>
    </w:p>
    <w:p w:rsidR="00B47111" w:rsidRDefault="00B47111" w:rsidP="00B47111">
      <w:pPr>
        <w:keepNext/>
        <w:keepLines/>
        <w:jc w:val="both"/>
      </w:pPr>
    </w:p>
    <w:p w:rsidR="00B47111" w:rsidRDefault="00B47111" w:rsidP="00B4711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7111" w:rsidTr="00B47111">
        <w:tc>
          <w:tcPr>
            <w:tcW w:w="720" w:type="dxa"/>
            <w:shd w:val="clear" w:color="auto" w:fill="auto"/>
          </w:tcPr>
          <w:p w:rsidR="00B47111" w:rsidRDefault="00B47111" w:rsidP="00B47111">
            <w:pPr>
              <w:keepNext/>
              <w:keepLines/>
              <w:jc w:val="both"/>
            </w:pPr>
            <w:bookmarkStart w:id="7" w:name="bkmrkSignature" w:colFirst="0" w:colLast="0"/>
          </w:p>
        </w:tc>
        <w:tc>
          <w:tcPr>
            <w:tcW w:w="4320" w:type="dxa"/>
            <w:tcBorders>
              <w:bottom w:val="single" w:sz="4" w:space="0" w:color="auto"/>
            </w:tcBorders>
            <w:shd w:val="clear" w:color="auto" w:fill="auto"/>
          </w:tcPr>
          <w:p w:rsidR="00B47111" w:rsidRDefault="007C2FBB" w:rsidP="00B47111">
            <w:pPr>
              <w:keepNext/>
              <w:keepLines/>
              <w:jc w:val="both"/>
            </w:pPr>
            <w:r>
              <w:t>/s/ Adam J. Teitzman</w:t>
            </w:r>
            <w:bookmarkStart w:id="8" w:name="_GoBack"/>
            <w:bookmarkEnd w:id="8"/>
          </w:p>
        </w:tc>
      </w:tr>
      <w:bookmarkEnd w:id="7"/>
      <w:tr w:rsidR="00B47111" w:rsidTr="00B47111">
        <w:tc>
          <w:tcPr>
            <w:tcW w:w="720" w:type="dxa"/>
            <w:shd w:val="clear" w:color="auto" w:fill="auto"/>
          </w:tcPr>
          <w:p w:rsidR="00B47111" w:rsidRDefault="00B47111" w:rsidP="00B47111">
            <w:pPr>
              <w:keepNext/>
              <w:keepLines/>
              <w:jc w:val="both"/>
            </w:pPr>
          </w:p>
        </w:tc>
        <w:tc>
          <w:tcPr>
            <w:tcW w:w="4320" w:type="dxa"/>
            <w:tcBorders>
              <w:top w:val="single" w:sz="4" w:space="0" w:color="auto"/>
            </w:tcBorders>
            <w:shd w:val="clear" w:color="auto" w:fill="auto"/>
          </w:tcPr>
          <w:p w:rsidR="00B47111" w:rsidRDefault="00B47111" w:rsidP="00B47111">
            <w:pPr>
              <w:keepNext/>
              <w:keepLines/>
              <w:jc w:val="both"/>
            </w:pPr>
            <w:r>
              <w:t>ADAM J. TEITZMAN</w:t>
            </w:r>
          </w:p>
          <w:p w:rsidR="00B47111" w:rsidRDefault="00B47111" w:rsidP="00B47111">
            <w:pPr>
              <w:keepNext/>
              <w:keepLines/>
              <w:jc w:val="both"/>
            </w:pPr>
            <w:r>
              <w:t>Commission Clerk</w:t>
            </w:r>
          </w:p>
        </w:tc>
      </w:tr>
    </w:tbl>
    <w:p w:rsidR="00B47111" w:rsidRDefault="00B47111" w:rsidP="00B47111">
      <w:pPr>
        <w:pStyle w:val="OrderSigInfo"/>
        <w:keepNext/>
        <w:keepLines/>
      </w:pPr>
      <w:r>
        <w:t>Florida Public Service Commission</w:t>
      </w:r>
    </w:p>
    <w:p w:rsidR="00B47111" w:rsidRDefault="00B47111" w:rsidP="00B47111">
      <w:pPr>
        <w:pStyle w:val="OrderSigInfo"/>
        <w:keepNext/>
        <w:keepLines/>
      </w:pPr>
      <w:r>
        <w:t>2540 Shumard Oak Boulevard</w:t>
      </w:r>
    </w:p>
    <w:p w:rsidR="00B47111" w:rsidRDefault="00B47111" w:rsidP="00B47111">
      <w:pPr>
        <w:pStyle w:val="OrderSigInfo"/>
        <w:keepNext/>
        <w:keepLines/>
      </w:pPr>
      <w:r>
        <w:t>Tallahassee, Florida 32399</w:t>
      </w:r>
    </w:p>
    <w:p w:rsidR="00B47111" w:rsidRDefault="00B47111" w:rsidP="00B47111">
      <w:pPr>
        <w:pStyle w:val="OrderSigInfo"/>
        <w:keepNext/>
        <w:keepLines/>
      </w:pPr>
      <w:r>
        <w:t>(850) 413</w:t>
      </w:r>
      <w:r>
        <w:noBreakHyphen/>
        <w:t>6770</w:t>
      </w:r>
    </w:p>
    <w:p w:rsidR="00B47111" w:rsidRDefault="00B47111" w:rsidP="00B47111">
      <w:pPr>
        <w:pStyle w:val="OrderSigInfo"/>
        <w:keepNext/>
        <w:keepLines/>
      </w:pPr>
      <w:r>
        <w:t>www.floridapsc.com</w:t>
      </w:r>
    </w:p>
    <w:p w:rsidR="00B47111" w:rsidRDefault="00B47111" w:rsidP="00B47111">
      <w:pPr>
        <w:pStyle w:val="OrderSigInfo"/>
        <w:keepNext/>
        <w:keepLines/>
      </w:pPr>
    </w:p>
    <w:p w:rsidR="00B47111" w:rsidRDefault="00B47111" w:rsidP="00B47111">
      <w:pPr>
        <w:pStyle w:val="OrderSigInfo"/>
        <w:keepNext/>
        <w:keepLines/>
      </w:pPr>
      <w:r>
        <w:t>Copies furnished:  A copy of this document is provided to the parties of record at the time of issuance and, if applicable, interested persons.</w:t>
      </w:r>
    </w:p>
    <w:p w:rsidR="00B47111" w:rsidRDefault="00B47111" w:rsidP="00B47111">
      <w:pPr>
        <w:pStyle w:val="OrderBody"/>
        <w:keepNext/>
        <w:keepLines/>
      </w:pPr>
    </w:p>
    <w:p w:rsidR="00B47111" w:rsidRDefault="00B47111" w:rsidP="00B47111">
      <w:pPr>
        <w:keepNext/>
        <w:keepLines/>
        <w:jc w:val="both"/>
      </w:pPr>
    </w:p>
    <w:p w:rsidR="00B47111" w:rsidRDefault="00B47111" w:rsidP="00B47111">
      <w:pPr>
        <w:keepNext/>
        <w:keepLines/>
        <w:jc w:val="both"/>
      </w:pPr>
      <w:r>
        <w:t>AJW</w:t>
      </w:r>
    </w:p>
    <w:p w:rsidR="00B47111" w:rsidRDefault="00B47111" w:rsidP="00B47111">
      <w:pPr>
        <w:jc w:val="both"/>
      </w:pPr>
    </w:p>
    <w:p w:rsidR="00B47111" w:rsidRDefault="00B47111" w:rsidP="00B47111">
      <w:pPr>
        <w:jc w:val="both"/>
      </w:pPr>
    </w:p>
    <w:p w:rsidR="0068703D" w:rsidRDefault="0068703D" w:rsidP="00B47111">
      <w:pPr>
        <w:jc w:val="both"/>
      </w:pPr>
    </w:p>
    <w:p w:rsidR="0068703D" w:rsidRDefault="0068703D" w:rsidP="00B47111">
      <w:pPr>
        <w:jc w:val="both"/>
      </w:pPr>
    </w:p>
    <w:p w:rsidR="0068703D" w:rsidRDefault="0068703D" w:rsidP="00B47111">
      <w:pPr>
        <w:jc w:val="both"/>
      </w:pPr>
    </w:p>
    <w:p w:rsidR="003A324B" w:rsidRDefault="003A324B" w:rsidP="00B47111">
      <w:pPr>
        <w:pStyle w:val="CenterUnderline"/>
      </w:pPr>
    </w:p>
    <w:p w:rsidR="00B47111" w:rsidRDefault="00B47111" w:rsidP="00B47111">
      <w:pPr>
        <w:pStyle w:val="CenterUnderline"/>
      </w:pPr>
      <w:r>
        <w:lastRenderedPageBreak/>
        <w:t>NOTICE OF FURTHER PROCEEDINGS OR JUDICIAL REVIEW</w:t>
      </w:r>
    </w:p>
    <w:p w:rsidR="0092379D" w:rsidRDefault="0092379D" w:rsidP="00B47111">
      <w:pPr>
        <w:pStyle w:val="CenterUnderline"/>
        <w:rPr>
          <w:u w:val="none"/>
        </w:rPr>
      </w:pPr>
    </w:p>
    <w:p w:rsidR="00B47111" w:rsidRDefault="00B47111" w:rsidP="00B47111">
      <w:pPr>
        <w:pStyle w:val="OrderBody"/>
      </w:pPr>
    </w:p>
    <w:p w:rsidR="00B47111" w:rsidRDefault="00B47111" w:rsidP="00B4711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7111" w:rsidRDefault="00B47111" w:rsidP="00B47111">
      <w:pPr>
        <w:pStyle w:val="OrderBody"/>
      </w:pPr>
    </w:p>
    <w:p w:rsidR="00B47111" w:rsidRDefault="00B47111" w:rsidP="00B47111">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47111" w:rsidRDefault="00B47111" w:rsidP="00B47111">
      <w:pPr>
        <w:pStyle w:val="OrderBody"/>
      </w:pPr>
    </w:p>
    <w:p w:rsidR="00B47111" w:rsidRPr="00B47111" w:rsidRDefault="00B47111" w:rsidP="00B47111">
      <w:pPr>
        <w:pStyle w:val="OrderBody"/>
      </w:pPr>
    </w:p>
    <w:sectPr w:rsidR="00B47111" w:rsidRPr="00B47111">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79D" w:rsidRDefault="0092379D">
      <w:r>
        <w:separator/>
      </w:r>
    </w:p>
  </w:endnote>
  <w:endnote w:type="continuationSeparator" w:id="0">
    <w:p w:rsidR="0092379D" w:rsidRDefault="00923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79D" w:rsidRDefault="0092379D">
      <w:r>
        <w:separator/>
      </w:r>
    </w:p>
  </w:footnote>
  <w:footnote w:type="continuationSeparator" w:id="0">
    <w:p w:rsidR="0092379D" w:rsidRDefault="00923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7C2FBB">
      <w:fldChar w:fldCharType="begin"/>
    </w:r>
    <w:r w:rsidR="007C2FBB">
      <w:instrText xml:space="preserve"> REF OrderNo0500 </w:instrText>
    </w:r>
    <w:r w:rsidR="007C2FBB">
      <w:fldChar w:fldCharType="separate"/>
    </w:r>
    <w:r w:rsidR="007C2FBB">
      <w:t>PSC-2019-0500-FOF-EI</w:t>
    </w:r>
    <w:r w:rsidR="007C2FBB">
      <w:fldChar w:fldCharType="end"/>
    </w:r>
  </w:p>
  <w:p w:rsidR="00FA6EFD" w:rsidRDefault="0092379D">
    <w:pPr>
      <w:pStyle w:val="OrderHeader"/>
    </w:pPr>
    <w:bookmarkStart w:id="9" w:name="HeaderDocketNo"/>
    <w:bookmarkEnd w:id="9"/>
    <w:r>
      <w:t>DOCKET NO. 20190007-EI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C2FBB">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7-EI"/>
  </w:docVars>
  <w:rsids>
    <w:rsidRoot w:val="0092379D"/>
    <w:rsid w:val="000022B8"/>
    <w:rsid w:val="00027743"/>
    <w:rsid w:val="00033093"/>
    <w:rsid w:val="0003433F"/>
    <w:rsid w:val="00035A8C"/>
    <w:rsid w:val="00036A3F"/>
    <w:rsid w:val="00053AB9"/>
    <w:rsid w:val="00056229"/>
    <w:rsid w:val="00057AF1"/>
    <w:rsid w:val="00065FC2"/>
    <w:rsid w:val="00067685"/>
    <w:rsid w:val="00076E6B"/>
    <w:rsid w:val="0008247D"/>
    <w:rsid w:val="00090AFC"/>
    <w:rsid w:val="000B0FFA"/>
    <w:rsid w:val="000B1451"/>
    <w:rsid w:val="000B783E"/>
    <w:rsid w:val="000D02B8"/>
    <w:rsid w:val="000D06E8"/>
    <w:rsid w:val="000D3A5F"/>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A66B9"/>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03D3"/>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74664"/>
    <w:rsid w:val="00387BDE"/>
    <w:rsid w:val="00390DD8"/>
    <w:rsid w:val="00393D0F"/>
    <w:rsid w:val="00394DC6"/>
    <w:rsid w:val="00397C3E"/>
    <w:rsid w:val="003A324B"/>
    <w:rsid w:val="003B1A09"/>
    <w:rsid w:val="003D4CCA"/>
    <w:rsid w:val="003D4D3F"/>
    <w:rsid w:val="003D52A6"/>
    <w:rsid w:val="003D6416"/>
    <w:rsid w:val="003E1D48"/>
    <w:rsid w:val="003F1D2B"/>
    <w:rsid w:val="003F67A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3CC"/>
    <w:rsid w:val="005E751B"/>
    <w:rsid w:val="005F3354"/>
    <w:rsid w:val="0060005E"/>
    <w:rsid w:val="0060095B"/>
    <w:rsid w:val="00601266"/>
    <w:rsid w:val="00610E73"/>
    <w:rsid w:val="00616DF2"/>
    <w:rsid w:val="0063168D"/>
    <w:rsid w:val="0063352A"/>
    <w:rsid w:val="006531A4"/>
    <w:rsid w:val="00660774"/>
    <w:rsid w:val="0066389A"/>
    <w:rsid w:val="0066495C"/>
    <w:rsid w:val="00665CC7"/>
    <w:rsid w:val="00672612"/>
    <w:rsid w:val="00677F18"/>
    <w:rsid w:val="0068703D"/>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210B"/>
    <w:rsid w:val="007B350E"/>
    <w:rsid w:val="007C0FBC"/>
    <w:rsid w:val="007C2FBB"/>
    <w:rsid w:val="007C36E3"/>
    <w:rsid w:val="007C7134"/>
    <w:rsid w:val="007C79E3"/>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79D"/>
    <w:rsid w:val="00923A5E"/>
    <w:rsid w:val="00924FE7"/>
    <w:rsid w:val="00926E27"/>
    <w:rsid w:val="009303D2"/>
    <w:rsid w:val="00931C8C"/>
    <w:rsid w:val="0094504B"/>
    <w:rsid w:val="009460CA"/>
    <w:rsid w:val="00964A38"/>
    <w:rsid w:val="00966A9D"/>
    <w:rsid w:val="0096742B"/>
    <w:rsid w:val="009718C5"/>
    <w:rsid w:val="00985344"/>
    <w:rsid w:val="009924CF"/>
    <w:rsid w:val="00994100"/>
    <w:rsid w:val="009974A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47111"/>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3E7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0637"/>
    <w:rsid w:val="00DE2082"/>
    <w:rsid w:val="00DE2289"/>
    <w:rsid w:val="00DF09A7"/>
    <w:rsid w:val="00E001D6"/>
    <w:rsid w:val="00E03A76"/>
    <w:rsid w:val="00E04410"/>
    <w:rsid w:val="00E07484"/>
    <w:rsid w:val="00E11351"/>
    <w:rsid w:val="00E23FAB"/>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 w:val="00FF4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92379D"/>
    <w:pPr>
      <w:autoSpaceDE w:val="0"/>
      <w:autoSpaceDN w:val="0"/>
      <w:adjustRightInd w:val="0"/>
      <w:ind w:left="1440"/>
    </w:pPr>
    <w:rPr>
      <w:sz w:val="24"/>
      <w:szCs w:val="24"/>
    </w:rPr>
  </w:style>
  <w:style w:type="paragraph" w:styleId="NoSpacing">
    <w:name w:val="No Spacing"/>
    <w:uiPriority w:val="1"/>
    <w:qFormat/>
    <w:rsid w:val="000B0FFA"/>
    <w:rPr>
      <w:rFonts w:asciiTheme="minorHAnsi" w:eastAsiaTheme="minorHAnsi" w:hAnsiTheme="minorHAnsi" w:cstheme="minorBidi"/>
      <w:sz w:val="22"/>
      <w:szCs w:val="22"/>
    </w:rPr>
  </w:style>
  <w:style w:type="paragraph" w:customStyle="1" w:styleId="Default">
    <w:name w:val="Default"/>
    <w:rsid w:val="000B0FFA"/>
    <w:pPr>
      <w:autoSpaceDE w:val="0"/>
      <w:autoSpaceDN w:val="0"/>
      <w:adjustRightInd w:val="0"/>
    </w:pPr>
    <w:rPr>
      <w:color w:val="000000"/>
      <w:sz w:val="24"/>
      <w:szCs w:val="24"/>
    </w:rPr>
  </w:style>
  <w:style w:type="paragraph" w:styleId="BalloonText">
    <w:name w:val="Balloon Text"/>
    <w:basedOn w:val="Normal"/>
    <w:link w:val="BalloonTextChar"/>
    <w:rsid w:val="007B210B"/>
    <w:rPr>
      <w:rFonts w:ascii="Tahoma" w:hAnsi="Tahoma" w:cs="Tahoma"/>
      <w:sz w:val="16"/>
      <w:szCs w:val="16"/>
    </w:rPr>
  </w:style>
  <w:style w:type="character" w:customStyle="1" w:styleId="BalloonTextChar">
    <w:name w:val="Balloon Text Char"/>
    <w:basedOn w:val="DefaultParagraphFont"/>
    <w:link w:val="BalloonText"/>
    <w:rsid w:val="007B21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92379D"/>
    <w:pPr>
      <w:autoSpaceDE w:val="0"/>
      <w:autoSpaceDN w:val="0"/>
      <w:adjustRightInd w:val="0"/>
      <w:ind w:left="1440"/>
    </w:pPr>
    <w:rPr>
      <w:sz w:val="24"/>
      <w:szCs w:val="24"/>
    </w:rPr>
  </w:style>
  <w:style w:type="paragraph" w:styleId="NoSpacing">
    <w:name w:val="No Spacing"/>
    <w:uiPriority w:val="1"/>
    <w:qFormat/>
    <w:rsid w:val="000B0FFA"/>
    <w:rPr>
      <w:rFonts w:asciiTheme="minorHAnsi" w:eastAsiaTheme="minorHAnsi" w:hAnsiTheme="minorHAnsi" w:cstheme="minorBidi"/>
      <w:sz w:val="22"/>
      <w:szCs w:val="22"/>
    </w:rPr>
  </w:style>
  <w:style w:type="paragraph" w:customStyle="1" w:styleId="Default">
    <w:name w:val="Default"/>
    <w:rsid w:val="000B0FFA"/>
    <w:pPr>
      <w:autoSpaceDE w:val="0"/>
      <w:autoSpaceDN w:val="0"/>
      <w:adjustRightInd w:val="0"/>
    </w:pPr>
    <w:rPr>
      <w:color w:val="000000"/>
      <w:sz w:val="24"/>
      <w:szCs w:val="24"/>
    </w:rPr>
  </w:style>
  <w:style w:type="paragraph" w:styleId="BalloonText">
    <w:name w:val="Balloon Text"/>
    <w:basedOn w:val="Normal"/>
    <w:link w:val="BalloonTextChar"/>
    <w:rsid w:val="007B210B"/>
    <w:rPr>
      <w:rFonts w:ascii="Tahoma" w:hAnsi="Tahoma" w:cs="Tahoma"/>
      <w:sz w:val="16"/>
      <w:szCs w:val="16"/>
    </w:rPr>
  </w:style>
  <w:style w:type="character" w:customStyle="1" w:styleId="BalloonTextChar">
    <w:name w:val="Balloon Text Char"/>
    <w:basedOn w:val="DefaultParagraphFont"/>
    <w:link w:val="BalloonText"/>
    <w:rsid w:val="007B21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C0676-C067-4E65-8294-8A5CC752C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275</TotalTime>
  <Pages>11</Pages>
  <Words>2261</Words>
  <Characters>13364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Fisher</dc:creator>
  <cp:lastModifiedBy>Ereecy  McNeal</cp:lastModifiedBy>
  <cp:revision>22</cp:revision>
  <cp:lastPrinted>2019-11-22T18:38:00Z</cp:lastPrinted>
  <dcterms:created xsi:type="dcterms:W3CDTF">2019-11-06T18:43:00Z</dcterms:created>
  <dcterms:modified xsi:type="dcterms:W3CDTF">2019-11-22T18:38:00Z</dcterms:modified>
</cp:coreProperties>
</file>