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17C90" w:rsidP="00417C90">
      <w:pPr>
        <w:pStyle w:val="OrderHeading"/>
      </w:pPr>
      <w:r>
        <w:t>BEFORE THE FLORIDA PUBLIC SERVICE COMMISSION</w:t>
      </w:r>
    </w:p>
    <w:p w:rsidR="00417C90" w:rsidRDefault="00417C90" w:rsidP="00417C90">
      <w:pPr>
        <w:pStyle w:val="OrderBody"/>
      </w:pPr>
    </w:p>
    <w:p w:rsidR="00417C90" w:rsidRDefault="00417C90" w:rsidP="00417C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7C90" w:rsidRPr="00C63FCF" w:rsidTr="00C63FCF">
        <w:trPr>
          <w:trHeight w:val="828"/>
        </w:trPr>
        <w:tc>
          <w:tcPr>
            <w:tcW w:w="4788" w:type="dxa"/>
            <w:tcBorders>
              <w:bottom w:val="single" w:sz="8" w:space="0" w:color="auto"/>
              <w:right w:val="double" w:sz="6" w:space="0" w:color="auto"/>
            </w:tcBorders>
            <w:shd w:val="clear" w:color="auto" w:fill="auto"/>
          </w:tcPr>
          <w:p w:rsidR="00417C90" w:rsidRDefault="00417C90" w:rsidP="00C63FCF">
            <w:pPr>
              <w:pStyle w:val="OrderBody"/>
              <w:tabs>
                <w:tab w:val="center" w:pos="4320"/>
                <w:tab w:val="right" w:pos="8640"/>
              </w:tabs>
              <w:jc w:val="left"/>
            </w:pPr>
            <w:r>
              <w:t xml:space="preserve">In re: </w:t>
            </w:r>
            <w:bookmarkStart w:id="0" w:name="SSInRe"/>
            <w:bookmarkEnd w:id="0"/>
            <w:r>
              <w:t>Petition for temporary variance from or waiver of Rule 25-6.0143(1)(g), F.A.C, to file for prudence review of Florida Power &amp; Light Company storm costs related to Hurricane Isaias and Tropical Storm Eta, and for prudence review and recovery of Gulf Power Company storm costs related to Hurricane Sally and Hurricane Zeta.</w:t>
            </w:r>
          </w:p>
        </w:tc>
        <w:tc>
          <w:tcPr>
            <w:tcW w:w="4788" w:type="dxa"/>
            <w:tcBorders>
              <w:left w:val="double" w:sz="6" w:space="0" w:color="auto"/>
            </w:tcBorders>
            <w:shd w:val="clear" w:color="auto" w:fill="auto"/>
          </w:tcPr>
          <w:p w:rsidR="00417C90" w:rsidRDefault="00417C90" w:rsidP="00417C90">
            <w:pPr>
              <w:pStyle w:val="OrderBody"/>
            </w:pPr>
            <w:r>
              <w:t xml:space="preserve">DOCKET NO. </w:t>
            </w:r>
            <w:bookmarkStart w:id="1" w:name="SSDocketNo"/>
            <w:bookmarkEnd w:id="1"/>
            <w:r>
              <w:t>20210128-EI</w:t>
            </w:r>
          </w:p>
          <w:p w:rsidR="00417C90" w:rsidRDefault="00417C90" w:rsidP="00C63FCF">
            <w:pPr>
              <w:pStyle w:val="OrderBody"/>
              <w:tabs>
                <w:tab w:val="center" w:pos="4320"/>
                <w:tab w:val="right" w:pos="8640"/>
              </w:tabs>
              <w:jc w:val="left"/>
            </w:pPr>
            <w:r>
              <w:t xml:space="preserve">ORDER NO. </w:t>
            </w:r>
            <w:bookmarkStart w:id="2" w:name="OrderNo0361"/>
            <w:r w:rsidR="005C31E7">
              <w:t>PSC-2021-0361-PAA-EI</w:t>
            </w:r>
            <w:bookmarkEnd w:id="2"/>
          </w:p>
          <w:p w:rsidR="00417C90" w:rsidRDefault="00417C90" w:rsidP="00C63FCF">
            <w:pPr>
              <w:pStyle w:val="OrderBody"/>
              <w:tabs>
                <w:tab w:val="center" w:pos="4320"/>
                <w:tab w:val="right" w:pos="8640"/>
              </w:tabs>
              <w:jc w:val="left"/>
            </w:pPr>
            <w:r>
              <w:t xml:space="preserve">ISSUED: </w:t>
            </w:r>
            <w:r w:rsidR="005C31E7">
              <w:t>September 16, 2021</w:t>
            </w:r>
          </w:p>
        </w:tc>
      </w:tr>
    </w:tbl>
    <w:p w:rsidR="00417C90" w:rsidRDefault="00417C90" w:rsidP="00417C90"/>
    <w:p w:rsidR="00417C90" w:rsidRDefault="00417C90" w:rsidP="00417C90"/>
    <w:p w:rsidR="00417C90" w:rsidRDefault="00417C90" w:rsidP="00B67A43">
      <w:pPr>
        <w:ind w:firstLine="720"/>
        <w:jc w:val="both"/>
      </w:pPr>
      <w:bookmarkStart w:id="3" w:name="Commissioners"/>
      <w:bookmarkEnd w:id="3"/>
      <w:r>
        <w:t>The following Commissioners participated in the disposition of this matter:</w:t>
      </w:r>
    </w:p>
    <w:p w:rsidR="00417C90" w:rsidRDefault="00417C90" w:rsidP="00B67A43"/>
    <w:p w:rsidR="00417C90" w:rsidRDefault="00417C90" w:rsidP="00B67A43">
      <w:pPr>
        <w:jc w:val="center"/>
      </w:pPr>
      <w:r>
        <w:t>GARY F. CLARK, Chairman</w:t>
      </w:r>
    </w:p>
    <w:p w:rsidR="00417C90" w:rsidRDefault="00417C90" w:rsidP="00B67A43">
      <w:pPr>
        <w:jc w:val="center"/>
      </w:pPr>
      <w:r>
        <w:t>ART GRAHAM</w:t>
      </w:r>
    </w:p>
    <w:p w:rsidR="00417C90" w:rsidRDefault="00417C90" w:rsidP="00B67A43">
      <w:pPr>
        <w:jc w:val="center"/>
      </w:pPr>
      <w:r>
        <w:t>ANDREW GILES FAY</w:t>
      </w:r>
    </w:p>
    <w:p w:rsidR="00417C90" w:rsidRDefault="00417C90" w:rsidP="00B67A43">
      <w:pPr>
        <w:jc w:val="center"/>
      </w:pPr>
      <w:r>
        <w:t>MIKE LA ROSA</w:t>
      </w:r>
    </w:p>
    <w:p w:rsidR="00417C90" w:rsidRPr="005F2751" w:rsidRDefault="00417C90" w:rsidP="00B67A43">
      <w:pPr>
        <w:jc w:val="center"/>
      </w:pPr>
      <w:r w:rsidRPr="005F2751">
        <w:rPr>
          <w:lang w:val="en"/>
        </w:rPr>
        <w:t>GABRIELLA PASSIDOMO</w:t>
      </w:r>
    </w:p>
    <w:p w:rsidR="00417C90" w:rsidRDefault="00417C90" w:rsidP="00B67A43"/>
    <w:p w:rsidR="00417C90" w:rsidRDefault="00417C90" w:rsidP="00417C90">
      <w:pPr>
        <w:pStyle w:val="OrderBody"/>
      </w:pPr>
    </w:p>
    <w:bookmarkStart w:id="4" w:name="OrderText"/>
    <w:bookmarkEnd w:id="4"/>
    <w:p w:rsidR="00417C90" w:rsidRPr="003E4B2D" w:rsidRDefault="00417C9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17C90" w:rsidRPr="003E4B2D" w:rsidRDefault="00417C90" w:rsidP="001D3518">
      <w:pPr>
        <w:pStyle w:val="OrderBody"/>
        <w:jc w:val="center"/>
      </w:pPr>
      <w:r w:rsidRPr="003E4B2D">
        <w:rPr>
          <w:u w:val="single"/>
        </w:rPr>
        <w:t>ORDER</w:t>
      </w:r>
      <w:bookmarkStart w:id="5" w:name="OrderTitle"/>
      <w:r w:rsidRPr="00157AAF">
        <w:rPr>
          <w:u w:val="single"/>
        </w:rPr>
        <w:t xml:space="preserve"> </w:t>
      </w:r>
      <w:bookmarkEnd w:id="5"/>
      <w:r w:rsidR="001D3518" w:rsidRPr="00157AAF">
        <w:rPr>
          <w:u w:val="single"/>
        </w:rPr>
        <w:t xml:space="preserve">GRANTING TEMPORARY </w:t>
      </w:r>
      <w:r w:rsidR="00157AAF">
        <w:rPr>
          <w:u w:val="single"/>
        </w:rPr>
        <w:t xml:space="preserve">RULE </w:t>
      </w:r>
      <w:r w:rsidR="001D3518" w:rsidRPr="00157AAF">
        <w:rPr>
          <w:u w:val="single"/>
        </w:rPr>
        <w:t>VARIANCE</w:t>
      </w:r>
      <w:r w:rsidR="00157AAF">
        <w:rPr>
          <w:u w:val="single"/>
        </w:rPr>
        <w:t xml:space="preserve"> OR WAIVER</w:t>
      </w:r>
    </w:p>
    <w:p w:rsidR="00417C90" w:rsidRPr="003E4B2D" w:rsidRDefault="00417C90">
      <w:pPr>
        <w:pStyle w:val="OrderBody"/>
      </w:pPr>
    </w:p>
    <w:p w:rsidR="00417C90" w:rsidRPr="003E4B2D" w:rsidRDefault="00417C90">
      <w:pPr>
        <w:pStyle w:val="OrderBody"/>
      </w:pPr>
      <w:r w:rsidRPr="003E4B2D">
        <w:t>BY THE COMMISSION:</w:t>
      </w:r>
    </w:p>
    <w:p w:rsidR="00417C90" w:rsidRPr="003E4B2D" w:rsidRDefault="00417C90">
      <w:pPr>
        <w:pStyle w:val="OrderBody"/>
      </w:pPr>
    </w:p>
    <w:p w:rsidR="00417C90" w:rsidRDefault="00417C9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17C90"/>
    <w:p w:rsidR="00724CAF" w:rsidRPr="003B52EA" w:rsidRDefault="00724CAF" w:rsidP="00724CAF">
      <w:pPr>
        <w:pStyle w:val="ListParagraph"/>
        <w:numPr>
          <w:ilvl w:val="0"/>
          <w:numId w:val="1"/>
        </w:numPr>
      </w:pPr>
      <w:r>
        <w:rPr>
          <w:u w:val="single"/>
        </w:rPr>
        <w:t>Background</w:t>
      </w:r>
    </w:p>
    <w:p w:rsidR="003B52EA" w:rsidRPr="00724CAF" w:rsidRDefault="003B52EA" w:rsidP="003B52EA">
      <w:pPr>
        <w:pStyle w:val="ListParagraph"/>
        <w:ind w:left="1080"/>
      </w:pPr>
    </w:p>
    <w:p w:rsidR="003B52EA" w:rsidRPr="00A82153" w:rsidRDefault="003B52EA" w:rsidP="003B52EA">
      <w:pPr>
        <w:spacing w:after="240"/>
        <w:ind w:firstLine="720"/>
        <w:jc w:val="both"/>
      </w:pPr>
      <w:r w:rsidRPr="00A82153">
        <w:t xml:space="preserve">On August 3, 2021, Florida Power &amp; Light Company (FPL) filed a petition for a temporary waiver </w:t>
      </w:r>
      <w:r>
        <w:t xml:space="preserve">from </w:t>
      </w:r>
      <w:r w:rsidRPr="00A82153">
        <w:t>or variance of Rule 25-6.0143(1)(g), Florida Administrative Code (F.A.C.)</w:t>
      </w:r>
      <w:r>
        <w:t xml:space="preserve"> (Petition). </w:t>
      </w:r>
      <w:r w:rsidRPr="00A82153">
        <w:t>Investor-owned electric utilities are required to maintain their accounts and records in conformity with the Uniform System of Accounts for Public Utilities and Licensees.</w:t>
      </w:r>
      <w:r w:rsidRPr="00A82153">
        <w:rPr>
          <w:vertAlign w:val="superscript"/>
        </w:rPr>
        <w:footnoteReference w:id="1"/>
      </w:r>
      <w:r w:rsidRPr="00A82153">
        <w:t xml:space="preserve"> Rule 25-6.0143, F.A.C.</w:t>
      </w:r>
      <w:r>
        <w:t>, addresses electric utilities’</w:t>
      </w:r>
      <w:r w:rsidRPr="00A82153">
        <w:t xml:space="preserve"> use of accumulated provision accounts 228.1, 228.2, and 228.4. Paragraph (1)(g) of Rule 25-6.0143 requires that under the Incremental Cost and Capitalization Approach methodology for determining the allowable costs to be charged to cover storm-related damages, certain costs may be charged to Account 228.1 only after </w:t>
      </w:r>
      <w:r w:rsidR="00A77F83">
        <w:t xml:space="preserve">we </w:t>
      </w:r>
      <w:r w:rsidRPr="00A82153">
        <w:t>review and approv</w:t>
      </w:r>
      <w:r w:rsidR="00A77F83">
        <w:t>e them</w:t>
      </w:r>
      <w:r w:rsidRPr="00A82153">
        <w:t>. Before</w:t>
      </w:r>
      <w:r w:rsidR="00A77F83">
        <w:t xml:space="preserve"> we make</w:t>
      </w:r>
      <w:r w:rsidRPr="00A82153">
        <w:t xml:space="preserve"> this determination, the costs may be deferred if they were incurred prior to June 1 of the year following the storm event.  </w:t>
      </w:r>
    </w:p>
    <w:p w:rsidR="003B52EA" w:rsidRPr="00A82153" w:rsidRDefault="003B52EA" w:rsidP="003B52EA">
      <w:pPr>
        <w:spacing w:after="240"/>
        <w:ind w:firstLine="720"/>
        <w:jc w:val="both"/>
      </w:pPr>
      <w:r w:rsidRPr="00A82153">
        <w:lastRenderedPageBreak/>
        <w:t>Paragraph (1)(g) of the rule further requires that:</w:t>
      </w:r>
    </w:p>
    <w:p w:rsidR="003B52EA" w:rsidRPr="00A82153" w:rsidRDefault="003B52EA" w:rsidP="003B52EA">
      <w:pPr>
        <w:spacing w:after="240"/>
        <w:ind w:left="720" w:right="720"/>
        <w:jc w:val="both"/>
      </w:pPr>
      <w:r w:rsidRPr="00A82153">
        <w:t xml:space="preserve">By September 30 a utility must file a petition for the disposition of any costs deferred prior to June 1 of the year following the storm event giving rise to the deferred costs. </w:t>
      </w:r>
    </w:p>
    <w:p w:rsidR="003B52EA" w:rsidRPr="00A82153" w:rsidRDefault="003B52EA" w:rsidP="003B52EA">
      <w:pPr>
        <w:spacing w:after="240"/>
        <w:ind w:firstLine="720"/>
        <w:jc w:val="both"/>
      </w:pPr>
      <w:r w:rsidRPr="00A82153">
        <w:t>FPL is asking</w:t>
      </w:r>
      <w:r w:rsidR="00A77F83">
        <w:t xml:space="preserve"> </w:t>
      </w:r>
      <w:r w:rsidRPr="00A82153">
        <w:t xml:space="preserve">for </w:t>
      </w:r>
      <w:r>
        <w:t xml:space="preserve">a temporary </w:t>
      </w:r>
      <w:r w:rsidRPr="00A82153">
        <w:t xml:space="preserve">variance </w:t>
      </w:r>
      <w:r>
        <w:t xml:space="preserve">from </w:t>
      </w:r>
      <w:r w:rsidRPr="00A82153">
        <w:t>or waiver of the Sep</w:t>
      </w:r>
      <w:r>
        <w:t>tember 30 filing requirement. FPL</w:t>
      </w:r>
      <w:r w:rsidRPr="00A82153">
        <w:t xml:space="preserve"> asks that it be allowed until December 31, 2021</w:t>
      </w:r>
      <w:r>
        <w:t xml:space="preserve">, </w:t>
      </w:r>
      <w:r w:rsidRPr="00A82153">
        <w:t>to file its paragraph (1)(g) petition concerning deferred storm costs related to Hurrican</w:t>
      </w:r>
      <w:r w:rsidR="00D10524">
        <w:t>e Isaias and Tropical Storm Eta</w:t>
      </w:r>
      <w:r w:rsidRPr="00A82153">
        <w:t xml:space="preserve"> and for Gulf Power </w:t>
      </w:r>
      <w:r>
        <w:t xml:space="preserve">Company </w:t>
      </w:r>
      <w:r w:rsidRPr="00A82153">
        <w:t>(Gulf) to file its petition concerning d</w:t>
      </w:r>
      <w:r>
        <w:t>eferred storm costs related to H</w:t>
      </w:r>
      <w:r w:rsidRPr="00A82153">
        <w:t xml:space="preserve">urricane Sally and </w:t>
      </w:r>
      <w:r>
        <w:t>H</w:t>
      </w:r>
      <w:r w:rsidRPr="00A82153">
        <w:t>urricane Zeta.</w:t>
      </w:r>
    </w:p>
    <w:p w:rsidR="00724CAF" w:rsidRPr="00724CAF" w:rsidRDefault="003B52EA" w:rsidP="00F5749F">
      <w:pPr>
        <w:spacing w:after="240"/>
        <w:ind w:firstLine="720"/>
        <w:jc w:val="both"/>
      </w:pPr>
      <w:r w:rsidRPr="00A82153">
        <w:t>Notice of FPL’s Petition was published in the August 5, 2021, edition of the Florida Administrative Register, Vol. 47, No. 151 as required by Section 120.542(6), Florida Statutes (</w:t>
      </w:r>
      <w:r>
        <w:t>F.S.). No one commented on the P</w:t>
      </w:r>
      <w:r w:rsidRPr="00A82153">
        <w:t>etition within the 14-day comment period provided by Rule 28-104.</w:t>
      </w:r>
      <w:r>
        <w:t xml:space="preserve">003, F.A.C. </w:t>
      </w:r>
      <w:r w:rsidR="00A77F83">
        <w:t>We have</w:t>
      </w:r>
      <w:r w:rsidRPr="00A82153">
        <w:t xml:space="preserve"> jurisdiction under Sections 120.542, 350.115, 366.04, .05, and .06, F.S</w:t>
      </w:r>
      <w:r w:rsidR="00F5749F">
        <w:t>.</w:t>
      </w:r>
    </w:p>
    <w:p w:rsidR="00724CAF" w:rsidRPr="003B52EA" w:rsidRDefault="00724CAF" w:rsidP="00724CAF">
      <w:pPr>
        <w:pStyle w:val="ListParagraph"/>
        <w:numPr>
          <w:ilvl w:val="0"/>
          <w:numId w:val="1"/>
        </w:numPr>
      </w:pPr>
      <w:r>
        <w:rPr>
          <w:u w:val="single"/>
        </w:rPr>
        <w:t>Legal Standard for Rule Waivers</w:t>
      </w:r>
    </w:p>
    <w:p w:rsidR="003B52EA" w:rsidRPr="00724CAF" w:rsidRDefault="003B52EA" w:rsidP="003B52EA">
      <w:pPr>
        <w:pStyle w:val="ListParagraph"/>
        <w:ind w:left="1080"/>
      </w:pPr>
    </w:p>
    <w:p w:rsidR="003B52EA" w:rsidRPr="0074356B" w:rsidRDefault="003B52EA" w:rsidP="003B52EA">
      <w:pPr>
        <w:spacing w:after="240"/>
        <w:ind w:firstLine="720"/>
        <w:jc w:val="both"/>
      </w:pPr>
      <w:r>
        <w:t>P</w:t>
      </w:r>
      <w:r w:rsidRPr="0074356B">
        <w:t xml:space="preserve">ursuant to Section 120.542(2), F.S., </w:t>
      </w:r>
      <w:r w:rsidR="00A77F83">
        <w:t>we are</w:t>
      </w:r>
      <w:r w:rsidRPr="0074356B">
        <w:t xml:space="preserve"> required to grant waivers and variances from </w:t>
      </w:r>
      <w:r w:rsidR="00157AAF">
        <w:t>our</w:t>
      </w:r>
      <w:r w:rsidRPr="0074356B">
        <w:t xml:space="preserve"> rules “when the person subject to the rule demonstrates that the purpose of the underlying statute will be or has been achieved by other means by the person and when application of a rule would create a substantial hardship or would violate principles of fairness.” </w:t>
      </w:r>
      <w:r>
        <w:t>A</w:t>
      </w:r>
      <w:r w:rsidRPr="0074356B">
        <w:t xml:space="preserve"> “substantial hardship” </w:t>
      </w:r>
      <w:r>
        <w:t xml:space="preserve">is defined by statute </w:t>
      </w:r>
      <w:r w:rsidRPr="0074356B">
        <w:t>as a “demonstrated economic, technological, legal, or other type of hardship.”</w:t>
      </w:r>
    </w:p>
    <w:p w:rsidR="00724CAF" w:rsidRPr="003B52EA" w:rsidRDefault="003B52EA" w:rsidP="003B52EA">
      <w:pPr>
        <w:ind w:firstLine="720"/>
        <w:jc w:val="both"/>
        <w:rPr>
          <w:u w:val="single"/>
        </w:rPr>
      </w:pPr>
      <w:r w:rsidRPr="0074356B">
        <w:t xml:space="preserve">Rule 25-6.0143, F.A.C., implements Section 350.115, F.S., which allows </w:t>
      </w:r>
      <w:r w:rsidR="00A77F83">
        <w:t>us</w:t>
      </w:r>
      <w:r w:rsidRPr="0074356B">
        <w:t xml:space="preserve"> to prescribe by rule uniform systems and classifications of accounts for each type of regulated company and approve or establish adequate, fair, and reasonable depreciation rates and charges. The rule also implements Section 366.04(2)(a), F.S., which gives </w:t>
      </w:r>
      <w:r w:rsidR="00A77F83">
        <w:t>us</w:t>
      </w:r>
      <w:r w:rsidRPr="0074356B">
        <w:t xml:space="preserve"> power over electric utilities to prescribe uniform systems and classifications of accounts</w:t>
      </w:r>
    </w:p>
    <w:p w:rsidR="00724CAF" w:rsidRPr="00724CAF" w:rsidRDefault="00724CAF" w:rsidP="00724CAF">
      <w:pPr>
        <w:pStyle w:val="ListParagraph"/>
        <w:ind w:left="1080"/>
      </w:pPr>
    </w:p>
    <w:p w:rsidR="00724CAF" w:rsidRPr="00724CAF" w:rsidRDefault="00724CAF" w:rsidP="00A51DDA">
      <w:pPr>
        <w:pStyle w:val="ListParagraph"/>
        <w:numPr>
          <w:ilvl w:val="0"/>
          <w:numId w:val="1"/>
        </w:numPr>
      </w:pPr>
      <w:r w:rsidRPr="00724CAF">
        <w:rPr>
          <w:u w:val="single"/>
        </w:rPr>
        <w:t>FPL’s Petition for Temporary Variance</w:t>
      </w:r>
    </w:p>
    <w:p w:rsidR="003B52EA" w:rsidRDefault="003B52EA" w:rsidP="003B52EA"/>
    <w:p w:rsidR="003B52EA" w:rsidRPr="0074356B" w:rsidRDefault="003B52EA" w:rsidP="003B52EA">
      <w:pPr>
        <w:spacing w:after="240"/>
        <w:ind w:firstLine="720"/>
        <w:jc w:val="both"/>
      </w:pPr>
      <w:r w:rsidRPr="0074356B">
        <w:t>FPL states that preparation and filing of the petitions for deferred costs related to the four named storms no later than September 30, 2021</w:t>
      </w:r>
      <w:r>
        <w:t>,</w:t>
      </w:r>
      <w:r w:rsidRPr="0074356B">
        <w:t xml:space="preserve"> will create a substantial hardship. FPL states that FPL and Gulf are engaged in </w:t>
      </w:r>
      <w:r>
        <w:t xml:space="preserve">the </w:t>
      </w:r>
      <w:r w:rsidRPr="0074356B">
        <w:t xml:space="preserve">litigation of and preparations for a number of proceedings, including the hearing in the FPL rate case </w:t>
      </w:r>
      <w:r>
        <w:t xml:space="preserve">in </w:t>
      </w:r>
      <w:r w:rsidRPr="0074356B">
        <w:t>Docke</w:t>
      </w:r>
      <w:r>
        <w:t xml:space="preserve">t No. 20210015-EI </w:t>
      </w:r>
      <w:r w:rsidRPr="0074356B">
        <w:t xml:space="preserve">and clause proceedings scheduled for final hearings </w:t>
      </w:r>
      <w:r>
        <w:t xml:space="preserve">on </w:t>
      </w:r>
      <w:r w:rsidRPr="0074356B">
        <w:t>November 2 though November 4, 2021. FPL explains that its Power Delivery Business Unit provides much of the information and data necessary to the</w:t>
      </w:r>
      <w:r w:rsidR="00FA2F8F">
        <w:t xml:space="preserve"> </w:t>
      </w:r>
      <w:r w:rsidRPr="0074356B">
        <w:t xml:space="preserve">preparations and filing </w:t>
      </w:r>
      <w:r>
        <w:t>of the referenced storm dockets</w:t>
      </w:r>
      <w:r w:rsidRPr="0074356B">
        <w:t xml:space="preserve"> and also is responsible for maintaining the grid, preparing for and responding to tropical storms and hurricanes, and stands ready to assist other utilities whose service territories are impacted by natural disasters and other emergency events. FPL alleges that requiring the preparation and filing of the identified storm cost proceedings will necessarily detract from and adversely impact FPL’s and the Power Delivery Business Unit’s “ability to devote its full attention and resources to these critical tasks.”</w:t>
      </w:r>
    </w:p>
    <w:p w:rsidR="003B52EA" w:rsidRPr="0074356B" w:rsidRDefault="003B52EA" w:rsidP="003B52EA">
      <w:pPr>
        <w:spacing w:after="240"/>
        <w:ind w:firstLine="720"/>
        <w:jc w:val="both"/>
      </w:pPr>
      <w:r w:rsidRPr="0074356B">
        <w:t>F</w:t>
      </w:r>
      <w:r w:rsidR="00D10524">
        <w:t>PL also states</w:t>
      </w:r>
      <w:r w:rsidRPr="0074356B">
        <w:t xml:space="preserve"> that no antic</w:t>
      </w:r>
      <w:r>
        <w:t xml:space="preserve">ipated party to the proceedings and no customers </w:t>
      </w:r>
      <w:r w:rsidRPr="0074356B">
        <w:t>will</w:t>
      </w:r>
      <w:r>
        <w:t xml:space="preserve"> be prejudiced by granting its P</w:t>
      </w:r>
      <w:r w:rsidRPr="0074356B">
        <w:t xml:space="preserve">etition for </w:t>
      </w:r>
      <w:r>
        <w:t xml:space="preserve">temporary </w:t>
      </w:r>
      <w:r w:rsidRPr="0074356B">
        <w:t xml:space="preserve">variance or waiver. Further, FPL alleges that the requested </w:t>
      </w:r>
      <w:r>
        <w:t xml:space="preserve">temporary </w:t>
      </w:r>
      <w:r w:rsidRPr="0074356B">
        <w:t>variance or waiver does not contravene the rule’s implementing statutes.</w:t>
      </w:r>
    </w:p>
    <w:p w:rsidR="003B52EA" w:rsidRPr="00724CAF" w:rsidRDefault="003B52EA" w:rsidP="003B52EA">
      <w:pPr>
        <w:spacing w:after="240"/>
        <w:ind w:firstLine="720"/>
        <w:jc w:val="both"/>
      </w:pPr>
      <w:r w:rsidRPr="0074356B">
        <w:t xml:space="preserve">FPL represents that the Office of Public Counsel has no objection </w:t>
      </w:r>
      <w:r>
        <w:t>to the relief requested in the P</w:t>
      </w:r>
      <w:r w:rsidRPr="0074356B">
        <w:t xml:space="preserve">etition for </w:t>
      </w:r>
      <w:r>
        <w:t xml:space="preserve">temporary </w:t>
      </w:r>
      <w:r w:rsidR="00D10524">
        <w:t>variance or waiver</w:t>
      </w:r>
      <w:r w:rsidRPr="0074356B">
        <w:t xml:space="preserve"> and asks that </w:t>
      </w:r>
      <w:r w:rsidR="00A77F83">
        <w:t>we</w:t>
      </w:r>
      <w:r w:rsidRPr="0074356B">
        <w:t xml:space="preserve"> expedite consideration of</w:t>
      </w:r>
      <w:r>
        <w:t xml:space="preserve"> the P</w:t>
      </w:r>
      <w:r w:rsidRPr="0074356B">
        <w:t>etition and consider it at the September 2021 Commission Conference.</w:t>
      </w:r>
    </w:p>
    <w:p w:rsidR="00724CAF" w:rsidRPr="003B52EA" w:rsidRDefault="00724CAF" w:rsidP="00A51DDA">
      <w:pPr>
        <w:pStyle w:val="ListParagraph"/>
        <w:numPr>
          <w:ilvl w:val="0"/>
          <w:numId w:val="1"/>
        </w:numPr>
      </w:pPr>
      <w:r w:rsidRPr="00724CAF">
        <w:rPr>
          <w:u w:val="single"/>
        </w:rPr>
        <w:t>A</w:t>
      </w:r>
      <w:r w:rsidR="003B52EA">
        <w:rPr>
          <w:u w:val="single"/>
        </w:rPr>
        <w:t>nalysis</w:t>
      </w:r>
      <w:r w:rsidR="00A77F83">
        <w:rPr>
          <w:u w:val="single"/>
        </w:rPr>
        <w:t xml:space="preserve"> and Conclusion</w:t>
      </w:r>
    </w:p>
    <w:p w:rsidR="003B52EA" w:rsidRDefault="003B52EA" w:rsidP="003B52EA"/>
    <w:p w:rsidR="002B0F36" w:rsidRPr="008E2B0E" w:rsidRDefault="003B52EA" w:rsidP="000078B2">
      <w:pPr>
        <w:pStyle w:val="ListParagraph"/>
        <w:numPr>
          <w:ilvl w:val="0"/>
          <w:numId w:val="2"/>
        </w:numPr>
        <w:spacing w:after="240"/>
        <w:jc w:val="both"/>
        <w:rPr>
          <w:u w:val="single"/>
        </w:rPr>
      </w:pPr>
      <w:r>
        <w:t xml:space="preserve"> </w:t>
      </w:r>
      <w:r w:rsidRPr="008E2B0E">
        <w:rPr>
          <w:u w:val="single"/>
        </w:rPr>
        <w:t>The Purpose of the Underlying S</w:t>
      </w:r>
      <w:r w:rsidR="00F5749F" w:rsidRPr="008E2B0E">
        <w:rPr>
          <w:u w:val="single"/>
        </w:rPr>
        <w:t>tatutes Will B</w:t>
      </w:r>
      <w:r w:rsidRPr="008E2B0E">
        <w:rPr>
          <w:u w:val="single"/>
        </w:rPr>
        <w:t>e Achieved by Granting the Extension of Time for Filing the Petitions.</w:t>
      </w:r>
    </w:p>
    <w:p w:rsidR="003B52EA" w:rsidRDefault="003B52EA" w:rsidP="002B0F36">
      <w:pPr>
        <w:spacing w:after="240"/>
        <w:ind w:firstLine="720"/>
        <w:jc w:val="both"/>
      </w:pPr>
      <w:r w:rsidRPr="0074356B">
        <w:t>Sections 350.115 and 366.04(2)(a)</w:t>
      </w:r>
      <w:r>
        <w:t>,</w:t>
      </w:r>
      <w:r w:rsidRPr="0074356B">
        <w:t xml:space="preserve"> F.S., give </w:t>
      </w:r>
      <w:r w:rsidR="00A77F83">
        <w:t>us</w:t>
      </w:r>
      <w:r w:rsidRPr="0074356B">
        <w:t xml:space="preserve"> power to prescribe by rule uniform systems and classifications of accounts and to approve or establish adequate, fair, and reasonable depr</w:t>
      </w:r>
      <w:r w:rsidRPr="007D73EA">
        <w:t xml:space="preserve">eciation rates and charges for electric utilities. The purpose of the September 30 filing date is to facilitate a timely review of storm restoration costs and afford </w:t>
      </w:r>
      <w:r w:rsidR="00A77F83">
        <w:t>us</w:t>
      </w:r>
      <w:r w:rsidRPr="007D73EA">
        <w:t xml:space="preserve"> adequate oversight on the use of Commission-a</w:t>
      </w:r>
      <w:r>
        <w:t>pproved storm r</w:t>
      </w:r>
      <w:r w:rsidRPr="007D73EA">
        <w:t xml:space="preserve">eserves (Account 228.1). Often the initial filings made pursuant to Rule 25-6.0143, F.A.C., reflect estimated costs used to implement an interim cost recovery mechanism. As such, </w:t>
      </w:r>
      <w:r w:rsidR="00A77F83">
        <w:t>we conclude</w:t>
      </w:r>
      <w:r w:rsidRPr="007D73EA">
        <w:t xml:space="preserve"> that the purpose of Sections 350.115 and 366.04(2), F.S., will be unaffected by granting the requested temporary variance or waiver.</w:t>
      </w:r>
    </w:p>
    <w:p w:rsidR="003B52EA" w:rsidRDefault="003B52EA" w:rsidP="00A77F83">
      <w:pPr>
        <w:ind w:firstLine="720"/>
        <w:jc w:val="both"/>
      </w:pPr>
      <w:r w:rsidRPr="0074356B">
        <w:t>Further, no anticipated party to any proceedings and no customers will be prejudiced or advers</w:t>
      </w:r>
      <w:r>
        <w:t>ely affected by granting FPL’s P</w:t>
      </w:r>
      <w:r w:rsidRPr="0074356B">
        <w:t xml:space="preserve">etition for </w:t>
      </w:r>
      <w:r>
        <w:t xml:space="preserve">temporary </w:t>
      </w:r>
      <w:r w:rsidRPr="0074356B">
        <w:t>variance or waiver. For these reasons, the purpose of the statute</w:t>
      </w:r>
      <w:r>
        <w:t>s</w:t>
      </w:r>
      <w:r w:rsidRPr="0074356B">
        <w:t xml:space="preserve"> w</w:t>
      </w:r>
      <w:r>
        <w:t>ill still be achieved as required by Section 120.542, F.S., if FPL’s P</w:t>
      </w:r>
      <w:r w:rsidRPr="0074356B">
        <w:t xml:space="preserve">etition for </w:t>
      </w:r>
      <w:r>
        <w:t xml:space="preserve">temporary </w:t>
      </w:r>
      <w:r w:rsidRPr="0074356B">
        <w:t>variance or waiver is granted.</w:t>
      </w:r>
    </w:p>
    <w:p w:rsidR="003B52EA" w:rsidRDefault="003B52EA" w:rsidP="003B52EA"/>
    <w:p w:rsidR="003B52EA" w:rsidRPr="008E2B0E" w:rsidRDefault="003B52EA" w:rsidP="003B52EA">
      <w:pPr>
        <w:pStyle w:val="ListParagraph"/>
        <w:numPr>
          <w:ilvl w:val="0"/>
          <w:numId w:val="2"/>
        </w:numPr>
        <w:rPr>
          <w:u w:val="single"/>
        </w:rPr>
      </w:pPr>
      <w:r>
        <w:t xml:space="preserve"> </w:t>
      </w:r>
      <w:r w:rsidRPr="008E2B0E">
        <w:rPr>
          <w:u w:val="single"/>
        </w:rPr>
        <w:t>Application of the Rule’s September 30 Filing Deadline</w:t>
      </w:r>
      <w:r w:rsidR="00A77F83" w:rsidRPr="008E2B0E">
        <w:rPr>
          <w:u w:val="single"/>
        </w:rPr>
        <w:t xml:space="preserve"> </w:t>
      </w:r>
      <w:r w:rsidRPr="008E2B0E">
        <w:rPr>
          <w:u w:val="single"/>
        </w:rPr>
        <w:t>Would Create a Substantial Hardship.</w:t>
      </w:r>
    </w:p>
    <w:p w:rsidR="003B52EA" w:rsidRDefault="003B52EA" w:rsidP="003B52EA"/>
    <w:p w:rsidR="003B52EA" w:rsidRPr="0074356B" w:rsidRDefault="00A77F83" w:rsidP="003B52EA">
      <w:pPr>
        <w:spacing w:after="240"/>
        <w:ind w:firstLine="720"/>
        <w:jc w:val="both"/>
      </w:pPr>
      <w:r>
        <w:t>We have</w:t>
      </w:r>
      <w:r w:rsidR="003B52EA" w:rsidRPr="0074356B">
        <w:t xml:space="preserve"> previously granted petitions for variance or waiver on the basis that application of a rule’s filing deadline created substantial hardship because of utility staffing limitations caused by the specific circumstances alleged in those petitions.</w:t>
      </w:r>
      <w:r w:rsidR="003B52EA" w:rsidRPr="0074356B">
        <w:rPr>
          <w:vertAlign w:val="superscript"/>
        </w:rPr>
        <w:footnoteReference w:id="2"/>
      </w:r>
      <w:r w:rsidR="003B52EA" w:rsidRPr="0074356B">
        <w:t xml:space="preserve"> </w:t>
      </w:r>
      <w:r>
        <w:t>We believe</w:t>
      </w:r>
      <w:r w:rsidR="003B52EA" w:rsidRPr="0074356B">
        <w:t xml:space="preserve"> that the essence of FPL’s substantial hardship allegations is that under the specific circumstances </w:t>
      </w:r>
      <w:r w:rsidR="003B52EA">
        <w:t>alleged</w:t>
      </w:r>
      <w:r w:rsidR="003B52EA" w:rsidRPr="0074356B">
        <w:t xml:space="preserve">, FPL is experiencing staffing limitations caused by the number of dockets FPL’s Power Delivery Business Unit is currently involved in, which is in addition to </w:t>
      </w:r>
      <w:r w:rsidR="003B52EA">
        <w:t>the unit’s</w:t>
      </w:r>
      <w:r w:rsidR="003B52EA" w:rsidRPr="0074356B">
        <w:t xml:space="preserve"> regular responsibilities concerning maintaining the grid and preparing fo</w:t>
      </w:r>
      <w:r w:rsidR="003B52EA">
        <w:t>r and responding to named storms</w:t>
      </w:r>
      <w:r w:rsidR="003B52EA" w:rsidRPr="0074356B">
        <w:t xml:space="preserve">. Under the specific facts presented, </w:t>
      </w:r>
      <w:r>
        <w:t>we conclude</w:t>
      </w:r>
      <w:r w:rsidR="003B52EA" w:rsidRPr="0074356B">
        <w:t xml:space="preserve"> that FPL has </w:t>
      </w:r>
      <w:r w:rsidR="003B52EA">
        <w:t>demonstrated</w:t>
      </w:r>
      <w:r w:rsidR="003B52EA" w:rsidRPr="0074356B">
        <w:t xml:space="preserve"> substantial hardship under Section 120.542, F.S.</w:t>
      </w:r>
    </w:p>
    <w:p w:rsidR="00724CAF" w:rsidRDefault="00724CAF" w:rsidP="003B52EA">
      <w:pPr>
        <w:ind w:firstLine="720"/>
      </w:pPr>
      <w:r>
        <w:t>Based on the foregoing, it is</w:t>
      </w:r>
    </w:p>
    <w:p w:rsidR="003B52EA" w:rsidRDefault="003B52EA" w:rsidP="00724CAF">
      <w:pPr>
        <w:pStyle w:val="ListParagraph"/>
        <w:ind w:left="1080"/>
      </w:pPr>
    </w:p>
    <w:p w:rsidR="00724CAF" w:rsidRDefault="00724CAF" w:rsidP="00A77F83">
      <w:pPr>
        <w:pStyle w:val="ListParagraph"/>
        <w:ind w:left="0" w:firstLine="720"/>
        <w:jc w:val="both"/>
      </w:pPr>
      <w:r>
        <w:t xml:space="preserve">ORDERED by the Florida Public Service Commission that Florida Power &amp; Light Company’s Petition for temporary variance from or waiver of Rule 25-6.0143(1)(g), F.A.C., is hereby </w:t>
      </w:r>
      <w:r w:rsidR="00F5749F">
        <w:t>granted.</w:t>
      </w:r>
      <w:r>
        <w:t xml:space="preserve">  It is further</w:t>
      </w:r>
    </w:p>
    <w:p w:rsidR="00724CAF" w:rsidRDefault="00724CAF" w:rsidP="00A77F83">
      <w:pPr>
        <w:pStyle w:val="ListParagraph"/>
        <w:ind w:left="0" w:firstLine="720"/>
        <w:jc w:val="both"/>
      </w:pPr>
    </w:p>
    <w:p w:rsidR="00724CAF" w:rsidRDefault="00724CAF" w:rsidP="00A77F83">
      <w:pPr>
        <w:pStyle w:val="ListParagraph"/>
        <w:ind w:left="0" w:firstLine="720"/>
        <w:jc w:val="both"/>
      </w:pPr>
      <w:r>
        <w:t>ORDERED that the provisions of this order issued as a proposed agency action, will become final and effective upon issuance of a Consummating Order unless an appropriate petition in the form provided by Rule 25-106.201, F.A.C., is received by the Commission Clerk, 2540 Shumard Oak Boulevard, Tallahassee, Florida 32399-0850, by the close of business on the date set forth in the “Notice of Further Proceedings,” which appears below.  It is further</w:t>
      </w:r>
    </w:p>
    <w:p w:rsidR="00724CAF" w:rsidRDefault="00724CAF" w:rsidP="00A77F83">
      <w:pPr>
        <w:pStyle w:val="ListParagraph"/>
        <w:ind w:left="0" w:firstLine="720"/>
        <w:jc w:val="both"/>
      </w:pPr>
    </w:p>
    <w:p w:rsidR="00724CAF" w:rsidRDefault="00AB0DC5" w:rsidP="00AB0DC5">
      <w:pPr>
        <w:ind w:firstLine="720"/>
        <w:jc w:val="both"/>
      </w:pPr>
      <w:r>
        <w:t>ORDERED that if no timely protest is received to the proposed agency action, a Consummating Order shall be issued upon the expiration of the protest period, and this docket shall be closed.</w:t>
      </w:r>
    </w:p>
    <w:p w:rsidR="003B7F0B" w:rsidRDefault="00EA03C5" w:rsidP="00017669">
      <w:pPr>
        <w:pStyle w:val="Heading7"/>
      </w:pPr>
      <w:r>
        <w:br w:type="page"/>
      </w:r>
    </w:p>
    <w:p w:rsidR="003B7F0B" w:rsidRDefault="003B7F0B" w:rsidP="003B7F0B">
      <w:pPr>
        <w:keepNext/>
        <w:keepLines/>
        <w:jc w:val="both"/>
      </w:pPr>
      <w:r>
        <w:tab/>
        <w:t xml:space="preserve">By ORDER of the Florida Public Service Commission this </w:t>
      </w:r>
      <w:bookmarkStart w:id="6" w:name="replaceDate"/>
      <w:bookmarkEnd w:id="6"/>
      <w:r w:rsidR="00E61D32">
        <w:rPr>
          <w:u w:val="single"/>
        </w:rPr>
        <w:t>16th</w:t>
      </w:r>
      <w:r w:rsidR="00E61D32">
        <w:t xml:space="preserve"> day of </w:t>
      </w:r>
      <w:r w:rsidR="00E61D32">
        <w:rPr>
          <w:u w:val="single"/>
        </w:rPr>
        <w:t>September</w:t>
      </w:r>
      <w:r w:rsidR="00E61D32">
        <w:t xml:space="preserve">, </w:t>
      </w:r>
      <w:r w:rsidR="00E61D32">
        <w:rPr>
          <w:u w:val="single"/>
        </w:rPr>
        <w:t>2021</w:t>
      </w:r>
      <w:r w:rsidR="00E61D32">
        <w:t>.</w:t>
      </w:r>
    </w:p>
    <w:p w:rsidR="00E61D32" w:rsidRPr="00E61D32" w:rsidRDefault="00E61D32" w:rsidP="003B7F0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B7F0B" w:rsidTr="003B7F0B">
        <w:tc>
          <w:tcPr>
            <w:tcW w:w="720" w:type="dxa"/>
            <w:shd w:val="clear" w:color="auto" w:fill="auto"/>
          </w:tcPr>
          <w:p w:rsidR="003B7F0B" w:rsidRDefault="003B7F0B" w:rsidP="003B7F0B">
            <w:pPr>
              <w:keepNext/>
              <w:keepLines/>
              <w:jc w:val="both"/>
            </w:pPr>
            <w:bookmarkStart w:id="7" w:name="bkmrkSignature" w:colFirst="0" w:colLast="0"/>
          </w:p>
        </w:tc>
        <w:tc>
          <w:tcPr>
            <w:tcW w:w="4320" w:type="dxa"/>
            <w:tcBorders>
              <w:bottom w:val="single" w:sz="4" w:space="0" w:color="auto"/>
            </w:tcBorders>
            <w:shd w:val="clear" w:color="auto" w:fill="auto"/>
          </w:tcPr>
          <w:p w:rsidR="003B7F0B" w:rsidRDefault="00E61D32" w:rsidP="003B7F0B">
            <w:pPr>
              <w:keepNext/>
              <w:keepLines/>
              <w:jc w:val="both"/>
            </w:pPr>
            <w:r>
              <w:t>/s/ Adam J. Teitzman</w:t>
            </w:r>
            <w:bookmarkStart w:id="8" w:name="_GoBack"/>
            <w:bookmarkEnd w:id="8"/>
          </w:p>
        </w:tc>
      </w:tr>
      <w:bookmarkEnd w:id="7"/>
      <w:tr w:rsidR="003B7F0B" w:rsidTr="003B7F0B">
        <w:tc>
          <w:tcPr>
            <w:tcW w:w="720" w:type="dxa"/>
            <w:shd w:val="clear" w:color="auto" w:fill="auto"/>
          </w:tcPr>
          <w:p w:rsidR="003B7F0B" w:rsidRDefault="003B7F0B" w:rsidP="003B7F0B">
            <w:pPr>
              <w:keepNext/>
              <w:keepLines/>
              <w:jc w:val="both"/>
            </w:pPr>
          </w:p>
        </w:tc>
        <w:tc>
          <w:tcPr>
            <w:tcW w:w="4320" w:type="dxa"/>
            <w:tcBorders>
              <w:top w:val="single" w:sz="4" w:space="0" w:color="auto"/>
            </w:tcBorders>
            <w:shd w:val="clear" w:color="auto" w:fill="auto"/>
          </w:tcPr>
          <w:p w:rsidR="003B7F0B" w:rsidRDefault="003B7F0B" w:rsidP="003B7F0B">
            <w:pPr>
              <w:keepNext/>
              <w:keepLines/>
              <w:jc w:val="both"/>
            </w:pPr>
            <w:r>
              <w:t>ADAM J. TEITZMAN</w:t>
            </w:r>
          </w:p>
          <w:p w:rsidR="003B7F0B" w:rsidRDefault="003B7F0B" w:rsidP="003B7F0B">
            <w:pPr>
              <w:keepNext/>
              <w:keepLines/>
              <w:jc w:val="both"/>
            </w:pPr>
            <w:r>
              <w:t>Commission Clerk</w:t>
            </w:r>
          </w:p>
        </w:tc>
      </w:tr>
    </w:tbl>
    <w:p w:rsidR="003B7F0B" w:rsidRDefault="003B7F0B" w:rsidP="003B7F0B">
      <w:pPr>
        <w:pStyle w:val="OrderSigInfo"/>
        <w:keepNext/>
        <w:keepLines/>
      </w:pPr>
      <w:r>
        <w:t>Florida Public Service Commission</w:t>
      </w:r>
    </w:p>
    <w:p w:rsidR="003B7F0B" w:rsidRDefault="003B7F0B" w:rsidP="003B7F0B">
      <w:pPr>
        <w:pStyle w:val="OrderSigInfo"/>
        <w:keepNext/>
        <w:keepLines/>
      </w:pPr>
      <w:r>
        <w:t>2540 Shumard Oak Boulevard</w:t>
      </w:r>
    </w:p>
    <w:p w:rsidR="003B7F0B" w:rsidRDefault="003B7F0B" w:rsidP="003B7F0B">
      <w:pPr>
        <w:pStyle w:val="OrderSigInfo"/>
        <w:keepNext/>
        <w:keepLines/>
      </w:pPr>
      <w:r>
        <w:t>Tallahassee, Florida 32399</w:t>
      </w:r>
    </w:p>
    <w:p w:rsidR="003B7F0B" w:rsidRDefault="003B7F0B" w:rsidP="003B7F0B">
      <w:pPr>
        <w:pStyle w:val="OrderSigInfo"/>
        <w:keepNext/>
        <w:keepLines/>
      </w:pPr>
      <w:r>
        <w:t>(850) 413</w:t>
      </w:r>
      <w:r>
        <w:noBreakHyphen/>
        <w:t>6770</w:t>
      </w:r>
    </w:p>
    <w:p w:rsidR="003B7F0B" w:rsidRDefault="003B7F0B" w:rsidP="003B7F0B">
      <w:pPr>
        <w:pStyle w:val="OrderSigInfo"/>
        <w:keepNext/>
        <w:keepLines/>
      </w:pPr>
      <w:r>
        <w:t>www.floridapsc.com</w:t>
      </w:r>
    </w:p>
    <w:p w:rsidR="003B7F0B" w:rsidRDefault="003B7F0B" w:rsidP="003B7F0B">
      <w:pPr>
        <w:pStyle w:val="OrderSigInfo"/>
        <w:keepNext/>
        <w:keepLines/>
      </w:pPr>
    </w:p>
    <w:p w:rsidR="003B7F0B" w:rsidRDefault="003B7F0B" w:rsidP="003B7F0B">
      <w:pPr>
        <w:pStyle w:val="OrderSigInfo"/>
        <w:keepNext/>
        <w:keepLines/>
      </w:pPr>
      <w:r>
        <w:t>Copies furnished:  A copy of this document is provided to the parties of record at the time of issuance and, if applicable, interested persons.</w:t>
      </w:r>
    </w:p>
    <w:p w:rsidR="003B7F0B" w:rsidRDefault="003B7F0B" w:rsidP="003B7F0B">
      <w:pPr>
        <w:pStyle w:val="OrderBody"/>
        <w:keepNext/>
        <w:keepLines/>
      </w:pPr>
    </w:p>
    <w:p w:rsidR="003B7F0B" w:rsidRDefault="003B7F0B" w:rsidP="003B7F0B">
      <w:pPr>
        <w:keepNext/>
        <w:keepLines/>
        <w:jc w:val="both"/>
      </w:pPr>
    </w:p>
    <w:p w:rsidR="003B7F0B" w:rsidRDefault="003B7F0B" w:rsidP="003B7F0B">
      <w:pPr>
        <w:keepNext/>
        <w:keepLines/>
        <w:jc w:val="both"/>
      </w:pPr>
      <w:r>
        <w:t>KGWC</w:t>
      </w:r>
    </w:p>
    <w:p w:rsidR="003B7F0B" w:rsidRDefault="003B7F0B" w:rsidP="00EA03C5">
      <w:pPr>
        <w:jc w:val="both"/>
      </w:pPr>
    </w:p>
    <w:p w:rsidR="00EA03C5" w:rsidRDefault="00EA03C5" w:rsidP="00EA03C5">
      <w:pPr>
        <w:pStyle w:val="CenterUnderline"/>
      </w:pPr>
      <w:r>
        <w:t>NOTICE OF FURTHER PROCEEDINGS OR JUDICIAL REVIEW</w:t>
      </w:r>
    </w:p>
    <w:p w:rsidR="00EA03C5" w:rsidRDefault="00EA03C5" w:rsidP="00EA03C5">
      <w:pPr>
        <w:pStyle w:val="CenterUnderline"/>
      </w:pPr>
    </w:p>
    <w:p w:rsidR="00EA03C5" w:rsidRDefault="00EA03C5" w:rsidP="00EA03C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A03C5" w:rsidRDefault="00EA03C5" w:rsidP="00EA03C5">
      <w:pPr>
        <w:pStyle w:val="OrderBody"/>
      </w:pPr>
    </w:p>
    <w:p w:rsidR="00EA03C5" w:rsidRDefault="00EA03C5" w:rsidP="00EA03C5">
      <w:pPr>
        <w:pStyle w:val="OrderBody"/>
      </w:pPr>
      <w:r>
        <w:tab/>
        <w:t>Mediation may be available on a case-by-case basis.  If mediation is conducted, it does not affect a substantially interested person's right to a hearing.</w:t>
      </w:r>
    </w:p>
    <w:p w:rsidR="00EA03C5" w:rsidRDefault="00EA03C5" w:rsidP="00EA03C5">
      <w:pPr>
        <w:pStyle w:val="OrderBody"/>
      </w:pPr>
    </w:p>
    <w:p w:rsidR="00EA03C5" w:rsidRDefault="00EA03C5" w:rsidP="00EA03C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C31E7">
        <w:rPr>
          <w:u w:val="single"/>
        </w:rPr>
        <w:t>October 7, 2021</w:t>
      </w:r>
      <w:r>
        <w:t>.</w:t>
      </w:r>
    </w:p>
    <w:p w:rsidR="00EA03C5" w:rsidRDefault="00EA03C5" w:rsidP="00EA03C5">
      <w:pPr>
        <w:pStyle w:val="OrderBody"/>
      </w:pPr>
    </w:p>
    <w:p w:rsidR="00EA03C5" w:rsidRDefault="00EA03C5" w:rsidP="00EA03C5">
      <w:pPr>
        <w:pStyle w:val="OrderBody"/>
      </w:pPr>
      <w:r>
        <w:tab/>
        <w:t>In the absence of such a petition, this order shall become final and effective upon the issuance of a Consummating Order.</w:t>
      </w:r>
    </w:p>
    <w:p w:rsidR="00724CAF" w:rsidRDefault="00724CAF" w:rsidP="00EA03C5">
      <w:pPr>
        <w:pStyle w:val="OrderBody"/>
      </w:pPr>
    </w:p>
    <w:p w:rsidR="00EA03C5" w:rsidRPr="00EA03C5" w:rsidRDefault="00EA03C5" w:rsidP="00EA03C5">
      <w:pPr>
        <w:pStyle w:val="OrderBody"/>
      </w:pPr>
      <w:r>
        <w:tab/>
        <w:t>Any objection or protest filed in this</w:t>
      </w:r>
      <w:r w:rsidR="00724CAF">
        <w:t xml:space="preserve"> docket</w:t>
      </w:r>
      <w:r>
        <w:t xml:space="preserve"> before the issuance date of this order is considered abandoned unless it satisfies the foregoing conditions and is renewed within the specified protest period.</w:t>
      </w:r>
    </w:p>
    <w:sectPr w:rsidR="00EA03C5" w:rsidRPr="00EA03C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C90" w:rsidRDefault="00417C90">
      <w:r>
        <w:separator/>
      </w:r>
    </w:p>
  </w:endnote>
  <w:endnote w:type="continuationSeparator" w:id="0">
    <w:p w:rsidR="00417C90" w:rsidRDefault="0041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C90" w:rsidRDefault="00417C90">
      <w:r>
        <w:separator/>
      </w:r>
    </w:p>
  </w:footnote>
  <w:footnote w:type="continuationSeparator" w:id="0">
    <w:p w:rsidR="00417C90" w:rsidRDefault="00417C90">
      <w:r>
        <w:continuationSeparator/>
      </w:r>
    </w:p>
  </w:footnote>
  <w:footnote w:id="1">
    <w:p w:rsidR="003B52EA" w:rsidRDefault="003B52EA" w:rsidP="003B52EA">
      <w:pPr>
        <w:pStyle w:val="FootnoteText"/>
      </w:pPr>
      <w:r>
        <w:rPr>
          <w:rStyle w:val="FootnoteReference"/>
        </w:rPr>
        <w:footnoteRef/>
      </w:r>
      <w:r>
        <w:t xml:space="preserve"> Rule 25-6.014(1), F.A.C.</w:t>
      </w:r>
    </w:p>
  </w:footnote>
  <w:footnote w:id="2">
    <w:p w:rsidR="003B52EA" w:rsidRPr="00D10524" w:rsidRDefault="003B52EA" w:rsidP="003B52EA">
      <w:pPr>
        <w:pStyle w:val="FootnoteText"/>
      </w:pPr>
      <w:r>
        <w:rPr>
          <w:rStyle w:val="FootnoteReference"/>
        </w:rPr>
        <w:footnoteRef/>
      </w:r>
      <w:r>
        <w:t xml:space="preserve"> Order No. PSC-2019-0067-GU, issued February 22, 2019, in Docket No. 20180230-GU, </w:t>
      </w:r>
      <w:r>
        <w:rPr>
          <w:i/>
        </w:rPr>
        <w:t>In re:  Petition for temporary waiver of Rule 25-7.045, F.A.C., by Florida Public Utilities Company;</w:t>
      </w:r>
      <w:r>
        <w:t xml:space="preserve"> Order No. PSC-12-0354-PAA-GU, issued July 9, 2012, in Docket No. 20120081-GU, </w:t>
      </w:r>
      <w:r>
        <w:rPr>
          <w:i/>
        </w:rPr>
        <w:t xml:space="preserve">In re:  Petition for waiver of requirement of Rule 25-7.045(8)(a), F.A.C., to file depreciation study within five years from date of filing previous study, and for authorization to file next depreciation study by August 17, 2012, by Florida Division of Chesapeake Utilities Corporation;  </w:t>
      </w:r>
      <w:r>
        <w:t>Order No. PSC-2002-0242-PAA-EI, issued February 25, 2002, in Docket No. 20</w:t>
      </w:r>
      <w:r w:rsidRPr="003069B7">
        <w:t>011611-EI</w:t>
      </w:r>
      <w:r>
        <w:t xml:space="preserve">, </w:t>
      </w:r>
      <w:r w:rsidRPr="00104424">
        <w:rPr>
          <w:i/>
        </w:rPr>
        <w:t>In Re: Petition for Waiver of Depreciation Study Filing Requirement in Rule 25-6.0436(8)(a), F.A.C., by Florida Power Corporation</w:t>
      </w:r>
      <w:r>
        <w:rPr>
          <w:i/>
        </w:rPr>
        <w:t>;</w:t>
      </w:r>
      <w:r w:rsidRPr="000747C7">
        <w:t xml:space="preserve"> Order No. PSC-01-2376-PAA-EI, </w:t>
      </w:r>
      <w:r>
        <w:t xml:space="preserve"> issued December 10, 2001, in Docket No. 20011088-EI, </w:t>
      </w:r>
      <w:r>
        <w:rPr>
          <w:i/>
        </w:rPr>
        <w:t>In re: Florida Power &amp; Light Company</w:t>
      </w:r>
      <w:r w:rsidR="00D1052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225F6">
      <w:fldChar w:fldCharType="begin"/>
    </w:r>
    <w:r w:rsidR="00A225F6">
      <w:instrText xml:space="preserve"> REF OrderNo0361 </w:instrText>
    </w:r>
    <w:r w:rsidR="00A225F6">
      <w:fldChar w:fldCharType="separate"/>
    </w:r>
    <w:r w:rsidR="00E61D32">
      <w:t>PSC-2021-0361-PAA-EI</w:t>
    </w:r>
    <w:r w:rsidR="00A225F6">
      <w:fldChar w:fldCharType="end"/>
    </w:r>
  </w:p>
  <w:p w:rsidR="00FA6EFD" w:rsidRDefault="00417C90">
    <w:pPr>
      <w:pStyle w:val="OrderHeader"/>
    </w:pPr>
    <w:bookmarkStart w:id="9" w:name="HeaderDocketNo"/>
    <w:bookmarkEnd w:id="9"/>
    <w:r>
      <w:t>DOCKET NO. 20210128-EI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25F6">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64151"/>
    <w:multiLevelType w:val="hybridMultilevel"/>
    <w:tmpl w:val="F96C2DCE"/>
    <w:lvl w:ilvl="0" w:tplc="783E6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45094C"/>
    <w:multiLevelType w:val="hybridMultilevel"/>
    <w:tmpl w:val="68AAD0E0"/>
    <w:lvl w:ilvl="0" w:tplc="35B4C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8-EI"/>
  </w:docVars>
  <w:rsids>
    <w:rsidRoot w:val="00417C90"/>
    <w:rsid w:val="000022B8"/>
    <w:rsid w:val="00003883"/>
    <w:rsid w:val="00011251"/>
    <w:rsid w:val="00017669"/>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AAF"/>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3518"/>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0F36"/>
    <w:rsid w:val="002B3111"/>
    <w:rsid w:val="002C118E"/>
    <w:rsid w:val="002C2096"/>
    <w:rsid w:val="002C7908"/>
    <w:rsid w:val="002D32DD"/>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52EA"/>
    <w:rsid w:val="003B7F0B"/>
    <w:rsid w:val="003C0431"/>
    <w:rsid w:val="003D3989"/>
    <w:rsid w:val="003D4CCA"/>
    <w:rsid w:val="003D52A6"/>
    <w:rsid w:val="003D6416"/>
    <w:rsid w:val="003E1D48"/>
    <w:rsid w:val="003E711F"/>
    <w:rsid w:val="003F1D2B"/>
    <w:rsid w:val="003F49A6"/>
    <w:rsid w:val="003F7445"/>
    <w:rsid w:val="00411DF2"/>
    <w:rsid w:val="00411E8F"/>
    <w:rsid w:val="00417C90"/>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1E7"/>
    <w:rsid w:val="005C4F8A"/>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6D8D"/>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4CAF"/>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2B0E"/>
    <w:rsid w:val="008E42D2"/>
    <w:rsid w:val="008E6328"/>
    <w:rsid w:val="008E6833"/>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17DC2"/>
    <w:rsid w:val="00A225F6"/>
    <w:rsid w:val="00A22B28"/>
    <w:rsid w:val="00A4303C"/>
    <w:rsid w:val="00A46CAF"/>
    <w:rsid w:val="00A470FD"/>
    <w:rsid w:val="00A50B5E"/>
    <w:rsid w:val="00A62DAB"/>
    <w:rsid w:val="00A6757A"/>
    <w:rsid w:val="00A726A6"/>
    <w:rsid w:val="00A74842"/>
    <w:rsid w:val="00A77F83"/>
    <w:rsid w:val="00A8269A"/>
    <w:rsid w:val="00A9178A"/>
    <w:rsid w:val="00A9515B"/>
    <w:rsid w:val="00A97535"/>
    <w:rsid w:val="00AA2BAA"/>
    <w:rsid w:val="00AA6516"/>
    <w:rsid w:val="00AA73F1"/>
    <w:rsid w:val="00AB0DC5"/>
    <w:rsid w:val="00AB0E1A"/>
    <w:rsid w:val="00AB1A30"/>
    <w:rsid w:val="00AB3C36"/>
    <w:rsid w:val="00AB3D30"/>
    <w:rsid w:val="00AB3EED"/>
    <w:rsid w:val="00AD10EB"/>
    <w:rsid w:val="00AD13C3"/>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7E"/>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0C21"/>
    <w:rsid w:val="00CF32D2"/>
    <w:rsid w:val="00CF4CFE"/>
    <w:rsid w:val="00D00E8E"/>
    <w:rsid w:val="00D02E0F"/>
    <w:rsid w:val="00D03EE8"/>
    <w:rsid w:val="00D10524"/>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1D32"/>
    <w:rsid w:val="00E72914"/>
    <w:rsid w:val="00E75AE0"/>
    <w:rsid w:val="00E83C1F"/>
    <w:rsid w:val="00E85684"/>
    <w:rsid w:val="00E8794B"/>
    <w:rsid w:val="00E97656"/>
    <w:rsid w:val="00EA03C5"/>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749F"/>
    <w:rsid w:val="00F61247"/>
    <w:rsid w:val="00F61F61"/>
    <w:rsid w:val="00F63191"/>
    <w:rsid w:val="00F6702E"/>
    <w:rsid w:val="00F70E84"/>
    <w:rsid w:val="00F73192"/>
    <w:rsid w:val="00FA092B"/>
    <w:rsid w:val="00FA2F8F"/>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24CAF"/>
    <w:pPr>
      <w:ind w:left="720"/>
      <w:contextualSpacing/>
    </w:pPr>
  </w:style>
  <w:style w:type="paragraph" w:customStyle="1" w:styleId="StyleHeading1BoldUnderline">
    <w:name w:val="Style Heading 1 + Bold Underline"/>
    <w:basedOn w:val="Heading1"/>
    <w:link w:val="StyleHeading1BoldUnderlineChar"/>
    <w:rsid w:val="003B52EA"/>
    <w:pPr>
      <w:keepNext w:val="0"/>
      <w:spacing w:before="240"/>
    </w:pPr>
    <w:rPr>
      <w:b/>
      <w:u w:val="single"/>
    </w:rPr>
  </w:style>
  <w:style w:type="character" w:customStyle="1" w:styleId="StyleHeading1BoldUnderlineChar">
    <w:name w:val="Style Heading 1 + Bold Underline Char"/>
    <w:link w:val="StyleHeading1BoldUnderline"/>
    <w:rsid w:val="003B52EA"/>
    <w:rPr>
      <w:rFonts w:cs="Arial"/>
      <w:b/>
      <w:bCs/>
      <w:kern w:val="32"/>
      <w:sz w:val="24"/>
      <w:szCs w:val="32"/>
      <w:u w:val="single"/>
    </w:rPr>
  </w:style>
  <w:style w:type="paragraph" w:styleId="BalloonText">
    <w:name w:val="Balloon Text"/>
    <w:basedOn w:val="Normal"/>
    <w:link w:val="BalloonTextChar"/>
    <w:semiHidden/>
    <w:unhideWhenUsed/>
    <w:rsid w:val="00E61D32"/>
    <w:rPr>
      <w:rFonts w:ascii="Segoe UI" w:hAnsi="Segoe UI" w:cs="Segoe UI"/>
      <w:sz w:val="18"/>
      <w:szCs w:val="18"/>
    </w:rPr>
  </w:style>
  <w:style w:type="character" w:customStyle="1" w:styleId="BalloonTextChar">
    <w:name w:val="Balloon Text Char"/>
    <w:basedOn w:val="DefaultParagraphFont"/>
    <w:link w:val="BalloonText"/>
    <w:semiHidden/>
    <w:rsid w:val="00E61D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2021-09-16T11:58:00Z</dcterms:created>
  <dcterms:modified xsi:type="dcterms:W3CDTF">2021-09-16T15:13:00Z</dcterms:modified>
</cp:coreProperties>
</file>