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F37D8" w:rsidRDefault="00745FBC" w:rsidP="00745FBC">
      <w:pPr>
        <w:pStyle w:val="OrderHeading"/>
      </w:pPr>
      <w:r w:rsidRPr="00AF37D8">
        <w:t>BEFORE THE FLORIDA PUBLIC SERVICE COMMISSION</w:t>
      </w:r>
    </w:p>
    <w:p w:rsidR="00745FBC" w:rsidRPr="00AF37D8" w:rsidRDefault="00745FBC" w:rsidP="00745FBC">
      <w:pPr>
        <w:pStyle w:val="OrderBody"/>
      </w:pPr>
    </w:p>
    <w:p w:rsidR="00745FBC" w:rsidRPr="00AF37D8" w:rsidRDefault="00745FBC" w:rsidP="00745F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5FBC" w:rsidRPr="00AF37D8" w:rsidTr="0065692A">
        <w:trPr>
          <w:trHeight w:val="828"/>
        </w:trPr>
        <w:tc>
          <w:tcPr>
            <w:tcW w:w="4788" w:type="dxa"/>
            <w:tcBorders>
              <w:bottom w:val="single" w:sz="8" w:space="0" w:color="auto"/>
              <w:right w:val="double" w:sz="6" w:space="0" w:color="auto"/>
            </w:tcBorders>
            <w:shd w:val="clear" w:color="auto" w:fill="auto"/>
          </w:tcPr>
          <w:p w:rsidR="00745FBC" w:rsidRPr="00AF37D8" w:rsidRDefault="00745FBC" w:rsidP="0065692A">
            <w:pPr>
              <w:pStyle w:val="OrderBody"/>
              <w:tabs>
                <w:tab w:val="center" w:pos="4320"/>
                <w:tab w:val="right" w:pos="8640"/>
              </w:tabs>
              <w:jc w:val="left"/>
            </w:pPr>
            <w:r w:rsidRPr="00AF37D8">
              <w:t xml:space="preserve">In re: </w:t>
            </w:r>
            <w:bookmarkStart w:id="0" w:name="SSInRe"/>
            <w:bookmarkEnd w:id="0"/>
            <w:r w:rsidRPr="00AF37D8">
              <w:t>Application for transfer of water and wastewater facilities of C.F.A.T. H2O, Inc., water Certificate No. 552-W, and wastewater Certificate No. 481-S to CSWR-Florida Utility Operating Company, LLC, in Marion County.</w:t>
            </w:r>
          </w:p>
        </w:tc>
        <w:tc>
          <w:tcPr>
            <w:tcW w:w="4788" w:type="dxa"/>
            <w:tcBorders>
              <w:left w:val="double" w:sz="6" w:space="0" w:color="auto"/>
            </w:tcBorders>
            <w:shd w:val="clear" w:color="auto" w:fill="auto"/>
          </w:tcPr>
          <w:p w:rsidR="00745FBC" w:rsidRPr="00AF37D8" w:rsidRDefault="00745FBC" w:rsidP="00745FBC">
            <w:pPr>
              <w:pStyle w:val="OrderBody"/>
            </w:pPr>
            <w:r w:rsidRPr="00AF37D8">
              <w:t xml:space="preserve">DOCKET NO. </w:t>
            </w:r>
            <w:bookmarkStart w:id="1" w:name="SSDocketNo"/>
            <w:bookmarkEnd w:id="1"/>
            <w:r w:rsidRPr="00AF37D8">
              <w:t>20220062-WS</w:t>
            </w:r>
          </w:p>
          <w:p w:rsidR="00745FBC" w:rsidRPr="00AF37D8" w:rsidRDefault="00745FBC" w:rsidP="0065692A">
            <w:pPr>
              <w:pStyle w:val="OrderBody"/>
              <w:tabs>
                <w:tab w:val="center" w:pos="4320"/>
                <w:tab w:val="right" w:pos="8640"/>
              </w:tabs>
              <w:jc w:val="left"/>
            </w:pPr>
            <w:r w:rsidRPr="00AF37D8">
              <w:t xml:space="preserve">ORDER NO. </w:t>
            </w:r>
            <w:bookmarkStart w:id="2" w:name="OrderNo0266"/>
            <w:r w:rsidR="00A64CA9">
              <w:t>PSC-2023-0266-PAA-WS</w:t>
            </w:r>
            <w:bookmarkEnd w:id="2"/>
          </w:p>
          <w:p w:rsidR="00745FBC" w:rsidRPr="00AF37D8" w:rsidRDefault="00745FBC" w:rsidP="0065692A">
            <w:pPr>
              <w:pStyle w:val="OrderBody"/>
              <w:tabs>
                <w:tab w:val="center" w:pos="4320"/>
                <w:tab w:val="right" w:pos="8640"/>
              </w:tabs>
              <w:jc w:val="left"/>
            </w:pPr>
            <w:r w:rsidRPr="00AF37D8">
              <w:t xml:space="preserve">ISSUED: </w:t>
            </w:r>
            <w:r w:rsidR="00A64CA9">
              <w:t>August 22, 2023</w:t>
            </w:r>
          </w:p>
        </w:tc>
      </w:tr>
    </w:tbl>
    <w:p w:rsidR="00745FBC" w:rsidRPr="00AF37D8" w:rsidRDefault="00745FBC" w:rsidP="00745FBC"/>
    <w:p w:rsidR="00745FBC" w:rsidRPr="00AF37D8" w:rsidRDefault="00745FBC" w:rsidP="00B67A43">
      <w:pPr>
        <w:ind w:firstLine="720"/>
        <w:jc w:val="both"/>
      </w:pPr>
      <w:bookmarkStart w:id="3" w:name="Commissioners"/>
      <w:bookmarkEnd w:id="3"/>
      <w:r w:rsidRPr="00AF37D8">
        <w:t>The following Commissioners participated in the disposition of this matter:</w:t>
      </w:r>
    </w:p>
    <w:p w:rsidR="00745FBC" w:rsidRPr="00AF37D8" w:rsidRDefault="00745FBC" w:rsidP="00B67A43"/>
    <w:p w:rsidR="00745FBC" w:rsidRPr="00AF37D8" w:rsidRDefault="00745FBC" w:rsidP="00477699">
      <w:pPr>
        <w:jc w:val="center"/>
      </w:pPr>
      <w:r w:rsidRPr="00AF37D8">
        <w:t>ANDREW GILES FAY, Chairman</w:t>
      </w:r>
    </w:p>
    <w:p w:rsidR="00745FBC" w:rsidRPr="00AF37D8" w:rsidRDefault="00745FBC" w:rsidP="00B67A43">
      <w:pPr>
        <w:jc w:val="center"/>
      </w:pPr>
      <w:r w:rsidRPr="00AF37D8">
        <w:t>ART GRAHAM</w:t>
      </w:r>
    </w:p>
    <w:p w:rsidR="00745FBC" w:rsidRPr="00AF37D8" w:rsidRDefault="00745FBC" w:rsidP="00B67A43">
      <w:pPr>
        <w:jc w:val="center"/>
      </w:pPr>
      <w:r w:rsidRPr="00AF37D8">
        <w:t>GARY F. CLARK</w:t>
      </w:r>
    </w:p>
    <w:p w:rsidR="00745FBC" w:rsidRPr="00AF37D8" w:rsidRDefault="00745FBC" w:rsidP="00B67A43">
      <w:pPr>
        <w:jc w:val="center"/>
      </w:pPr>
      <w:r w:rsidRPr="00AF37D8">
        <w:t>MIKE LA ROSA</w:t>
      </w:r>
    </w:p>
    <w:p w:rsidR="00745FBC" w:rsidRPr="00AF37D8" w:rsidRDefault="00745FBC" w:rsidP="00B67A43">
      <w:pPr>
        <w:jc w:val="center"/>
      </w:pPr>
      <w:r w:rsidRPr="00AF37D8">
        <w:rPr>
          <w:lang w:val="en"/>
        </w:rPr>
        <w:t>GABRIELLA PASSIDOMO</w:t>
      </w:r>
    </w:p>
    <w:p w:rsidR="00745FBC" w:rsidRPr="00AF37D8" w:rsidRDefault="00745FBC" w:rsidP="00B67A43"/>
    <w:bookmarkStart w:id="4" w:name="OrderText"/>
    <w:bookmarkEnd w:id="4"/>
    <w:p w:rsidR="00745FBC" w:rsidRPr="00AF37D8" w:rsidRDefault="00745FBC">
      <w:pPr>
        <w:pStyle w:val="OrderBody"/>
        <w:jc w:val="center"/>
        <w:rPr>
          <w:u w:val="single"/>
        </w:rPr>
      </w:pPr>
      <w:r w:rsidRPr="00AF37D8">
        <w:rPr>
          <w:lang w:val="en-CA"/>
        </w:rPr>
        <w:fldChar w:fldCharType="begin"/>
      </w:r>
      <w:r w:rsidRPr="00AF37D8">
        <w:rPr>
          <w:lang w:val="en-CA"/>
        </w:rPr>
        <w:instrText xml:space="preserve"> SEQ CHAPTER \h \r 1</w:instrText>
      </w:r>
      <w:r w:rsidRPr="00AF37D8">
        <w:fldChar w:fldCharType="end"/>
      </w:r>
      <w:r w:rsidRPr="00AF37D8">
        <w:rPr>
          <w:u w:val="single"/>
        </w:rPr>
        <w:t>NOTICE OF PROPOSED AGENCY ACTION</w:t>
      </w:r>
    </w:p>
    <w:p w:rsidR="00AF37D8" w:rsidRDefault="00745FBC" w:rsidP="00AF37D8">
      <w:pPr>
        <w:pStyle w:val="OrderBody"/>
        <w:jc w:val="center"/>
        <w:rPr>
          <w:u w:val="single"/>
        </w:rPr>
      </w:pPr>
      <w:r w:rsidRPr="00AF37D8">
        <w:rPr>
          <w:u w:val="single"/>
        </w:rPr>
        <w:t>ORDER</w:t>
      </w:r>
      <w:r w:rsidR="00063508" w:rsidRPr="00AF37D8">
        <w:rPr>
          <w:u w:val="single"/>
        </w:rPr>
        <w:t xml:space="preserve"> </w:t>
      </w:r>
      <w:r w:rsidR="00AF37D8">
        <w:rPr>
          <w:u w:val="single"/>
        </w:rPr>
        <w:t>ESTABLISHING NET BOOK VALUE, DECLINING</w:t>
      </w:r>
    </w:p>
    <w:p w:rsidR="00AF37D8" w:rsidRDefault="00AF37D8" w:rsidP="00AF37D8">
      <w:pPr>
        <w:pStyle w:val="OrderBody"/>
        <w:jc w:val="center"/>
        <w:rPr>
          <w:u w:val="single"/>
        </w:rPr>
      </w:pPr>
      <w:r>
        <w:rPr>
          <w:u w:val="single"/>
        </w:rPr>
        <w:t>TO INCLUDING AN ACQUISITION ADJUSTMENT, AND</w:t>
      </w:r>
    </w:p>
    <w:p w:rsidR="008D482C" w:rsidRDefault="00AF37D8" w:rsidP="00AF37D8">
      <w:pPr>
        <w:pStyle w:val="OrderBody"/>
        <w:jc w:val="center"/>
        <w:rPr>
          <w:u w:val="single"/>
        </w:rPr>
      </w:pPr>
      <w:r>
        <w:rPr>
          <w:u w:val="single"/>
        </w:rPr>
        <w:t xml:space="preserve">ESTABLISHING MISCELLANEOUS CHARGES; </w:t>
      </w:r>
    </w:p>
    <w:p w:rsidR="00AF37D8" w:rsidRDefault="00AF37D8" w:rsidP="00AF37D8">
      <w:pPr>
        <w:pStyle w:val="OrderBody"/>
        <w:jc w:val="center"/>
        <w:rPr>
          <w:u w:val="single"/>
        </w:rPr>
      </w:pPr>
      <w:r>
        <w:rPr>
          <w:u w:val="single"/>
        </w:rPr>
        <w:t>AND</w:t>
      </w:r>
    </w:p>
    <w:p w:rsidR="00745FBC" w:rsidRDefault="00063508">
      <w:pPr>
        <w:pStyle w:val="OrderBody"/>
        <w:jc w:val="center"/>
        <w:rPr>
          <w:u w:val="single"/>
        </w:rPr>
      </w:pPr>
      <w:r w:rsidRPr="00AF37D8">
        <w:rPr>
          <w:u w:val="single"/>
        </w:rPr>
        <w:t>GRANTING TRANSFER OF CERTIFICATE NOS. 552-W AND 481-S</w:t>
      </w:r>
    </w:p>
    <w:p w:rsidR="00AF37D8" w:rsidRPr="00AF37D8" w:rsidRDefault="00AF37D8">
      <w:pPr>
        <w:pStyle w:val="OrderBody"/>
        <w:jc w:val="center"/>
        <w:rPr>
          <w:u w:val="single"/>
        </w:rPr>
      </w:pPr>
      <w:r>
        <w:rPr>
          <w:u w:val="single"/>
        </w:rPr>
        <w:t>AND CONTINUING EXISTING RATES AND CHARGES</w:t>
      </w:r>
    </w:p>
    <w:p w:rsidR="00745FBC" w:rsidRPr="00AF37D8" w:rsidRDefault="00745FBC">
      <w:pPr>
        <w:pStyle w:val="OrderBody"/>
      </w:pPr>
    </w:p>
    <w:p w:rsidR="00745FBC" w:rsidRPr="00AF37D8" w:rsidRDefault="00745FBC">
      <w:pPr>
        <w:pStyle w:val="OrderBody"/>
      </w:pPr>
      <w:r w:rsidRPr="00AF37D8">
        <w:t>BY THE COMMISSION:</w:t>
      </w:r>
    </w:p>
    <w:p w:rsidR="00745FBC" w:rsidRPr="00AF37D8" w:rsidRDefault="00745FBC">
      <w:pPr>
        <w:pStyle w:val="OrderBody"/>
      </w:pPr>
    </w:p>
    <w:p w:rsidR="00745FBC" w:rsidRPr="00AF37D8" w:rsidRDefault="00745FBC">
      <w:pPr>
        <w:pStyle w:val="OrderBody"/>
      </w:pPr>
      <w:r w:rsidRPr="00AF37D8">
        <w:tab/>
        <w:t xml:space="preserve">NOTICE is hereby given by the Florida Public Service Commission </w:t>
      </w:r>
      <w:r w:rsidR="00AF37D8">
        <w:t xml:space="preserve">(Commission) </w:t>
      </w:r>
      <w:r w:rsidRPr="00AF37D8">
        <w:t>that the action</w:t>
      </w:r>
      <w:r w:rsidR="00976A4F">
        <w:t>s</w:t>
      </w:r>
      <w:r w:rsidRPr="00AF37D8">
        <w:t xml:space="preserve"> discussed herein</w:t>
      </w:r>
      <w:r w:rsidR="00976A4F">
        <w:t>, except for granting the transfer of Certificate Nos. 552-W and 481-S and continuing existing rates and charges, are</w:t>
      </w:r>
      <w:r w:rsidRPr="00AF37D8">
        <w:t xml:space="preserve"> preliminary in nature and will become final unless a person whose interests are substantially affected files a petition for a formal proceeding, pursuant to Rule 25-22.029, Florida Administrative Code (F.A.C.).</w:t>
      </w:r>
    </w:p>
    <w:p w:rsidR="00CB5276" w:rsidRPr="00AF37D8" w:rsidRDefault="00CB5276" w:rsidP="00745FBC"/>
    <w:p w:rsidR="00745FBC" w:rsidRPr="00AF37D8" w:rsidRDefault="00745FBC" w:rsidP="00745FBC">
      <w:pPr>
        <w:keepNext/>
        <w:spacing w:after="240"/>
        <w:jc w:val="center"/>
        <w:outlineLvl w:val="0"/>
        <w:rPr>
          <w:bCs/>
          <w:kern w:val="32"/>
          <w:u w:val="single"/>
        </w:rPr>
      </w:pPr>
      <w:r w:rsidRPr="00AF37D8">
        <w:rPr>
          <w:bCs/>
          <w:kern w:val="32"/>
          <w:u w:val="single"/>
        </w:rPr>
        <w:t>Background</w:t>
      </w:r>
    </w:p>
    <w:p w:rsidR="00745FBC" w:rsidRPr="00AF37D8" w:rsidRDefault="0065692A" w:rsidP="00745FBC">
      <w:pPr>
        <w:spacing w:after="240"/>
        <w:jc w:val="both"/>
      </w:pPr>
      <w:r w:rsidRPr="00AF37D8">
        <w:tab/>
      </w:r>
      <w:r w:rsidR="00745FBC" w:rsidRPr="00AF37D8">
        <w:t>C.F.A.T. H2O, Inc. (CFAT, Utility, or Seller) is a Class C water and wastewater utility operating in Marion County. CFAT provides service to approximately 239 water customers and 248 wastewater customers. The Utility is in the St. Johns River Water Management District (SJRWMD). The SJRWMD has year-round watering restrictions in place for the portion of Marion County within its district. In its 2022 Annual Report, CFAT reported net operating income of $75,392 for water and $96,367 for wastewater. The Utility’s last rate case was in 2011.</w:t>
      </w:r>
      <w:r w:rsidR="00745FBC" w:rsidRPr="00AF37D8">
        <w:rPr>
          <w:vertAlign w:val="superscript"/>
        </w:rPr>
        <w:footnoteReference w:id="1"/>
      </w:r>
    </w:p>
    <w:p w:rsidR="00745FBC" w:rsidRPr="00AF37D8" w:rsidRDefault="0065692A" w:rsidP="00745FBC">
      <w:pPr>
        <w:spacing w:after="240"/>
        <w:jc w:val="both"/>
      </w:pPr>
      <w:r w:rsidRPr="00AF37D8">
        <w:lastRenderedPageBreak/>
        <w:tab/>
      </w:r>
      <w:r w:rsidR="00745FBC" w:rsidRPr="00AF37D8">
        <w:t xml:space="preserve">In 1994, </w:t>
      </w:r>
      <w:r w:rsidR="00A8433D">
        <w:t>we</w:t>
      </w:r>
      <w:r w:rsidR="00AF37D8">
        <w:t xml:space="preserve"> </w:t>
      </w:r>
      <w:r w:rsidR="00745FBC" w:rsidRPr="00AF37D8">
        <w:t>approved the transfer of water and wastewater Certificate Nos. 552-W and 481-S from The Resolution Trust Corporation to CFAT.</w:t>
      </w:r>
      <w:r w:rsidR="00745FBC" w:rsidRPr="00AF37D8">
        <w:rPr>
          <w:vertAlign w:val="superscript"/>
        </w:rPr>
        <w:footnoteReference w:id="2"/>
      </w:r>
      <w:r w:rsidR="00745FBC" w:rsidRPr="00AF37D8">
        <w:t xml:space="preserve"> </w:t>
      </w:r>
      <w:r w:rsidR="00A8433D">
        <w:t>We</w:t>
      </w:r>
      <w:r w:rsidR="00745FBC" w:rsidRPr="00AF37D8">
        <w:t xml:space="preserve"> subsequently granted a transfer of majority organizational control.</w:t>
      </w:r>
      <w:r w:rsidR="00745FBC" w:rsidRPr="00AF37D8">
        <w:rPr>
          <w:vertAlign w:val="superscript"/>
        </w:rPr>
        <w:footnoteReference w:id="3"/>
      </w:r>
    </w:p>
    <w:p w:rsidR="00745FBC" w:rsidRPr="00AF37D8" w:rsidRDefault="0065692A" w:rsidP="00745FBC">
      <w:pPr>
        <w:spacing w:after="240"/>
        <w:jc w:val="both"/>
      </w:pPr>
      <w:r w:rsidRPr="00AF37D8">
        <w:tab/>
      </w:r>
      <w:r w:rsidR="00745FBC" w:rsidRPr="00AF37D8">
        <w:t xml:space="preserve">On March 15, 2022, </w:t>
      </w:r>
      <w:r w:rsidR="00745FBC" w:rsidRPr="00AF37D8">
        <w:rPr>
          <w:bCs/>
        </w:rPr>
        <w:t>CSWR-Florida Utility Operating Company, LLC</w:t>
      </w:r>
      <w:r w:rsidR="00745FBC" w:rsidRPr="00AF37D8">
        <w:t xml:space="preserve"> (CSWR-CFAT or Buyer) filed an application with </w:t>
      </w:r>
      <w:r w:rsidR="00A8433D">
        <w:t>us</w:t>
      </w:r>
      <w:r w:rsidR="00745FBC" w:rsidRPr="00AF37D8">
        <w:t xml:space="preserve"> for the transfer of Certificate Nos. 552-W and 481-S from CFAT to CSWR-CFAT in Marion County. The application was found to be deficient. The Buyer cured the deficiencies on May 1, 2023. The sale will close after </w:t>
      </w:r>
      <w:r w:rsidR="00AF37D8">
        <w:t>our vote</w:t>
      </w:r>
      <w:r w:rsidR="00745FBC" w:rsidRPr="00AF37D8">
        <w:t xml:space="preserve"> to approve the transfer. In its application, the Buyer has requested a positive acquisition a</w:t>
      </w:r>
      <w:r w:rsidR="00AF37D8">
        <w:t xml:space="preserve">djustment, which is discussed </w:t>
      </w:r>
      <w:r w:rsidR="00AF37D8">
        <w:rPr>
          <w:i/>
        </w:rPr>
        <w:t>infra</w:t>
      </w:r>
      <w:r w:rsidR="00745FBC" w:rsidRPr="00AF37D8">
        <w:t>. The Office of Public Counsel’s (OPC) intervention was acknowledged by Order No. PSC-2022-</w:t>
      </w:r>
      <w:r w:rsidR="00745FBC" w:rsidRPr="00AF37D8">
        <w:rPr>
          <w:color w:val="212529"/>
        </w:rPr>
        <w:t>0126</w:t>
      </w:r>
      <w:r w:rsidR="00745FBC" w:rsidRPr="00AF37D8">
        <w:t xml:space="preserve">-PCO-WS, issued March 24, 2022. </w:t>
      </w:r>
    </w:p>
    <w:p w:rsidR="005F2751" w:rsidRDefault="0065692A" w:rsidP="00976A4F">
      <w:pPr>
        <w:jc w:val="both"/>
      </w:pPr>
      <w:r w:rsidRPr="00AF37D8">
        <w:tab/>
      </w:r>
      <w:r w:rsidR="00745FBC" w:rsidRPr="00AF37D8">
        <w:t xml:space="preserve">This </w:t>
      </w:r>
      <w:r w:rsidR="00976A4F">
        <w:t>order</w:t>
      </w:r>
      <w:r w:rsidR="00745FBC" w:rsidRPr="00AF37D8">
        <w:t xml:space="preserve"> addresses the transfer of the water and wastewater systems and Certificate Nos. 552-W and 481-S, the appropriate net book value of the water and wastewater systems for transfer purposes, and the request for an acquisition adjustment. </w:t>
      </w:r>
      <w:r w:rsidR="00976A4F">
        <w:t>We have</w:t>
      </w:r>
      <w:r w:rsidR="00745FBC" w:rsidRPr="00AF37D8">
        <w:t xml:space="preserve"> jurisdiction pursuant to Sections 367.071 and 367.081, Florida Statutes (F.S.).</w:t>
      </w:r>
    </w:p>
    <w:p w:rsidR="00AF37D8" w:rsidRPr="00AF37D8" w:rsidRDefault="00AF37D8" w:rsidP="00745FBC"/>
    <w:p w:rsidR="00AF37D8" w:rsidRPr="00AF37D8" w:rsidRDefault="00AF37D8" w:rsidP="00AF37D8">
      <w:pPr>
        <w:keepNext/>
        <w:spacing w:after="240"/>
        <w:jc w:val="center"/>
        <w:outlineLvl w:val="0"/>
        <w:rPr>
          <w:u w:val="single"/>
        </w:rPr>
      </w:pPr>
      <w:bookmarkStart w:id="5" w:name="DiscussionOfIssues"/>
      <w:r>
        <w:rPr>
          <w:u w:val="single"/>
        </w:rPr>
        <w:t>Decision</w:t>
      </w:r>
    </w:p>
    <w:bookmarkEnd w:id="5"/>
    <w:p w:rsidR="00AF37D8" w:rsidRDefault="00AF37D8" w:rsidP="00AF37D8">
      <w:pPr>
        <w:pStyle w:val="ListParagraph"/>
        <w:numPr>
          <w:ilvl w:val="0"/>
          <w:numId w:val="3"/>
        </w:numPr>
        <w:spacing w:after="240"/>
        <w:ind w:hanging="720"/>
        <w:jc w:val="both"/>
      </w:pPr>
      <w:r>
        <w:rPr>
          <w:u w:val="single"/>
        </w:rPr>
        <w:t>Transfer of Certificate Nos. 552-W and 481-S</w:t>
      </w:r>
    </w:p>
    <w:p w:rsidR="00745FBC" w:rsidRPr="00AF37D8" w:rsidRDefault="00745FBC" w:rsidP="00AF37D8">
      <w:pPr>
        <w:spacing w:after="240"/>
        <w:ind w:firstLine="720"/>
        <w:jc w:val="both"/>
      </w:pPr>
      <w:r w:rsidRPr="00AF37D8">
        <w:t xml:space="preserve">On March 15, 2022, CSWR-CFAT filed an application for the transfer of Certificate Nos. 552-W and 481-S from CFAT to CSWR-CFAT in Marion County. The application is in compliance with Section 367.071, F.S., and </w:t>
      </w:r>
      <w:r w:rsidR="00976A4F">
        <w:t>our</w:t>
      </w:r>
      <w:r w:rsidRPr="00AF37D8">
        <w:t xml:space="preserve"> rules concerning applications for transfer of certificates. The sale to CSWR-CFAT will become final after </w:t>
      </w:r>
      <w:r w:rsidR="00976A4F">
        <w:t>our</w:t>
      </w:r>
      <w:r w:rsidRPr="00AF37D8">
        <w:t xml:space="preserve"> approval of the transfer, pursuant to Section 367.071(1), F.S.</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Noticing, Territory, and Land Ownership</w:t>
      </w:r>
    </w:p>
    <w:p w:rsidR="00745FBC" w:rsidRDefault="0065692A" w:rsidP="00745FBC">
      <w:pPr>
        <w:spacing w:after="240"/>
        <w:jc w:val="both"/>
        <w:rPr>
          <w:bCs/>
        </w:rPr>
      </w:pPr>
      <w:r w:rsidRPr="00AF37D8">
        <w:rPr>
          <w:bCs/>
        </w:rPr>
        <w:tab/>
      </w:r>
      <w:r w:rsidR="00745FBC" w:rsidRPr="00AF37D8">
        <w:rPr>
          <w:bCs/>
        </w:rPr>
        <w:t>CSWR</w:t>
      </w:r>
      <w:r w:rsidR="00745FBC" w:rsidRPr="00AF37D8">
        <w:t>-CFAT</w:t>
      </w:r>
      <w:r w:rsidR="00745FBC" w:rsidRPr="00AF37D8">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w:t>
      </w:r>
      <w:r w:rsidR="00976A4F">
        <w:rPr>
          <w:bCs/>
        </w:rPr>
        <w:t>order</w:t>
      </w:r>
      <w:r w:rsidR="00745FBC" w:rsidRPr="00AF37D8">
        <w:rPr>
          <w:bCs/>
        </w:rPr>
        <w:t xml:space="preserve"> as Attachment A. In its application, CSWR</w:t>
      </w:r>
      <w:r w:rsidR="00745FBC" w:rsidRPr="00AF37D8">
        <w:t>-CFAT</w:t>
      </w:r>
      <w:r w:rsidR="00745FBC" w:rsidRPr="00AF37D8">
        <w:rPr>
          <w:bCs/>
        </w:rPr>
        <w:t xml:space="preserve"> provided a copy of an unrecorded warranty deed as evidence that the Buyer will have rights to long-term use of the land upon which the treatment facilities are located pursuant to Rule 25-30.037(2)(s), F.A.C. CSWR</w:t>
      </w:r>
      <w:r w:rsidR="00745FBC" w:rsidRPr="00AF37D8">
        <w:t>-CFAT</w:t>
      </w:r>
      <w:r w:rsidR="00745FBC" w:rsidRPr="00AF37D8">
        <w:rPr>
          <w:bCs/>
        </w:rPr>
        <w:t xml:space="preserve"> committed to providing the executed and recorded deed to </w:t>
      </w:r>
      <w:r w:rsidR="00C518E5">
        <w:rPr>
          <w:bCs/>
        </w:rPr>
        <w:t>us</w:t>
      </w:r>
      <w:r w:rsidR="00745FBC" w:rsidRPr="00AF37D8">
        <w:rPr>
          <w:bCs/>
        </w:rPr>
        <w:t xml:space="preserve"> within 60 days after the closing of the sale.</w:t>
      </w:r>
    </w:p>
    <w:p w:rsidR="00976A4F" w:rsidRPr="00AF37D8" w:rsidRDefault="00976A4F" w:rsidP="00745FBC">
      <w:pPr>
        <w:spacing w:after="240"/>
        <w:jc w:val="both"/>
        <w:rPr>
          <w:bCs/>
        </w:rPr>
      </w:pPr>
    </w:p>
    <w:p w:rsidR="00745FBC" w:rsidRPr="00AF37D8" w:rsidRDefault="00745FBC" w:rsidP="00AF37D8">
      <w:pPr>
        <w:pStyle w:val="ListParagraph"/>
        <w:numPr>
          <w:ilvl w:val="1"/>
          <w:numId w:val="3"/>
        </w:numPr>
        <w:spacing w:after="240"/>
        <w:ind w:hanging="720"/>
        <w:jc w:val="both"/>
        <w:rPr>
          <w:bCs/>
          <w:iCs/>
        </w:rPr>
      </w:pPr>
      <w:r w:rsidRPr="00AF37D8">
        <w:rPr>
          <w:bCs/>
          <w:u w:val="single"/>
        </w:rPr>
        <w:lastRenderedPageBreak/>
        <w:t>Purchase Agreement and Financing</w:t>
      </w:r>
    </w:p>
    <w:p w:rsidR="0065692A" w:rsidRPr="00AF37D8" w:rsidRDefault="0065692A" w:rsidP="00745FBC">
      <w:pPr>
        <w:spacing w:after="240"/>
        <w:contextualSpacing/>
        <w:jc w:val="both"/>
      </w:pPr>
      <w:r w:rsidRPr="00AF37D8">
        <w:tab/>
      </w:r>
      <w:r w:rsidR="00745FBC" w:rsidRPr="00AF37D8">
        <w:t xml:space="preserve">Pursuant to Rule 25-30.037(2)(g), (h), and (i), F.A.C., the application contains a statement regarding financing and a copy of the purchase agreement, which includes the purchase price, terms of payment, and a list of the assets purchased. There are no guaranteed revenue contracts or customer advances of CFAT that must be disposed of with regard to the transfer. CSWR-CFAT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$1,440,000. According to the Buyer, the closing has not yet taken place and is dependent on </w:t>
      </w:r>
      <w:r w:rsidR="00976A4F">
        <w:t>our</w:t>
      </w:r>
      <w:r w:rsidR="00745FBC" w:rsidRPr="00AF37D8">
        <w:t xml:space="preserve"> approval of the transfer, pursuant to Section 367.071(1), F.S.</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Facility Description and Compliance</w:t>
      </w:r>
    </w:p>
    <w:p w:rsidR="00745FBC" w:rsidRPr="00AF37D8" w:rsidRDefault="0065692A" w:rsidP="00745FBC">
      <w:pPr>
        <w:spacing w:after="240"/>
        <w:jc w:val="both"/>
      </w:pPr>
      <w:r w:rsidRPr="00AF37D8">
        <w:rPr>
          <w:bCs/>
          <w:iCs/>
        </w:rPr>
        <w:tab/>
      </w:r>
      <w:r w:rsidR="00745FBC" w:rsidRPr="00AF37D8">
        <w:rPr>
          <w:bCs/>
          <w:iCs/>
        </w:rPr>
        <w:t xml:space="preserve">CFAT’s water system includes a water treatment plant (WTP) composed of two wells, a hypo-chlorination system for disinfection, a 200,000 gallon ground storage tank, and a hydropneumatic/flow tank. The wells are each rated at 250 gallons per minute. The water distribution system extends throughout the service area. </w:t>
      </w:r>
      <w:r w:rsidR="00745FBC" w:rsidRPr="00AF37D8">
        <w:t xml:space="preserve">CSWR-CFAT provided a copy of the Utility’s current consumptive use permit (CUP) from the SJRWMD. The Buyer committed to providing a copy of its CUP transfer application, reflecting the change in ownership, to </w:t>
      </w:r>
      <w:r w:rsidR="00C518E5">
        <w:t>us</w:t>
      </w:r>
      <w:r w:rsidR="00745FBC" w:rsidRPr="00AF37D8">
        <w:t xml:space="preserve"> within 60 days of the contract for sale.</w:t>
      </w:r>
    </w:p>
    <w:p w:rsidR="00745FBC" w:rsidRPr="00AF37D8" w:rsidRDefault="0065692A" w:rsidP="00745FBC">
      <w:pPr>
        <w:spacing w:after="240"/>
        <w:jc w:val="both"/>
      </w:pPr>
      <w:r w:rsidRPr="00AF37D8">
        <w:tab/>
      </w:r>
      <w:r w:rsidR="00745FBC" w:rsidRPr="00AF37D8">
        <w:t>CFAT’s wastewater treatment plant (WWTP) is a 0.99 million gallons per day annual average daily flow extended aeration treatment plant consisting of aeration, secondary clarification, chlorination, and aerobic digestion of biosolids. The effluent is discharged into a reuse system consisting of a lined holding pond and two rapid infiltration basins.</w:t>
      </w:r>
    </w:p>
    <w:p w:rsidR="00745FBC" w:rsidRPr="00AF37D8" w:rsidRDefault="0065692A" w:rsidP="00745FBC">
      <w:pPr>
        <w:spacing w:after="240"/>
        <w:jc w:val="both"/>
      </w:pPr>
      <w:r w:rsidRPr="00AF37D8">
        <w:tab/>
      </w:r>
      <w:r w:rsidR="00976A4F">
        <w:t>We</w:t>
      </w:r>
      <w:r w:rsidR="00745FBC" w:rsidRPr="00AF37D8">
        <w:t xml:space="preserve"> reviewed the most recent Florida Department of Environmental Protection (DEP) sanitary survey for the WTP and compliance evaluation inspection (CEI) for the WWTP. The DEP’s May 22, 2020, sanitary survey found no deficiencies. </w:t>
      </w:r>
      <w:r w:rsidR="00976A4F">
        <w:t>We</w:t>
      </w:r>
      <w:r w:rsidR="00745FBC" w:rsidRPr="00AF37D8">
        <w:t xml:space="preserve"> also reviewed the results from its August 3, 2021, water quality tests, including the secondary contaminants water quality test. All results were below the DEP’s maximum contaminant levels for each contaminant.</w:t>
      </w:r>
    </w:p>
    <w:p w:rsidR="00745FBC" w:rsidRDefault="0065692A" w:rsidP="00745FBC">
      <w:pPr>
        <w:spacing w:after="240"/>
        <w:jc w:val="both"/>
      </w:pPr>
      <w:r w:rsidRPr="00AF37D8">
        <w:tab/>
      </w:r>
      <w:r w:rsidR="00745FBC" w:rsidRPr="00AF37D8">
        <w:t>During the DEP’s November 16, 2021, CEI, the DEP found several violations primarily related to past-due actions, missing on-site documents, and a leaking component. The Utility resolved these issues and the DEP closed out the CEI in August 2022. The CEI noted that the Utility was under a consent order from its previous CEI, conducted on February 16, 2021, and that CFAT continued to have problems with items listed in the consent order, namely effluent exceedances and solids buildup in the holding pond.</w:t>
      </w:r>
      <w:r w:rsidR="00745FBC" w:rsidRPr="00AF37D8">
        <w:rPr>
          <w:vertAlign w:val="superscript"/>
        </w:rPr>
        <w:footnoteReference w:id="4"/>
      </w:r>
      <w:r w:rsidR="00745FBC" w:rsidRPr="00AF37D8">
        <w:t xml:space="preserve"> As of July 11, 2023, the Utility has not completed all of the requirements of the consent order.</w:t>
      </w:r>
    </w:p>
    <w:p w:rsidR="008518BB" w:rsidRPr="00AF37D8" w:rsidRDefault="008518BB" w:rsidP="00745FBC">
      <w:pPr>
        <w:spacing w:after="240"/>
        <w:jc w:val="both"/>
      </w:pP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lastRenderedPageBreak/>
        <w:t>Technical and Financial Ability</w:t>
      </w:r>
    </w:p>
    <w:p w:rsidR="00745FBC" w:rsidRPr="00AF37D8" w:rsidRDefault="0065692A" w:rsidP="00745FBC">
      <w:pPr>
        <w:spacing w:after="240"/>
        <w:jc w:val="both"/>
      </w:pPr>
      <w:r w:rsidRPr="00AF37D8">
        <w:tab/>
      </w:r>
      <w:r w:rsidR="00745FBC" w:rsidRPr="00AF37D8">
        <w:t xml:space="preserve">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CSWR-CFAT’s application states that it owns and operates water and wastewater systems in Missouri, Arkansas, Kentucky, Louisiana, Texas, Mississippi, Arizona, North Carolina, and Tennessee that currently serve more than 73,000 water and 117,000 wastewater customers. </w:t>
      </w:r>
      <w:r w:rsidR="008518BB">
        <w:t>We have</w:t>
      </w:r>
      <w:r w:rsidR="00745FBC" w:rsidRPr="00AF37D8">
        <w:t xml:space="preserve"> also approved CSWR’s purchase of five Florida certificated utilities in prior dockets.</w:t>
      </w:r>
      <w:r w:rsidR="00745FBC" w:rsidRPr="00AF37D8">
        <w:rPr>
          <w:vertAlign w:val="superscript"/>
        </w:rPr>
        <w:footnoteReference w:id="5"/>
      </w:r>
    </w:p>
    <w:p w:rsidR="00745FBC" w:rsidRPr="00AF37D8" w:rsidRDefault="0065692A" w:rsidP="00745FBC">
      <w:pPr>
        <w:spacing w:after="240"/>
        <w:jc w:val="both"/>
        <w:rPr>
          <w:bCs/>
          <w:iCs/>
        </w:rPr>
      </w:pPr>
      <w:r w:rsidRPr="00AF37D8">
        <w:tab/>
      </w:r>
      <w:r w:rsidR="00745FBC" w:rsidRPr="00AF37D8">
        <w:t xml:space="preserve">The Buyer plans to use qualified and licensed contractors to provide routine operation and maintenance (O&amp;M) of the systems, as well as to handle billing and customer service. </w:t>
      </w:r>
      <w:r w:rsidR="008518BB">
        <w:t>We</w:t>
      </w:r>
      <w:r w:rsidR="00745FBC" w:rsidRPr="00AF37D8">
        <w:t xml:space="preserve"> reviewed the financial stat</w:t>
      </w:r>
      <w:r w:rsidR="008518BB">
        <w:t>ements of CSWR-CFAT and believe</w:t>
      </w:r>
      <w:r w:rsidR="00745FBC" w:rsidRPr="00AF37D8">
        <w:t xml:space="preserve"> the Buyer has documented adequate resources to support the Utility’s </w:t>
      </w:r>
      <w:r w:rsidR="008B4838">
        <w:t xml:space="preserve">water and </w:t>
      </w:r>
      <w:r w:rsidR="00745FBC" w:rsidRPr="00AF37D8">
        <w:t>wastewater operations. Based on the above, the Buyer has demonstrated the technical and financial ability to provide service to the existing service territory.</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Rates and Charges</w:t>
      </w:r>
    </w:p>
    <w:p w:rsidR="00745FBC" w:rsidRPr="00AF37D8" w:rsidRDefault="0065692A" w:rsidP="00745FBC">
      <w:pPr>
        <w:spacing w:after="200"/>
        <w:jc w:val="both"/>
        <w:rPr>
          <w:rFonts w:eastAsiaTheme="minorHAnsi"/>
        </w:rPr>
      </w:pPr>
      <w:r w:rsidRPr="00AF37D8">
        <w:rPr>
          <w:rFonts w:eastAsiaTheme="minorHAnsi"/>
        </w:rPr>
        <w:tab/>
      </w:r>
      <w:r w:rsidR="00745FBC" w:rsidRPr="00AF37D8">
        <w:rPr>
          <w:rFonts w:eastAsiaTheme="minorHAnsi"/>
        </w:rPr>
        <w:t>CFAT’s rates, miscellaneous service charges, and initial customer deposits were last approved in a 201</w:t>
      </w:r>
      <w:r w:rsidR="008518BB">
        <w:rPr>
          <w:rFonts w:eastAsiaTheme="minorHAnsi"/>
        </w:rPr>
        <w:t>1 staff-</w:t>
      </w:r>
      <w:r w:rsidR="00745FBC" w:rsidRPr="00AF37D8">
        <w:rPr>
          <w:rFonts w:eastAsiaTheme="minorHAnsi"/>
        </w:rPr>
        <w:t>assisted rate case.</w:t>
      </w:r>
      <w:r w:rsidR="00745FBC" w:rsidRPr="00AF37D8">
        <w:rPr>
          <w:rFonts w:eastAsiaTheme="minorHAnsi"/>
          <w:vertAlign w:val="superscript"/>
        </w:rPr>
        <w:footnoteReference w:id="6"/>
      </w:r>
      <w:r w:rsidR="00745FBC" w:rsidRPr="00AF37D8">
        <w:rPr>
          <w:rFonts w:eastAsiaTheme="minorHAnsi"/>
        </w:rPr>
        <w:t xml:space="preserve"> </w:t>
      </w:r>
      <w:r w:rsidR="00745FBC" w:rsidRPr="00AF37D8">
        <w:t xml:space="preserve">CFAT had a rate decrease to remove expired rate case expense amortization in 2015. </w:t>
      </w:r>
      <w:r w:rsidR="00745FBC" w:rsidRPr="00AF37D8">
        <w:rPr>
          <w:rFonts w:eastAsiaTheme="minorHAnsi"/>
        </w:rPr>
        <w:t>Subsequently, the rates have been amended by seven price index rate adjustments with the last one being in 2022. The Utility’s service availability charges were last approved in a 1993 transfer of certificate.</w:t>
      </w:r>
      <w:r w:rsidR="00745FBC" w:rsidRPr="00AF37D8">
        <w:rPr>
          <w:rFonts w:eastAsiaTheme="minorHAnsi"/>
          <w:vertAlign w:val="superscript"/>
        </w:rPr>
        <w:footnoteReference w:id="7"/>
      </w:r>
      <w:r w:rsidR="00745FBC" w:rsidRPr="00AF37D8">
        <w:rPr>
          <w:rFonts w:eastAsiaTheme="minorHAnsi"/>
        </w:rPr>
        <w:t xml:space="preserve"> Initial customer deposits were approved administratively in 2011. Rule 25-9.044(1), F.A.C., provides that, in the case of a change of ownership or control of a Utility, the rates, classifications, and regulations of the former owner must continue unless authorized to change by this Commission. However, the miscellaneous service charges do not conform to Rule 25-30.460, F.A.</w:t>
      </w:r>
      <w:r w:rsidR="008518BB">
        <w:rPr>
          <w:rFonts w:eastAsiaTheme="minorHAnsi"/>
        </w:rPr>
        <w:t>C., and are discussed in Section 4 of this order</w:t>
      </w:r>
      <w:r w:rsidR="00745FBC" w:rsidRPr="00AF37D8">
        <w:rPr>
          <w:rFonts w:eastAsiaTheme="minorHAnsi"/>
        </w:rPr>
        <w:t xml:space="preserve">. Therefore, </w:t>
      </w:r>
      <w:r w:rsidR="008518BB">
        <w:rPr>
          <w:rFonts w:eastAsiaTheme="minorHAnsi"/>
        </w:rPr>
        <w:t xml:space="preserve">we find </w:t>
      </w:r>
      <w:r w:rsidR="00745FBC" w:rsidRPr="00AF37D8">
        <w:rPr>
          <w:rFonts w:eastAsiaTheme="minorHAnsi"/>
        </w:rPr>
        <w:t xml:space="preserve">that the Utility’s existing rates, service availability charges, and initial </w:t>
      </w:r>
      <w:r w:rsidR="00745FBC" w:rsidRPr="00AF37D8">
        <w:rPr>
          <w:rFonts w:eastAsiaTheme="minorHAnsi"/>
        </w:rPr>
        <w:lastRenderedPageBreak/>
        <w:t xml:space="preserve">customer deposits as shown on Schedule No. 7, </w:t>
      </w:r>
      <w:r w:rsidR="008518BB">
        <w:rPr>
          <w:rFonts w:eastAsiaTheme="minorHAnsi"/>
        </w:rPr>
        <w:t>shall</w:t>
      </w:r>
      <w:r w:rsidR="00745FBC" w:rsidRPr="00AF37D8">
        <w:rPr>
          <w:rFonts w:eastAsiaTheme="minorHAnsi"/>
        </w:rPr>
        <w:t xml:space="preserve"> remain in effect, until </w:t>
      </w:r>
      <w:r w:rsidR="008518BB">
        <w:rPr>
          <w:rFonts w:eastAsiaTheme="minorHAnsi"/>
        </w:rPr>
        <w:t xml:space="preserve">we authorize </w:t>
      </w:r>
      <w:r w:rsidR="00745FBC" w:rsidRPr="00AF37D8">
        <w:rPr>
          <w:rFonts w:eastAsiaTheme="minorHAnsi"/>
        </w:rPr>
        <w:t>a change in a subsequent proceeding. The tariff pages reflecting the transfe</w:t>
      </w:r>
      <w:r w:rsidR="008518BB">
        <w:rPr>
          <w:rFonts w:eastAsiaTheme="minorHAnsi"/>
        </w:rPr>
        <w:t>r shall</w:t>
      </w:r>
      <w:r w:rsidR="00745FBC" w:rsidRPr="00AF37D8">
        <w:rPr>
          <w:rFonts w:eastAsiaTheme="minorHAnsi"/>
        </w:rPr>
        <w:t xml:space="preserve"> be effective on or after the stamped approval date on the tariff sheets pursuant to Rule 25-30.475(1), F.A.C.</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Regulatory Assessment Fees and Annual Report</w:t>
      </w:r>
    </w:p>
    <w:p w:rsidR="00745FBC" w:rsidRPr="00AF37D8" w:rsidRDefault="0065692A" w:rsidP="00745FBC">
      <w:pPr>
        <w:jc w:val="both"/>
      </w:pPr>
      <w:r w:rsidRPr="00AF37D8">
        <w:tab/>
      </w:r>
      <w:r w:rsidR="008518BB">
        <w:t>We have</w:t>
      </w:r>
      <w:r w:rsidR="00745FBC" w:rsidRPr="00AF37D8">
        <w:t xml:space="preserve"> verified that the Utility is current on the filing of annual reports and RAFs through Dec</w:t>
      </w:r>
      <w:r w:rsidR="002947A9">
        <w:t>ember 31, 2022. The Buyer shall</w:t>
      </w:r>
      <w:r w:rsidR="00745FBC" w:rsidRPr="00AF37D8">
        <w:t xml:space="preserve"> be responsible for filing the Utility’s annual reports and paying RAFs for all future years.</w:t>
      </w:r>
    </w:p>
    <w:p w:rsidR="00745FBC" w:rsidRPr="00AF37D8" w:rsidRDefault="00745FBC" w:rsidP="00745FBC">
      <w:pPr>
        <w:jc w:val="both"/>
      </w:pP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Conclusion</w:t>
      </w:r>
    </w:p>
    <w:p w:rsidR="00745FBC" w:rsidRDefault="0065692A" w:rsidP="00745FBC">
      <w:pPr>
        <w:jc w:val="both"/>
      </w:pPr>
      <w:r w:rsidRPr="00AF37D8">
        <w:tab/>
      </w:r>
      <w:r w:rsidR="00745FBC" w:rsidRPr="00AF37D8">
        <w:t xml:space="preserve">Based on the foregoing, </w:t>
      </w:r>
      <w:r w:rsidR="008518BB">
        <w:t>we</w:t>
      </w:r>
      <w:r w:rsidR="00745FBC" w:rsidRPr="00AF37D8">
        <w:t xml:space="preserve"> </w:t>
      </w:r>
      <w:r w:rsidR="008518BB">
        <w:t>find</w:t>
      </w:r>
      <w:r w:rsidR="00745FBC" w:rsidRPr="00AF37D8">
        <w:t xml:space="preserve"> that the transfer of the water and wastewater systems and Certificate Nos. 552-W and 481-S </w:t>
      </w:r>
      <w:r w:rsidR="008518BB">
        <w:t>is in the public interest and shall</w:t>
      </w:r>
      <w:r w:rsidR="00745FBC" w:rsidRPr="00AF37D8">
        <w:t xml:space="preserve"> be approved effective the date </w:t>
      </w:r>
      <w:r w:rsidR="008518BB">
        <w:t>that the sale becomes final. This order</w:t>
      </w:r>
      <w:r w:rsidR="00745FBC" w:rsidRPr="00AF37D8">
        <w:t xml:space="preserve"> </w:t>
      </w:r>
      <w:r w:rsidR="002947A9">
        <w:t>shall</w:t>
      </w:r>
      <w:r w:rsidR="00745FBC" w:rsidRPr="00AF37D8">
        <w:t xml:space="preserve"> serve as the Buyer’s certificate and </w:t>
      </w:r>
      <w:r w:rsidR="002947A9">
        <w:t>shall</w:t>
      </w:r>
      <w:r w:rsidR="00745FBC" w:rsidRPr="00AF37D8">
        <w:t xml:space="preserve"> be retained by the Buyer. The Buyer </w:t>
      </w:r>
      <w:r w:rsidR="002947A9">
        <w:t>shall</w:t>
      </w:r>
      <w:r w:rsidR="00745FBC" w:rsidRPr="00AF37D8">
        <w:t xml:space="preserve"> submit the executed and recorded deed for continued access to the land upon which its facilities are located, copies of its permit transfer application, and a copy of its signed and executed contract for sale to</w:t>
      </w:r>
      <w:r w:rsidR="008518BB">
        <w:t xml:space="preserve"> us</w:t>
      </w:r>
      <w:r w:rsidR="00745FBC" w:rsidRPr="00AF37D8">
        <w:t xml:space="preserve"> within 60 days of the </w:t>
      </w:r>
      <w:r w:rsidR="00922F9F">
        <w:t>o</w:t>
      </w:r>
      <w:r w:rsidR="00745FBC" w:rsidRPr="00AF37D8">
        <w:t xml:space="preserve">rder approving the transfer, which is final agency action. If the sale is not finalized within 60 days of the transfer </w:t>
      </w:r>
      <w:r w:rsidR="00826E27">
        <w:t>o</w:t>
      </w:r>
      <w:r w:rsidR="00745FBC" w:rsidRPr="00AF37D8">
        <w:t xml:space="preserve">rder, the Buyer </w:t>
      </w:r>
      <w:r w:rsidR="002947A9">
        <w:t>shall</w:t>
      </w:r>
      <w:r w:rsidR="00745FBC" w:rsidRPr="00AF37D8">
        <w:t xml:space="preserve"> file a status update in the docket file. The Utility’s existing rates, service availability charges, and initial customer deposits, as shown on Schedule No. 7, </w:t>
      </w:r>
      <w:r w:rsidR="002947A9">
        <w:t>shall</w:t>
      </w:r>
      <w:r w:rsidR="00745FBC" w:rsidRPr="00AF37D8">
        <w:t xml:space="preserve"> remain in effect until </w:t>
      </w:r>
      <w:r w:rsidR="008518BB">
        <w:t xml:space="preserve">we authorize </w:t>
      </w:r>
      <w:r w:rsidR="00745FBC" w:rsidRPr="00AF37D8">
        <w:t xml:space="preserve">a change </w:t>
      </w:r>
      <w:r w:rsidR="008518BB">
        <w:t xml:space="preserve">in </w:t>
      </w:r>
      <w:r w:rsidR="00745FBC" w:rsidRPr="00AF37D8">
        <w:t xml:space="preserve">a subsequent proceeding. The tariff pages reflecting the transfer </w:t>
      </w:r>
      <w:r w:rsidR="002947A9">
        <w:t>shall</w:t>
      </w:r>
      <w:r w:rsidR="00745FBC" w:rsidRPr="00AF37D8">
        <w:t xml:space="preserve"> be effective on or after the stamped approval date on the tariff sheets, pursuant to Rule 25-30.475(1), F.A.C. The Seller is current with respect to annual reports and </w:t>
      </w:r>
      <w:r w:rsidR="008518BB">
        <w:t>RAFs</w:t>
      </w:r>
      <w:r w:rsidR="00745FBC" w:rsidRPr="00AF37D8">
        <w:t xml:space="preserve"> through December 31, 2022. The Buyer </w:t>
      </w:r>
      <w:r w:rsidR="002947A9">
        <w:t>shall</w:t>
      </w:r>
      <w:r w:rsidR="00745FBC" w:rsidRPr="00AF37D8">
        <w:t xml:space="preserve"> be responsible for filing annual reports and paying RAFs for all future years.</w:t>
      </w:r>
    </w:p>
    <w:p w:rsidR="00745FBC" w:rsidRPr="00AF37D8" w:rsidRDefault="00745FBC" w:rsidP="00745FBC">
      <w:pPr>
        <w:jc w:val="both"/>
      </w:pPr>
    </w:p>
    <w:p w:rsidR="00AF37D8" w:rsidRPr="00AF37D8" w:rsidRDefault="00AF37D8" w:rsidP="00AF37D8">
      <w:pPr>
        <w:pStyle w:val="ListParagraph"/>
        <w:numPr>
          <w:ilvl w:val="0"/>
          <w:numId w:val="3"/>
        </w:numPr>
        <w:spacing w:after="240"/>
        <w:ind w:hanging="720"/>
        <w:jc w:val="both"/>
        <w:rPr>
          <w:u w:val="single"/>
        </w:rPr>
      </w:pPr>
      <w:r w:rsidRPr="00AF37D8">
        <w:rPr>
          <w:u w:val="single"/>
        </w:rPr>
        <w:t>Net Book V</w:t>
      </w:r>
      <w:r w:rsidR="008518BB">
        <w:rPr>
          <w:u w:val="single"/>
        </w:rPr>
        <w:t>alue (NBV)</w:t>
      </w:r>
    </w:p>
    <w:p w:rsidR="00745FBC" w:rsidRDefault="00745FBC" w:rsidP="008518BB">
      <w:pPr>
        <w:spacing w:after="240"/>
        <w:ind w:firstLine="720"/>
        <w:jc w:val="both"/>
      </w:pPr>
      <w:r w:rsidRPr="00AF37D8">
        <w:t>Rate base for the water system was last established as of December 31, 2009.</w:t>
      </w:r>
      <w:r w:rsidRPr="00AF37D8">
        <w:rPr>
          <w:vertAlign w:val="superscript"/>
        </w:rPr>
        <w:footnoteReference w:id="8"/>
      </w:r>
      <w:r w:rsidRPr="00AF37D8">
        <w:t xml:space="preserve"> No rate proceeding has taken place for the wastewater system. The purpose of establishing NBV for transfers is to determine whether an acquisition adjustment should be approved. CSWR-CFAT’s request for a positive acquisition adjustment is addressed in </w:t>
      </w:r>
      <w:r w:rsidR="008518BB">
        <w:t>Section</w:t>
      </w:r>
      <w:r w:rsidRPr="00AF37D8">
        <w:t xml:space="preserve"> 3</w:t>
      </w:r>
      <w:r w:rsidR="008518BB">
        <w:t xml:space="preserve"> of this </w:t>
      </w:r>
      <w:r w:rsidR="00922F9F">
        <w:t>o</w:t>
      </w:r>
      <w:r w:rsidR="008518BB">
        <w:t>rder</w:t>
      </w:r>
      <w:r w:rsidRPr="00AF37D8">
        <w:t>. The NBV does not include normal ratemaking adjustments for used and useful plant or working capital. The Utility’s NBV has been updated to reflect balances as of February 28, 2022.</w:t>
      </w:r>
      <w:r w:rsidRPr="00AF37D8">
        <w:rPr>
          <w:vertAlign w:val="superscript"/>
        </w:rPr>
        <w:footnoteReference w:id="9"/>
      </w:r>
      <w:r w:rsidRPr="00AF37D8">
        <w:t xml:space="preserve"> </w:t>
      </w:r>
      <w:r w:rsidR="008518BB">
        <w:t>Our approved</w:t>
      </w:r>
      <w:r w:rsidR="00AB21CA">
        <w:t xml:space="preserve"> NBVs for the Utility’s water and wastewater systems are described below and </w:t>
      </w:r>
      <w:r w:rsidRPr="00AF37D8">
        <w:t xml:space="preserve">shown on </w:t>
      </w:r>
      <w:r w:rsidR="00AB21CA">
        <w:t>attached Schedule Nos. 1 and 2, respectively.</w:t>
      </w:r>
    </w:p>
    <w:p w:rsidR="00922F9F" w:rsidRDefault="00922F9F" w:rsidP="008518BB">
      <w:pPr>
        <w:spacing w:after="240"/>
        <w:ind w:firstLine="720"/>
        <w:jc w:val="both"/>
      </w:pPr>
    </w:p>
    <w:p w:rsidR="00922F9F" w:rsidRDefault="00922F9F" w:rsidP="008518BB">
      <w:pPr>
        <w:spacing w:after="240"/>
        <w:ind w:firstLine="720"/>
        <w:jc w:val="both"/>
      </w:pP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lastRenderedPageBreak/>
        <w:t>Utility Plant in Service (UPIS)</w:t>
      </w:r>
    </w:p>
    <w:p w:rsidR="00745FBC" w:rsidRPr="00AF37D8" w:rsidRDefault="0065692A" w:rsidP="00745FBC">
      <w:pPr>
        <w:spacing w:after="240"/>
        <w:jc w:val="both"/>
      </w:pPr>
      <w:r w:rsidRPr="00AF37D8">
        <w:tab/>
      </w:r>
      <w:r w:rsidR="00745FBC" w:rsidRPr="00AF37D8">
        <w:t xml:space="preserve">According to the Utility’s general ledger, the total UPIS balance for water and wastewater was $594,332 and $379,847, respectively, as of February 28, 2022. </w:t>
      </w:r>
      <w:r w:rsidR="00AB21CA">
        <w:t xml:space="preserve">We have reviewed </w:t>
      </w:r>
      <w:r w:rsidR="00745FBC" w:rsidRPr="00AF37D8">
        <w:t xml:space="preserve">the plant additions and retirements to UPIS from December 31, 2009, to February 28, 2022, and </w:t>
      </w:r>
      <w:r w:rsidR="00AB21CA">
        <w:t>the</w:t>
      </w:r>
      <w:r w:rsidR="00745FBC" w:rsidRPr="00AF37D8">
        <w:t xml:space="preserve"> supporting documentat</w:t>
      </w:r>
      <w:r w:rsidR="00AB21CA">
        <w:t>ion. Based on this review, we order</w:t>
      </w:r>
      <w:r w:rsidR="00745FBC" w:rsidRPr="00AF37D8">
        <w:t xml:space="preserve"> decreases to UPIS of $49,667 and $179,616 for water and wastewater, respectively, as of February 28, 2022. Accordingly,</w:t>
      </w:r>
      <w:r w:rsidR="00AB21CA">
        <w:t xml:space="preserve"> we find</w:t>
      </w:r>
      <w:r w:rsidR="00745FBC" w:rsidRPr="00AF37D8">
        <w:t xml:space="preserve"> total UPIS balances of $544,665 and $200,231 for water and wastewater, respectively, as of February 28, 2022.</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Land</w:t>
      </w:r>
    </w:p>
    <w:p w:rsidR="00745FBC" w:rsidRPr="00AF37D8" w:rsidRDefault="0065692A" w:rsidP="00745FBC">
      <w:pPr>
        <w:spacing w:after="240"/>
        <w:contextualSpacing/>
        <w:jc w:val="both"/>
      </w:pPr>
      <w:r w:rsidRPr="00AF37D8">
        <w:tab/>
      </w:r>
      <w:r w:rsidR="00745FBC" w:rsidRPr="00AF37D8">
        <w:t>The Utility’s general ledger reflected land balances of $19,500 and $39,000 for water and wastewater, respectively, as of December 31, 2009. There have been no additions to land sinc</w:t>
      </w:r>
      <w:r w:rsidR="00AB21CA">
        <w:t>e December 31, 2009. Therefore,</w:t>
      </w:r>
      <w:r w:rsidR="00745FBC" w:rsidRPr="00AF37D8">
        <w:t xml:space="preserve"> no adjustments to its land balance</w:t>
      </w:r>
      <w:r w:rsidR="00AB21CA">
        <w:t xml:space="preserve"> are necessary</w:t>
      </w:r>
      <w:r w:rsidR="00745FBC" w:rsidRPr="00AF37D8">
        <w:t>.</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Accumulated Depreciation</w:t>
      </w:r>
    </w:p>
    <w:p w:rsidR="0065692A" w:rsidRPr="00AF37D8" w:rsidRDefault="0065692A" w:rsidP="00745FBC">
      <w:pPr>
        <w:spacing w:after="240"/>
        <w:contextualSpacing/>
        <w:jc w:val="both"/>
      </w:pPr>
      <w:r w:rsidRPr="00AF37D8">
        <w:tab/>
      </w:r>
      <w:r w:rsidR="00745FBC" w:rsidRPr="00AF37D8">
        <w:t xml:space="preserve">According to the Utility’s general ledger, the total accumulated depreciation balances were $405,657 and $333,946, for water and wastewater, respectively, as of February 28, 2022. </w:t>
      </w:r>
      <w:r w:rsidR="00AB21CA">
        <w:t>Our st</w:t>
      </w:r>
      <w:r w:rsidR="00745FBC" w:rsidRPr="00AF37D8">
        <w:t>aff auditors recalculated depreciation accruals using the depreciation rates established by Rule 2</w:t>
      </w:r>
      <w:r w:rsidR="00AB21CA">
        <w:t>5-30.140, F.A.C. As a result,</w:t>
      </w:r>
      <w:r w:rsidR="00745FBC" w:rsidRPr="00AF37D8">
        <w:t xml:space="preserve"> the accumulated depreciation balance </w:t>
      </w:r>
      <w:r w:rsidR="00AB21CA">
        <w:t xml:space="preserve">shall </w:t>
      </w:r>
      <w:r w:rsidR="00745FBC" w:rsidRPr="00AF37D8">
        <w:t xml:space="preserve">be decreased by $80,623 and $208,710 for water and wastewater, respectively, as of February 28, 2022. Accordingly, </w:t>
      </w:r>
      <w:r w:rsidR="00AB21CA">
        <w:t>we find for</w:t>
      </w:r>
      <w:r w:rsidR="00745FBC" w:rsidRPr="00AF37D8">
        <w:t xml:space="preserve"> total accumulated depreciation balances of $325,034 and $125,236 for water and wastewater respectively, as of February 28, 2022.</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Contributions-in-Aid-of-Construction (CIAC) and Accumulated Amortization of CIAC</w:t>
      </w:r>
    </w:p>
    <w:p w:rsidR="00745FBC" w:rsidRPr="00AF37D8" w:rsidRDefault="0065692A" w:rsidP="00745FBC">
      <w:pPr>
        <w:spacing w:after="240"/>
        <w:jc w:val="both"/>
      </w:pPr>
      <w:r w:rsidRPr="00AF37D8">
        <w:tab/>
      </w:r>
      <w:r w:rsidR="00745FBC" w:rsidRPr="00AF37D8">
        <w:t xml:space="preserve">According to the Utility’s general ledger, the CIAC balances were $132,796 and $262,882 for water and wastewater, respectively, as of February 28, 2022. Accumulated amortization of CIAC balances were $121,903 and $244,230 for water and wastewater, respectively, as of February 28, 2022. </w:t>
      </w:r>
      <w:r w:rsidR="00AB21CA">
        <w:t>We examined</w:t>
      </w:r>
      <w:r w:rsidR="00745FBC" w:rsidRPr="00AF37D8">
        <w:t xml:space="preserve"> CIAC and accumulated amortization of CIAC balances from December 31, 2009, to February 28, 2022, using supporting documentatio</w:t>
      </w:r>
      <w:r w:rsidR="00AB21CA">
        <w:t>n, annual reports, and the U</w:t>
      </w:r>
      <w:r w:rsidR="00745FBC" w:rsidRPr="00AF37D8">
        <w:t xml:space="preserve">tility general ledger. As a result, </w:t>
      </w:r>
      <w:r w:rsidR="00AB21CA">
        <w:t>we order</w:t>
      </w:r>
      <w:r w:rsidR="00745FBC" w:rsidRPr="00AF37D8">
        <w:t xml:space="preserve"> that the water CIAC balance be decreased by $7,863, as of February 28, 2022.</w:t>
      </w:r>
      <w:r w:rsidR="00AB21CA">
        <w:t xml:space="preserve"> We also order</w:t>
      </w:r>
      <w:r w:rsidR="00745FBC" w:rsidRPr="00AF37D8">
        <w:t xml:space="preserve"> that the accumulated amortization of CIAC balances be decreased by $7,403 for water and increased by $4,575, for wastewater, as of February 28, 2022. Accordingly,</w:t>
      </w:r>
      <w:r w:rsidR="00AB21CA">
        <w:t xml:space="preserve"> we find that the</w:t>
      </w:r>
      <w:r w:rsidR="00745FBC" w:rsidRPr="00AF37D8">
        <w:t xml:space="preserve"> total CIAC balances </w:t>
      </w:r>
      <w:r w:rsidR="00AB21CA">
        <w:t>are</w:t>
      </w:r>
      <w:r w:rsidR="00745FBC" w:rsidRPr="00AF37D8">
        <w:t xml:space="preserve"> $124,933 and $262,882, for water and wastewater, respectively, as of February 28, 2022. </w:t>
      </w:r>
      <w:r w:rsidR="00AB21CA">
        <w:t>We also find that the</w:t>
      </w:r>
      <w:r w:rsidR="00745FBC" w:rsidRPr="00AF37D8">
        <w:t xml:space="preserve"> Accumulated Amortiz</w:t>
      </w:r>
      <w:r w:rsidR="00AB21CA">
        <w:t xml:space="preserve">ation of CIAC balances are </w:t>
      </w:r>
      <w:r w:rsidR="00745FBC" w:rsidRPr="00AF37D8">
        <w:t>$114,500 and $248,805 for water and wastewater, respectively, as of February 28, 2022.</w:t>
      </w:r>
    </w:p>
    <w:p w:rsidR="00745FBC" w:rsidRPr="00AF37D8" w:rsidRDefault="00745FBC" w:rsidP="00AF37D8">
      <w:pPr>
        <w:pStyle w:val="ListParagraph"/>
        <w:numPr>
          <w:ilvl w:val="1"/>
          <w:numId w:val="3"/>
        </w:numPr>
        <w:spacing w:after="240"/>
        <w:ind w:hanging="720"/>
        <w:jc w:val="both"/>
      </w:pPr>
      <w:r w:rsidRPr="00AF37D8">
        <w:rPr>
          <w:bCs/>
          <w:u w:val="single"/>
        </w:rPr>
        <w:t>Net Book Value</w:t>
      </w:r>
    </w:p>
    <w:p w:rsidR="00745FBC" w:rsidRPr="00AF37D8" w:rsidRDefault="0065692A" w:rsidP="00745FBC">
      <w:pPr>
        <w:spacing w:after="240"/>
        <w:contextualSpacing/>
        <w:jc w:val="both"/>
      </w:pPr>
      <w:r w:rsidRPr="00AF37D8">
        <w:tab/>
      </w:r>
      <w:r w:rsidR="00745FBC" w:rsidRPr="00AF37D8">
        <w:t>The Utility’s general ledger reflected a</w:t>
      </w:r>
      <w:r w:rsidR="00C62C4B">
        <w:t>n</w:t>
      </w:r>
      <w:r w:rsidR="00745FBC" w:rsidRPr="00AF37D8">
        <w:t xml:space="preserve"> NBV of $197,282 and $66,249 for water and wastewater, respectively, as of February 28, 2022. Based on the adjustments described above, </w:t>
      </w:r>
      <w:r w:rsidR="00AB21CA">
        <w:t xml:space="preserve">we </w:t>
      </w:r>
      <w:r w:rsidR="00AB21CA">
        <w:lastRenderedPageBreak/>
        <w:t xml:space="preserve">approve </w:t>
      </w:r>
      <w:r w:rsidR="00745FBC" w:rsidRPr="00AF37D8">
        <w:t>a</w:t>
      </w:r>
      <w:r w:rsidR="00C62C4B">
        <w:t>n</w:t>
      </w:r>
      <w:r w:rsidR="00745FBC" w:rsidRPr="00AF37D8">
        <w:t xml:space="preserve"> NBV of $228,698 and $99,918 for water and wastewater, respectively, as of February 28, 2022. </w:t>
      </w:r>
      <w:r w:rsidR="00AB21CA">
        <w:t>Our approved</w:t>
      </w:r>
      <w:r w:rsidR="00745FBC" w:rsidRPr="00AF37D8">
        <w:t xml:space="preserve"> NBV and the National Association of Regulatory Utility Commissioners, Uniform System of Accounts (NARUC USOA) balances for UPIS and accumulated depreciation are shown on Schedule Nos. 1 and 2 as of February 28, 2022. As addressed in</w:t>
      </w:r>
      <w:r w:rsidR="00AB21CA">
        <w:t xml:space="preserve"> Section</w:t>
      </w:r>
      <w:r w:rsidR="00745FBC" w:rsidRPr="00AF37D8">
        <w:t xml:space="preserve"> 3, a positive acquisition adjustment </w:t>
      </w:r>
      <w:r w:rsidR="00AB21CA">
        <w:t xml:space="preserve">shall </w:t>
      </w:r>
      <w:r w:rsidR="00745FBC" w:rsidRPr="00AF37D8">
        <w:t>not be recognized for ratemaking purposes.</w:t>
      </w:r>
    </w:p>
    <w:p w:rsidR="00745FBC" w:rsidRPr="00AF37D8" w:rsidRDefault="00745FBC" w:rsidP="00AF37D8">
      <w:pPr>
        <w:pStyle w:val="ListParagraph"/>
        <w:numPr>
          <w:ilvl w:val="1"/>
          <w:numId w:val="3"/>
        </w:numPr>
        <w:spacing w:after="240"/>
        <w:ind w:hanging="720"/>
        <w:jc w:val="both"/>
        <w:rPr>
          <w:bCs/>
          <w:u w:val="single"/>
        </w:rPr>
      </w:pPr>
      <w:r w:rsidRPr="00AF37D8">
        <w:rPr>
          <w:bCs/>
          <w:u w:val="single"/>
        </w:rPr>
        <w:t>Conclusion</w:t>
      </w:r>
    </w:p>
    <w:p w:rsidR="00745FBC" w:rsidRPr="00AF37D8" w:rsidRDefault="0065692A" w:rsidP="00745FBC">
      <w:pPr>
        <w:jc w:val="both"/>
      </w:pPr>
      <w:r w:rsidRPr="00AF37D8">
        <w:tab/>
      </w:r>
      <w:r w:rsidR="008518BB">
        <w:t>Based on the above, we</w:t>
      </w:r>
      <w:r w:rsidR="00AB21CA">
        <w:t xml:space="preserve"> approve</w:t>
      </w:r>
      <w:r w:rsidR="00745FBC" w:rsidRPr="00AF37D8">
        <w:t xml:space="preserve"> a</w:t>
      </w:r>
      <w:r w:rsidR="00C62C4B">
        <w:t>n</w:t>
      </w:r>
      <w:r w:rsidR="00745FBC" w:rsidRPr="00AF37D8">
        <w:t xml:space="preserve"> NBV of $228,698 and $99,918 for water and wastewater, respectively, for a combined NBV of $328,616, as of February 28, 2022, for transfer purposes. Within 90 days of the date of the </w:t>
      </w:r>
      <w:r w:rsidR="00922F9F">
        <w:t>c</w:t>
      </w:r>
      <w:r w:rsidR="00745FBC" w:rsidRPr="00AF37D8">
        <w:t xml:space="preserve">onsummating </w:t>
      </w:r>
      <w:r w:rsidR="00922F9F">
        <w:t>o</w:t>
      </w:r>
      <w:r w:rsidR="00745FBC" w:rsidRPr="00AF37D8">
        <w:t>rde</w:t>
      </w:r>
      <w:r w:rsidR="008518BB">
        <w:t>r, the Buyer shall</w:t>
      </w:r>
      <w:r w:rsidR="00745FBC" w:rsidRPr="00AF37D8">
        <w:t xml:space="preserve"> notify </w:t>
      </w:r>
      <w:r w:rsidR="008518BB">
        <w:t xml:space="preserve">us </w:t>
      </w:r>
      <w:r w:rsidR="00745FBC" w:rsidRPr="00AF37D8">
        <w:t xml:space="preserve">in writing that it has adjusted its books in accordance with </w:t>
      </w:r>
      <w:r w:rsidR="008518BB">
        <w:t xml:space="preserve">our </w:t>
      </w:r>
      <w:r w:rsidR="00745FBC" w:rsidRPr="00AF37D8">
        <w:t xml:space="preserve">decision. The adjustments </w:t>
      </w:r>
      <w:r w:rsidR="002947A9">
        <w:t>shall</w:t>
      </w:r>
      <w:r w:rsidR="00745FBC" w:rsidRPr="00AF37D8">
        <w:t xml:space="preserve"> be reflected in the Utility’s 2023 Annual Report when filed.</w:t>
      </w:r>
    </w:p>
    <w:p w:rsidR="00745FBC" w:rsidRPr="00AF37D8" w:rsidRDefault="00745FBC" w:rsidP="00745FBC">
      <w:pPr>
        <w:jc w:val="both"/>
      </w:pPr>
    </w:p>
    <w:p w:rsidR="00AF37D8" w:rsidRPr="00AF37D8" w:rsidRDefault="00AF37D8" w:rsidP="00AF37D8">
      <w:pPr>
        <w:pStyle w:val="ListParagraph"/>
        <w:numPr>
          <w:ilvl w:val="0"/>
          <w:numId w:val="3"/>
        </w:numPr>
        <w:spacing w:after="240"/>
        <w:ind w:hanging="720"/>
        <w:jc w:val="both"/>
        <w:rPr>
          <w:u w:val="single"/>
        </w:rPr>
      </w:pPr>
      <w:r w:rsidRPr="00AF37D8">
        <w:rPr>
          <w:u w:val="single"/>
        </w:rPr>
        <w:t>Denying Positive Acquisition Adjustment</w:t>
      </w:r>
    </w:p>
    <w:p w:rsidR="00745FBC" w:rsidRPr="00AF37D8" w:rsidRDefault="00745FBC" w:rsidP="00AB21CA">
      <w:pPr>
        <w:spacing w:after="240"/>
        <w:ind w:firstLine="720"/>
        <w:jc w:val="both"/>
      </w:pPr>
      <w:r w:rsidRPr="00AF37D8">
        <w:t>In its filing, the</w:t>
      </w:r>
      <w:r w:rsidR="00AB21CA">
        <w:t xml:space="preserve"> Buyer</w:t>
      </w:r>
      <w:r w:rsidRPr="00AF37D8">
        <w:t xml:space="preserve">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rsidR="00745FBC" w:rsidRPr="00AF37D8" w:rsidRDefault="0065692A" w:rsidP="00745FBC">
      <w:pPr>
        <w:spacing w:after="240"/>
        <w:jc w:val="both"/>
      </w:pPr>
      <w:r w:rsidRPr="00AF37D8">
        <w:tab/>
      </w:r>
      <w:r w:rsidR="00745FBC" w:rsidRPr="00AF37D8">
        <w:t xml:space="preserve">According to the purchase agreement, the Buyer will purchase the Utility for $1,440,000. As discussed in </w:t>
      </w:r>
      <w:r w:rsidR="00AB21CA">
        <w:t xml:space="preserve">Section </w:t>
      </w:r>
      <w:r w:rsidR="00745FBC" w:rsidRPr="00AF37D8">
        <w:t xml:space="preserve">2, </w:t>
      </w:r>
      <w:r w:rsidR="00AB21CA">
        <w:t xml:space="preserve">we have approved a </w:t>
      </w:r>
      <w:r w:rsidR="00745FBC" w:rsidRPr="00AF37D8">
        <w:t>combined NBV of $328,616. This would result in a positive acquisition adjustment of $1,111,384.</w:t>
      </w:r>
    </w:p>
    <w:p w:rsidR="00745FBC" w:rsidRPr="00AF37D8" w:rsidRDefault="0065692A" w:rsidP="00745FBC">
      <w:pPr>
        <w:spacing w:after="240"/>
        <w:jc w:val="both"/>
      </w:pPr>
      <w:r w:rsidRPr="00AF37D8">
        <w:tab/>
      </w:r>
      <w:r w:rsidR="00745FBC" w:rsidRPr="00AF37D8">
        <w:t>Any entity that believes a full or partial positive acquisition adjustment should be made has the burden to prove the existence of extraordinary circumstances. Rule 25-30.0371(2), F.A.C., states:</w:t>
      </w:r>
    </w:p>
    <w:p w:rsidR="00745FBC" w:rsidRPr="00AF37D8" w:rsidRDefault="00745FBC" w:rsidP="00745FBC">
      <w:pPr>
        <w:spacing w:after="240"/>
        <w:ind w:left="720" w:right="720"/>
        <w:jc w:val="both"/>
      </w:pPr>
      <w:r w:rsidRPr="00AF37D8">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745FBC" w:rsidRDefault="0065692A" w:rsidP="00745FBC">
      <w:pPr>
        <w:spacing w:after="240"/>
        <w:jc w:val="both"/>
      </w:pPr>
      <w:r w:rsidRPr="00AF37D8">
        <w:tab/>
      </w:r>
      <w:r w:rsidR="00745FBC" w:rsidRPr="00AF37D8">
        <w:t>If a purchase price above depreciated original cost is used to determine rate base, without the requirement for extraordinary circumstances, it could encourage utilities to “swap assets” and inappropriately increase cost to customers.</w:t>
      </w:r>
    </w:p>
    <w:p w:rsidR="00D443BE" w:rsidRDefault="00D443BE" w:rsidP="00745FBC">
      <w:pPr>
        <w:spacing w:after="240"/>
        <w:jc w:val="both"/>
      </w:pPr>
    </w:p>
    <w:p w:rsidR="00D443BE" w:rsidRPr="00AF37D8" w:rsidRDefault="00D443BE" w:rsidP="00745FBC">
      <w:pPr>
        <w:spacing w:after="240"/>
        <w:jc w:val="both"/>
      </w:pPr>
    </w:p>
    <w:p w:rsidR="00745FBC" w:rsidRPr="00AB21CA" w:rsidRDefault="00745FBC" w:rsidP="00AB21CA">
      <w:pPr>
        <w:pStyle w:val="ListParagraph"/>
        <w:numPr>
          <w:ilvl w:val="1"/>
          <w:numId w:val="3"/>
        </w:numPr>
        <w:spacing w:after="240"/>
        <w:ind w:hanging="720"/>
        <w:jc w:val="both"/>
        <w:rPr>
          <w:bCs/>
          <w:u w:val="single"/>
        </w:rPr>
      </w:pPr>
      <w:r w:rsidRPr="00AB21CA">
        <w:rPr>
          <w:bCs/>
          <w:u w:val="single"/>
        </w:rPr>
        <w:lastRenderedPageBreak/>
        <w:t>Deferral</w:t>
      </w:r>
    </w:p>
    <w:p w:rsidR="00745FBC" w:rsidRPr="00AF37D8" w:rsidRDefault="0065692A" w:rsidP="00745FBC">
      <w:pPr>
        <w:spacing w:after="240"/>
        <w:jc w:val="both"/>
      </w:pPr>
      <w:r w:rsidRPr="00AF37D8">
        <w:tab/>
      </w:r>
      <w:r w:rsidR="00745FBC" w:rsidRPr="00AF37D8">
        <w:t>In response</w:t>
      </w:r>
      <w:r w:rsidR="00E0437C">
        <w:t xml:space="preserve"> to Commission staff data request</w:t>
      </w:r>
      <w:r w:rsidR="00745FBC" w:rsidRPr="00AF37D8">
        <w:t xml:space="preserve">s, CSWR-CFAT stated that it intends to ask for deferral of a decision regarding the requested acquisition adjustment. In its application, the Buyer laid out factors such as improvements to quality of service, cost efficiencies, and rate stability. These are discussed below, and </w:t>
      </w:r>
      <w:r w:rsidR="00D443BE">
        <w:t>we find</w:t>
      </w:r>
      <w:r w:rsidR="00745FBC" w:rsidRPr="00AF37D8">
        <w:t xml:space="preserve"> that these factors do not constitute extraordinary circumstances. In response to </w:t>
      </w:r>
      <w:r w:rsidR="00922F9F">
        <w:t>Commission staff’s data requests</w:t>
      </w:r>
      <w:r w:rsidR="00745FBC" w:rsidRPr="00AF37D8">
        <w:t xml:space="preserve">, the Buyer agreed that after the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is not considered extraordinary circumstances. </w:t>
      </w:r>
    </w:p>
    <w:p w:rsidR="00745FBC" w:rsidRPr="00AF37D8" w:rsidRDefault="0065692A" w:rsidP="00745FBC">
      <w:pPr>
        <w:spacing w:after="240"/>
        <w:jc w:val="both"/>
      </w:pPr>
      <w:r w:rsidRPr="00AF37D8">
        <w:tab/>
      </w:r>
      <w:r w:rsidR="00745FBC" w:rsidRPr="00AF37D8">
        <w:t xml:space="preserve">Pursuant to Commission practice, the Buyer has the burden of proving extraordinary circumstances at the time of transfer. </w:t>
      </w:r>
      <w:r w:rsidR="00D443BE">
        <w:t>We find</w:t>
      </w:r>
      <w:r w:rsidR="00745FBC" w:rsidRPr="00AF37D8">
        <w:t xml:space="preserve"> that in the instant case, the Buyer has failed to provide proof of extraordinary circumstances. Further, the Buyer had multiple opportunities to provide pertinent information needed to determine if a positive acquisition adjustment was appropriate. As such, </w:t>
      </w:r>
      <w:r w:rsidR="00D443BE">
        <w:t>we</w:t>
      </w:r>
      <w:r w:rsidR="00745FBC" w:rsidRPr="00AF37D8">
        <w:t xml:space="preserve"> deny the request to defer a decision on the positive acquisition adjustment.</w:t>
      </w:r>
    </w:p>
    <w:p w:rsidR="00745FBC" w:rsidRPr="00AF37D8" w:rsidRDefault="0065692A" w:rsidP="00745FBC">
      <w:pPr>
        <w:spacing w:after="240"/>
        <w:jc w:val="both"/>
      </w:pPr>
      <w:r w:rsidRPr="00AF37D8">
        <w:tab/>
      </w:r>
      <w:r w:rsidR="00745FBC" w:rsidRPr="00AF37D8">
        <w:t xml:space="preserve">Finally, it is long-standing Commission practice to address the disposition of any positive or negative acquisition adjustment at the time of transfer. Pursuant to Section 120.68(7)(e)3., F.S., when agencies change their established policies, practices, and procedures, they must give an explanation for the deviation. </w:t>
      </w:r>
      <w:r w:rsidR="00D443BE">
        <w:t>We do</w:t>
      </w:r>
      <w:r w:rsidR="00745FBC" w:rsidRPr="00AF37D8">
        <w:t xml:space="preserve"> not believe the facts in this case warrant such a deviation. As such, </w:t>
      </w:r>
      <w:r w:rsidR="00D443BE">
        <w:t>we</w:t>
      </w:r>
      <w:r w:rsidR="00745FBC" w:rsidRPr="00AF37D8">
        <w:t xml:space="preserve"> </w:t>
      </w:r>
      <w:r w:rsidR="00D443BE">
        <w:t>find</w:t>
      </w:r>
      <w:r w:rsidR="00745FBC" w:rsidRPr="00AF37D8">
        <w:t xml:space="preserve"> the deferral of a positive acquisition adjustment decision in this docket would result in an unnecessary deviation from Commission practice.</w:t>
      </w:r>
    </w:p>
    <w:p w:rsidR="00745FBC" w:rsidRPr="00AB21CA" w:rsidRDefault="00745FBC" w:rsidP="00AB21CA">
      <w:pPr>
        <w:pStyle w:val="ListParagraph"/>
        <w:numPr>
          <w:ilvl w:val="1"/>
          <w:numId w:val="3"/>
        </w:numPr>
        <w:spacing w:after="240"/>
        <w:ind w:hanging="720"/>
        <w:jc w:val="both"/>
        <w:rPr>
          <w:bCs/>
          <w:u w:val="single"/>
        </w:rPr>
      </w:pPr>
      <w:r w:rsidRPr="00AB21CA">
        <w:rPr>
          <w:bCs/>
          <w:u w:val="single"/>
        </w:rPr>
        <w:t>Improvements in Quality of Service and Compliance with Regulatory Mandates</w:t>
      </w:r>
    </w:p>
    <w:p w:rsidR="00745FBC" w:rsidRPr="00AF37D8" w:rsidRDefault="00DB2B82" w:rsidP="00745FBC">
      <w:pPr>
        <w:spacing w:after="240"/>
        <w:jc w:val="both"/>
      </w:pPr>
      <w:r w:rsidRPr="00AF37D8">
        <w:tab/>
      </w:r>
      <w:r w:rsidR="00745FBC" w:rsidRPr="00AF37D8">
        <w:t xml:space="preserve">In its application, CSWR-CFAT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rsidR="00745FBC" w:rsidRPr="00AF37D8" w:rsidRDefault="00DB2B82" w:rsidP="00745FBC">
      <w:pPr>
        <w:jc w:val="both"/>
      </w:pPr>
      <w:r w:rsidRPr="00AF37D8">
        <w:tab/>
      </w:r>
      <w:r w:rsidR="00D443BE">
        <w:t>We</w:t>
      </w:r>
      <w:r w:rsidR="00745FBC" w:rsidRPr="00AF37D8">
        <w:t xml:space="preserve"> reviewed the complaints filed with </w:t>
      </w:r>
      <w:r w:rsidR="00922F9F">
        <w:t>us</w:t>
      </w:r>
      <w:r w:rsidR="00745FBC" w:rsidRPr="00AF37D8">
        <w:t xml:space="preserve"> for the five-year period prior to the application, from March 2017 to March 2022. </w:t>
      </w:r>
      <w:r w:rsidR="00D443BE">
        <w:t>We</w:t>
      </w:r>
      <w:r w:rsidR="00745FBC" w:rsidRPr="00AF37D8">
        <w:t xml:space="preserve"> recorded one complaint regarding improper billing during this time period. In its application, CSWR-CFAT did not list any customer complaints related to the water or wastewater treatment systems or for secondary water quality issues.</w:t>
      </w:r>
    </w:p>
    <w:p w:rsidR="00745FBC" w:rsidRPr="00AF37D8" w:rsidRDefault="00745FBC" w:rsidP="00745FBC">
      <w:pPr>
        <w:jc w:val="both"/>
      </w:pPr>
    </w:p>
    <w:p w:rsidR="00745FBC" w:rsidRPr="00AF37D8" w:rsidRDefault="00DB2B82" w:rsidP="00745FBC">
      <w:pPr>
        <w:jc w:val="both"/>
        <w:rPr>
          <w:rFonts w:eastAsiaTheme="minorHAnsi"/>
        </w:rPr>
      </w:pPr>
      <w:r w:rsidRPr="00AF37D8">
        <w:rPr>
          <w:rFonts w:eastAsiaTheme="minorHAnsi"/>
        </w:rPr>
        <w:tab/>
      </w:r>
      <w:r w:rsidR="00745FBC" w:rsidRPr="00AF37D8">
        <w:rPr>
          <w:rFonts w:eastAsiaTheme="minorHAnsi"/>
        </w:rPr>
        <w:t xml:space="preserve">In addition to reviewing the Utility’s most recent sanitary survey (May 22, 2020) and CEI (November 16, 2021), as discussed in </w:t>
      </w:r>
      <w:r w:rsidR="00D443BE">
        <w:rPr>
          <w:rFonts w:eastAsiaTheme="minorHAnsi"/>
        </w:rPr>
        <w:t>Section</w:t>
      </w:r>
      <w:r w:rsidR="00745FBC" w:rsidRPr="00AF37D8">
        <w:rPr>
          <w:rFonts w:eastAsiaTheme="minorHAnsi"/>
        </w:rPr>
        <w:t xml:space="preserve"> 1</w:t>
      </w:r>
      <w:r w:rsidR="00D443BE">
        <w:rPr>
          <w:rFonts w:eastAsiaTheme="minorHAnsi"/>
        </w:rPr>
        <w:t xml:space="preserve"> of this order</w:t>
      </w:r>
      <w:r w:rsidR="00745FBC" w:rsidRPr="00AF37D8">
        <w:rPr>
          <w:rFonts w:eastAsiaTheme="minorHAnsi"/>
        </w:rPr>
        <w:t xml:space="preserve">, </w:t>
      </w:r>
      <w:r w:rsidR="00D443BE">
        <w:rPr>
          <w:rFonts w:eastAsiaTheme="minorHAnsi"/>
        </w:rPr>
        <w:t xml:space="preserve">we also </w:t>
      </w:r>
      <w:r w:rsidR="00745FBC" w:rsidRPr="00AF37D8">
        <w:rPr>
          <w:rFonts w:eastAsiaTheme="minorHAnsi"/>
        </w:rPr>
        <w:t xml:space="preserve">reviewed the two prior </w:t>
      </w:r>
      <w:r w:rsidR="00745FBC" w:rsidRPr="00AF37D8">
        <w:rPr>
          <w:rFonts w:eastAsiaTheme="minorHAnsi"/>
        </w:rPr>
        <w:lastRenderedPageBreak/>
        <w:t xml:space="preserve">sanitary surveys (conducted in 2017 and 2014) and CEIs (conducted in 2021 and 2016). As with the 2020 sanitary survey for the WTP, the 2017 and 2014 sanitary surveys found a few minor issues, which were corrected. </w:t>
      </w:r>
    </w:p>
    <w:p w:rsidR="00745FBC" w:rsidRPr="00AF37D8" w:rsidRDefault="00745FBC" w:rsidP="00745FBC">
      <w:pPr>
        <w:jc w:val="both"/>
        <w:rPr>
          <w:rFonts w:eastAsiaTheme="minorHAnsi"/>
        </w:rPr>
      </w:pPr>
    </w:p>
    <w:p w:rsidR="00745FBC" w:rsidRPr="00AF37D8" w:rsidRDefault="00DB2B82" w:rsidP="00745FBC">
      <w:pPr>
        <w:jc w:val="both"/>
        <w:rPr>
          <w:rFonts w:eastAsiaTheme="minorHAnsi"/>
        </w:rPr>
      </w:pPr>
      <w:r w:rsidRPr="00AF37D8">
        <w:rPr>
          <w:rFonts w:eastAsiaTheme="minorHAnsi"/>
        </w:rPr>
        <w:tab/>
      </w:r>
      <w:r w:rsidR="00745FBC" w:rsidRPr="00AF37D8">
        <w:rPr>
          <w:rFonts w:eastAsiaTheme="minorHAnsi"/>
        </w:rPr>
        <w:t>For the WWTP, the October 27, 2016, CEI noted a monitoring violation and reporting errors that were corrected. The Utility’s February 16, 2021, CEI resulted in the issuance of a consent order, which was in effect and noted during the subsequent CEI, performed on November 16, 2021. The DEP issued CFAT a warning letter on December 20, 2021, based on the deficiencies found during the Novem</w:t>
      </w:r>
      <w:r w:rsidR="00D443BE">
        <w:rPr>
          <w:rFonts w:eastAsiaTheme="minorHAnsi"/>
        </w:rPr>
        <w:t>ber 2021 CEI. As stated in Section</w:t>
      </w:r>
      <w:r w:rsidR="00745FBC" w:rsidRPr="00AF37D8">
        <w:rPr>
          <w:rFonts w:eastAsiaTheme="minorHAnsi"/>
        </w:rPr>
        <w:t xml:space="preserve"> 1</w:t>
      </w:r>
      <w:r w:rsidR="00D443BE">
        <w:rPr>
          <w:rFonts w:eastAsiaTheme="minorHAnsi"/>
        </w:rPr>
        <w:t xml:space="preserve"> of this order</w:t>
      </w:r>
      <w:r w:rsidR="00745FBC" w:rsidRPr="00AF37D8">
        <w:rPr>
          <w:rFonts w:eastAsiaTheme="minorHAnsi"/>
        </w:rPr>
        <w:t xml:space="preserve">, the November 2021 CEI noted that the Utility continued to have problems with </w:t>
      </w:r>
      <w:r w:rsidR="00745FBC" w:rsidRPr="00AF37D8">
        <w:t>effluent exceedances and solids buildup in the holding pond.</w:t>
      </w:r>
      <w:r w:rsidR="00745FBC" w:rsidRPr="00AF37D8">
        <w:rPr>
          <w:rFonts w:eastAsiaTheme="minorHAnsi"/>
        </w:rPr>
        <w:t xml:space="preserve"> In an August 25, 2022, letter, the DEP closed out the November 2021 CEI and subsequent warning letter as CFAT had resolved all of the issues from the November 2021 CEI. However, the August 25, 2022, letter noted that the DEP’s consent order was still in effect. </w:t>
      </w:r>
    </w:p>
    <w:p w:rsidR="00745FBC" w:rsidRPr="00AF37D8" w:rsidRDefault="00745FBC" w:rsidP="00745FBC">
      <w:pPr>
        <w:jc w:val="both"/>
        <w:rPr>
          <w:rFonts w:eastAsiaTheme="minorHAnsi"/>
        </w:rPr>
      </w:pPr>
    </w:p>
    <w:p w:rsidR="00745FBC" w:rsidRPr="00AF37D8" w:rsidRDefault="00DB2B82" w:rsidP="00745FBC">
      <w:pPr>
        <w:jc w:val="both"/>
        <w:rPr>
          <w:rFonts w:eastAsiaTheme="minorHAnsi"/>
        </w:rPr>
      </w:pPr>
      <w:r w:rsidRPr="00AF37D8">
        <w:rPr>
          <w:rFonts w:eastAsiaTheme="minorHAnsi"/>
        </w:rPr>
        <w:tab/>
      </w:r>
      <w:r w:rsidR="00745FBC" w:rsidRPr="00AF37D8">
        <w:rPr>
          <w:rFonts w:eastAsiaTheme="minorHAnsi"/>
        </w:rPr>
        <w:t xml:space="preserve">In Exhibit H of its application, CSWR-CFAT described its plans for rehabilitation of major system components, repairs, and general improvements. The Buyer’s plans for the water system, having found no major problems with its compliance history or obvious need for repairs, include rehabilitating the wells and tanks, and performing distribution repairs as needed. In Exhibit H of its application, the Buyer proposed making general renovations to the facility. Additionally, The Buyer plans to rehabilitate the five lift stations and perform collection system repairs as necessary. CSWR-CFAT’s plans for improvements to both the water and wastewater systems are to install remote monitoring systems. The Buyer stated in its application that </w:t>
      </w:r>
      <w:r w:rsidR="00745FBC" w:rsidRPr="00AF37D8">
        <w:t>no governmental authorities are presently requiring repairs or improvements to the systems.</w:t>
      </w:r>
    </w:p>
    <w:p w:rsidR="00745FBC" w:rsidRPr="00AF37D8" w:rsidRDefault="00745FBC" w:rsidP="00745FBC">
      <w:pPr>
        <w:jc w:val="both"/>
      </w:pPr>
    </w:p>
    <w:p w:rsidR="00745FBC" w:rsidRPr="00AF37D8" w:rsidRDefault="00DB2B82" w:rsidP="00745FBC">
      <w:pPr>
        <w:spacing w:after="240"/>
        <w:jc w:val="both"/>
      </w:pPr>
      <w:r w:rsidRPr="00AF37D8">
        <w:tab/>
      </w:r>
      <w:r w:rsidR="00745FBC" w:rsidRPr="00AF37D8">
        <w:t>Based on the above, it appears that CFAT currently has no issues with respect to regulatory compliance regarding its water system, but does have issues with reporting, maintenance, and permit exceedances</w:t>
      </w:r>
      <w:r w:rsidR="00E20381">
        <w:t xml:space="preserve"> regarding its wastewater system</w:t>
      </w:r>
      <w:r w:rsidR="00745FBC" w:rsidRPr="00AF37D8">
        <w:t xml:space="preserve">. While the Buyer identified some general improvements it intends to implement, </w:t>
      </w:r>
      <w:r w:rsidR="00D443BE">
        <w:t>we do</w:t>
      </w:r>
      <w:r w:rsidR="00745FBC" w:rsidRPr="00AF37D8">
        <w:t xml:space="preserve"> not </w:t>
      </w:r>
      <w:r w:rsidR="00D443BE">
        <w:t xml:space="preserve">find that </w:t>
      </w:r>
      <w:r w:rsidR="00745FBC" w:rsidRPr="00AF37D8">
        <w:t>the Buyer has demonstrated extraordinary circumstances in support of its requested positive ac</w:t>
      </w:r>
      <w:r w:rsidR="00D443BE">
        <w:t>quisition adjustment. Instead, we find</w:t>
      </w:r>
      <w:r w:rsidR="00745FBC" w:rsidRPr="00AF37D8">
        <w:t xml:space="preserve"> that the proposed anticipated improvements in quality of service demonstrate CSWR-CFAT’s intention to responsibly execute its obligations as a utility owner. </w:t>
      </w:r>
      <w:r w:rsidR="00745FBC" w:rsidRPr="00AF37D8">
        <w:rPr>
          <w:rFonts w:eastAsiaTheme="minorHAnsi"/>
        </w:rPr>
        <w:t xml:space="preserve">While </w:t>
      </w:r>
      <w:r w:rsidR="00D443BE">
        <w:rPr>
          <w:rFonts w:eastAsiaTheme="minorHAnsi"/>
        </w:rPr>
        <w:t>we do not find t</w:t>
      </w:r>
      <w:r w:rsidR="00745FBC" w:rsidRPr="00AF37D8">
        <w:rPr>
          <w:rFonts w:eastAsiaTheme="minorHAnsi"/>
        </w:rPr>
        <w:t>he Utility’s anticipated improvements justify its requested positive acquisition adjustment, these improvements may be considered for prudence and cost recovery in a future rate proceeding.</w:t>
      </w:r>
    </w:p>
    <w:p w:rsidR="00745FBC" w:rsidRPr="00AB21CA" w:rsidRDefault="00745FBC" w:rsidP="00AB21CA">
      <w:pPr>
        <w:pStyle w:val="ListParagraph"/>
        <w:numPr>
          <w:ilvl w:val="1"/>
          <w:numId w:val="3"/>
        </w:numPr>
        <w:spacing w:after="240"/>
        <w:ind w:hanging="720"/>
        <w:jc w:val="both"/>
        <w:rPr>
          <w:bCs/>
          <w:u w:val="single"/>
        </w:rPr>
      </w:pPr>
      <w:r w:rsidRPr="00AB21CA">
        <w:rPr>
          <w:bCs/>
          <w:u w:val="single"/>
        </w:rPr>
        <w:t>Anticipated Cost Efficiencies and Rates</w:t>
      </w:r>
    </w:p>
    <w:p w:rsidR="00745FBC" w:rsidRPr="00AF37D8" w:rsidRDefault="00DB2B82" w:rsidP="00745FBC">
      <w:pPr>
        <w:spacing w:after="240"/>
        <w:jc w:val="both"/>
      </w:pPr>
      <w:r w:rsidRPr="00AF37D8">
        <w:tab/>
      </w:r>
      <w:r w:rsidR="00745FBC" w:rsidRPr="00AF37D8">
        <w:t>In its application, the Buyer stated that its size and anticipated consolidation of many small systems under one financial and managerial entity would result in operational cost efficiencies, particularly in the areas of:</w:t>
      </w:r>
    </w:p>
    <w:p w:rsidR="00745FBC" w:rsidRPr="00AF37D8" w:rsidRDefault="00745FBC" w:rsidP="00745FBC">
      <w:pPr>
        <w:numPr>
          <w:ilvl w:val="0"/>
          <w:numId w:val="1"/>
        </w:numPr>
        <w:ind w:left="1080"/>
        <w:jc w:val="both"/>
      </w:pPr>
      <w:r w:rsidRPr="00AF37D8">
        <w:t>PSC and environmental regulatory reporting</w:t>
      </w:r>
    </w:p>
    <w:p w:rsidR="00745FBC" w:rsidRPr="00AF37D8" w:rsidRDefault="00745FBC" w:rsidP="00745FBC">
      <w:pPr>
        <w:numPr>
          <w:ilvl w:val="0"/>
          <w:numId w:val="1"/>
        </w:numPr>
        <w:ind w:left="1080"/>
        <w:jc w:val="both"/>
      </w:pPr>
      <w:r w:rsidRPr="00AF37D8">
        <w:t>Managerial and operational oversight</w:t>
      </w:r>
    </w:p>
    <w:p w:rsidR="00745FBC" w:rsidRPr="00AF37D8" w:rsidRDefault="00745FBC" w:rsidP="00745FBC">
      <w:pPr>
        <w:numPr>
          <w:ilvl w:val="0"/>
          <w:numId w:val="1"/>
        </w:numPr>
        <w:ind w:left="1080"/>
        <w:jc w:val="both"/>
      </w:pPr>
      <w:r w:rsidRPr="00AF37D8">
        <w:t>Utility asset planning</w:t>
      </w:r>
    </w:p>
    <w:p w:rsidR="00745FBC" w:rsidRPr="00AF37D8" w:rsidRDefault="00745FBC" w:rsidP="00745FBC">
      <w:pPr>
        <w:numPr>
          <w:ilvl w:val="0"/>
          <w:numId w:val="1"/>
        </w:numPr>
        <w:ind w:left="1080"/>
        <w:jc w:val="both"/>
      </w:pPr>
      <w:r w:rsidRPr="00AF37D8">
        <w:lastRenderedPageBreak/>
        <w:t>Engineering planning</w:t>
      </w:r>
    </w:p>
    <w:p w:rsidR="00745FBC" w:rsidRPr="00AF37D8" w:rsidRDefault="00745FBC" w:rsidP="00745FBC">
      <w:pPr>
        <w:numPr>
          <w:ilvl w:val="0"/>
          <w:numId w:val="1"/>
        </w:numPr>
        <w:ind w:left="1080"/>
        <w:jc w:val="both"/>
      </w:pPr>
      <w:r w:rsidRPr="00AF37D8">
        <w:t>Ongoing utility maintenance</w:t>
      </w:r>
    </w:p>
    <w:p w:rsidR="00745FBC" w:rsidRPr="00AF37D8" w:rsidRDefault="00745FBC" w:rsidP="00745FBC">
      <w:pPr>
        <w:numPr>
          <w:ilvl w:val="0"/>
          <w:numId w:val="1"/>
        </w:numPr>
        <w:ind w:left="1080"/>
        <w:jc w:val="both"/>
      </w:pPr>
      <w:r w:rsidRPr="00AF37D8">
        <w:t>Utility record keeping</w:t>
      </w:r>
    </w:p>
    <w:p w:rsidR="00745FBC" w:rsidRPr="00AF37D8" w:rsidRDefault="00745FBC" w:rsidP="00745FBC">
      <w:pPr>
        <w:numPr>
          <w:ilvl w:val="0"/>
          <w:numId w:val="1"/>
        </w:numPr>
        <w:ind w:left="1080"/>
        <w:jc w:val="both"/>
      </w:pPr>
      <w:r w:rsidRPr="00AF37D8">
        <w:t>Customer service responsiveness</w:t>
      </w:r>
    </w:p>
    <w:p w:rsidR="00745FBC" w:rsidRPr="00AF37D8" w:rsidRDefault="00745FBC" w:rsidP="00745FBC">
      <w:pPr>
        <w:numPr>
          <w:ilvl w:val="0"/>
          <w:numId w:val="1"/>
        </w:numPr>
        <w:ind w:left="1080"/>
        <w:jc w:val="both"/>
      </w:pPr>
      <w:r w:rsidRPr="00AF37D8">
        <w:t>Improved access to capital is necessary to repair and upgrade CFAT’</w:t>
      </w:r>
      <w:r w:rsidR="00D443BE">
        <w:t>s</w:t>
      </w:r>
      <w:r w:rsidRPr="00AF37D8">
        <w:t xml:space="preserve"> systems to ensure compliance with all health and environmental requirements and ensure service to customers remains safe and reliable</w:t>
      </w:r>
    </w:p>
    <w:p w:rsidR="00745FBC" w:rsidRPr="00AF37D8" w:rsidRDefault="00745FBC" w:rsidP="00745FBC">
      <w:pPr>
        <w:ind w:left="1080"/>
        <w:jc w:val="both"/>
      </w:pPr>
    </w:p>
    <w:p w:rsidR="00745FBC" w:rsidRPr="00AF37D8" w:rsidRDefault="00DB2B82" w:rsidP="00745FBC">
      <w:pPr>
        <w:spacing w:after="240"/>
        <w:jc w:val="both"/>
      </w:pPr>
      <w:r w:rsidRPr="00AF37D8">
        <w:tab/>
      </w:r>
      <w:r w:rsidR="00745FBC" w:rsidRPr="00AF37D8">
        <w:t xml:space="preserve">In response to </w:t>
      </w:r>
      <w:r w:rsidR="00E0437C">
        <w:t>Commission staff data requests</w:t>
      </w:r>
      <w:r w:rsidR="00745FBC" w:rsidRPr="00AF37D8">
        <w:t xml:space="preserve">, the </w:t>
      </w:r>
      <w:r w:rsidR="00D443BE">
        <w:t>Buyer</w:t>
      </w:r>
      <w:r w:rsidR="00745FBC" w:rsidRPr="00AF37D8">
        <w:t xml:space="preserve"> estimated an increase of O&amp;M expense of approximately $23,000 in order to cure compliance issues already present and ensure the system can avoid them in the future. While </w:t>
      </w:r>
      <w:r w:rsidR="00D443BE">
        <w:t>we are</w:t>
      </w:r>
      <w:r w:rsidR="00745FBC" w:rsidRPr="00AF37D8">
        <w:t xml:space="preserve"> aware of the importance of maintaining compliance, this increase on top of the requested acquisition adjustment of $1,111,384 (over three times greater than the system’s current NBV of $328,616) would result in a substantial increase in revenue requirement.</w:t>
      </w:r>
    </w:p>
    <w:p w:rsidR="00745FBC" w:rsidRPr="00AF37D8" w:rsidRDefault="00DB2B82" w:rsidP="00745FBC">
      <w:pPr>
        <w:spacing w:after="240"/>
        <w:jc w:val="both"/>
      </w:pPr>
      <w:r w:rsidRPr="00AF37D8">
        <w:tab/>
      </w:r>
      <w:r w:rsidR="00745FBC" w:rsidRPr="00AF37D8">
        <w:t xml:space="preserve">The Buyer also stated that CSWR-CFAT would bring long-term rate stability to the Utility, should the transfer be approved. </w:t>
      </w:r>
      <w:r w:rsidR="00D443BE">
        <w:t>We agree</w:t>
      </w:r>
      <w:r w:rsidR="00745FBC" w:rsidRPr="00AF37D8">
        <w:t xml:space="preserve"> that economies of scale and the potential consolidation of several systems in Florida, as proposed by CSWR-CFAT, could bring some long-term rate stability. However, absent specific and detailed support for these assertions, the Buyer has failed to meet its burden of demonstrating extraordinary circumstances.</w:t>
      </w:r>
    </w:p>
    <w:p w:rsidR="00745FBC" w:rsidRPr="00AF37D8" w:rsidRDefault="00DB2B82" w:rsidP="00745FBC">
      <w:pPr>
        <w:spacing w:after="240"/>
        <w:jc w:val="both"/>
      </w:pPr>
      <w:r w:rsidRPr="00AF37D8">
        <w:tab/>
      </w:r>
      <w:r w:rsidR="00D443BE">
        <w:t>Our finding herein</w:t>
      </w:r>
      <w:r w:rsidR="00745FBC" w:rsidRPr="00AF37D8">
        <w:t xml:space="preserve"> is consistent with </w:t>
      </w:r>
      <w:r w:rsidR="00D443BE">
        <w:t xml:space="preserve">our </w:t>
      </w:r>
      <w:r w:rsidR="00745FBC" w:rsidRPr="00AF37D8">
        <w:t>decision in Order No. PSC-2020-0458-PAA-WS.</w:t>
      </w:r>
      <w:r w:rsidR="00745FBC" w:rsidRPr="00AF37D8">
        <w:rPr>
          <w:vertAlign w:val="superscript"/>
        </w:rPr>
        <w:footnoteReference w:id="10"/>
      </w:r>
      <w:r w:rsidR="00745FBC" w:rsidRPr="00AF37D8">
        <w:t xml:space="preserve"> In that docket, the Buyer identified estimates of anticipated cost efficiencies, including a reduction in O&amp;M expenses and a reduction in the cost of capital that would result from the transfer. Additionally, the Buyer cited several improvements it has made to the wastewater treatment plant and wastewater lift station since acquisition to improve the quality of service and compliance </w:t>
      </w:r>
      <w:r w:rsidR="00D443BE">
        <w:t xml:space="preserve">with regulatory mandates. While we </w:t>
      </w:r>
      <w:r w:rsidR="00745FBC" w:rsidRPr="00AF37D8">
        <w:t xml:space="preserve">acknowledged that the Buyer accomplished cost savings, </w:t>
      </w:r>
      <w:r w:rsidR="00D443BE">
        <w:t>we</w:t>
      </w:r>
      <w:r w:rsidR="00745FBC" w:rsidRPr="00AF37D8">
        <w:t xml:space="preserve"> did not </w:t>
      </w:r>
      <w:r w:rsidR="00D443BE">
        <w:t xml:space="preserve">find that </w:t>
      </w:r>
      <w:r w:rsidR="00745FBC" w:rsidRPr="00AF37D8">
        <w:t xml:space="preserve">the actions performed demonstrated extraordinary circumstances that would justify approval of a positive acquisition adjustment. </w:t>
      </w:r>
    </w:p>
    <w:p w:rsidR="00745FBC" w:rsidRPr="00AF37D8" w:rsidRDefault="00DB2B82" w:rsidP="00745FBC">
      <w:pPr>
        <w:spacing w:after="240"/>
        <w:jc w:val="both"/>
      </w:pPr>
      <w:r w:rsidRPr="00AF37D8">
        <w:tab/>
      </w:r>
      <w:r w:rsidR="00D443BE">
        <w:t>In addition, our decision herein is</w:t>
      </w:r>
      <w:r w:rsidR="00745FBC" w:rsidRPr="00AF37D8">
        <w:t xml:space="preserve"> also consistent with </w:t>
      </w:r>
      <w:r w:rsidR="00D443BE">
        <w:t xml:space="preserve">our </w:t>
      </w:r>
      <w:r w:rsidR="00745FBC" w:rsidRPr="00AF37D8">
        <w:t xml:space="preserve">decisions to deny CSWR-Florida Utility Operating Company, LLC a positive acquisition adjustment in Order Nos. PSC-2022-0116-PAA-SU, PSC-2022-0120-PAA-WU, PSC-2022-0115-PAA-WS, PSC-2022-0364-PAA-WU, and </w:t>
      </w:r>
      <w:r w:rsidR="00C518E5">
        <w:t>Order No. PSC-20230216-PAA-SU</w:t>
      </w:r>
      <w:r w:rsidR="00745FBC" w:rsidRPr="00AF37D8">
        <w:t>.</w:t>
      </w:r>
      <w:r w:rsidR="00745FBC" w:rsidRPr="00AF37D8">
        <w:rPr>
          <w:vertAlign w:val="superscript"/>
        </w:rPr>
        <w:footnoteReference w:id="11"/>
      </w:r>
      <w:r w:rsidR="00745FBC" w:rsidRPr="00AF37D8">
        <w:t xml:space="preserve"> In those cases, </w:t>
      </w:r>
      <w:r w:rsidR="00D443BE">
        <w:t>we</w:t>
      </w:r>
      <w:r w:rsidR="00745FBC" w:rsidRPr="00AF37D8">
        <w:t xml:space="preserve"> determined that the </w:t>
      </w:r>
      <w:r w:rsidR="00745FBC" w:rsidRPr="00AF37D8">
        <w:lastRenderedPageBreak/>
        <w:t xml:space="preserve">Buyer failed to provide sufficient evidence of extraordinary circumstances, and the Buyer was denied a positive acquisition adjustment in all five cases. In those cases, the Buyer also requested a deferral of the decision regarding the positive acquisition adjustments, which </w:t>
      </w:r>
      <w:r w:rsidR="00D443BE">
        <w:t>we</w:t>
      </w:r>
      <w:r w:rsidR="00745FBC" w:rsidRPr="00AF37D8">
        <w:t xml:space="preserve"> also denied. </w:t>
      </w:r>
      <w:r w:rsidR="00D443BE">
        <w:t>T</w:t>
      </w:r>
      <w:r w:rsidR="00745FBC" w:rsidRPr="00AF37D8">
        <w:t>he facts of this case are similar to the five cases discussed above.</w:t>
      </w:r>
    </w:p>
    <w:p w:rsidR="00745FBC" w:rsidRPr="00AB21CA" w:rsidRDefault="00745FBC" w:rsidP="00AB21CA">
      <w:pPr>
        <w:pStyle w:val="ListParagraph"/>
        <w:numPr>
          <w:ilvl w:val="1"/>
          <w:numId w:val="3"/>
        </w:numPr>
        <w:spacing w:after="240"/>
        <w:ind w:hanging="720"/>
        <w:jc w:val="both"/>
        <w:rPr>
          <w:bCs/>
          <w:u w:val="single"/>
        </w:rPr>
      </w:pPr>
      <w:r w:rsidRPr="00AB21CA">
        <w:rPr>
          <w:bCs/>
          <w:u w:val="single"/>
        </w:rPr>
        <w:t>Conclusion</w:t>
      </w:r>
    </w:p>
    <w:p w:rsidR="00745FBC" w:rsidRDefault="00DB2B82" w:rsidP="00745FBC">
      <w:pPr>
        <w:jc w:val="both"/>
      </w:pPr>
      <w:r w:rsidRPr="00AF37D8">
        <w:tab/>
      </w:r>
      <w:r w:rsidR="00745FBC" w:rsidRPr="00AF37D8">
        <w:t xml:space="preserve">Pursuant to Rule 25-30.0371, F.A.C., </w:t>
      </w:r>
      <w:r w:rsidR="00E46914">
        <w:t xml:space="preserve">we find that </w:t>
      </w:r>
      <w:r w:rsidR="00745FBC" w:rsidRPr="00AF37D8">
        <w:t xml:space="preserve">a positive acquisition adjustment </w:t>
      </w:r>
      <w:r w:rsidR="00E46914">
        <w:t>shall</w:t>
      </w:r>
      <w:r w:rsidR="00D443BE">
        <w:t xml:space="preserve"> </w:t>
      </w:r>
      <w:r w:rsidR="00745FBC" w:rsidRPr="00AF37D8">
        <w:t xml:space="preserve">not be granted as the Buyer did not demonstrate extraordinary circumstances. </w:t>
      </w:r>
      <w:r w:rsidR="00D443BE">
        <w:t>T</w:t>
      </w:r>
      <w:r w:rsidR="00745FBC" w:rsidRPr="00AF37D8">
        <w:t>he Buyer’s anticipated improvements in quality of service and compliance with regulatory mandates do not illustrate extraordinary circumstances and instead demonstrate CSWR-CFAT’s intentions to responsibly provide utility service.</w:t>
      </w:r>
    </w:p>
    <w:p w:rsidR="00AB21CA" w:rsidRDefault="00AB21CA" w:rsidP="00745FBC">
      <w:pPr>
        <w:jc w:val="both"/>
      </w:pPr>
    </w:p>
    <w:p w:rsidR="00AB21CA" w:rsidRPr="00AB21CA" w:rsidRDefault="00AB21CA" w:rsidP="00AB21CA">
      <w:pPr>
        <w:pStyle w:val="ListParagraph"/>
        <w:numPr>
          <w:ilvl w:val="0"/>
          <w:numId w:val="3"/>
        </w:numPr>
        <w:spacing w:after="240"/>
        <w:ind w:hanging="720"/>
        <w:jc w:val="both"/>
        <w:rPr>
          <w:u w:val="single"/>
        </w:rPr>
      </w:pPr>
      <w:r w:rsidRPr="00AB21CA">
        <w:rPr>
          <w:u w:val="single"/>
        </w:rPr>
        <w:t>Revising Miscellaneous Service Charges</w:t>
      </w:r>
    </w:p>
    <w:p w:rsidR="00745FBC" w:rsidRPr="00AF37D8" w:rsidRDefault="00745FBC" w:rsidP="00D443BE">
      <w:pPr>
        <w:ind w:firstLine="720"/>
        <w:jc w:val="both"/>
      </w:pPr>
      <w:r w:rsidRPr="00AF37D8">
        <w:t>Effective June 24, 2021, Rule 25-30.460, F.A.C., was amended to remove initial connection and normal reconnection charges.</w:t>
      </w:r>
      <w:r w:rsidRPr="00AF37D8">
        <w:rPr>
          <w:vertAlign w:val="superscript"/>
        </w:rPr>
        <w:footnoteReference w:id="12"/>
      </w:r>
      <w:r w:rsidRPr="00AF37D8">
        <w:t xml:space="preserve"> The definitions for initial connection charges and normal reconnection charges were subsumed in the definition of the premises visit charge. The Utility’s miscellaneous service charges consist of initial connection and normal re</w:t>
      </w:r>
      <w:r w:rsidR="00D443BE">
        <w:t xml:space="preserve">connection charges. Therefore, the </w:t>
      </w:r>
      <w:r w:rsidRPr="00AF37D8">
        <w:t>initial connection and normal reconnection charges</w:t>
      </w:r>
      <w:r w:rsidR="00F43FF4">
        <w:t xml:space="preserve"> shall be removed</w:t>
      </w:r>
      <w:r w:rsidRPr="00AF37D8">
        <w:t>. The definition for</w:t>
      </w:r>
      <w:r w:rsidR="00D443BE">
        <w:t xml:space="preserve"> the premises visit charge shall</w:t>
      </w:r>
      <w:r w:rsidRPr="00AF37D8">
        <w:t xml:space="preserve"> be updated to comply with amended Rule 25-30.460, F.A.C. The Utility’s existing and </w:t>
      </w:r>
      <w:r w:rsidR="00D443BE">
        <w:t xml:space="preserve">our approved </w:t>
      </w:r>
      <w:r w:rsidRPr="00AF37D8">
        <w:t xml:space="preserve">miscellaneous service charges are shown in Tables </w:t>
      </w:r>
      <w:r w:rsidR="00AB21CA">
        <w:t>1</w:t>
      </w:r>
      <w:r w:rsidRPr="00AF37D8">
        <w:t xml:space="preserve"> and </w:t>
      </w:r>
      <w:r w:rsidR="00AB21CA">
        <w:t>2</w:t>
      </w:r>
      <w:r w:rsidRPr="00AF37D8">
        <w:t>.</w:t>
      </w:r>
    </w:p>
    <w:p w:rsidR="00745FBC" w:rsidRPr="00AF37D8" w:rsidRDefault="00745FBC" w:rsidP="00745FBC">
      <w:pPr>
        <w:jc w:val="both"/>
      </w:pPr>
    </w:p>
    <w:p w:rsidR="00745FBC" w:rsidRPr="00D443BE" w:rsidRDefault="00745FBC" w:rsidP="00745FBC">
      <w:pPr>
        <w:jc w:val="center"/>
        <w:rPr>
          <w:b/>
          <w:u w:val="thick"/>
        </w:rPr>
      </w:pPr>
      <w:r w:rsidRPr="00D443BE">
        <w:rPr>
          <w:b/>
        </w:rPr>
        <w:t xml:space="preserve">Table </w:t>
      </w:r>
      <w:r w:rsidR="00AB21CA" w:rsidRPr="00D443BE">
        <w:rPr>
          <w:b/>
        </w:rPr>
        <w:t>1</w:t>
      </w:r>
    </w:p>
    <w:p w:rsidR="00745FBC" w:rsidRPr="00D443BE" w:rsidRDefault="00745FBC" w:rsidP="00745FBC">
      <w:pPr>
        <w:jc w:val="center"/>
        <w:rPr>
          <w:b/>
        </w:rPr>
      </w:pPr>
      <w:r w:rsidRPr="00D443BE">
        <w:rPr>
          <w:b/>
        </w:rPr>
        <w:t xml:space="preserve">Utility Existing and </w:t>
      </w:r>
      <w:r w:rsidR="002947A9">
        <w:rPr>
          <w:b/>
        </w:rPr>
        <w:t xml:space="preserve">Commission Approved </w:t>
      </w:r>
      <w:r w:rsidRPr="00D443BE">
        <w:rPr>
          <w:b/>
        </w:rPr>
        <w:t>Miscellaneous Service Charges- Water</w:t>
      </w:r>
    </w:p>
    <w:tbl>
      <w:tblPr>
        <w:tblStyle w:val="TableGrid122"/>
        <w:tblW w:w="0" w:type="auto"/>
        <w:jc w:val="center"/>
        <w:tblLook w:val="04A0" w:firstRow="1" w:lastRow="0" w:firstColumn="1" w:lastColumn="0" w:noHBand="0" w:noVBand="1"/>
      </w:tblPr>
      <w:tblGrid>
        <w:gridCol w:w="3258"/>
        <w:gridCol w:w="1620"/>
        <w:gridCol w:w="1620"/>
        <w:gridCol w:w="1620"/>
        <w:gridCol w:w="1458"/>
      </w:tblGrid>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p>
        </w:tc>
        <w:tc>
          <w:tcPr>
            <w:tcW w:w="3240" w:type="dxa"/>
            <w:gridSpan w:val="2"/>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Existing</w:t>
            </w:r>
          </w:p>
        </w:tc>
        <w:tc>
          <w:tcPr>
            <w:tcW w:w="3078" w:type="dxa"/>
            <w:gridSpan w:val="2"/>
          </w:tcPr>
          <w:p w:rsidR="00745FBC" w:rsidRPr="00AF37D8" w:rsidRDefault="00F43FF4" w:rsidP="00745FBC">
            <w:pPr>
              <w:rPr>
                <w:rFonts w:ascii="Times New Roman" w:hAnsi="Times New Roman" w:cs="Times New Roman"/>
                <w:u w:val="single"/>
              </w:rPr>
            </w:pPr>
            <w:r>
              <w:rPr>
                <w:rFonts w:ascii="Times New Roman" w:hAnsi="Times New Roman" w:cs="Times New Roman"/>
                <w:u w:val="single"/>
              </w:rPr>
              <w:t>Commission Approved</w:t>
            </w:r>
          </w:p>
        </w:tc>
      </w:tr>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p>
        </w:tc>
        <w:tc>
          <w:tcPr>
            <w:tcW w:w="162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Normal Hours</w:t>
            </w:r>
          </w:p>
        </w:tc>
        <w:tc>
          <w:tcPr>
            <w:tcW w:w="162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After Hours</w:t>
            </w:r>
          </w:p>
        </w:tc>
        <w:tc>
          <w:tcPr>
            <w:tcW w:w="162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Normal Hours</w:t>
            </w:r>
          </w:p>
        </w:tc>
        <w:tc>
          <w:tcPr>
            <w:tcW w:w="1458"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After Hours</w:t>
            </w:r>
          </w:p>
        </w:tc>
      </w:tr>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Initial Connection Charge</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$11.00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$16.00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Normal Reconnection Charge</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$16.00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$24.00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Violation Reconnection Charge</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$21.00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$31.00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$21.00</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$31.00</w:t>
            </w:r>
          </w:p>
        </w:tc>
      </w:tr>
      <w:tr w:rsidR="00745FBC" w:rsidRPr="00AF37D8" w:rsidTr="0065692A">
        <w:trPr>
          <w:trHeight w:val="276"/>
          <w:jc w:val="center"/>
        </w:trPr>
        <w:tc>
          <w:tcPr>
            <w:tcW w:w="32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Premises Visit Charge</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$16.00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$16.00</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bl>
    <w:p w:rsidR="00D443BE" w:rsidRDefault="00D443BE" w:rsidP="00745FBC">
      <w:pPr>
        <w:rPr>
          <w:u w:val="thick"/>
        </w:rPr>
      </w:pPr>
    </w:p>
    <w:p w:rsidR="00D443BE" w:rsidRDefault="00D443BE">
      <w:pPr>
        <w:rPr>
          <w:u w:val="thick"/>
        </w:rPr>
      </w:pPr>
      <w:r>
        <w:rPr>
          <w:u w:val="thick"/>
        </w:rPr>
        <w:br w:type="page"/>
      </w:r>
    </w:p>
    <w:p w:rsidR="00745FBC" w:rsidRPr="00D443BE" w:rsidRDefault="00745FBC" w:rsidP="00745FBC">
      <w:pPr>
        <w:jc w:val="center"/>
        <w:rPr>
          <w:b/>
          <w:u w:val="thick"/>
        </w:rPr>
      </w:pPr>
      <w:r w:rsidRPr="00D443BE">
        <w:rPr>
          <w:b/>
        </w:rPr>
        <w:lastRenderedPageBreak/>
        <w:t xml:space="preserve">Table </w:t>
      </w:r>
      <w:r w:rsidR="00AB21CA" w:rsidRPr="00D443BE">
        <w:rPr>
          <w:b/>
        </w:rPr>
        <w:t>2</w:t>
      </w:r>
    </w:p>
    <w:p w:rsidR="00745FBC" w:rsidRPr="00D443BE" w:rsidRDefault="00745FBC" w:rsidP="00745FBC">
      <w:pPr>
        <w:jc w:val="center"/>
        <w:rPr>
          <w:b/>
        </w:rPr>
      </w:pPr>
      <w:r w:rsidRPr="00D443BE">
        <w:rPr>
          <w:b/>
        </w:rPr>
        <w:t xml:space="preserve">Utility Existing and </w:t>
      </w:r>
      <w:r w:rsidR="00F43FF4">
        <w:rPr>
          <w:b/>
        </w:rPr>
        <w:t xml:space="preserve">Commission Approved </w:t>
      </w:r>
      <w:r w:rsidRPr="00D443BE">
        <w:rPr>
          <w:b/>
        </w:rPr>
        <w:t>Miscellaneous Service Charges- Wastewater</w:t>
      </w:r>
    </w:p>
    <w:tbl>
      <w:tblPr>
        <w:tblStyle w:val="TableGrid121"/>
        <w:tblW w:w="0" w:type="auto"/>
        <w:jc w:val="center"/>
        <w:tblLook w:val="04A0" w:firstRow="1" w:lastRow="0" w:firstColumn="1" w:lastColumn="0" w:noHBand="0" w:noVBand="1"/>
      </w:tblPr>
      <w:tblGrid>
        <w:gridCol w:w="3348"/>
        <w:gridCol w:w="1710"/>
        <w:gridCol w:w="1440"/>
        <w:gridCol w:w="1620"/>
        <w:gridCol w:w="1458"/>
      </w:tblGrid>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p>
        </w:tc>
        <w:tc>
          <w:tcPr>
            <w:tcW w:w="3150" w:type="dxa"/>
            <w:gridSpan w:val="2"/>
          </w:tcPr>
          <w:p w:rsidR="00745FBC" w:rsidRPr="00AF37D8" w:rsidRDefault="00745FBC" w:rsidP="00745FBC">
            <w:pPr>
              <w:jc w:val="center"/>
              <w:rPr>
                <w:rFonts w:ascii="Times New Roman" w:hAnsi="Times New Roman" w:cs="Times New Roman"/>
                <w:u w:val="single"/>
              </w:rPr>
            </w:pPr>
            <w:r w:rsidRPr="00AF37D8">
              <w:rPr>
                <w:rFonts w:ascii="Times New Roman" w:hAnsi="Times New Roman" w:cs="Times New Roman"/>
                <w:u w:val="single"/>
              </w:rPr>
              <w:t>Existing</w:t>
            </w:r>
          </w:p>
        </w:tc>
        <w:tc>
          <w:tcPr>
            <w:tcW w:w="3078" w:type="dxa"/>
            <w:gridSpan w:val="2"/>
          </w:tcPr>
          <w:p w:rsidR="00745FBC" w:rsidRPr="00AF37D8" w:rsidRDefault="00F43FF4" w:rsidP="00745FBC">
            <w:pPr>
              <w:jc w:val="center"/>
              <w:rPr>
                <w:rFonts w:ascii="Times New Roman" w:hAnsi="Times New Roman" w:cs="Times New Roman"/>
                <w:u w:val="single"/>
              </w:rPr>
            </w:pPr>
            <w:r>
              <w:rPr>
                <w:rFonts w:ascii="Times New Roman" w:hAnsi="Times New Roman" w:cs="Times New Roman"/>
                <w:u w:val="single"/>
              </w:rPr>
              <w:t>Commission Approved</w:t>
            </w:r>
          </w:p>
        </w:tc>
      </w:tr>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p>
        </w:tc>
        <w:tc>
          <w:tcPr>
            <w:tcW w:w="171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Normal Hours</w:t>
            </w:r>
          </w:p>
        </w:tc>
        <w:tc>
          <w:tcPr>
            <w:tcW w:w="144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After Hours</w:t>
            </w:r>
          </w:p>
        </w:tc>
        <w:tc>
          <w:tcPr>
            <w:tcW w:w="1620"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Normal Hours</w:t>
            </w:r>
          </w:p>
        </w:tc>
        <w:tc>
          <w:tcPr>
            <w:tcW w:w="1458" w:type="dxa"/>
          </w:tcPr>
          <w:p w:rsidR="00745FBC" w:rsidRPr="00AF37D8" w:rsidRDefault="00745FBC" w:rsidP="00745FBC">
            <w:pPr>
              <w:rPr>
                <w:rFonts w:ascii="Times New Roman" w:hAnsi="Times New Roman" w:cs="Times New Roman"/>
                <w:u w:val="single"/>
              </w:rPr>
            </w:pPr>
            <w:r w:rsidRPr="00AF37D8">
              <w:rPr>
                <w:rFonts w:ascii="Times New Roman" w:hAnsi="Times New Roman" w:cs="Times New Roman"/>
                <w:u w:val="single"/>
              </w:rPr>
              <w:t>After Hours</w:t>
            </w:r>
          </w:p>
        </w:tc>
      </w:tr>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Initial Connection Charge</w:t>
            </w:r>
          </w:p>
        </w:tc>
        <w:tc>
          <w:tcPr>
            <w:tcW w:w="171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$10.00</w:t>
            </w:r>
          </w:p>
        </w:tc>
        <w:tc>
          <w:tcPr>
            <w:tcW w:w="144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$12.00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Normal Reconnection Charge</w:t>
            </w:r>
          </w:p>
        </w:tc>
        <w:tc>
          <w:tcPr>
            <w:tcW w:w="171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$15.00</w:t>
            </w:r>
          </w:p>
        </w:tc>
        <w:tc>
          <w:tcPr>
            <w:tcW w:w="144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$20.00</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Violation Reconnection Charge</w:t>
            </w:r>
          </w:p>
        </w:tc>
        <w:tc>
          <w:tcPr>
            <w:tcW w:w="171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Actual Cost</w:t>
            </w:r>
          </w:p>
        </w:tc>
        <w:tc>
          <w:tcPr>
            <w:tcW w:w="144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Actual Cost</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Actual Cost</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Actual Cost</w:t>
            </w:r>
          </w:p>
        </w:tc>
      </w:tr>
      <w:tr w:rsidR="00745FBC" w:rsidRPr="00AF37D8" w:rsidTr="0065692A">
        <w:trPr>
          <w:trHeight w:val="276"/>
          <w:jc w:val="center"/>
        </w:trPr>
        <w:tc>
          <w:tcPr>
            <w:tcW w:w="334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Premises Visit Charge</w:t>
            </w:r>
          </w:p>
        </w:tc>
        <w:tc>
          <w:tcPr>
            <w:tcW w:w="171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$15.00</w:t>
            </w:r>
          </w:p>
        </w:tc>
        <w:tc>
          <w:tcPr>
            <w:tcW w:w="144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c>
          <w:tcPr>
            <w:tcW w:w="1620"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$15.00</w:t>
            </w:r>
          </w:p>
        </w:tc>
        <w:tc>
          <w:tcPr>
            <w:tcW w:w="1458" w:type="dxa"/>
          </w:tcPr>
          <w:p w:rsidR="00745FBC" w:rsidRPr="00AF37D8" w:rsidRDefault="00745FBC" w:rsidP="00745FBC">
            <w:pPr>
              <w:rPr>
                <w:rFonts w:ascii="Times New Roman" w:hAnsi="Times New Roman" w:cs="Times New Roman"/>
              </w:rPr>
            </w:pPr>
            <w:r w:rsidRPr="00AF37D8">
              <w:rPr>
                <w:rFonts w:ascii="Times New Roman" w:hAnsi="Times New Roman" w:cs="Times New Roman"/>
              </w:rPr>
              <w:t>N/A</w:t>
            </w:r>
          </w:p>
        </w:tc>
      </w:tr>
    </w:tbl>
    <w:p w:rsidR="00745FBC" w:rsidRPr="00AF37D8" w:rsidRDefault="00745FBC" w:rsidP="00745FBC">
      <w:pPr>
        <w:rPr>
          <w:u w:val="thick"/>
        </w:rPr>
      </w:pPr>
    </w:p>
    <w:p w:rsidR="00745FBC" w:rsidRDefault="00DB2B82" w:rsidP="00745FBC">
      <w:pPr>
        <w:jc w:val="both"/>
      </w:pPr>
      <w:r w:rsidRPr="00AF37D8">
        <w:tab/>
      </w:r>
      <w:r w:rsidR="00745FBC" w:rsidRPr="00AF37D8">
        <w:t xml:space="preserve">Based on the above, the miscellaneous service charges </w:t>
      </w:r>
      <w:r w:rsidR="00CF0BA4">
        <w:t xml:space="preserve">shall </w:t>
      </w:r>
      <w:r w:rsidR="00745FBC" w:rsidRPr="00AF37D8">
        <w:t>be revised to conform to the recent amendment to Rule 25-30.460, F.A.C. The tariff</w:t>
      </w:r>
      <w:r w:rsidR="00F43FF4">
        <w:t xml:space="preserve"> shall</w:t>
      </w:r>
      <w:r w:rsidR="00745FBC" w:rsidRPr="00AF37D8">
        <w:t xml:space="preserve"> be revised to reflect the removal of initial connection and normal reconnection charges. CSWR-CFAT </w:t>
      </w:r>
      <w:r w:rsidR="00F43FF4">
        <w:t>shall</w:t>
      </w:r>
      <w:r w:rsidR="00745FBC" w:rsidRPr="00AF37D8">
        <w:t xml:space="preserve"> be required to file a proposed customer notice to reflect the Commission-approved charges. The approved charges </w:t>
      </w:r>
      <w:r w:rsidR="00F43FF4">
        <w:t>shall</w:t>
      </w:r>
      <w:r w:rsidR="00745FBC" w:rsidRPr="00AF37D8">
        <w:t xml:space="preserve"> be effective on or after the stamped approval date on the tariff sheet pursuant to Rule 25-30.475(1), F.A.C. In addition, the approved charge </w:t>
      </w:r>
      <w:r w:rsidR="002947A9">
        <w:t>shall</w:t>
      </w:r>
      <w:r w:rsidR="00745FBC" w:rsidRPr="00AF37D8">
        <w:t xml:space="preserve"> not be implemented until </w:t>
      </w:r>
      <w:r w:rsidR="00F43FF4">
        <w:t xml:space="preserve">Commission </w:t>
      </w:r>
      <w:r w:rsidR="00745FBC" w:rsidRPr="00AF37D8">
        <w:t xml:space="preserve">staff has approved the proposed customer notice and the notice has been received by customers. The Utility </w:t>
      </w:r>
      <w:r w:rsidR="002947A9">
        <w:t>shall</w:t>
      </w:r>
      <w:r w:rsidR="00745FBC" w:rsidRPr="00AF37D8">
        <w:t xml:space="preserve"> provide proof of the date notice was given no less than 10 days after the date of the notice. CSWR-CFAT </w:t>
      </w:r>
      <w:r w:rsidR="002947A9">
        <w:t>shall</w:t>
      </w:r>
      <w:r w:rsidR="00745FBC" w:rsidRPr="00AF37D8">
        <w:t xml:space="preserve"> be required to charge the approved miscellaneous services charges until </w:t>
      </w:r>
      <w:r w:rsidR="00F43FF4">
        <w:t>we authorize a change</w:t>
      </w:r>
      <w:r w:rsidR="00745FBC" w:rsidRPr="00AF37D8">
        <w:t xml:space="preserve"> to them in a subsequent proceeding.</w:t>
      </w:r>
    </w:p>
    <w:p w:rsidR="00745FBC" w:rsidRPr="00AF37D8" w:rsidRDefault="00745FBC" w:rsidP="00745FBC">
      <w:pPr>
        <w:jc w:val="both"/>
      </w:pPr>
    </w:p>
    <w:p w:rsidR="00745FBC" w:rsidRPr="00AF37D8" w:rsidRDefault="00745FBC" w:rsidP="00745FBC">
      <w:pPr>
        <w:pStyle w:val="OrderBody"/>
      </w:pPr>
      <w:r w:rsidRPr="00AF37D8">
        <w:tab/>
        <w:t>Based on the foregoing, it is</w:t>
      </w:r>
    </w:p>
    <w:p w:rsidR="00745FBC" w:rsidRPr="00AF37D8" w:rsidRDefault="00745FBC" w:rsidP="00745FBC">
      <w:pPr>
        <w:pStyle w:val="OrderBody"/>
      </w:pPr>
    </w:p>
    <w:p w:rsidR="00745FBC" w:rsidRPr="00AF37D8" w:rsidRDefault="00745FBC" w:rsidP="00745FBC">
      <w:pPr>
        <w:pStyle w:val="OrderBody"/>
      </w:pPr>
      <w:r w:rsidRPr="00AF37D8">
        <w:tab/>
        <w:t>ORDERED by the Florida Public Service Commission that</w:t>
      </w:r>
      <w:r w:rsidR="00F43FF4">
        <w:t xml:space="preserve"> the transfer of the water and wastewater systems and Certificate Nos. 552-W and 481-S in Marion County from C.F.A.T. H2O, Inc. to CSWR-Florida Utility Operating Company, LLC is in the public interest and is hereby approved effective the date that the sale becomes final. The resultant order shall serve as the Buyer’s certificate and shall be retained by the Buyer. It is further</w:t>
      </w:r>
    </w:p>
    <w:p w:rsidR="00745FBC" w:rsidRPr="00AF37D8" w:rsidRDefault="00745FBC" w:rsidP="00745FBC">
      <w:pPr>
        <w:pStyle w:val="OrderBody"/>
      </w:pPr>
    </w:p>
    <w:p w:rsidR="00F43FF4" w:rsidRDefault="00F43FF4" w:rsidP="00F43FF4">
      <w:pPr>
        <w:pStyle w:val="OrderBody"/>
      </w:pPr>
      <w:r>
        <w:tab/>
        <w:t>ORDERED that t</w:t>
      </w:r>
      <w:r w:rsidRPr="007A419B">
        <w:t xml:space="preserve">he Buyer </w:t>
      </w:r>
      <w:r>
        <w:t>shall</w:t>
      </w:r>
      <w:r w:rsidRPr="007A419B">
        <w:t xml:space="preserve"> submit the executed and recorded deed for continued access to the land upon which its facilities are located, copies of its permit transfer application</w:t>
      </w:r>
      <w:r>
        <w:t>s</w:t>
      </w:r>
      <w:r w:rsidRPr="007A419B">
        <w:t>, and a copy of its signed and executed contract for sale to th</w:t>
      </w:r>
      <w:r w:rsidR="00CF0BA4">
        <w:t>is</w:t>
      </w:r>
      <w:r w:rsidRPr="007A419B">
        <w:t xml:space="preserve"> Commission within 60 days of the </w:t>
      </w:r>
      <w:r w:rsidR="00922F9F">
        <w:t>o</w:t>
      </w:r>
      <w:r w:rsidRPr="007A419B">
        <w:t xml:space="preserve">rder approving the transfer, which is final agency action. If the sale is not finalized within 60 days of the transfer </w:t>
      </w:r>
      <w:r w:rsidR="00922F9F">
        <w:t>o</w:t>
      </w:r>
      <w:r w:rsidRPr="007A419B">
        <w:t xml:space="preserve">rder, the Buyer </w:t>
      </w:r>
      <w:r>
        <w:t xml:space="preserve">shall </w:t>
      </w:r>
      <w:r w:rsidRPr="007A419B">
        <w:t>file a status update in the docket file.</w:t>
      </w:r>
      <w:r>
        <w:t xml:space="preserve"> It is further</w:t>
      </w:r>
    </w:p>
    <w:p w:rsidR="00F43FF4" w:rsidRDefault="00F43FF4" w:rsidP="00F43FF4">
      <w:pPr>
        <w:pStyle w:val="OrderBody"/>
      </w:pPr>
    </w:p>
    <w:p w:rsidR="00387565" w:rsidRDefault="00387565" w:rsidP="00387565">
      <w:pPr>
        <w:pStyle w:val="OrderBody"/>
      </w:pPr>
      <w:r>
        <w:tab/>
        <w:t>ORDERED that t</w:t>
      </w:r>
      <w:r w:rsidRPr="00510D58">
        <w:t>he Utility’s existing rates, service availability charges, and initial customer depo</w:t>
      </w:r>
      <w:r>
        <w:t xml:space="preserve">sits, as shown on Schedule No. 7 appended to this </w:t>
      </w:r>
      <w:r w:rsidR="00922F9F">
        <w:t>o</w:t>
      </w:r>
      <w:r>
        <w:t>rder</w:t>
      </w:r>
      <w:r w:rsidRPr="00510D58">
        <w:t>, sh</w:t>
      </w:r>
      <w:r>
        <w:t>all</w:t>
      </w:r>
      <w:r w:rsidRPr="00510D58">
        <w:t xml:space="preserve"> remain in effect unt</w:t>
      </w:r>
      <w:r>
        <w:t>il a change is authorized by this</w:t>
      </w:r>
      <w:r w:rsidRPr="00510D58">
        <w:t xml:space="preserve"> Commission in a subsequent proceeding. The tariff pages reflecting the transfer sh</w:t>
      </w:r>
      <w:r>
        <w:t>all</w:t>
      </w:r>
      <w:r w:rsidRPr="00510D58">
        <w:t xml:space="preserve"> be effective on or after the stamped approval date on the tariff sheets, pursuant to Rule 25-30.475(1), F.A.C. The Buyer sh</w:t>
      </w:r>
      <w:r>
        <w:t>all</w:t>
      </w:r>
      <w:r w:rsidRPr="00510D58">
        <w:t xml:space="preserve"> be responsible for filing annual reports and pay</w:t>
      </w:r>
      <w:r>
        <w:t>ing RAFs for all future years. It is further</w:t>
      </w:r>
    </w:p>
    <w:p w:rsidR="00387565" w:rsidRDefault="00387565" w:rsidP="00387565">
      <w:pPr>
        <w:pStyle w:val="OrderBody"/>
      </w:pPr>
    </w:p>
    <w:p w:rsidR="00387565" w:rsidRDefault="00387565" w:rsidP="00387565">
      <w:pPr>
        <w:pStyle w:val="OrderBody"/>
      </w:pPr>
      <w:r>
        <w:tab/>
        <w:t>ORDERED that f</w:t>
      </w:r>
      <w:r w:rsidRPr="00510D58">
        <w:t>or transfer pur</w:t>
      </w:r>
      <w:r>
        <w:t xml:space="preserve">poses, the net book values are </w:t>
      </w:r>
      <w:r w:rsidRPr="00AF37D8">
        <w:t>$228,698 and $99,918</w:t>
      </w:r>
      <w:r w:rsidRPr="00217706">
        <w:t xml:space="preserve"> for water and wastewater, respectively, as of February 28, 2022</w:t>
      </w:r>
      <w:r w:rsidRPr="00510D58">
        <w:t xml:space="preserve">. Within 90 days of the date of the </w:t>
      </w:r>
      <w:r>
        <w:t xml:space="preserve">consummating </w:t>
      </w:r>
      <w:r w:rsidR="00922F9F">
        <w:t>o</w:t>
      </w:r>
      <w:r>
        <w:t xml:space="preserve">rder, </w:t>
      </w:r>
      <w:r w:rsidRPr="0066249B">
        <w:t>CSWR-Florida Utility Operating Company, LLC</w:t>
      </w:r>
      <w:r w:rsidRPr="00510D58">
        <w:t xml:space="preserve"> </w:t>
      </w:r>
      <w:r>
        <w:t>shall</w:t>
      </w:r>
      <w:r w:rsidRPr="00510D58">
        <w:t xml:space="preserve"> </w:t>
      </w:r>
      <w:r>
        <w:t>notify this</w:t>
      </w:r>
      <w:r w:rsidRPr="00510D58">
        <w:t xml:space="preserve"> Commission in writing that it has adjusted its books in accordance w</w:t>
      </w:r>
      <w:r>
        <w:t>ith our</w:t>
      </w:r>
      <w:r w:rsidRPr="00510D58">
        <w:t xml:space="preserve"> decision. The </w:t>
      </w:r>
      <w:r w:rsidRPr="00510D58">
        <w:lastRenderedPageBreak/>
        <w:t xml:space="preserve">adjustments </w:t>
      </w:r>
      <w:r>
        <w:t xml:space="preserve">shall be reflected in </w:t>
      </w:r>
      <w:r w:rsidRPr="0066249B">
        <w:t>CSWR-Florida Utility Operating Company, LLC</w:t>
      </w:r>
      <w:r w:rsidRPr="00510D58">
        <w:t>’s 2023 Annual Report when it is filed.</w:t>
      </w:r>
      <w:r>
        <w:t xml:space="preserve"> It is further</w:t>
      </w:r>
    </w:p>
    <w:p w:rsidR="00387565" w:rsidRDefault="00387565" w:rsidP="00387565">
      <w:pPr>
        <w:pStyle w:val="OrderBody"/>
      </w:pPr>
    </w:p>
    <w:p w:rsidR="00387565" w:rsidRDefault="00387565" w:rsidP="00387565">
      <w:pPr>
        <w:pStyle w:val="OrderBody"/>
      </w:pPr>
      <w:r>
        <w:tab/>
        <w:t>ORDERED that a positive acquisition adjustment shall not be granted as the Buyer failed to demonstrate extraordinary circumstances. It is further</w:t>
      </w:r>
    </w:p>
    <w:p w:rsidR="00F43FF4" w:rsidRDefault="00F43FF4" w:rsidP="00F43FF4">
      <w:pPr>
        <w:pStyle w:val="OrderBody"/>
      </w:pPr>
    </w:p>
    <w:p w:rsidR="00F43FF4" w:rsidRDefault="00F43FF4" w:rsidP="00F43FF4">
      <w:pPr>
        <w:pStyle w:val="OrderBody"/>
      </w:pPr>
      <w:r>
        <w:tab/>
        <w:t xml:space="preserve">ORDERED that </w:t>
      </w:r>
      <w:r w:rsidRPr="0066249B">
        <w:t>CSWR-Florida Utility Operating Company, LLC’s miscellaneo</w:t>
      </w:r>
      <w:r>
        <w:t xml:space="preserve">us service charges shall be revised </w:t>
      </w:r>
      <w:r w:rsidR="00387565" w:rsidRPr="00745FBC">
        <w:t xml:space="preserve">to conform to the recent amendment to Rule 25-30.460, F.A.C. The tariff </w:t>
      </w:r>
      <w:r w:rsidR="002947A9">
        <w:t>shall</w:t>
      </w:r>
      <w:r w:rsidR="00387565" w:rsidRPr="00745FBC">
        <w:t xml:space="preserve"> be revised to reflect the removal of initial connection and normal reconn</w:t>
      </w:r>
      <w:r w:rsidR="00387565">
        <w:t>ection charges. CSWR-CFAT shall</w:t>
      </w:r>
      <w:r w:rsidR="00387565" w:rsidRPr="00745FBC">
        <w:t xml:space="preserve"> be required to file a proposed customer notice to reflect the Commission-approved ch</w:t>
      </w:r>
      <w:r w:rsidR="00387565">
        <w:t>arges. The approved charges shall</w:t>
      </w:r>
      <w:r w:rsidR="00387565" w:rsidRPr="00745FBC">
        <w:t xml:space="preserve"> be effective on or after the stamped approval date on the tariff sheet pursuant to Rule 25-30.475(1), F.A.C. In addition, the approved charge </w:t>
      </w:r>
      <w:r w:rsidR="002947A9">
        <w:t>shall</w:t>
      </w:r>
      <w:r w:rsidR="00387565" w:rsidRPr="00745FBC">
        <w:t xml:space="preserve"> not be implemented until </w:t>
      </w:r>
      <w:r w:rsidR="00387565">
        <w:t xml:space="preserve">Commission </w:t>
      </w:r>
      <w:r w:rsidR="00387565" w:rsidRPr="00745FBC">
        <w:t>staff has approved the proposed customer notice and the notice has been received</w:t>
      </w:r>
      <w:r w:rsidR="00387565">
        <w:t xml:space="preserve"> by customers. The Utility shall</w:t>
      </w:r>
      <w:r w:rsidR="00387565" w:rsidRPr="00745FBC">
        <w:t xml:space="preserve"> provide proof of the date notice was given no less than 10 days after the date of the notice. CSWR-CFAT </w:t>
      </w:r>
      <w:r w:rsidR="00387565">
        <w:t xml:space="preserve">shall </w:t>
      </w:r>
      <w:r w:rsidR="00387565" w:rsidRPr="00745FBC">
        <w:t>be required to charge the approved misc</w:t>
      </w:r>
      <w:r w:rsidR="00387565">
        <w:t>ellaneous services charges until</w:t>
      </w:r>
      <w:r w:rsidR="00387565" w:rsidRPr="00745FBC">
        <w:t xml:space="preserve"> authorized to change them in a</w:t>
      </w:r>
      <w:r w:rsidR="00387565">
        <w:t xml:space="preserve"> subsequent proceeding. </w:t>
      </w:r>
      <w:r>
        <w:t>It is further</w:t>
      </w:r>
    </w:p>
    <w:p w:rsidR="00F43FF4" w:rsidRDefault="00F43FF4" w:rsidP="00F43FF4">
      <w:pPr>
        <w:pStyle w:val="OrderBody"/>
      </w:pPr>
    </w:p>
    <w:p w:rsidR="00F43FF4" w:rsidRDefault="00F43FF4" w:rsidP="00F43FF4">
      <w:pPr>
        <w:pStyle w:val="OrderBody"/>
      </w:pPr>
      <w:r>
        <w:tab/>
        <w:t xml:space="preserve">ORDERED that the provisions of this </w:t>
      </w:r>
      <w:r w:rsidR="00922F9F">
        <w:t>o</w:t>
      </w:r>
      <w:r>
        <w:t xml:space="preserve">rder, issued as proposed agency action, shall become final and effective upon the issuance of a </w:t>
      </w:r>
      <w:r w:rsidR="00922F9F">
        <w:t>c</w:t>
      </w:r>
      <w:r>
        <w:t xml:space="preserve">onsummating </w:t>
      </w:r>
      <w:r w:rsidR="00922F9F">
        <w:t>o</w:t>
      </w:r>
      <w:r>
        <w:t>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43FF4" w:rsidRDefault="00F43FF4" w:rsidP="00F43FF4">
      <w:pPr>
        <w:pStyle w:val="OrderBody"/>
      </w:pPr>
    </w:p>
    <w:p w:rsidR="00745FBC" w:rsidRPr="00AF37D8" w:rsidRDefault="00F43FF4" w:rsidP="00745FBC">
      <w:pPr>
        <w:pStyle w:val="OrderBody"/>
      </w:pPr>
      <w:r>
        <w:tab/>
        <w:t xml:space="preserve">ORDERED that if </w:t>
      </w:r>
      <w:r w:rsidRPr="008751E2">
        <w:t xml:space="preserve">no protest to the proposed agency action is filed by a substantially affected person within 21 days of the date of the issuance of the </w:t>
      </w:r>
      <w:r w:rsidR="00922F9F">
        <w:t>o</w:t>
      </w:r>
      <w:r w:rsidRPr="008751E2">
        <w:t xml:space="preserve">rder, a </w:t>
      </w:r>
      <w:r w:rsidR="00922F9F">
        <w:t>c</w:t>
      </w:r>
      <w:r w:rsidRPr="008751E2">
        <w:t xml:space="preserve">onsummating </w:t>
      </w:r>
      <w:r w:rsidR="00922F9F">
        <w:t>o</w:t>
      </w:r>
      <w:r w:rsidRPr="008751E2">
        <w:t>rder sh</w:t>
      </w:r>
      <w:r>
        <w:t>all</w:t>
      </w:r>
      <w:r w:rsidRPr="008751E2">
        <w:t xml:space="preserve"> be issued and the docket sh</w:t>
      </w:r>
      <w:r>
        <w:t>all</w:t>
      </w:r>
      <w:r w:rsidRPr="008751E2">
        <w:t xml:space="preserve"> be closed administratively upon Commission staff’s verification that</w:t>
      </w:r>
      <w:r>
        <w:t>:</w:t>
      </w:r>
      <w:r w:rsidRPr="008751E2">
        <w:t xml:space="preserve"> the revised tariff sheets have been filed, </w:t>
      </w:r>
      <w:r w:rsidR="00CF0BA4">
        <w:t xml:space="preserve">that proof has been provided that appropriate noticing has been done pursuant to Rule 25-30.4345, F.A.C., </w:t>
      </w:r>
      <w:r w:rsidRPr="008751E2">
        <w:t>the Buyer has notified the Commission in writing that it has adjusted its books in accordance with the Commission’s decision, the Buyer has submitted the executed and recorded warranty deed, the Buyer has submitted a copy of its application for permit transfer to the DEP, and the Buyer has submitted a signed and executed copy of its contract for sale within</w:t>
      </w:r>
      <w:r>
        <w:t xml:space="preserve"> 60 days of our final</w:t>
      </w:r>
      <w:r w:rsidRPr="008751E2">
        <w:t xml:space="preserve"> </w:t>
      </w:r>
      <w:r w:rsidR="00922F9F">
        <w:t>o</w:t>
      </w:r>
      <w:r w:rsidRPr="008751E2">
        <w:t>rder approving the transfer.</w:t>
      </w:r>
    </w:p>
    <w:p w:rsidR="00745FBC" w:rsidRDefault="00745FBC" w:rsidP="00745FBC">
      <w:pPr>
        <w:pStyle w:val="OrderBody"/>
        <w:keepNext/>
        <w:keepLines/>
      </w:pPr>
      <w:r w:rsidRPr="00AF37D8">
        <w:lastRenderedPageBreak/>
        <w:tab/>
        <w:t xml:space="preserve">By ORDER of the Florida Public Service Commission this </w:t>
      </w:r>
      <w:bookmarkStart w:id="6" w:name="replaceDate"/>
      <w:bookmarkEnd w:id="6"/>
      <w:r w:rsidR="00A64CA9">
        <w:rPr>
          <w:u w:val="single"/>
        </w:rPr>
        <w:t>22nd</w:t>
      </w:r>
      <w:r w:rsidR="00A64CA9">
        <w:t xml:space="preserve"> day of </w:t>
      </w:r>
      <w:r w:rsidR="00A64CA9">
        <w:rPr>
          <w:u w:val="single"/>
        </w:rPr>
        <w:t>August</w:t>
      </w:r>
      <w:r w:rsidR="00A64CA9">
        <w:t xml:space="preserve">, </w:t>
      </w:r>
      <w:r w:rsidR="00A64CA9">
        <w:rPr>
          <w:u w:val="single"/>
        </w:rPr>
        <w:t>2023</w:t>
      </w:r>
      <w:r w:rsidR="00A64CA9">
        <w:t>.</w:t>
      </w:r>
    </w:p>
    <w:p w:rsidR="00A64CA9" w:rsidRPr="00A64CA9" w:rsidRDefault="00A64CA9" w:rsidP="00745FBC">
      <w:pPr>
        <w:pStyle w:val="OrderBody"/>
        <w:keepNext/>
        <w:keepLines/>
      </w:pPr>
    </w:p>
    <w:p w:rsidR="00745FBC" w:rsidRPr="00AF37D8" w:rsidRDefault="00745FBC" w:rsidP="00745FBC">
      <w:pPr>
        <w:pStyle w:val="OrderBody"/>
        <w:keepNext/>
        <w:keepLines/>
      </w:pPr>
    </w:p>
    <w:p w:rsidR="00745FBC" w:rsidRPr="00AF37D8" w:rsidRDefault="00745FBC" w:rsidP="00745FB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5FBC" w:rsidRPr="00AF37D8" w:rsidTr="00745FBC">
        <w:tc>
          <w:tcPr>
            <w:tcW w:w="720" w:type="dxa"/>
            <w:shd w:val="clear" w:color="auto" w:fill="auto"/>
          </w:tcPr>
          <w:p w:rsidR="00745FBC" w:rsidRPr="00AF37D8" w:rsidRDefault="00745FBC" w:rsidP="00745FBC">
            <w:pPr>
              <w:pStyle w:val="OrderBody"/>
              <w:keepNext/>
              <w:keepLines/>
            </w:pPr>
            <w:bookmarkStart w:id="7" w:name="bkmrkSignature" w:colFirst="0" w:colLast="0"/>
          </w:p>
        </w:tc>
        <w:tc>
          <w:tcPr>
            <w:tcW w:w="4320" w:type="dxa"/>
            <w:tcBorders>
              <w:bottom w:val="single" w:sz="4" w:space="0" w:color="auto"/>
            </w:tcBorders>
            <w:shd w:val="clear" w:color="auto" w:fill="auto"/>
          </w:tcPr>
          <w:p w:rsidR="00745FBC" w:rsidRPr="00AF37D8" w:rsidRDefault="00B27FCE" w:rsidP="00745FBC">
            <w:pPr>
              <w:pStyle w:val="OrderBody"/>
              <w:keepNext/>
              <w:keepLines/>
            </w:pPr>
            <w:r>
              <w:t>/s/ Adam J. Teitzman</w:t>
            </w:r>
            <w:bookmarkStart w:id="8" w:name="_GoBack"/>
            <w:bookmarkEnd w:id="8"/>
          </w:p>
        </w:tc>
      </w:tr>
      <w:bookmarkEnd w:id="7"/>
      <w:tr w:rsidR="00745FBC" w:rsidRPr="00AF37D8" w:rsidTr="00745FBC">
        <w:tc>
          <w:tcPr>
            <w:tcW w:w="720" w:type="dxa"/>
            <w:shd w:val="clear" w:color="auto" w:fill="auto"/>
          </w:tcPr>
          <w:p w:rsidR="00745FBC" w:rsidRPr="00AF37D8" w:rsidRDefault="00745FBC" w:rsidP="00745FBC">
            <w:pPr>
              <w:pStyle w:val="OrderBody"/>
              <w:keepNext/>
              <w:keepLines/>
            </w:pPr>
          </w:p>
        </w:tc>
        <w:tc>
          <w:tcPr>
            <w:tcW w:w="4320" w:type="dxa"/>
            <w:tcBorders>
              <w:top w:val="single" w:sz="4" w:space="0" w:color="auto"/>
            </w:tcBorders>
            <w:shd w:val="clear" w:color="auto" w:fill="auto"/>
          </w:tcPr>
          <w:p w:rsidR="00745FBC" w:rsidRPr="00AF37D8" w:rsidRDefault="00745FBC" w:rsidP="00745FBC">
            <w:pPr>
              <w:pStyle w:val="OrderBody"/>
              <w:keepNext/>
              <w:keepLines/>
            </w:pPr>
            <w:r w:rsidRPr="00AF37D8">
              <w:t>ADAM J. TEITZMAN</w:t>
            </w:r>
          </w:p>
          <w:p w:rsidR="00745FBC" w:rsidRPr="00AF37D8" w:rsidRDefault="00745FBC" w:rsidP="00745FBC">
            <w:pPr>
              <w:pStyle w:val="OrderBody"/>
              <w:keepNext/>
              <w:keepLines/>
            </w:pPr>
            <w:r w:rsidRPr="00AF37D8">
              <w:t>Commission Clerk</w:t>
            </w:r>
          </w:p>
        </w:tc>
      </w:tr>
    </w:tbl>
    <w:p w:rsidR="00745FBC" w:rsidRPr="00AF37D8" w:rsidRDefault="00745FBC" w:rsidP="00745FBC">
      <w:pPr>
        <w:pStyle w:val="OrderSigInfo"/>
        <w:keepNext/>
        <w:keepLines/>
        <w:rPr>
          <w:szCs w:val="24"/>
        </w:rPr>
      </w:pPr>
      <w:r w:rsidRPr="00AF37D8">
        <w:rPr>
          <w:szCs w:val="24"/>
        </w:rPr>
        <w:t>Florida Public Service Commission</w:t>
      </w:r>
    </w:p>
    <w:p w:rsidR="00745FBC" w:rsidRPr="00AF37D8" w:rsidRDefault="00745FBC" w:rsidP="00745FBC">
      <w:pPr>
        <w:pStyle w:val="OrderSigInfo"/>
        <w:keepNext/>
        <w:keepLines/>
        <w:rPr>
          <w:szCs w:val="24"/>
        </w:rPr>
      </w:pPr>
      <w:r w:rsidRPr="00AF37D8">
        <w:rPr>
          <w:szCs w:val="24"/>
        </w:rPr>
        <w:t>2540 Shumard Oak Boulevard</w:t>
      </w:r>
    </w:p>
    <w:p w:rsidR="00745FBC" w:rsidRPr="00AF37D8" w:rsidRDefault="00745FBC" w:rsidP="00745FBC">
      <w:pPr>
        <w:pStyle w:val="OrderSigInfo"/>
        <w:keepNext/>
        <w:keepLines/>
        <w:rPr>
          <w:szCs w:val="24"/>
        </w:rPr>
      </w:pPr>
      <w:r w:rsidRPr="00AF37D8">
        <w:rPr>
          <w:szCs w:val="24"/>
        </w:rPr>
        <w:t>Tallahassee, Florida 32399</w:t>
      </w:r>
    </w:p>
    <w:p w:rsidR="00745FBC" w:rsidRPr="00AF37D8" w:rsidRDefault="00745FBC" w:rsidP="00745FBC">
      <w:pPr>
        <w:pStyle w:val="OrderSigInfo"/>
        <w:keepNext/>
        <w:keepLines/>
        <w:rPr>
          <w:szCs w:val="24"/>
        </w:rPr>
      </w:pPr>
      <w:r w:rsidRPr="00AF37D8">
        <w:rPr>
          <w:szCs w:val="24"/>
        </w:rPr>
        <w:t>(850) 413</w:t>
      </w:r>
      <w:r w:rsidRPr="00AF37D8">
        <w:rPr>
          <w:szCs w:val="24"/>
        </w:rPr>
        <w:noBreakHyphen/>
        <w:t>6770</w:t>
      </w:r>
    </w:p>
    <w:p w:rsidR="00745FBC" w:rsidRPr="00AF37D8" w:rsidRDefault="00745FBC" w:rsidP="00745FBC">
      <w:pPr>
        <w:pStyle w:val="OrderSigInfo"/>
        <w:keepNext/>
        <w:keepLines/>
        <w:rPr>
          <w:szCs w:val="24"/>
        </w:rPr>
      </w:pPr>
      <w:r w:rsidRPr="00AF37D8">
        <w:rPr>
          <w:szCs w:val="24"/>
        </w:rPr>
        <w:t>www.floridapsc.com</w:t>
      </w:r>
    </w:p>
    <w:p w:rsidR="00745FBC" w:rsidRPr="00AF37D8" w:rsidRDefault="00745FBC" w:rsidP="00745FBC">
      <w:pPr>
        <w:pStyle w:val="OrderSigInfo"/>
        <w:keepNext/>
        <w:keepLines/>
        <w:rPr>
          <w:szCs w:val="24"/>
        </w:rPr>
      </w:pPr>
    </w:p>
    <w:p w:rsidR="00745FBC" w:rsidRPr="00AF37D8" w:rsidRDefault="00745FBC" w:rsidP="00745FBC">
      <w:pPr>
        <w:pStyle w:val="OrderSigInfo"/>
        <w:keepNext/>
        <w:keepLines/>
        <w:rPr>
          <w:szCs w:val="24"/>
        </w:rPr>
      </w:pPr>
      <w:r w:rsidRPr="00AF37D8">
        <w:rPr>
          <w:szCs w:val="24"/>
        </w:rPr>
        <w:t>Copies furnished:  A copy of this document is provided to the parties of record at the time of issuance and, if applicable, interested persons.</w:t>
      </w:r>
    </w:p>
    <w:p w:rsidR="00745FBC" w:rsidRPr="00AF37D8" w:rsidRDefault="00745FBC" w:rsidP="00745FBC">
      <w:pPr>
        <w:pStyle w:val="OrderBody"/>
        <w:keepNext/>
        <w:keepLines/>
      </w:pPr>
    </w:p>
    <w:p w:rsidR="00745FBC" w:rsidRPr="00AF37D8" w:rsidRDefault="00745FBC" w:rsidP="00745FBC">
      <w:pPr>
        <w:pStyle w:val="OrderBody"/>
        <w:keepNext/>
        <w:keepLines/>
      </w:pPr>
    </w:p>
    <w:p w:rsidR="00745FBC" w:rsidRPr="00AF37D8" w:rsidRDefault="00745FBC" w:rsidP="00745FBC">
      <w:pPr>
        <w:pStyle w:val="OrderBody"/>
        <w:keepNext/>
        <w:keepLines/>
      </w:pPr>
      <w:r w:rsidRPr="00AF37D8">
        <w:t>MRT</w:t>
      </w:r>
    </w:p>
    <w:p w:rsidR="002947A9" w:rsidRDefault="002947A9">
      <w:r>
        <w:br w:type="page"/>
      </w:r>
    </w:p>
    <w:p w:rsidR="00745FBC" w:rsidRPr="00AF37D8" w:rsidRDefault="00745FBC" w:rsidP="00745FBC">
      <w:pPr>
        <w:pStyle w:val="CenterUnderline"/>
      </w:pPr>
      <w:r w:rsidRPr="00AF37D8">
        <w:lastRenderedPageBreak/>
        <w:t>NOTICE OF FURTHER PROCEEDINGS OR JUDICIAL REVIEW</w:t>
      </w:r>
    </w:p>
    <w:p w:rsidR="00745FBC" w:rsidRPr="00AF37D8" w:rsidRDefault="00745FBC" w:rsidP="00745FBC">
      <w:pPr>
        <w:pStyle w:val="CenterUnderline"/>
      </w:pPr>
    </w:p>
    <w:p w:rsidR="00745FBC" w:rsidRPr="00AF37D8" w:rsidRDefault="00745FBC" w:rsidP="00745FBC">
      <w:pPr>
        <w:pStyle w:val="OrderBody"/>
      </w:pPr>
      <w:r w:rsidRPr="00AF37D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5FBC" w:rsidRPr="00AF37D8" w:rsidRDefault="00745FBC" w:rsidP="00745FBC">
      <w:pPr>
        <w:pStyle w:val="OrderBody"/>
      </w:pPr>
    </w:p>
    <w:p w:rsidR="00745FBC" w:rsidRPr="00AF37D8" w:rsidRDefault="00745FBC" w:rsidP="00745FBC">
      <w:pPr>
        <w:pStyle w:val="OrderBody"/>
      </w:pPr>
      <w:r w:rsidRPr="00AF37D8">
        <w:tab/>
        <w:t xml:space="preserve">As identified in the body of this order, </w:t>
      </w:r>
      <w:r w:rsidR="002947A9">
        <w:t xml:space="preserve">except for the transfer of Certificate Nos. 552-W and 481-S and continuing existing rates and charges, the actions </w:t>
      </w:r>
      <w:r w:rsidR="00D24548">
        <w:t xml:space="preserve">taken herein </w:t>
      </w:r>
      <w:r w:rsidR="002947A9">
        <w:t xml:space="preserve">are </w:t>
      </w:r>
      <w:r w:rsidRPr="00AF37D8">
        <w:t xml:space="preserve">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64CA9">
        <w:rPr>
          <w:u w:val="single"/>
        </w:rPr>
        <w:t>September 12, 2023</w:t>
      </w:r>
      <w:r w:rsidRPr="00AF37D8">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745FBC" w:rsidRPr="00AF37D8" w:rsidRDefault="00745FBC" w:rsidP="00745FBC">
      <w:pPr>
        <w:pStyle w:val="OrderBody"/>
      </w:pPr>
    </w:p>
    <w:p w:rsidR="00745FBC" w:rsidRPr="00AF37D8" w:rsidRDefault="00745FBC" w:rsidP="00745FBC">
      <w:pPr>
        <w:pStyle w:val="OrderBody"/>
      </w:pPr>
      <w:r w:rsidRPr="00AF37D8">
        <w:tab/>
        <w:t>Any objection or protest filed in this docket before the issuance date of this order is considered abandoned unless it satisfies the foregoing conditions and is renewed within the specified protest period.</w:t>
      </w:r>
    </w:p>
    <w:p w:rsidR="00745FBC" w:rsidRPr="00AF37D8" w:rsidRDefault="00745FBC" w:rsidP="00745FBC">
      <w:pPr>
        <w:pStyle w:val="OrderBody"/>
      </w:pPr>
    </w:p>
    <w:p w:rsidR="00745FBC" w:rsidRPr="00AF37D8" w:rsidRDefault="00745FBC" w:rsidP="00745FBC">
      <w:pPr>
        <w:pStyle w:val="OrderBody"/>
      </w:pPr>
      <w:r w:rsidRPr="00AF37D8">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45FBC" w:rsidRPr="00AF37D8" w:rsidRDefault="00745FBC" w:rsidP="00745FBC">
      <w:pPr>
        <w:pStyle w:val="OrderBody"/>
      </w:pPr>
    </w:p>
    <w:p w:rsidR="00745FBC" w:rsidRPr="00AF37D8" w:rsidRDefault="00745FBC" w:rsidP="00745FBC">
      <w:pPr>
        <w:pStyle w:val="OrderBody"/>
        <w:sectPr w:rsidR="00745FBC" w:rsidRPr="00AF37D8">
          <w:headerReference w:type="default" r:id="rId8"/>
          <w:footerReference w:type="first" r:id="rId9"/>
          <w:pgSz w:w="12240" w:h="15840" w:code="1"/>
          <w:pgMar w:top="1440" w:right="1440" w:bottom="1440" w:left="1440" w:header="720" w:footer="720" w:gutter="0"/>
          <w:cols w:space="720"/>
          <w:titlePg/>
          <w:docGrid w:linePitch="360"/>
        </w:sectPr>
      </w:pPr>
    </w:p>
    <w:p w:rsidR="00B50F22" w:rsidRPr="00AF37D8" w:rsidRDefault="00B50F22" w:rsidP="00B50F22">
      <w:pPr>
        <w:spacing w:after="240"/>
        <w:jc w:val="both"/>
      </w:pPr>
    </w:p>
    <w:p w:rsidR="00B50F22" w:rsidRPr="00AF37D8" w:rsidRDefault="00B50F22" w:rsidP="00B50F22">
      <w:pPr>
        <w:ind w:left="1440" w:right="1292"/>
        <w:jc w:val="center"/>
      </w:pPr>
      <w:r w:rsidRPr="00AF37D8">
        <w:t>CSWR-Florida Utility Operating Company, LLC</w:t>
      </w:r>
    </w:p>
    <w:p w:rsidR="00B50F22" w:rsidRPr="00AF37D8" w:rsidRDefault="00B50F22" w:rsidP="00B50F22">
      <w:pPr>
        <w:ind w:left="1440" w:right="1292"/>
        <w:jc w:val="center"/>
      </w:pPr>
      <w:r w:rsidRPr="00AF37D8">
        <w:t>MARION COUNTY</w:t>
      </w:r>
    </w:p>
    <w:p w:rsidR="00B50F22" w:rsidRPr="00AF37D8" w:rsidRDefault="00B50F22" w:rsidP="00B50F22">
      <w:pPr>
        <w:ind w:left="1440" w:right="1292"/>
        <w:jc w:val="center"/>
      </w:pPr>
      <w:r w:rsidRPr="00AF37D8">
        <w:t>WATER AND WASTEWATER SERVICE TERRITORY</w:t>
      </w:r>
    </w:p>
    <w:p w:rsidR="00B50F22" w:rsidRPr="00AF37D8" w:rsidRDefault="00B50F22" w:rsidP="00B50F22">
      <w:pPr>
        <w:ind w:left="1440" w:right="1292"/>
        <w:jc w:val="both"/>
      </w:pPr>
    </w:p>
    <w:p w:rsidR="00B50F22" w:rsidRPr="00AF37D8" w:rsidRDefault="00B50F22" w:rsidP="00B50F22">
      <w:pPr>
        <w:ind w:left="1440" w:right="1292"/>
        <w:jc w:val="both"/>
      </w:pPr>
      <w:r w:rsidRPr="00AF37D8">
        <w:t xml:space="preserve">A parcel of land being part of the SE 1/4 of SE 1/4, the SW 1/4 of SE 1/4, and the NE 1/4 of SE 1/4 of Section 16; and the NE 1/4 of NW 1/4 and the SE 1/4 of NW 1/4 of Section 21, all in Township 14 South, Range 22 East, Marion County, Florida and being more particularly described as follows: </w:t>
      </w:r>
    </w:p>
    <w:p w:rsidR="00B50F22" w:rsidRPr="00AF37D8" w:rsidRDefault="00B50F22" w:rsidP="00B50F22">
      <w:pPr>
        <w:ind w:left="1440" w:right="1292"/>
        <w:jc w:val="both"/>
      </w:pPr>
    </w:p>
    <w:p w:rsidR="00B50F22" w:rsidRPr="00AF37D8" w:rsidRDefault="00B50F22" w:rsidP="00B50F22">
      <w:pPr>
        <w:spacing w:after="240"/>
        <w:ind w:left="1440" w:right="1260"/>
        <w:jc w:val="both"/>
      </w:pPr>
      <w:r w:rsidRPr="00AF37D8">
        <w:t>Beginning at the SE corner of said Section 16, thence run West along the south line of said Section 16 for 2640.00 feet to the NE corner of the NE 1/4 of NW 1/4 of Section 21; thence run South 00°12’41” West along the east line of the W ½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to the SW corner of the SW 1/4 of SE 1/4 of Section 16; thence run North along the west line of said SW 1/4 of SE 1/4 for 849.32 feet; thence run East for 1320.00 feet; thence run North for 671.05 feet; thence run East for 1320.00 feet to the east line of Section 16; thence run South along the east line of said Section 16 for 1520.37 feet back to the Point of Beginning. Containing 102.6 acres, more or less.</w:t>
      </w:r>
    </w:p>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0"/>
          <w:pgSz w:w="12240" w:h="15840" w:code="1"/>
          <w:pgMar w:top="1440" w:right="1440" w:bottom="1440" w:left="1440" w:header="720" w:footer="720" w:gutter="0"/>
          <w:cols w:space="720"/>
          <w:titlePg/>
          <w:docGrid w:linePitch="360"/>
        </w:sectPr>
      </w:pPr>
    </w:p>
    <w:p w:rsidR="00B50F22" w:rsidRPr="00AF37D8" w:rsidRDefault="00B50F22" w:rsidP="00B50F22">
      <w:pPr>
        <w:spacing w:after="240"/>
        <w:ind w:right="1260"/>
        <w:jc w:val="both"/>
      </w:pPr>
    </w:p>
    <w:p w:rsidR="00B50F22" w:rsidRPr="00AF37D8" w:rsidRDefault="00B50F22" w:rsidP="00B50F22">
      <w:pPr>
        <w:jc w:val="center"/>
      </w:pPr>
      <w:r w:rsidRPr="00AF37D8">
        <w:t>FLORIDA PUBLIC SERVICE COMMISSION</w:t>
      </w:r>
    </w:p>
    <w:p w:rsidR="00B50F22" w:rsidRPr="00AF37D8" w:rsidRDefault="00B50F22" w:rsidP="00B50F22">
      <w:pPr>
        <w:jc w:val="center"/>
      </w:pPr>
      <w:r w:rsidRPr="00AF37D8">
        <w:t>authorizes</w:t>
      </w:r>
    </w:p>
    <w:p w:rsidR="00B50F22" w:rsidRPr="00AF37D8" w:rsidRDefault="00B50F22" w:rsidP="00B50F22">
      <w:pPr>
        <w:jc w:val="center"/>
        <w:rPr>
          <w:bCs/>
        </w:rPr>
      </w:pPr>
      <w:r w:rsidRPr="00AF37D8">
        <w:rPr>
          <w:bCs/>
        </w:rPr>
        <w:t>CSWR-Florida Utility Operating Company, LLC</w:t>
      </w:r>
    </w:p>
    <w:p w:rsidR="00B50F22" w:rsidRPr="00AF37D8" w:rsidRDefault="00B50F22" w:rsidP="00B50F22">
      <w:pPr>
        <w:jc w:val="center"/>
      </w:pPr>
      <w:r w:rsidRPr="00AF37D8">
        <w:t xml:space="preserve">pursuant to </w:t>
      </w:r>
    </w:p>
    <w:p w:rsidR="00B50F22" w:rsidRPr="00AF37D8" w:rsidRDefault="00B50F22" w:rsidP="00B50F22">
      <w:pPr>
        <w:jc w:val="center"/>
      </w:pPr>
      <w:r w:rsidRPr="00AF37D8">
        <w:t>Certificate Number 552-W</w:t>
      </w:r>
    </w:p>
    <w:p w:rsidR="00B50F22" w:rsidRPr="00AF37D8" w:rsidRDefault="00B50F22" w:rsidP="00B50F22">
      <w:pPr>
        <w:jc w:val="both"/>
      </w:pPr>
    </w:p>
    <w:p w:rsidR="00B50F22" w:rsidRPr="00AF37D8" w:rsidRDefault="00B50F22" w:rsidP="00B50F22">
      <w:pPr>
        <w:jc w:val="both"/>
      </w:pPr>
      <w:r w:rsidRPr="00AF37D8">
        <w:t xml:space="preserve">to provide water service in </w:t>
      </w:r>
      <w:r w:rsidRPr="00AF37D8">
        <w:rPr>
          <w:u w:val="single"/>
        </w:rPr>
        <w:t>Marion County</w:t>
      </w:r>
      <w:r w:rsidRPr="00AF37D8">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50F22" w:rsidRPr="00AF37D8" w:rsidRDefault="00B50F22" w:rsidP="00B50F22"/>
    <w:p w:rsidR="00B50F22" w:rsidRPr="00AF37D8" w:rsidRDefault="00B50F22" w:rsidP="00B50F22">
      <w:r w:rsidRPr="00AF37D8">
        <w:rPr>
          <w:u w:val="single"/>
        </w:rPr>
        <w:t>Order Number</w:t>
      </w:r>
      <w:r w:rsidRPr="00AF37D8">
        <w:tab/>
      </w:r>
      <w:r w:rsidRPr="00AF37D8">
        <w:tab/>
      </w:r>
      <w:r w:rsidRPr="00AF37D8">
        <w:tab/>
      </w:r>
      <w:r w:rsidRPr="00AF37D8">
        <w:rPr>
          <w:u w:val="single"/>
        </w:rPr>
        <w:t>Date Issued</w:t>
      </w:r>
      <w:r w:rsidRPr="00AF37D8">
        <w:tab/>
      </w:r>
      <w:r w:rsidRPr="00AF37D8">
        <w:rPr>
          <w:u w:val="single"/>
        </w:rPr>
        <w:t>Docket Number</w:t>
      </w:r>
      <w:r w:rsidRPr="00AF37D8">
        <w:tab/>
      </w:r>
      <w:r w:rsidRPr="00AF37D8">
        <w:rPr>
          <w:u w:val="single"/>
        </w:rPr>
        <w:t>Filing Type</w:t>
      </w:r>
    </w:p>
    <w:p w:rsidR="00B50F22" w:rsidRPr="00AF37D8" w:rsidRDefault="00B50F22" w:rsidP="00B50F22"/>
    <w:p w:rsidR="00B50F22" w:rsidRPr="00AF37D8" w:rsidRDefault="00B50F22" w:rsidP="00B50F22">
      <w:r w:rsidRPr="00AF37D8">
        <w:t>PSC-93-0368-FOF-WS</w:t>
      </w:r>
      <w:r w:rsidRPr="00AF37D8">
        <w:tab/>
        <w:t>03/09/93</w:t>
      </w:r>
      <w:r w:rsidRPr="00AF37D8">
        <w:tab/>
        <w:t>19921260-WS</w:t>
      </w:r>
      <w:r w:rsidRPr="00AF37D8">
        <w:tab/>
      </w:r>
      <w:r w:rsidRPr="00AF37D8">
        <w:tab/>
        <w:t>Transfer</w:t>
      </w:r>
    </w:p>
    <w:p w:rsidR="00B50F22" w:rsidRPr="00AF37D8" w:rsidRDefault="00B50F22" w:rsidP="00B50F22">
      <w:r w:rsidRPr="00AF37D8">
        <w:t>PSC-94-0701-FOF-WS</w:t>
      </w:r>
      <w:r w:rsidRPr="00AF37D8">
        <w:tab/>
        <w:t>06/08/94</w:t>
      </w:r>
      <w:r w:rsidRPr="00AF37D8">
        <w:tab/>
        <w:t>19931080-WS</w:t>
      </w:r>
      <w:r w:rsidRPr="00AF37D8">
        <w:tab/>
      </w:r>
      <w:r w:rsidRPr="00AF37D8">
        <w:tab/>
        <w:t>Transfer</w:t>
      </w:r>
    </w:p>
    <w:p w:rsidR="00B50F22" w:rsidRPr="00AF37D8" w:rsidRDefault="00B50F22" w:rsidP="00B50F22">
      <w:r w:rsidRPr="00AF37D8">
        <w:t>PSC-06-0593-FOF-WS</w:t>
      </w:r>
      <w:r w:rsidRPr="00AF37D8">
        <w:tab/>
        <w:t>07/07/06</w:t>
      </w:r>
      <w:r w:rsidRPr="00AF37D8">
        <w:tab/>
        <w:t>20060028-WS</w:t>
      </w:r>
      <w:r w:rsidRPr="00AF37D8">
        <w:tab/>
      </w:r>
      <w:r w:rsidRPr="00AF37D8">
        <w:tab/>
        <w:t>TMOC</w:t>
      </w:r>
    </w:p>
    <w:p w:rsidR="00B50F22" w:rsidRPr="00AF37D8" w:rsidRDefault="00B50F22" w:rsidP="00B50F22">
      <w:r w:rsidRPr="00AF37D8">
        <w:t>PSC-97-0206A-FOF-WS</w:t>
      </w:r>
      <w:r w:rsidRPr="00AF37D8">
        <w:tab/>
        <w:t>03/05/97</w:t>
      </w:r>
      <w:r w:rsidRPr="00AF37D8">
        <w:tab/>
        <w:t>19960095-WS</w:t>
      </w:r>
      <w:r w:rsidRPr="00AF37D8">
        <w:tab/>
      </w:r>
      <w:r w:rsidRPr="00AF37D8">
        <w:tab/>
        <w:t>Amendatory Order</w:t>
      </w:r>
    </w:p>
    <w:p w:rsidR="00B50F22" w:rsidRDefault="00105E8A" w:rsidP="00B50F22">
      <w:r>
        <w:t>PSC-2023-0254-FOF-WS</w:t>
      </w:r>
      <w:r w:rsidR="00B50F22" w:rsidRPr="00AF37D8">
        <w:tab/>
      </w:r>
      <w:r>
        <w:t>08/21/23</w:t>
      </w:r>
      <w:r w:rsidR="00B50F22" w:rsidRPr="00AF37D8">
        <w:tab/>
        <w:t>20220203-WS</w:t>
      </w:r>
      <w:r w:rsidR="00B50F22" w:rsidRPr="00AF37D8">
        <w:tab/>
      </w:r>
      <w:r w:rsidR="00B50F22" w:rsidRPr="00AF37D8">
        <w:tab/>
        <w:t>Amendment</w:t>
      </w:r>
    </w:p>
    <w:p w:rsidR="00E20381" w:rsidRPr="00AF37D8" w:rsidRDefault="001736EE" w:rsidP="00B50F22">
      <w:r>
        <w:t>PSC-2023-0266-PAA-WS</w:t>
      </w:r>
      <w:r w:rsidR="00E20381" w:rsidRPr="00AF37D8">
        <w:tab/>
      </w:r>
      <w:r>
        <w:t>08/22/23</w:t>
      </w:r>
      <w:r w:rsidR="00E20381" w:rsidRPr="00AF37D8">
        <w:tab/>
        <w:t>20220</w:t>
      </w:r>
      <w:r w:rsidR="00E20381">
        <w:t>062</w:t>
      </w:r>
      <w:r w:rsidR="00E20381" w:rsidRPr="00AF37D8">
        <w:t>-WS</w:t>
      </w:r>
      <w:r w:rsidR="00E20381" w:rsidRPr="00AF37D8">
        <w:tab/>
      </w:r>
      <w:r w:rsidR="00E20381" w:rsidRPr="00AF37D8">
        <w:tab/>
      </w:r>
      <w:r w:rsidR="00E20381">
        <w:t>Transfer</w:t>
      </w:r>
    </w:p>
    <w:p w:rsidR="00B50F22" w:rsidRPr="00AF37D8" w:rsidRDefault="00B50F22" w:rsidP="00B50F22"/>
    <w:p w:rsidR="00B50F22" w:rsidRPr="00AF37D8" w:rsidRDefault="00B50F22" w:rsidP="00B50F22"/>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1"/>
          <w:pgSz w:w="12240" w:h="15840" w:code="1"/>
          <w:pgMar w:top="1440" w:right="1440" w:bottom="1440" w:left="1440" w:header="720" w:footer="720" w:gutter="0"/>
          <w:cols w:space="720"/>
          <w:titlePg/>
          <w:docGrid w:linePitch="360"/>
        </w:sectPr>
      </w:pPr>
    </w:p>
    <w:p w:rsidR="00B50F22" w:rsidRPr="00AF37D8" w:rsidRDefault="00B50F22" w:rsidP="00B50F22">
      <w:pPr>
        <w:spacing w:after="240"/>
        <w:ind w:right="1260"/>
        <w:jc w:val="both"/>
      </w:pPr>
    </w:p>
    <w:p w:rsidR="00B50F22" w:rsidRPr="00AF37D8" w:rsidRDefault="00B50F22" w:rsidP="00B50F22">
      <w:pPr>
        <w:jc w:val="center"/>
      </w:pPr>
      <w:r w:rsidRPr="00AF37D8">
        <w:t>FLORIDA PUBLIC SERVICE COMMISSION</w:t>
      </w:r>
    </w:p>
    <w:p w:rsidR="00B50F22" w:rsidRPr="00AF37D8" w:rsidRDefault="00B50F22" w:rsidP="00B50F22">
      <w:pPr>
        <w:jc w:val="center"/>
      </w:pPr>
      <w:r w:rsidRPr="00AF37D8">
        <w:t>authorizes</w:t>
      </w:r>
    </w:p>
    <w:p w:rsidR="00B50F22" w:rsidRPr="00AF37D8" w:rsidRDefault="00B50F22" w:rsidP="00B50F22">
      <w:pPr>
        <w:jc w:val="center"/>
        <w:rPr>
          <w:bCs/>
        </w:rPr>
      </w:pPr>
      <w:r w:rsidRPr="00AF37D8">
        <w:rPr>
          <w:bCs/>
        </w:rPr>
        <w:t>CSWR-Florida Utility Operating Company, LLC</w:t>
      </w:r>
    </w:p>
    <w:p w:rsidR="00B50F22" w:rsidRPr="00AF37D8" w:rsidRDefault="00B50F22" w:rsidP="00B50F22">
      <w:pPr>
        <w:jc w:val="center"/>
      </w:pPr>
      <w:r w:rsidRPr="00AF37D8">
        <w:t xml:space="preserve">pursuant to </w:t>
      </w:r>
    </w:p>
    <w:p w:rsidR="00B50F22" w:rsidRPr="00AF37D8" w:rsidRDefault="00B50F22" w:rsidP="00B50F22">
      <w:pPr>
        <w:jc w:val="center"/>
      </w:pPr>
      <w:r w:rsidRPr="00AF37D8">
        <w:t>Certificate Number 481-S</w:t>
      </w:r>
    </w:p>
    <w:p w:rsidR="00B50F22" w:rsidRPr="00AF37D8" w:rsidRDefault="00B50F22" w:rsidP="00B50F22">
      <w:pPr>
        <w:jc w:val="center"/>
      </w:pPr>
    </w:p>
    <w:p w:rsidR="00B50F22" w:rsidRPr="00AF37D8" w:rsidRDefault="00B50F22" w:rsidP="00B50F22">
      <w:pPr>
        <w:jc w:val="both"/>
      </w:pPr>
      <w:r w:rsidRPr="00AF37D8">
        <w:t xml:space="preserve">to provide wastewater service in </w:t>
      </w:r>
      <w:r w:rsidRPr="00AF37D8">
        <w:rPr>
          <w:u w:val="single"/>
        </w:rPr>
        <w:t>Marion County</w:t>
      </w:r>
      <w:r w:rsidRPr="00AF37D8">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50F22" w:rsidRPr="00AF37D8" w:rsidRDefault="00B50F22" w:rsidP="00B50F22"/>
    <w:p w:rsidR="00B50F22" w:rsidRPr="00AF37D8" w:rsidRDefault="00B50F22" w:rsidP="00B50F22">
      <w:r w:rsidRPr="00AF37D8">
        <w:rPr>
          <w:u w:val="single"/>
        </w:rPr>
        <w:t>Order Number</w:t>
      </w:r>
      <w:r w:rsidRPr="00AF37D8">
        <w:tab/>
      </w:r>
      <w:r w:rsidRPr="00AF37D8">
        <w:tab/>
      </w:r>
      <w:r w:rsidRPr="00AF37D8">
        <w:tab/>
      </w:r>
      <w:r w:rsidRPr="00AF37D8">
        <w:rPr>
          <w:u w:val="single"/>
        </w:rPr>
        <w:t>Date Issued</w:t>
      </w:r>
      <w:r w:rsidRPr="00AF37D8">
        <w:tab/>
      </w:r>
      <w:r w:rsidRPr="00AF37D8">
        <w:rPr>
          <w:u w:val="single"/>
        </w:rPr>
        <w:t>Docket Number</w:t>
      </w:r>
      <w:r w:rsidRPr="00AF37D8">
        <w:tab/>
      </w:r>
      <w:r w:rsidRPr="00AF37D8">
        <w:rPr>
          <w:u w:val="single"/>
        </w:rPr>
        <w:t>Filing Type</w:t>
      </w:r>
    </w:p>
    <w:p w:rsidR="00B50F22" w:rsidRPr="00AF37D8" w:rsidRDefault="00B50F22" w:rsidP="00B50F22"/>
    <w:p w:rsidR="00B50F22" w:rsidRPr="00AF37D8" w:rsidRDefault="00B50F22" w:rsidP="00B50F22">
      <w:r w:rsidRPr="00AF37D8">
        <w:t xml:space="preserve">PSC-93-0368-FOF-WS         </w:t>
      </w:r>
      <w:r w:rsidRPr="00AF37D8">
        <w:tab/>
        <w:t>03/09/93</w:t>
      </w:r>
      <w:r w:rsidRPr="00AF37D8">
        <w:tab/>
        <w:t>19921260-WS</w:t>
      </w:r>
      <w:r w:rsidRPr="00AF37D8">
        <w:tab/>
      </w:r>
      <w:r w:rsidRPr="00AF37D8">
        <w:tab/>
        <w:t>Transfer</w:t>
      </w:r>
    </w:p>
    <w:p w:rsidR="00B50F22" w:rsidRPr="00AF37D8" w:rsidRDefault="00B50F22" w:rsidP="00B50F22">
      <w:r w:rsidRPr="00AF37D8">
        <w:t>PSC-94-0701-FOF-WS</w:t>
      </w:r>
      <w:r w:rsidRPr="00AF37D8">
        <w:tab/>
        <w:t>06/08/94</w:t>
      </w:r>
      <w:r w:rsidRPr="00AF37D8">
        <w:tab/>
        <w:t>19931080-WS</w:t>
      </w:r>
      <w:r w:rsidRPr="00AF37D8">
        <w:tab/>
      </w:r>
      <w:r w:rsidRPr="00AF37D8">
        <w:tab/>
        <w:t>Transfer</w:t>
      </w:r>
    </w:p>
    <w:p w:rsidR="00B50F22" w:rsidRPr="00AF37D8" w:rsidRDefault="00B50F22" w:rsidP="00B50F22">
      <w:r w:rsidRPr="00AF37D8">
        <w:t>PSC-06-0593-FOF-WS</w:t>
      </w:r>
      <w:r w:rsidRPr="00AF37D8">
        <w:tab/>
        <w:t>07/07/06</w:t>
      </w:r>
      <w:r w:rsidRPr="00AF37D8">
        <w:tab/>
        <w:t>20060028-WS</w:t>
      </w:r>
      <w:r w:rsidRPr="00AF37D8">
        <w:tab/>
      </w:r>
      <w:r w:rsidRPr="00AF37D8">
        <w:tab/>
        <w:t>TMOC</w:t>
      </w:r>
    </w:p>
    <w:p w:rsidR="00B50F22" w:rsidRPr="00AF37D8" w:rsidRDefault="00B50F22" w:rsidP="00B50F22">
      <w:r w:rsidRPr="00AF37D8">
        <w:t>PSC-97-0206A-FOF-WS</w:t>
      </w:r>
      <w:r w:rsidRPr="00AF37D8">
        <w:tab/>
        <w:t>03/05/97</w:t>
      </w:r>
      <w:r w:rsidRPr="00AF37D8">
        <w:tab/>
        <w:t>19960095-WS</w:t>
      </w:r>
      <w:r w:rsidRPr="00AF37D8">
        <w:tab/>
      </w:r>
      <w:r w:rsidRPr="00AF37D8">
        <w:tab/>
        <w:t>Amendatory Order</w:t>
      </w:r>
    </w:p>
    <w:p w:rsidR="0074560A" w:rsidRDefault="00105E8A" w:rsidP="0074560A">
      <w:r>
        <w:t>PSC-2023-0254-FOF-WS</w:t>
      </w:r>
      <w:r w:rsidRPr="00AF37D8">
        <w:tab/>
      </w:r>
      <w:r>
        <w:t>08/21/23</w:t>
      </w:r>
      <w:r w:rsidR="00B50F22" w:rsidRPr="00AF37D8">
        <w:tab/>
        <w:t>20220203-WS</w:t>
      </w:r>
      <w:r w:rsidR="00B50F22" w:rsidRPr="00AF37D8">
        <w:tab/>
      </w:r>
      <w:r w:rsidR="00B50F22" w:rsidRPr="00AF37D8">
        <w:tab/>
        <w:t>Amendment</w:t>
      </w:r>
    </w:p>
    <w:p w:rsidR="00B50F22" w:rsidRPr="00AF37D8" w:rsidRDefault="001736EE" w:rsidP="0074560A">
      <w:r>
        <w:t>PSC-2023-0266-PAA-WS</w:t>
      </w:r>
      <w:r w:rsidRPr="00AF37D8">
        <w:tab/>
      </w:r>
      <w:r>
        <w:t>08/22/23</w:t>
      </w:r>
      <w:r w:rsidR="0074560A" w:rsidRPr="00AF37D8">
        <w:tab/>
        <w:t>20220</w:t>
      </w:r>
      <w:r w:rsidR="0074560A">
        <w:t>062</w:t>
      </w:r>
      <w:r w:rsidR="0074560A" w:rsidRPr="00AF37D8">
        <w:t>-WS</w:t>
      </w:r>
      <w:r w:rsidR="0074560A" w:rsidRPr="00AF37D8">
        <w:tab/>
      </w:r>
      <w:r w:rsidR="0074560A" w:rsidRPr="00AF37D8">
        <w:tab/>
      </w:r>
      <w:r w:rsidR="0074560A">
        <w:t>Transfer</w:t>
      </w:r>
    </w:p>
    <w:p w:rsidR="00B50F22" w:rsidRPr="00AF37D8" w:rsidRDefault="00B50F22" w:rsidP="00B50F22">
      <w:pPr>
        <w:spacing w:before="60"/>
      </w:pPr>
    </w:p>
    <w:p w:rsidR="00B50F22" w:rsidRPr="00AF37D8" w:rsidRDefault="00B50F22" w:rsidP="00B50F22"/>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2"/>
          <w:pgSz w:w="12240" w:h="15840" w:code="1"/>
          <w:pgMar w:top="1440" w:right="1440" w:bottom="1440" w:left="1440" w:header="720" w:footer="720" w:gutter="0"/>
          <w:cols w:space="720"/>
          <w:titlePg/>
          <w:docGrid w:linePitch="360"/>
        </w:sectPr>
      </w:pPr>
    </w:p>
    <w:p w:rsidR="00B50F22" w:rsidRPr="00AF37D8" w:rsidRDefault="00B50F22" w:rsidP="00B50F22">
      <w:pPr>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jc w:val="center"/>
      </w:pPr>
      <w:r w:rsidRPr="00AF37D8">
        <w:t>Schedule of Water Net Book Value as of February 28, 2022</w:t>
      </w:r>
    </w:p>
    <w:p w:rsidR="00B50F22" w:rsidRPr="00AF37D8" w:rsidRDefault="00B50F22" w:rsidP="00B50F22">
      <w:pPr>
        <w:jc w:val="center"/>
      </w:pPr>
    </w:p>
    <w:tbl>
      <w:tblPr>
        <w:tblW w:w="9463" w:type="dxa"/>
        <w:tblInd w:w="113" w:type="dxa"/>
        <w:tblLook w:val="04A0" w:firstRow="1" w:lastRow="0" w:firstColumn="1" w:lastColumn="0" w:noHBand="0" w:noVBand="1"/>
      </w:tblPr>
      <w:tblGrid>
        <w:gridCol w:w="3568"/>
        <w:gridCol w:w="1545"/>
        <w:gridCol w:w="1794"/>
        <w:gridCol w:w="853"/>
        <w:gridCol w:w="1703"/>
      </w:tblGrid>
      <w:tr w:rsidR="00B50F22" w:rsidRPr="00AF37D8" w:rsidTr="0065692A">
        <w:trPr>
          <w:trHeight w:val="290"/>
        </w:trPr>
        <w:tc>
          <w:tcPr>
            <w:tcW w:w="3568" w:type="dxa"/>
            <w:shd w:val="clear" w:color="auto" w:fill="auto"/>
            <w:noWrap/>
            <w:vAlign w:val="bottom"/>
            <w:hideMark/>
          </w:tcPr>
          <w:p w:rsidR="00B50F22" w:rsidRPr="00AF37D8" w:rsidRDefault="00B50F22" w:rsidP="00B50F22">
            <w:pPr>
              <w:jc w:val="center"/>
            </w:pPr>
            <w:r w:rsidRPr="00AF37D8">
              <w:rPr>
                <w:bCs/>
                <w:u w:val="single"/>
              </w:rPr>
              <w:t>Description</w:t>
            </w:r>
          </w:p>
        </w:tc>
        <w:tc>
          <w:tcPr>
            <w:tcW w:w="1545" w:type="dxa"/>
            <w:shd w:val="clear" w:color="auto" w:fill="auto"/>
            <w:noWrap/>
            <w:vAlign w:val="bottom"/>
            <w:hideMark/>
          </w:tcPr>
          <w:p w:rsidR="00B50F22" w:rsidRPr="00AF37D8" w:rsidRDefault="00B50F22" w:rsidP="00B50F22">
            <w:pPr>
              <w:jc w:val="center"/>
              <w:rPr>
                <w:bCs/>
                <w:color w:val="000000"/>
              </w:rPr>
            </w:pPr>
            <w:r w:rsidRPr="00AF37D8">
              <w:rPr>
                <w:bCs/>
                <w:color w:val="000000"/>
              </w:rPr>
              <w:t xml:space="preserve">Balance </w:t>
            </w:r>
          </w:p>
          <w:p w:rsidR="00B50F22" w:rsidRPr="00AF37D8" w:rsidRDefault="00B50F22" w:rsidP="00B50F22">
            <w:pPr>
              <w:jc w:val="center"/>
              <w:rPr>
                <w:bCs/>
                <w:color w:val="000000"/>
              </w:rPr>
            </w:pPr>
            <w:r w:rsidRPr="00AF37D8">
              <w:rPr>
                <w:bCs/>
                <w:color w:val="000000"/>
              </w:rPr>
              <w:t>Per Utility</w:t>
            </w:r>
          </w:p>
          <w:p w:rsidR="00B50F22" w:rsidRPr="00AF37D8" w:rsidRDefault="00B50F22" w:rsidP="00B50F22">
            <w:pPr>
              <w:jc w:val="center"/>
              <w:rPr>
                <w:color w:val="000000"/>
              </w:rPr>
            </w:pPr>
            <w:r w:rsidRPr="00AF37D8">
              <w:rPr>
                <w:bCs/>
                <w:color w:val="000000"/>
                <w:u w:val="single"/>
              </w:rPr>
              <w:t>2/28/22</w:t>
            </w:r>
          </w:p>
        </w:tc>
        <w:tc>
          <w:tcPr>
            <w:tcW w:w="1794" w:type="dxa"/>
            <w:shd w:val="clear" w:color="auto" w:fill="auto"/>
            <w:noWrap/>
            <w:vAlign w:val="bottom"/>
            <w:hideMark/>
          </w:tcPr>
          <w:p w:rsidR="00B50F22" w:rsidRPr="00AF37D8" w:rsidRDefault="00B50F22" w:rsidP="00B50F22">
            <w:pPr>
              <w:jc w:val="center"/>
              <w:rPr>
                <w:bCs/>
                <w:color w:val="000000"/>
                <w:u w:val="single"/>
              </w:rPr>
            </w:pPr>
          </w:p>
          <w:p w:rsidR="00B50F22" w:rsidRPr="00AF37D8" w:rsidRDefault="00B50F22" w:rsidP="00B50F22">
            <w:pPr>
              <w:jc w:val="center"/>
              <w:rPr>
                <w:bCs/>
                <w:color w:val="000000"/>
                <w:u w:val="single"/>
              </w:rPr>
            </w:pPr>
            <w:r w:rsidRPr="00AF37D8">
              <w:rPr>
                <w:bCs/>
                <w:color w:val="000000"/>
                <w:u w:val="single"/>
              </w:rPr>
              <w:t>Adjustments</w:t>
            </w:r>
          </w:p>
        </w:tc>
        <w:tc>
          <w:tcPr>
            <w:tcW w:w="853" w:type="dxa"/>
          </w:tcPr>
          <w:p w:rsidR="00B50F22" w:rsidRPr="00AF37D8" w:rsidRDefault="00B50F22" w:rsidP="00B50F22">
            <w:pPr>
              <w:jc w:val="center"/>
              <w:rPr>
                <w:bCs/>
                <w:color w:val="000000"/>
                <w:u w:val="single"/>
              </w:rPr>
            </w:pPr>
          </w:p>
        </w:tc>
        <w:tc>
          <w:tcPr>
            <w:tcW w:w="1703" w:type="dxa"/>
            <w:shd w:val="clear" w:color="auto" w:fill="auto"/>
            <w:noWrap/>
            <w:vAlign w:val="bottom"/>
            <w:hideMark/>
          </w:tcPr>
          <w:p w:rsidR="00B50F22" w:rsidRPr="009C341F" w:rsidRDefault="002D0F8B" w:rsidP="00B50F22">
            <w:pPr>
              <w:jc w:val="center"/>
              <w:rPr>
                <w:bCs/>
                <w:color w:val="000000"/>
              </w:rPr>
            </w:pPr>
            <w:r w:rsidRPr="009C341F">
              <w:rPr>
                <w:bCs/>
                <w:color w:val="000000"/>
              </w:rPr>
              <w:t>Per Commission</w:t>
            </w:r>
          </w:p>
          <w:p w:rsidR="00B50F22" w:rsidRPr="00AF37D8" w:rsidRDefault="00B50F22" w:rsidP="00B50F22">
            <w:pPr>
              <w:jc w:val="center"/>
              <w:rPr>
                <w:bCs/>
                <w:color w:val="000000"/>
                <w:u w:val="single"/>
              </w:rPr>
            </w:pPr>
            <w:r w:rsidRPr="00AF37D8">
              <w:rPr>
                <w:bCs/>
                <w:color w:val="000000"/>
                <w:u w:val="single"/>
              </w:rPr>
              <w:t>2/28/22</w:t>
            </w:r>
          </w:p>
        </w:tc>
      </w:tr>
      <w:tr w:rsidR="00B50F22" w:rsidRPr="00AF37D8" w:rsidTr="0065692A">
        <w:trPr>
          <w:trHeight w:val="290"/>
        </w:trPr>
        <w:tc>
          <w:tcPr>
            <w:tcW w:w="3568" w:type="dxa"/>
            <w:shd w:val="clear" w:color="auto" w:fill="auto"/>
            <w:noWrap/>
            <w:vAlign w:val="bottom"/>
          </w:tcPr>
          <w:p w:rsidR="00B50F22" w:rsidRPr="00AF37D8" w:rsidRDefault="00B50F22" w:rsidP="00B50F22">
            <w:pPr>
              <w:rPr>
                <w:color w:val="000000"/>
              </w:rPr>
            </w:pPr>
          </w:p>
        </w:tc>
        <w:tc>
          <w:tcPr>
            <w:tcW w:w="1545" w:type="dxa"/>
            <w:shd w:val="clear" w:color="auto" w:fill="auto"/>
            <w:noWrap/>
            <w:vAlign w:val="bottom"/>
          </w:tcPr>
          <w:p w:rsidR="00B50F22" w:rsidRPr="00AF37D8" w:rsidRDefault="00B50F22" w:rsidP="00B50F22">
            <w:pPr>
              <w:jc w:val="right"/>
              <w:rPr>
                <w:color w:val="000000"/>
              </w:rPr>
            </w:pPr>
          </w:p>
        </w:tc>
        <w:tc>
          <w:tcPr>
            <w:tcW w:w="1794" w:type="dxa"/>
            <w:shd w:val="clear" w:color="auto" w:fill="auto"/>
            <w:noWrap/>
            <w:vAlign w:val="bottom"/>
          </w:tcPr>
          <w:p w:rsidR="00B50F22" w:rsidRPr="00AF37D8" w:rsidRDefault="00B50F22" w:rsidP="00B50F22">
            <w:pPr>
              <w:jc w:val="right"/>
              <w:rPr>
                <w:color w:val="000000"/>
              </w:rPr>
            </w:pPr>
          </w:p>
        </w:tc>
        <w:tc>
          <w:tcPr>
            <w:tcW w:w="853" w:type="dxa"/>
          </w:tcPr>
          <w:p w:rsidR="00B50F22" w:rsidRPr="00AF37D8" w:rsidRDefault="00B50F22" w:rsidP="00B50F22">
            <w:pPr>
              <w:jc w:val="right"/>
              <w:rPr>
                <w:color w:val="000000"/>
              </w:rPr>
            </w:pPr>
          </w:p>
        </w:tc>
        <w:tc>
          <w:tcPr>
            <w:tcW w:w="1703" w:type="dxa"/>
            <w:shd w:val="clear" w:color="auto" w:fill="auto"/>
            <w:noWrap/>
            <w:vAlign w:val="bottom"/>
          </w:tcPr>
          <w:p w:rsidR="00B50F22" w:rsidRPr="00AF37D8" w:rsidRDefault="00B50F22" w:rsidP="00B50F22">
            <w:pPr>
              <w:jc w:val="right"/>
              <w:rPr>
                <w:color w:val="000000"/>
              </w:rPr>
            </w:pP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Utility Plant in Service </w:t>
            </w:r>
          </w:p>
        </w:tc>
        <w:tc>
          <w:tcPr>
            <w:tcW w:w="1545" w:type="dxa"/>
            <w:noWrap/>
            <w:hideMark/>
          </w:tcPr>
          <w:p w:rsidR="00B50F22" w:rsidRPr="00AF37D8" w:rsidRDefault="00B50F22" w:rsidP="00B50F22">
            <w:pPr>
              <w:jc w:val="right"/>
              <w:rPr>
                <w:color w:val="000000"/>
              </w:rPr>
            </w:pPr>
            <w:r w:rsidRPr="00AF37D8">
              <w:t>$594,332</w:t>
            </w:r>
          </w:p>
        </w:tc>
        <w:tc>
          <w:tcPr>
            <w:tcW w:w="1794" w:type="dxa"/>
            <w:noWrap/>
            <w:hideMark/>
          </w:tcPr>
          <w:p w:rsidR="00B50F22" w:rsidRPr="00AF37D8" w:rsidRDefault="00B50F22" w:rsidP="00B50F22">
            <w:pPr>
              <w:jc w:val="right"/>
              <w:rPr>
                <w:color w:val="000000"/>
              </w:rPr>
            </w:pPr>
            <w:r w:rsidRPr="00AF37D8">
              <w:t>($49,667)</w:t>
            </w:r>
          </w:p>
        </w:tc>
        <w:tc>
          <w:tcPr>
            <w:tcW w:w="853" w:type="dxa"/>
          </w:tcPr>
          <w:p w:rsidR="00B50F22" w:rsidRPr="00AF37D8" w:rsidRDefault="00B50F22" w:rsidP="00B50F22">
            <w:pPr>
              <w:jc w:val="right"/>
            </w:pPr>
            <w:r w:rsidRPr="00AF37D8">
              <w:t>A</w:t>
            </w:r>
          </w:p>
        </w:tc>
        <w:tc>
          <w:tcPr>
            <w:tcW w:w="1703" w:type="dxa"/>
            <w:noWrap/>
            <w:hideMark/>
          </w:tcPr>
          <w:p w:rsidR="00B50F22" w:rsidRPr="00AF37D8" w:rsidRDefault="00B50F22" w:rsidP="00B50F22">
            <w:pPr>
              <w:jc w:val="right"/>
              <w:rPr>
                <w:color w:val="000000"/>
              </w:rPr>
            </w:pPr>
            <w:r w:rsidRPr="00AF37D8">
              <w:t>$544,665</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Land &amp; Land Rights </w:t>
            </w:r>
          </w:p>
        </w:tc>
        <w:tc>
          <w:tcPr>
            <w:tcW w:w="1545" w:type="dxa"/>
            <w:noWrap/>
            <w:hideMark/>
          </w:tcPr>
          <w:p w:rsidR="00B50F22" w:rsidRPr="00AF37D8" w:rsidRDefault="00B50F22" w:rsidP="00B50F22">
            <w:pPr>
              <w:jc w:val="right"/>
              <w:rPr>
                <w:color w:val="000000"/>
              </w:rPr>
            </w:pPr>
            <w:r w:rsidRPr="00AF37D8">
              <w:t>19,500</w:t>
            </w:r>
          </w:p>
        </w:tc>
        <w:tc>
          <w:tcPr>
            <w:tcW w:w="1794" w:type="dxa"/>
            <w:noWrap/>
            <w:hideMark/>
          </w:tcPr>
          <w:p w:rsidR="00B50F22" w:rsidRPr="00AF37D8" w:rsidRDefault="00B50F22" w:rsidP="00B50F22">
            <w:pPr>
              <w:jc w:val="right"/>
              <w:rPr>
                <w:color w:val="000000"/>
              </w:rPr>
            </w:pPr>
            <w:r w:rsidRPr="00AF37D8">
              <w:rPr>
                <w:color w:val="000000"/>
              </w:rPr>
              <w:t>-</w:t>
            </w:r>
          </w:p>
        </w:tc>
        <w:tc>
          <w:tcPr>
            <w:tcW w:w="853" w:type="dxa"/>
          </w:tcPr>
          <w:p w:rsidR="00B50F22" w:rsidRPr="00AF37D8" w:rsidRDefault="00B50F22" w:rsidP="00B50F22">
            <w:pPr>
              <w:jc w:val="right"/>
            </w:pPr>
          </w:p>
        </w:tc>
        <w:tc>
          <w:tcPr>
            <w:tcW w:w="1703" w:type="dxa"/>
            <w:noWrap/>
            <w:hideMark/>
          </w:tcPr>
          <w:p w:rsidR="00B50F22" w:rsidRPr="00AF37D8" w:rsidRDefault="00B50F22" w:rsidP="00B50F22">
            <w:pPr>
              <w:jc w:val="right"/>
              <w:rPr>
                <w:color w:val="000000"/>
              </w:rPr>
            </w:pPr>
            <w:r w:rsidRPr="00AF37D8">
              <w:t>19,500</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Accumulated Depreciation </w:t>
            </w:r>
          </w:p>
        </w:tc>
        <w:tc>
          <w:tcPr>
            <w:tcW w:w="1545" w:type="dxa"/>
            <w:noWrap/>
            <w:hideMark/>
          </w:tcPr>
          <w:p w:rsidR="00B50F22" w:rsidRPr="00AF37D8" w:rsidRDefault="00B50F22" w:rsidP="00B50F22">
            <w:pPr>
              <w:jc w:val="right"/>
              <w:rPr>
                <w:color w:val="000000"/>
              </w:rPr>
            </w:pPr>
            <w:r w:rsidRPr="00AF37D8">
              <w:t>(405,657)</w:t>
            </w:r>
          </w:p>
        </w:tc>
        <w:tc>
          <w:tcPr>
            <w:tcW w:w="1794" w:type="dxa"/>
            <w:noWrap/>
            <w:hideMark/>
          </w:tcPr>
          <w:p w:rsidR="00B50F22" w:rsidRPr="00AF37D8" w:rsidRDefault="00B50F22" w:rsidP="00B50F22">
            <w:pPr>
              <w:jc w:val="right"/>
              <w:rPr>
                <w:color w:val="000000"/>
              </w:rPr>
            </w:pPr>
            <w:r w:rsidRPr="00AF37D8">
              <w:t>80,623</w:t>
            </w:r>
          </w:p>
        </w:tc>
        <w:tc>
          <w:tcPr>
            <w:tcW w:w="853" w:type="dxa"/>
          </w:tcPr>
          <w:p w:rsidR="00B50F22" w:rsidRPr="00AF37D8" w:rsidRDefault="00B50F22" w:rsidP="00B50F22">
            <w:pPr>
              <w:jc w:val="right"/>
            </w:pPr>
            <w:r w:rsidRPr="00AF37D8">
              <w:t>B</w:t>
            </w:r>
          </w:p>
        </w:tc>
        <w:tc>
          <w:tcPr>
            <w:tcW w:w="1703" w:type="dxa"/>
            <w:noWrap/>
            <w:hideMark/>
          </w:tcPr>
          <w:p w:rsidR="00B50F22" w:rsidRPr="00AF37D8" w:rsidRDefault="00B50F22" w:rsidP="00B50F22">
            <w:pPr>
              <w:jc w:val="right"/>
              <w:rPr>
                <w:color w:val="000000"/>
              </w:rPr>
            </w:pPr>
            <w:r w:rsidRPr="00AF37D8">
              <w:t>(325,034)</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CIAC </w:t>
            </w:r>
          </w:p>
        </w:tc>
        <w:tc>
          <w:tcPr>
            <w:tcW w:w="1545" w:type="dxa"/>
            <w:noWrap/>
            <w:hideMark/>
          </w:tcPr>
          <w:p w:rsidR="00B50F22" w:rsidRPr="00AF37D8" w:rsidRDefault="00B50F22" w:rsidP="00B50F22">
            <w:pPr>
              <w:jc w:val="right"/>
              <w:rPr>
                <w:color w:val="000000"/>
              </w:rPr>
            </w:pPr>
            <w:r w:rsidRPr="00AF37D8">
              <w:t>(132,796)</w:t>
            </w:r>
          </w:p>
        </w:tc>
        <w:tc>
          <w:tcPr>
            <w:tcW w:w="1794" w:type="dxa"/>
            <w:noWrap/>
            <w:hideMark/>
          </w:tcPr>
          <w:p w:rsidR="00B50F22" w:rsidRPr="00AF37D8" w:rsidRDefault="00B50F22" w:rsidP="00B50F22">
            <w:pPr>
              <w:jc w:val="right"/>
              <w:rPr>
                <w:color w:val="000000"/>
              </w:rPr>
            </w:pPr>
            <w:r w:rsidRPr="00AF37D8">
              <w:rPr>
                <w:color w:val="000000"/>
              </w:rPr>
              <w:t>7,863</w:t>
            </w:r>
          </w:p>
        </w:tc>
        <w:tc>
          <w:tcPr>
            <w:tcW w:w="853" w:type="dxa"/>
          </w:tcPr>
          <w:p w:rsidR="00B50F22" w:rsidRPr="00AF37D8" w:rsidRDefault="00B50F22" w:rsidP="00B50F22">
            <w:pPr>
              <w:jc w:val="right"/>
            </w:pPr>
            <w:r w:rsidRPr="00AF37D8">
              <w:t>C</w:t>
            </w:r>
          </w:p>
        </w:tc>
        <w:tc>
          <w:tcPr>
            <w:tcW w:w="1703" w:type="dxa"/>
            <w:noWrap/>
            <w:hideMark/>
          </w:tcPr>
          <w:p w:rsidR="00B50F22" w:rsidRPr="00AF37D8" w:rsidRDefault="00B50F22" w:rsidP="00B50F22">
            <w:pPr>
              <w:jc w:val="right"/>
              <w:rPr>
                <w:color w:val="000000"/>
              </w:rPr>
            </w:pPr>
            <w:r w:rsidRPr="00AF37D8">
              <w:t>(124,933)</w:t>
            </w:r>
          </w:p>
        </w:tc>
      </w:tr>
      <w:tr w:rsidR="00B50F22" w:rsidRPr="00AF37D8" w:rsidTr="0065692A">
        <w:trPr>
          <w:trHeight w:val="301"/>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Amortization of CIAC </w:t>
            </w:r>
          </w:p>
        </w:tc>
        <w:tc>
          <w:tcPr>
            <w:tcW w:w="1545" w:type="dxa"/>
            <w:noWrap/>
            <w:hideMark/>
          </w:tcPr>
          <w:p w:rsidR="00B50F22" w:rsidRPr="00AF37D8" w:rsidRDefault="00B50F22" w:rsidP="00B50F22">
            <w:pPr>
              <w:jc w:val="right"/>
              <w:rPr>
                <w:color w:val="000000"/>
                <w:u w:val="single"/>
              </w:rPr>
            </w:pPr>
            <w:r w:rsidRPr="00AF37D8">
              <w:rPr>
                <w:u w:val="single"/>
              </w:rPr>
              <w:t>121,903</w:t>
            </w:r>
          </w:p>
        </w:tc>
        <w:tc>
          <w:tcPr>
            <w:tcW w:w="1794" w:type="dxa"/>
            <w:noWrap/>
            <w:hideMark/>
          </w:tcPr>
          <w:p w:rsidR="00B50F22" w:rsidRPr="00AF37D8" w:rsidRDefault="00B50F22" w:rsidP="00B50F22">
            <w:pPr>
              <w:jc w:val="right"/>
              <w:rPr>
                <w:color w:val="000000"/>
                <w:u w:val="single"/>
              </w:rPr>
            </w:pPr>
            <w:r w:rsidRPr="00AF37D8">
              <w:rPr>
                <w:u w:val="single"/>
              </w:rPr>
              <w:t>(7,403)</w:t>
            </w:r>
          </w:p>
        </w:tc>
        <w:tc>
          <w:tcPr>
            <w:tcW w:w="853" w:type="dxa"/>
          </w:tcPr>
          <w:p w:rsidR="00B50F22" w:rsidRPr="00AF37D8" w:rsidRDefault="00B50F22" w:rsidP="00B50F22">
            <w:pPr>
              <w:jc w:val="right"/>
            </w:pPr>
            <w:r w:rsidRPr="00AF37D8">
              <w:t>D</w:t>
            </w:r>
          </w:p>
        </w:tc>
        <w:tc>
          <w:tcPr>
            <w:tcW w:w="1703" w:type="dxa"/>
            <w:noWrap/>
            <w:hideMark/>
          </w:tcPr>
          <w:p w:rsidR="00B50F22" w:rsidRPr="00AF37D8" w:rsidRDefault="00B50F22" w:rsidP="00B50F22">
            <w:pPr>
              <w:jc w:val="right"/>
              <w:rPr>
                <w:color w:val="000000"/>
                <w:u w:val="single"/>
              </w:rPr>
            </w:pPr>
            <w:r w:rsidRPr="00AF37D8">
              <w:rPr>
                <w:u w:val="single"/>
              </w:rPr>
              <w:t>114,500</w:t>
            </w:r>
          </w:p>
        </w:tc>
      </w:tr>
      <w:tr w:rsidR="00B50F22" w:rsidRPr="00AF37D8" w:rsidTr="0065692A">
        <w:trPr>
          <w:trHeight w:val="301"/>
        </w:trPr>
        <w:tc>
          <w:tcPr>
            <w:tcW w:w="3568" w:type="dxa"/>
            <w:shd w:val="clear" w:color="auto" w:fill="auto"/>
            <w:noWrap/>
            <w:vAlign w:val="bottom"/>
          </w:tcPr>
          <w:p w:rsidR="00B50F22" w:rsidRPr="00AF37D8" w:rsidRDefault="00B50F22" w:rsidP="00B50F22">
            <w:pPr>
              <w:rPr>
                <w:color w:val="000000"/>
              </w:rPr>
            </w:pPr>
          </w:p>
        </w:tc>
        <w:tc>
          <w:tcPr>
            <w:tcW w:w="1545" w:type="dxa"/>
            <w:noWrap/>
          </w:tcPr>
          <w:p w:rsidR="00B50F22" w:rsidRPr="00AF37D8" w:rsidRDefault="00B50F22" w:rsidP="00B50F22">
            <w:pPr>
              <w:jc w:val="right"/>
              <w:rPr>
                <w:color w:val="000000"/>
              </w:rPr>
            </w:pPr>
          </w:p>
        </w:tc>
        <w:tc>
          <w:tcPr>
            <w:tcW w:w="1794" w:type="dxa"/>
            <w:noWrap/>
          </w:tcPr>
          <w:p w:rsidR="00B50F22" w:rsidRPr="00AF37D8" w:rsidRDefault="00B50F22" w:rsidP="00B50F22">
            <w:pPr>
              <w:jc w:val="right"/>
              <w:rPr>
                <w:color w:val="000000"/>
              </w:rPr>
            </w:pPr>
          </w:p>
        </w:tc>
        <w:tc>
          <w:tcPr>
            <w:tcW w:w="853" w:type="dxa"/>
          </w:tcPr>
          <w:p w:rsidR="00B50F22" w:rsidRPr="00AF37D8" w:rsidRDefault="00B50F22" w:rsidP="00B50F22">
            <w:pPr>
              <w:jc w:val="right"/>
              <w:rPr>
                <w:color w:val="000000"/>
              </w:rPr>
            </w:pPr>
          </w:p>
        </w:tc>
        <w:tc>
          <w:tcPr>
            <w:tcW w:w="1703" w:type="dxa"/>
            <w:noWrap/>
          </w:tcPr>
          <w:p w:rsidR="00B50F22" w:rsidRPr="00AF37D8" w:rsidRDefault="00B50F22" w:rsidP="00B50F22">
            <w:pPr>
              <w:jc w:val="right"/>
              <w:rPr>
                <w:color w:val="000000"/>
              </w:rPr>
            </w:pPr>
          </w:p>
        </w:tc>
      </w:tr>
      <w:tr w:rsidR="00B50F22" w:rsidRPr="00AF37D8" w:rsidTr="0065692A">
        <w:trPr>
          <w:trHeight w:val="301"/>
        </w:trPr>
        <w:tc>
          <w:tcPr>
            <w:tcW w:w="3568" w:type="dxa"/>
            <w:shd w:val="clear" w:color="auto" w:fill="auto"/>
            <w:noWrap/>
            <w:vAlign w:val="bottom"/>
            <w:hideMark/>
          </w:tcPr>
          <w:p w:rsidR="00B50F22" w:rsidRPr="00AF37D8" w:rsidRDefault="00B50F22" w:rsidP="00B50F22">
            <w:pPr>
              <w:rPr>
                <w:color w:val="000000"/>
              </w:rPr>
            </w:pPr>
            <w:r w:rsidRPr="00AF37D8">
              <w:rPr>
                <w:color w:val="000000"/>
              </w:rPr>
              <w:t>Total</w:t>
            </w:r>
          </w:p>
        </w:tc>
        <w:tc>
          <w:tcPr>
            <w:tcW w:w="1545" w:type="dxa"/>
            <w:noWrap/>
            <w:hideMark/>
          </w:tcPr>
          <w:p w:rsidR="00B50F22" w:rsidRPr="00AF37D8" w:rsidRDefault="00B50F22" w:rsidP="00B50F22">
            <w:pPr>
              <w:jc w:val="right"/>
              <w:rPr>
                <w:color w:val="000000"/>
                <w:u w:val="double"/>
              </w:rPr>
            </w:pPr>
            <w:r w:rsidRPr="00AF37D8">
              <w:rPr>
                <w:u w:val="double"/>
              </w:rPr>
              <w:t>$197,282</w:t>
            </w:r>
          </w:p>
        </w:tc>
        <w:tc>
          <w:tcPr>
            <w:tcW w:w="1794" w:type="dxa"/>
            <w:noWrap/>
            <w:hideMark/>
          </w:tcPr>
          <w:p w:rsidR="00B50F22" w:rsidRPr="00AF37D8" w:rsidRDefault="00B50F22" w:rsidP="00B50F22">
            <w:pPr>
              <w:jc w:val="right"/>
              <w:rPr>
                <w:color w:val="000000"/>
                <w:u w:val="double"/>
              </w:rPr>
            </w:pPr>
            <w:r w:rsidRPr="00AF37D8">
              <w:rPr>
                <w:u w:val="double"/>
              </w:rPr>
              <w:t>$31,416</w:t>
            </w:r>
          </w:p>
        </w:tc>
        <w:tc>
          <w:tcPr>
            <w:tcW w:w="853" w:type="dxa"/>
          </w:tcPr>
          <w:p w:rsidR="00B50F22" w:rsidRPr="00AF37D8" w:rsidRDefault="00B50F22" w:rsidP="00B50F22">
            <w:pPr>
              <w:jc w:val="right"/>
              <w:rPr>
                <w:u w:val="double"/>
              </w:rPr>
            </w:pPr>
          </w:p>
        </w:tc>
        <w:tc>
          <w:tcPr>
            <w:tcW w:w="1703" w:type="dxa"/>
            <w:noWrap/>
            <w:hideMark/>
          </w:tcPr>
          <w:p w:rsidR="00B50F22" w:rsidRPr="00AF37D8" w:rsidRDefault="00B50F22" w:rsidP="00B50F22">
            <w:pPr>
              <w:jc w:val="right"/>
              <w:rPr>
                <w:color w:val="000000"/>
                <w:u w:val="double"/>
              </w:rPr>
            </w:pPr>
            <w:r w:rsidRPr="00AF37D8">
              <w:rPr>
                <w:u w:val="double"/>
              </w:rPr>
              <w:t>$228,698</w:t>
            </w:r>
          </w:p>
        </w:tc>
      </w:tr>
    </w:tbl>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3"/>
          <w:pgSz w:w="12240" w:h="15840" w:code="1"/>
          <w:pgMar w:top="1440" w:right="1440" w:bottom="1440" w:left="1440" w:header="720" w:footer="720" w:gutter="0"/>
          <w:cols w:space="720"/>
          <w:titlePg/>
          <w:docGrid w:linePitch="360"/>
        </w:sectPr>
      </w:pPr>
    </w:p>
    <w:p w:rsidR="00B50F22" w:rsidRPr="00AF37D8" w:rsidRDefault="00B50F22" w:rsidP="00B50F22">
      <w:pPr>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jc w:val="center"/>
      </w:pPr>
      <w:r w:rsidRPr="00AF37D8">
        <w:t>Schedule of Wastewater Net Book Value as of February 28, 2022</w:t>
      </w:r>
    </w:p>
    <w:p w:rsidR="00B50F22" w:rsidRPr="00AF37D8" w:rsidRDefault="00B50F22" w:rsidP="00B50F22">
      <w:pPr>
        <w:jc w:val="center"/>
      </w:pPr>
    </w:p>
    <w:tbl>
      <w:tblPr>
        <w:tblW w:w="9463" w:type="dxa"/>
        <w:tblInd w:w="113" w:type="dxa"/>
        <w:tblLook w:val="04A0" w:firstRow="1" w:lastRow="0" w:firstColumn="1" w:lastColumn="0" w:noHBand="0" w:noVBand="1"/>
      </w:tblPr>
      <w:tblGrid>
        <w:gridCol w:w="3568"/>
        <w:gridCol w:w="1545"/>
        <w:gridCol w:w="1794"/>
        <w:gridCol w:w="853"/>
        <w:gridCol w:w="1703"/>
      </w:tblGrid>
      <w:tr w:rsidR="00B50F22" w:rsidRPr="00AF37D8" w:rsidTr="0065692A">
        <w:trPr>
          <w:trHeight w:val="290"/>
        </w:trPr>
        <w:tc>
          <w:tcPr>
            <w:tcW w:w="3568" w:type="dxa"/>
            <w:shd w:val="clear" w:color="auto" w:fill="auto"/>
            <w:noWrap/>
            <w:vAlign w:val="bottom"/>
            <w:hideMark/>
          </w:tcPr>
          <w:p w:rsidR="00B50F22" w:rsidRPr="00AF37D8" w:rsidRDefault="00B50F22" w:rsidP="00B50F22">
            <w:pPr>
              <w:jc w:val="center"/>
            </w:pPr>
            <w:r w:rsidRPr="00AF37D8">
              <w:rPr>
                <w:bCs/>
                <w:u w:val="single"/>
              </w:rPr>
              <w:t>Description</w:t>
            </w:r>
          </w:p>
        </w:tc>
        <w:tc>
          <w:tcPr>
            <w:tcW w:w="1545" w:type="dxa"/>
            <w:shd w:val="clear" w:color="auto" w:fill="auto"/>
            <w:noWrap/>
            <w:vAlign w:val="bottom"/>
            <w:hideMark/>
          </w:tcPr>
          <w:p w:rsidR="00B50F22" w:rsidRPr="00AF37D8" w:rsidRDefault="00B50F22" w:rsidP="00B50F22">
            <w:pPr>
              <w:jc w:val="center"/>
              <w:rPr>
                <w:bCs/>
                <w:color w:val="000000"/>
              </w:rPr>
            </w:pPr>
            <w:r w:rsidRPr="00AF37D8">
              <w:rPr>
                <w:bCs/>
                <w:color w:val="000000"/>
              </w:rPr>
              <w:t xml:space="preserve">Balance </w:t>
            </w:r>
          </w:p>
          <w:p w:rsidR="00B50F22" w:rsidRPr="00AF37D8" w:rsidRDefault="00B50F22" w:rsidP="00B50F22">
            <w:pPr>
              <w:jc w:val="center"/>
              <w:rPr>
                <w:bCs/>
                <w:color w:val="000000"/>
              </w:rPr>
            </w:pPr>
            <w:r w:rsidRPr="00AF37D8">
              <w:rPr>
                <w:bCs/>
                <w:color w:val="000000"/>
              </w:rPr>
              <w:t>Per Utility</w:t>
            </w:r>
          </w:p>
          <w:p w:rsidR="00B50F22" w:rsidRPr="00AF37D8" w:rsidRDefault="00B50F22" w:rsidP="00B50F22">
            <w:pPr>
              <w:jc w:val="center"/>
              <w:rPr>
                <w:color w:val="000000"/>
              </w:rPr>
            </w:pPr>
            <w:r w:rsidRPr="00AF37D8">
              <w:rPr>
                <w:bCs/>
                <w:color w:val="000000"/>
                <w:u w:val="single"/>
              </w:rPr>
              <w:t>2/28/22</w:t>
            </w:r>
          </w:p>
        </w:tc>
        <w:tc>
          <w:tcPr>
            <w:tcW w:w="1794" w:type="dxa"/>
            <w:shd w:val="clear" w:color="auto" w:fill="auto"/>
            <w:noWrap/>
            <w:vAlign w:val="bottom"/>
            <w:hideMark/>
          </w:tcPr>
          <w:p w:rsidR="00B50F22" w:rsidRPr="00AF37D8" w:rsidRDefault="00B50F22" w:rsidP="00B50F22">
            <w:pPr>
              <w:jc w:val="center"/>
              <w:rPr>
                <w:bCs/>
                <w:color w:val="000000"/>
                <w:u w:val="single"/>
              </w:rPr>
            </w:pPr>
          </w:p>
          <w:p w:rsidR="00B50F22" w:rsidRPr="00AF37D8" w:rsidRDefault="00B50F22" w:rsidP="00B50F22">
            <w:pPr>
              <w:jc w:val="center"/>
              <w:rPr>
                <w:bCs/>
                <w:color w:val="000000"/>
                <w:u w:val="single"/>
              </w:rPr>
            </w:pPr>
            <w:r w:rsidRPr="00AF37D8">
              <w:rPr>
                <w:bCs/>
                <w:color w:val="000000"/>
                <w:u w:val="single"/>
              </w:rPr>
              <w:t>Adjustments</w:t>
            </w:r>
          </w:p>
        </w:tc>
        <w:tc>
          <w:tcPr>
            <w:tcW w:w="853" w:type="dxa"/>
          </w:tcPr>
          <w:p w:rsidR="00B50F22" w:rsidRPr="00AF37D8" w:rsidRDefault="00B50F22" w:rsidP="00B50F22">
            <w:pPr>
              <w:jc w:val="center"/>
              <w:rPr>
                <w:bCs/>
                <w:color w:val="000000"/>
                <w:u w:val="single"/>
              </w:rPr>
            </w:pPr>
          </w:p>
        </w:tc>
        <w:tc>
          <w:tcPr>
            <w:tcW w:w="1703" w:type="dxa"/>
            <w:shd w:val="clear" w:color="auto" w:fill="auto"/>
            <w:noWrap/>
            <w:vAlign w:val="bottom"/>
            <w:hideMark/>
          </w:tcPr>
          <w:p w:rsidR="002D0F8B" w:rsidRDefault="002D0F8B" w:rsidP="00B50F22">
            <w:pPr>
              <w:jc w:val="center"/>
              <w:rPr>
                <w:bCs/>
                <w:color w:val="000000"/>
              </w:rPr>
            </w:pPr>
            <w:r w:rsidRPr="009C341F">
              <w:rPr>
                <w:bCs/>
                <w:color w:val="000000"/>
              </w:rPr>
              <w:t>Per</w:t>
            </w:r>
          </w:p>
          <w:p w:rsidR="00B50F22" w:rsidRPr="009C341F" w:rsidRDefault="002D0F8B" w:rsidP="00B50F22">
            <w:pPr>
              <w:jc w:val="center"/>
              <w:rPr>
                <w:bCs/>
                <w:color w:val="000000"/>
              </w:rPr>
            </w:pPr>
            <w:r w:rsidRPr="009C341F">
              <w:rPr>
                <w:bCs/>
                <w:color w:val="000000"/>
              </w:rPr>
              <w:t>Commission</w:t>
            </w:r>
          </w:p>
          <w:p w:rsidR="00B50F22" w:rsidRPr="00AF37D8" w:rsidRDefault="00B50F22" w:rsidP="00B50F22">
            <w:pPr>
              <w:jc w:val="center"/>
              <w:rPr>
                <w:bCs/>
                <w:color w:val="000000"/>
                <w:u w:val="single"/>
              </w:rPr>
            </w:pPr>
            <w:r w:rsidRPr="00AF37D8">
              <w:rPr>
                <w:bCs/>
                <w:color w:val="000000"/>
                <w:u w:val="single"/>
              </w:rPr>
              <w:t>2/28/22</w:t>
            </w:r>
          </w:p>
        </w:tc>
      </w:tr>
      <w:tr w:rsidR="00B50F22" w:rsidRPr="00AF37D8" w:rsidTr="0065692A">
        <w:trPr>
          <w:trHeight w:val="290"/>
        </w:trPr>
        <w:tc>
          <w:tcPr>
            <w:tcW w:w="3568" w:type="dxa"/>
            <w:shd w:val="clear" w:color="auto" w:fill="auto"/>
            <w:noWrap/>
            <w:vAlign w:val="bottom"/>
          </w:tcPr>
          <w:p w:rsidR="00B50F22" w:rsidRPr="00AF37D8" w:rsidRDefault="00B50F22" w:rsidP="00B50F22">
            <w:pPr>
              <w:rPr>
                <w:color w:val="000000"/>
              </w:rPr>
            </w:pPr>
          </w:p>
        </w:tc>
        <w:tc>
          <w:tcPr>
            <w:tcW w:w="1545" w:type="dxa"/>
            <w:shd w:val="clear" w:color="auto" w:fill="auto"/>
            <w:noWrap/>
            <w:vAlign w:val="bottom"/>
          </w:tcPr>
          <w:p w:rsidR="00B50F22" w:rsidRPr="00AF37D8" w:rsidRDefault="00B50F22" w:rsidP="00B50F22">
            <w:pPr>
              <w:jc w:val="right"/>
              <w:rPr>
                <w:color w:val="000000"/>
              </w:rPr>
            </w:pPr>
          </w:p>
        </w:tc>
        <w:tc>
          <w:tcPr>
            <w:tcW w:w="1794" w:type="dxa"/>
            <w:shd w:val="clear" w:color="auto" w:fill="auto"/>
            <w:noWrap/>
            <w:vAlign w:val="bottom"/>
          </w:tcPr>
          <w:p w:rsidR="00B50F22" w:rsidRPr="00AF37D8" w:rsidRDefault="00B50F22" w:rsidP="00B50F22">
            <w:pPr>
              <w:jc w:val="right"/>
              <w:rPr>
                <w:color w:val="000000"/>
              </w:rPr>
            </w:pPr>
          </w:p>
        </w:tc>
        <w:tc>
          <w:tcPr>
            <w:tcW w:w="853" w:type="dxa"/>
          </w:tcPr>
          <w:p w:rsidR="00B50F22" w:rsidRPr="00AF37D8" w:rsidRDefault="00B50F22" w:rsidP="00B50F22">
            <w:pPr>
              <w:jc w:val="right"/>
              <w:rPr>
                <w:color w:val="000000"/>
              </w:rPr>
            </w:pPr>
          </w:p>
        </w:tc>
        <w:tc>
          <w:tcPr>
            <w:tcW w:w="1703" w:type="dxa"/>
            <w:shd w:val="clear" w:color="auto" w:fill="auto"/>
            <w:noWrap/>
            <w:vAlign w:val="bottom"/>
          </w:tcPr>
          <w:p w:rsidR="00B50F22" w:rsidRPr="00AF37D8" w:rsidRDefault="00B50F22" w:rsidP="00B50F22">
            <w:pPr>
              <w:jc w:val="right"/>
              <w:rPr>
                <w:color w:val="000000"/>
              </w:rPr>
            </w:pP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Utility Plant in Service </w:t>
            </w:r>
          </w:p>
        </w:tc>
        <w:tc>
          <w:tcPr>
            <w:tcW w:w="1545" w:type="dxa"/>
            <w:noWrap/>
            <w:hideMark/>
          </w:tcPr>
          <w:p w:rsidR="00B50F22" w:rsidRPr="00AF37D8" w:rsidRDefault="00B50F22" w:rsidP="00B50F22">
            <w:pPr>
              <w:jc w:val="right"/>
              <w:rPr>
                <w:color w:val="000000"/>
              </w:rPr>
            </w:pPr>
            <w:r w:rsidRPr="00AF37D8">
              <w:t>$379,847</w:t>
            </w:r>
          </w:p>
        </w:tc>
        <w:tc>
          <w:tcPr>
            <w:tcW w:w="1794" w:type="dxa"/>
            <w:noWrap/>
            <w:hideMark/>
          </w:tcPr>
          <w:p w:rsidR="00B50F22" w:rsidRPr="00AF37D8" w:rsidRDefault="00B50F22" w:rsidP="00B50F22">
            <w:pPr>
              <w:jc w:val="right"/>
              <w:rPr>
                <w:color w:val="000000"/>
              </w:rPr>
            </w:pPr>
            <w:r w:rsidRPr="00AF37D8">
              <w:t>($179,616)</w:t>
            </w:r>
          </w:p>
        </w:tc>
        <w:tc>
          <w:tcPr>
            <w:tcW w:w="853" w:type="dxa"/>
          </w:tcPr>
          <w:p w:rsidR="00B50F22" w:rsidRPr="00AF37D8" w:rsidRDefault="00B50F22" w:rsidP="00B50F22">
            <w:pPr>
              <w:jc w:val="right"/>
            </w:pPr>
            <w:r w:rsidRPr="00AF37D8">
              <w:t>A</w:t>
            </w:r>
          </w:p>
        </w:tc>
        <w:tc>
          <w:tcPr>
            <w:tcW w:w="1703" w:type="dxa"/>
            <w:noWrap/>
            <w:hideMark/>
          </w:tcPr>
          <w:p w:rsidR="00B50F22" w:rsidRPr="00AF37D8" w:rsidRDefault="00B50F22" w:rsidP="00B50F22">
            <w:pPr>
              <w:jc w:val="right"/>
              <w:rPr>
                <w:color w:val="000000"/>
              </w:rPr>
            </w:pPr>
            <w:r w:rsidRPr="00AF37D8">
              <w:t>$200,231</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Land &amp; Land Rights </w:t>
            </w:r>
          </w:p>
        </w:tc>
        <w:tc>
          <w:tcPr>
            <w:tcW w:w="1545" w:type="dxa"/>
            <w:noWrap/>
            <w:hideMark/>
          </w:tcPr>
          <w:p w:rsidR="00B50F22" w:rsidRPr="00AF37D8" w:rsidRDefault="00B50F22" w:rsidP="00B50F22">
            <w:pPr>
              <w:jc w:val="right"/>
              <w:rPr>
                <w:color w:val="000000"/>
              </w:rPr>
            </w:pPr>
            <w:r w:rsidRPr="00AF37D8">
              <w:t>39,000</w:t>
            </w:r>
          </w:p>
        </w:tc>
        <w:tc>
          <w:tcPr>
            <w:tcW w:w="1794" w:type="dxa"/>
            <w:noWrap/>
            <w:hideMark/>
          </w:tcPr>
          <w:p w:rsidR="00B50F22" w:rsidRPr="00AF37D8" w:rsidRDefault="00B50F22" w:rsidP="00B50F22">
            <w:pPr>
              <w:jc w:val="right"/>
              <w:rPr>
                <w:color w:val="000000"/>
              </w:rPr>
            </w:pPr>
            <w:r w:rsidRPr="00AF37D8">
              <w:rPr>
                <w:color w:val="000000"/>
              </w:rPr>
              <w:t>-</w:t>
            </w:r>
          </w:p>
        </w:tc>
        <w:tc>
          <w:tcPr>
            <w:tcW w:w="853" w:type="dxa"/>
          </w:tcPr>
          <w:p w:rsidR="00B50F22" w:rsidRPr="00AF37D8" w:rsidRDefault="00B50F22" w:rsidP="00B50F22">
            <w:pPr>
              <w:jc w:val="right"/>
            </w:pPr>
          </w:p>
        </w:tc>
        <w:tc>
          <w:tcPr>
            <w:tcW w:w="1703" w:type="dxa"/>
            <w:noWrap/>
            <w:hideMark/>
          </w:tcPr>
          <w:p w:rsidR="00B50F22" w:rsidRPr="00AF37D8" w:rsidRDefault="00B50F22" w:rsidP="00B50F22">
            <w:pPr>
              <w:jc w:val="right"/>
              <w:rPr>
                <w:color w:val="000000"/>
              </w:rPr>
            </w:pPr>
            <w:r w:rsidRPr="00AF37D8">
              <w:t>39,000</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Accumulated Depreciation </w:t>
            </w:r>
          </w:p>
        </w:tc>
        <w:tc>
          <w:tcPr>
            <w:tcW w:w="1545" w:type="dxa"/>
            <w:noWrap/>
            <w:hideMark/>
          </w:tcPr>
          <w:p w:rsidR="00B50F22" w:rsidRPr="00AF37D8" w:rsidRDefault="00B50F22" w:rsidP="00B50F22">
            <w:pPr>
              <w:jc w:val="right"/>
              <w:rPr>
                <w:color w:val="000000"/>
              </w:rPr>
            </w:pPr>
            <w:r w:rsidRPr="00AF37D8">
              <w:t>(333,946)</w:t>
            </w:r>
          </w:p>
        </w:tc>
        <w:tc>
          <w:tcPr>
            <w:tcW w:w="1794" w:type="dxa"/>
            <w:noWrap/>
            <w:hideMark/>
          </w:tcPr>
          <w:p w:rsidR="00B50F22" w:rsidRPr="00AF37D8" w:rsidRDefault="00B50F22" w:rsidP="00B50F22">
            <w:pPr>
              <w:jc w:val="right"/>
              <w:rPr>
                <w:color w:val="000000"/>
              </w:rPr>
            </w:pPr>
            <w:r w:rsidRPr="00AF37D8">
              <w:t>208,710</w:t>
            </w:r>
          </w:p>
        </w:tc>
        <w:tc>
          <w:tcPr>
            <w:tcW w:w="853" w:type="dxa"/>
          </w:tcPr>
          <w:p w:rsidR="00B50F22" w:rsidRPr="00AF37D8" w:rsidRDefault="00B50F22" w:rsidP="00B50F22">
            <w:pPr>
              <w:jc w:val="right"/>
            </w:pPr>
            <w:r w:rsidRPr="00AF37D8">
              <w:t>B</w:t>
            </w:r>
          </w:p>
        </w:tc>
        <w:tc>
          <w:tcPr>
            <w:tcW w:w="1703" w:type="dxa"/>
            <w:noWrap/>
            <w:hideMark/>
          </w:tcPr>
          <w:p w:rsidR="00B50F22" w:rsidRPr="00AF37D8" w:rsidRDefault="00B50F22" w:rsidP="00B50F22">
            <w:pPr>
              <w:jc w:val="right"/>
              <w:rPr>
                <w:color w:val="000000"/>
              </w:rPr>
            </w:pPr>
            <w:r w:rsidRPr="00AF37D8">
              <w:t>(125,236)</w:t>
            </w:r>
          </w:p>
        </w:tc>
      </w:tr>
      <w:tr w:rsidR="00B50F22" w:rsidRPr="00AF37D8" w:rsidTr="0065692A">
        <w:trPr>
          <w:trHeight w:val="290"/>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CIAC </w:t>
            </w:r>
          </w:p>
        </w:tc>
        <w:tc>
          <w:tcPr>
            <w:tcW w:w="1545" w:type="dxa"/>
            <w:noWrap/>
            <w:hideMark/>
          </w:tcPr>
          <w:p w:rsidR="00B50F22" w:rsidRPr="00AF37D8" w:rsidRDefault="00B50F22" w:rsidP="00B50F22">
            <w:pPr>
              <w:jc w:val="right"/>
              <w:rPr>
                <w:color w:val="000000"/>
              </w:rPr>
            </w:pPr>
            <w:r w:rsidRPr="00AF37D8">
              <w:t>(262,882)</w:t>
            </w:r>
          </w:p>
        </w:tc>
        <w:tc>
          <w:tcPr>
            <w:tcW w:w="1794" w:type="dxa"/>
            <w:noWrap/>
            <w:hideMark/>
          </w:tcPr>
          <w:p w:rsidR="00B50F22" w:rsidRPr="00AF37D8" w:rsidRDefault="00B50F22" w:rsidP="00B50F22">
            <w:pPr>
              <w:jc w:val="right"/>
              <w:rPr>
                <w:color w:val="000000"/>
              </w:rPr>
            </w:pPr>
            <w:r w:rsidRPr="00AF37D8">
              <w:rPr>
                <w:color w:val="000000"/>
              </w:rPr>
              <w:t>-</w:t>
            </w:r>
          </w:p>
        </w:tc>
        <w:tc>
          <w:tcPr>
            <w:tcW w:w="853" w:type="dxa"/>
          </w:tcPr>
          <w:p w:rsidR="00B50F22" w:rsidRPr="00AF37D8" w:rsidRDefault="00B50F22" w:rsidP="00B50F22">
            <w:pPr>
              <w:jc w:val="right"/>
            </w:pPr>
            <w:r w:rsidRPr="00AF37D8">
              <w:t>C</w:t>
            </w:r>
          </w:p>
        </w:tc>
        <w:tc>
          <w:tcPr>
            <w:tcW w:w="1703" w:type="dxa"/>
            <w:noWrap/>
            <w:hideMark/>
          </w:tcPr>
          <w:p w:rsidR="00B50F22" w:rsidRPr="00AF37D8" w:rsidRDefault="00B50F22" w:rsidP="00B50F22">
            <w:pPr>
              <w:jc w:val="right"/>
              <w:rPr>
                <w:color w:val="000000"/>
              </w:rPr>
            </w:pPr>
            <w:r w:rsidRPr="00AF37D8">
              <w:t>(262,882)</w:t>
            </w:r>
          </w:p>
        </w:tc>
      </w:tr>
      <w:tr w:rsidR="00B50F22" w:rsidRPr="00AF37D8" w:rsidTr="0065692A">
        <w:trPr>
          <w:trHeight w:val="301"/>
        </w:trPr>
        <w:tc>
          <w:tcPr>
            <w:tcW w:w="3568" w:type="dxa"/>
            <w:shd w:val="clear" w:color="auto" w:fill="auto"/>
            <w:noWrap/>
            <w:vAlign w:val="bottom"/>
            <w:hideMark/>
          </w:tcPr>
          <w:p w:rsidR="00B50F22" w:rsidRPr="00AF37D8" w:rsidRDefault="00B50F22" w:rsidP="00B50F22">
            <w:pPr>
              <w:rPr>
                <w:color w:val="000000"/>
              </w:rPr>
            </w:pPr>
            <w:r w:rsidRPr="00AF37D8">
              <w:rPr>
                <w:color w:val="000000"/>
              </w:rPr>
              <w:t xml:space="preserve"> Amortization of CIAC </w:t>
            </w:r>
          </w:p>
        </w:tc>
        <w:tc>
          <w:tcPr>
            <w:tcW w:w="1545" w:type="dxa"/>
            <w:noWrap/>
            <w:hideMark/>
          </w:tcPr>
          <w:p w:rsidR="00B50F22" w:rsidRPr="00AF37D8" w:rsidRDefault="00B50F22" w:rsidP="00B50F22">
            <w:pPr>
              <w:jc w:val="right"/>
              <w:rPr>
                <w:color w:val="000000"/>
                <w:u w:val="single"/>
              </w:rPr>
            </w:pPr>
            <w:r w:rsidRPr="00AF37D8">
              <w:rPr>
                <w:u w:val="single"/>
              </w:rPr>
              <w:t>244,230</w:t>
            </w:r>
          </w:p>
        </w:tc>
        <w:tc>
          <w:tcPr>
            <w:tcW w:w="1794" w:type="dxa"/>
            <w:noWrap/>
            <w:hideMark/>
          </w:tcPr>
          <w:p w:rsidR="00B50F22" w:rsidRPr="00AF37D8" w:rsidRDefault="00B50F22" w:rsidP="00B50F22">
            <w:pPr>
              <w:jc w:val="right"/>
              <w:rPr>
                <w:color w:val="000000"/>
                <w:u w:val="single"/>
              </w:rPr>
            </w:pPr>
            <w:r w:rsidRPr="00AF37D8">
              <w:rPr>
                <w:u w:val="single"/>
              </w:rPr>
              <w:t>4,575</w:t>
            </w:r>
          </w:p>
        </w:tc>
        <w:tc>
          <w:tcPr>
            <w:tcW w:w="853" w:type="dxa"/>
          </w:tcPr>
          <w:p w:rsidR="00B50F22" w:rsidRPr="00AF37D8" w:rsidRDefault="00B50F22" w:rsidP="00B50F22">
            <w:pPr>
              <w:jc w:val="right"/>
            </w:pPr>
            <w:r w:rsidRPr="00AF37D8">
              <w:t>D</w:t>
            </w:r>
          </w:p>
        </w:tc>
        <w:tc>
          <w:tcPr>
            <w:tcW w:w="1703" w:type="dxa"/>
            <w:noWrap/>
            <w:hideMark/>
          </w:tcPr>
          <w:p w:rsidR="00B50F22" w:rsidRPr="00AF37D8" w:rsidRDefault="00B50F22" w:rsidP="00B50F22">
            <w:pPr>
              <w:jc w:val="right"/>
              <w:rPr>
                <w:color w:val="000000"/>
                <w:u w:val="single"/>
              </w:rPr>
            </w:pPr>
            <w:r w:rsidRPr="00AF37D8">
              <w:rPr>
                <w:u w:val="single"/>
              </w:rPr>
              <w:t>248,805</w:t>
            </w:r>
          </w:p>
        </w:tc>
      </w:tr>
      <w:tr w:rsidR="00B50F22" w:rsidRPr="00AF37D8" w:rsidTr="0065692A">
        <w:trPr>
          <w:trHeight w:val="301"/>
        </w:trPr>
        <w:tc>
          <w:tcPr>
            <w:tcW w:w="3568" w:type="dxa"/>
            <w:shd w:val="clear" w:color="auto" w:fill="auto"/>
            <w:noWrap/>
            <w:vAlign w:val="bottom"/>
          </w:tcPr>
          <w:p w:rsidR="00B50F22" w:rsidRPr="00AF37D8" w:rsidRDefault="00B50F22" w:rsidP="00B50F22">
            <w:pPr>
              <w:rPr>
                <w:color w:val="000000"/>
              </w:rPr>
            </w:pPr>
          </w:p>
        </w:tc>
        <w:tc>
          <w:tcPr>
            <w:tcW w:w="1545" w:type="dxa"/>
            <w:noWrap/>
          </w:tcPr>
          <w:p w:rsidR="00B50F22" w:rsidRPr="00AF37D8" w:rsidRDefault="00B50F22" w:rsidP="00B50F22">
            <w:pPr>
              <w:jc w:val="right"/>
              <w:rPr>
                <w:color w:val="000000"/>
              </w:rPr>
            </w:pPr>
          </w:p>
        </w:tc>
        <w:tc>
          <w:tcPr>
            <w:tcW w:w="1794" w:type="dxa"/>
            <w:noWrap/>
          </w:tcPr>
          <w:p w:rsidR="00B50F22" w:rsidRPr="00AF37D8" w:rsidRDefault="00B50F22" w:rsidP="00B50F22">
            <w:pPr>
              <w:jc w:val="right"/>
              <w:rPr>
                <w:color w:val="000000"/>
              </w:rPr>
            </w:pPr>
          </w:p>
        </w:tc>
        <w:tc>
          <w:tcPr>
            <w:tcW w:w="853" w:type="dxa"/>
          </w:tcPr>
          <w:p w:rsidR="00B50F22" w:rsidRPr="00AF37D8" w:rsidRDefault="00B50F22" w:rsidP="00B50F22">
            <w:pPr>
              <w:jc w:val="right"/>
              <w:rPr>
                <w:color w:val="000000"/>
              </w:rPr>
            </w:pPr>
          </w:p>
        </w:tc>
        <w:tc>
          <w:tcPr>
            <w:tcW w:w="1703" w:type="dxa"/>
            <w:noWrap/>
          </w:tcPr>
          <w:p w:rsidR="00B50F22" w:rsidRPr="00AF37D8" w:rsidRDefault="00B50F22" w:rsidP="00B50F22">
            <w:pPr>
              <w:jc w:val="right"/>
              <w:rPr>
                <w:color w:val="000000"/>
              </w:rPr>
            </w:pPr>
          </w:p>
        </w:tc>
      </w:tr>
      <w:tr w:rsidR="00B50F22" w:rsidRPr="00AF37D8" w:rsidTr="0065692A">
        <w:trPr>
          <w:trHeight w:val="301"/>
        </w:trPr>
        <w:tc>
          <w:tcPr>
            <w:tcW w:w="3568" w:type="dxa"/>
            <w:shd w:val="clear" w:color="auto" w:fill="auto"/>
            <w:noWrap/>
            <w:vAlign w:val="bottom"/>
            <w:hideMark/>
          </w:tcPr>
          <w:p w:rsidR="00B50F22" w:rsidRPr="00AF37D8" w:rsidRDefault="00B50F22" w:rsidP="00B50F22">
            <w:pPr>
              <w:rPr>
                <w:color w:val="000000"/>
              </w:rPr>
            </w:pPr>
            <w:r w:rsidRPr="00AF37D8">
              <w:rPr>
                <w:color w:val="000000"/>
              </w:rPr>
              <w:t>Total</w:t>
            </w:r>
          </w:p>
        </w:tc>
        <w:tc>
          <w:tcPr>
            <w:tcW w:w="1545" w:type="dxa"/>
            <w:noWrap/>
            <w:hideMark/>
          </w:tcPr>
          <w:p w:rsidR="00B50F22" w:rsidRPr="00AF37D8" w:rsidRDefault="00B50F22" w:rsidP="00B50F22">
            <w:pPr>
              <w:jc w:val="right"/>
              <w:rPr>
                <w:color w:val="000000"/>
                <w:u w:val="double"/>
              </w:rPr>
            </w:pPr>
            <w:r w:rsidRPr="00AF37D8">
              <w:rPr>
                <w:u w:val="double"/>
              </w:rPr>
              <w:t>$66,249</w:t>
            </w:r>
          </w:p>
        </w:tc>
        <w:tc>
          <w:tcPr>
            <w:tcW w:w="1794" w:type="dxa"/>
            <w:noWrap/>
            <w:hideMark/>
          </w:tcPr>
          <w:p w:rsidR="00B50F22" w:rsidRPr="00AF37D8" w:rsidRDefault="00B50F22" w:rsidP="00B50F22">
            <w:pPr>
              <w:jc w:val="right"/>
              <w:rPr>
                <w:color w:val="000000"/>
                <w:u w:val="double"/>
              </w:rPr>
            </w:pPr>
            <w:r w:rsidRPr="00AF37D8">
              <w:rPr>
                <w:u w:val="double"/>
              </w:rPr>
              <w:t>$33,669</w:t>
            </w:r>
          </w:p>
        </w:tc>
        <w:tc>
          <w:tcPr>
            <w:tcW w:w="853" w:type="dxa"/>
          </w:tcPr>
          <w:p w:rsidR="00B50F22" w:rsidRPr="00AF37D8" w:rsidRDefault="00B50F22" w:rsidP="00B50F22">
            <w:pPr>
              <w:jc w:val="right"/>
              <w:rPr>
                <w:u w:val="double"/>
              </w:rPr>
            </w:pPr>
          </w:p>
        </w:tc>
        <w:tc>
          <w:tcPr>
            <w:tcW w:w="1703" w:type="dxa"/>
            <w:noWrap/>
            <w:hideMark/>
          </w:tcPr>
          <w:p w:rsidR="00B50F22" w:rsidRPr="00AF37D8" w:rsidRDefault="00B50F22" w:rsidP="00B50F22">
            <w:pPr>
              <w:jc w:val="right"/>
              <w:rPr>
                <w:color w:val="000000"/>
                <w:u w:val="double"/>
              </w:rPr>
            </w:pPr>
            <w:r w:rsidRPr="00AF37D8">
              <w:rPr>
                <w:u w:val="double"/>
              </w:rPr>
              <w:t>$99,918</w:t>
            </w:r>
          </w:p>
        </w:tc>
      </w:tr>
    </w:tbl>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4"/>
          <w:pgSz w:w="12240" w:h="15840" w:code="1"/>
          <w:pgMar w:top="1440" w:right="1440" w:bottom="1440" w:left="1440" w:header="720" w:footer="720" w:gutter="0"/>
          <w:cols w:space="720"/>
          <w:titlePg/>
          <w:docGrid w:linePitch="360"/>
        </w:sectPr>
      </w:pPr>
    </w:p>
    <w:p w:rsidR="00B50F22" w:rsidRPr="00AF37D8" w:rsidRDefault="00B50F22" w:rsidP="00B50F22">
      <w:pPr>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jc w:val="center"/>
      </w:pPr>
      <w:r w:rsidRPr="00AF37D8">
        <w:t>Explanation of Adjustments to Water Net Book Value as of February 28, 2022</w:t>
      </w:r>
    </w:p>
    <w:p w:rsidR="00B50F22" w:rsidRPr="00AF37D8" w:rsidRDefault="00B50F22" w:rsidP="00B50F2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50F22" w:rsidRPr="00AF37D8" w:rsidTr="0065692A">
        <w:tc>
          <w:tcPr>
            <w:tcW w:w="8118" w:type="dxa"/>
          </w:tcPr>
          <w:p w:rsidR="00B50F22" w:rsidRPr="00AF37D8" w:rsidRDefault="00B50F22" w:rsidP="00B50F22">
            <w:pPr>
              <w:rPr>
                <w:bCs/>
              </w:rPr>
            </w:pPr>
            <w:r w:rsidRPr="00AF37D8">
              <w:rPr>
                <w:bCs/>
              </w:rPr>
              <w:t>Explanation</w:t>
            </w:r>
          </w:p>
        </w:tc>
        <w:tc>
          <w:tcPr>
            <w:tcW w:w="1458" w:type="dxa"/>
          </w:tcPr>
          <w:p w:rsidR="00B50F22" w:rsidRPr="00AF37D8" w:rsidRDefault="00B50F22" w:rsidP="00B50F22">
            <w:pPr>
              <w:jc w:val="center"/>
            </w:pPr>
            <w:r w:rsidRPr="00AF37D8">
              <w:t>Amount</w:t>
            </w:r>
          </w:p>
        </w:tc>
      </w:tr>
      <w:tr w:rsidR="00B50F22" w:rsidRPr="00AF37D8" w:rsidTr="0065692A">
        <w:tc>
          <w:tcPr>
            <w:tcW w:w="8118" w:type="dxa"/>
          </w:tcPr>
          <w:p w:rsidR="00B50F22" w:rsidRPr="00AF37D8" w:rsidRDefault="00B50F22" w:rsidP="00B50F22">
            <w:pPr>
              <w:rPr>
                <w:bCs/>
              </w:rPr>
            </w:pPr>
          </w:p>
        </w:tc>
        <w:tc>
          <w:tcPr>
            <w:tcW w:w="1458" w:type="dxa"/>
          </w:tcPr>
          <w:p w:rsidR="00B50F22" w:rsidRPr="00AF37D8" w:rsidRDefault="00B50F22" w:rsidP="00B50F22">
            <w:pPr>
              <w:jc w:val="center"/>
            </w:pPr>
          </w:p>
        </w:tc>
      </w:tr>
      <w:tr w:rsidR="00B50F22" w:rsidRPr="00AF37D8" w:rsidTr="0065692A">
        <w:tc>
          <w:tcPr>
            <w:tcW w:w="8118" w:type="dxa"/>
          </w:tcPr>
          <w:p w:rsidR="00B50F22" w:rsidRPr="00AF37D8" w:rsidRDefault="00B50F22" w:rsidP="00B50F22">
            <w:pPr>
              <w:numPr>
                <w:ilvl w:val="0"/>
                <w:numId w:val="2"/>
              </w:numPr>
              <w:contextualSpacing/>
            </w:pPr>
            <w:r w:rsidRPr="00AF37D8">
              <w:t>UPIS</w:t>
            </w: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pPr>
            <w:r w:rsidRPr="00AF37D8">
              <w:t>To reflect the appropriate balance.</w:t>
            </w:r>
          </w:p>
        </w:tc>
        <w:tc>
          <w:tcPr>
            <w:tcW w:w="1458" w:type="dxa"/>
          </w:tcPr>
          <w:p w:rsidR="00B50F22" w:rsidRPr="00AF37D8" w:rsidRDefault="00B50F22" w:rsidP="00B50F22">
            <w:pPr>
              <w:jc w:val="right"/>
            </w:pPr>
            <w:r w:rsidRPr="00AF37D8">
              <w:t>($49,667)</w:t>
            </w:r>
          </w:p>
        </w:tc>
      </w:tr>
      <w:tr w:rsidR="00B50F22" w:rsidRPr="00AF37D8" w:rsidTr="0065692A">
        <w:tc>
          <w:tcPr>
            <w:tcW w:w="8118" w:type="dxa"/>
          </w:tcPr>
          <w:p w:rsidR="00B50F22" w:rsidRPr="00AF37D8" w:rsidRDefault="00B50F22" w:rsidP="00B50F22"/>
          <w:p w:rsidR="00B50F22" w:rsidRPr="00AF37D8" w:rsidRDefault="00B50F22" w:rsidP="00B50F22">
            <w:pPr>
              <w:ind w:left="360"/>
            </w:pP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numPr>
                <w:ilvl w:val="0"/>
                <w:numId w:val="2"/>
              </w:numPr>
              <w:contextualSpacing/>
            </w:pPr>
            <w:r w:rsidRPr="00AF37D8">
              <w:t>Accumulated Depreciation</w:t>
            </w: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contextualSpacing/>
            </w:pPr>
            <w:r w:rsidRPr="00AF37D8">
              <w:t>To reflect the appropriate balance.</w:t>
            </w:r>
          </w:p>
        </w:tc>
        <w:tc>
          <w:tcPr>
            <w:tcW w:w="1458" w:type="dxa"/>
          </w:tcPr>
          <w:p w:rsidR="00B50F22" w:rsidRPr="00AF37D8" w:rsidRDefault="00B50F22" w:rsidP="00B50F22">
            <w:pPr>
              <w:jc w:val="right"/>
            </w:pPr>
            <w:r w:rsidRPr="00AF37D8">
              <w:t>80,623</w:t>
            </w:r>
          </w:p>
        </w:tc>
      </w:tr>
      <w:tr w:rsidR="00B50F22" w:rsidRPr="00AF37D8" w:rsidTr="0065692A">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rPr>
          <w:trHeight w:val="80"/>
        </w:trPr>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numPr>
                <w:ilvl w:val="0"/>
                <w:numId w:val="2"/>
              </w:numPr>
              <w:contextualSpacing/>
            </w:pPr>
            <w:r w:rsidRPr="00AF37D8">
              <w:t>CIAC</w:t>
            </w: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contextualSpacing/>
            </w:pPr>
            <w:r w:rsidRPr="00AF37D8">
              <w:t>To reflect the appropriate balance.</w:t>
            </w:r>
          </w:p>
        </w:tc>
        <w:tc>
          <w:tcPr>
            <w:tcW w:w="1458" w:type="dxa"/>
          </w:tcPr>
          <w:p w:rsidR="00B50F22" w:rsidRPr="00AF37D8" w:rsidRDefault="00B50F22" w:rsidP="00B50F22">
            <w:pPr>
              <w:jc w:val="right"/>
            </w:pPr>
            <w:r w:rsidRPr="00AF37D8">
              <w:t>7,863</w:t>
            </w:r>
          </w:p>
        </w:tc>
      </w:tr>
      <w:tr w:rsidR="00B50F22" w:rsidRPr="00AF37D8" w:rsidTr="0065692A">
        <w:tc>
          <w:tcPr>
            <w:tcW w:w="8118" w:type="dxa"/>
          </w:tcPr>
          <w:p w:rsidR="00B50F22" w:rsidRPr="00AF37D8" w:rsidRDefault="00B50F22" w:rsidP="00B50F22">
            <w:pPr>
              <w:ind w:left="360"/>
              <w:contextualSpacing/>
            </w:pP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contextualSpacing/>
            </w:pPr>
          </w:p>
        </w:tc>
        <w:tc>
          <w:tcPr>
            <w:tcW w:w="1458" w:type="dxa"/>
          </w:tcPr>
          <w:p w:rsidR="00B50F22" w:rsidRPr="00AF37D8" w:rsidRDefault="00B50F22" w:rsidP="00B50F22"/>
        </w:tc>
      </w:tr>
      <w:tr w:rsidR="00B50F22" w:rsidRPr="00AF37D8" w:rsidTr="0065692A">
        <w:tc>
          <w:tcPr>
            <w:tcW w:w="8118" w:type="dxa"/>
          </w:tcPr>
          <w:p w:rsidR="00B50F22" w:rsidRPr="00AF37D8" w:rsidRDefault="00B50F22" w:rsidP="00B50F22">
            <w:pPr>
              <w:numPr>
                <w:ilvl w:val="0"/>
                <w:numId w:val="2"/>
              </w:numPr>
              <w:contextualSpacing/>
            </w:pPr>
            <w:r w:rsidRPr="00AF37D8">
              <w:t>Accumulated Amortization of CIAC</w:t>
            </w:r>
          </w:p>
        </w:tc>
        <w:tc>
          <w:tcPr>
            <w:tcW w:w="1458" w:type="dxa"/>
          </w:tcPr>
          <w:p w:rsidR="00B50F22" w:rsidRPr="00AF37D8" w:rsidRDefault="00B50F22" w:rsidP="00B50F22">
            <w:pPr>
              <w:jc w:val="right"/>
              <w:rPr>
                <w:u w:val="single"/>
              </w:rPr>
            </w:pPr>
          </w:p>
        </w:tc>
      </w:tr>
      <w:tr w:rsidR="00B50F22" w:rsidRPr="00AF37D8" w:rsidTr="0065692A">
        <w:tc>
          <w:tcPr>
            <w:tcW w:w="8118" w:type="dxa"/>
          </w:tcPr>
          <w:p w:rsidR="00B50F22" w:rsidRPr="00AF37D8" w:rsidRDefault="00B50F22" w:rsidP="00B50F22">
            <w:pPr>
              <w:ind w:left="360"/>
              <w:contextualSpacing/>
            </w:pPr>
            <w:r w:rsidRPr="00AF37D8">
              <w:t>To reflect the appropriate balance.</w:t>
            </w:r>
          </w:p>
        </w:tc>
        <w:tc>
          <w:tcPr>
            <w:tcW w:w="1458" w:type="dxa"/>
          </w:tcPr>
          <w:p w:rsidR="00B50F22" w:rsidRPr="00AF37D8" w:rsidRDefault="00B50F22" w:rsidP="00B50F22">
            <w:pPr>
              <w:jc w:val="right"/>
              <w:rPr>
                <w:u w:val="single"/>
              </w:rPr>
            </w:pPr>
            <w:r w:rsidRPr="00AF37D8">
              <w:rPr>
                <w:u w:val="single"/>
              </w:rPr>
              <w:t>(7,403)</w:t>
            </w:r>
          </w:p>
        </w:tc>
      </w:tr>
      <w:tr w:rsidR="00B50F22" w:rsidRPr="00AF37D8" w:rsidTr="0065692A">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pPr>
          </w:p>
        </w:tc>
        <w:tc>
          <w:tcPr>
            <w:tcW w:w="1458" w:type="dxa"/>
          </w:tcPr>
          <w:p w:rsidR="00B50F22" w:rsidRPr="00AF37D8" w:rsidRDefault="00B50F22" w:rsidP="00B50F22">
            <w:pPr>
              <w:jc w:val="right"/>
              <w:rPr>
                <w:u w:val="single"/>
              </w:rPr>
            </w:pPr>
          </w:p>
        </w:tc>
      </w:tr>
      <w:tr w:rsidR="00B50F22" w:rsidRPr="00AF37D8" w:rsidTr="0065692A">
        <w:tc>
          <w:tcPr>
            <w:tcW w:w="8118" w:type="dxa"/>
          </w:tcPr>
          <w:p w:rsidR="00B50F22" w:rsidRPr="00AF37D8" w:rsidRDefault="00B50F22" w:rsidP="00B50F22">
            <w:r w:rsidRPr="00AF37D8">
              <w:t>Total Adjustments to Water Net Book Value as of February 28, 2022</w:t>
            </w:r>
          </w:p>
        </w:tc>
        <w:tc>
          <w:tcPr>
            <w:tcW w:w="1458" w:type="dxa"/>
          </w:tcPr>
          <w:p w:rsidR="00B50F22" w:rsidRPr="00AF37D8" w:rsidRDefault="00B50F22" w:rsidP="00B50F22">
            <w:pPr>
              <w:jc w:val="right"/>
              <w:rPr>
                <w:u w:val="double"/>
              </w:rPr>
            </w:pPr>
            <w:r w:rsidRPr="00AF37D8">
              <w:rPr>
                <w:u w:val="double"/>
              </w:rPr>
              <w:t>$31,416</w:t>
            </w:r>
          </w:p>
        </w:tc>
      </w:tr>
    </w:tbl>
    <w:p w:rsidR="00B50F22" w:rsidRPr="00AF37D8" w:rsidRDefault="00B50F22" w:rsidP="00B50F22">
      <w:pPr>
        <w:spacing w:after="240"/>
        <w:ind w:right="1260"/>
        <w:jc w:val="both"/>
      </w:pPr>
    </w:p>
    <w:p w:rsidR="00B50F22" w:rsidRPr="00AF37D8" w:rsidRDefault="00B50F22" w:rsidP="00745FBC">
      <w:pPr>
        <w:pStyle w:val="OrderBody"/>
        <w:sectPr w:rsidR="00B50F22" w:rsidRPr="00AF37D8">
          <w:headerReference w:type="first" r:id="rId15"/>
          <w:pgSz w:w="12240" w:h="15840" w:code="1"/>
          <w:pgMar w:top="1440" w:right="1440" w:bottom="1440" w:left="1440" w:header="720" w:footer="720" w:gutter="0"/>
          <w:cols w:space="720"/>
          <w:titlePg/>
          <w:docGrid w:linePitch="360"/>
        </w:sectPr>
      </w:pPr>
    </w:p>
    <w:p w:rsidR="00B50F22" w:rsidRPr="00AF37D8" w:rsidRDefault="00B50F22" w:rsidP="00B50F22">
      <w:pPr>
        <w:tabs>
          <w:tab w:val="left" w:pos="1140"/>
        </w:tabs>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jc w:val="center"/>
      </w:pPr>
      <w:r w:rsidRPr="00AF37D8">
        <w:t>Explanation of Adjustments to Wastewater Net Book Value as of February 28, 2022</w:t>
      </w:r>
    </w:p>
    <w:p w:rsidR="00B50F22" w:rsidRPr="00AF37D8" w:rsidRDefault="00B50F22" w:rsidP="00B50F2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50F22" w:rsidRPr="00AF37D8" w:rsidTr="0065692A">
        <w:tc>
          <w:tcPr>
            <w:tcW w:w="8118" w:type="dxa"/>
          </w:tcPr>
          <w:p w:rsidR="00B50F22" w:rsidRPr="00AF37D8" w:rsidRDefault="00B50F22" w:rsidP="00B50F22">
            <w:pPr>
              <w:rPr>
                <w:bCs/>
              </w:rPr>
            </w:pPr>
            <w:r w:rsidRPr="00AF37D8">
              <w:rPr>
                <w:bCs/>
              </w:rPr>
              <w:t>Explanation</w:t>
            </w:r>
          </w:p>
        </w:tc>
        <w:tc>
          <w:tcPr>
            <w:tcW w:w="1458" w:type="dxa"/>
          </w:tcPr>
          <w:p w:rsidR="00B50F22" w:rsidRPr="00AF37D8" w:rsidRDefault="00B50F22" w:rsidP="00B50F22">
            <w:pPr>
              <w:jc w:val="center"/>
            </w:pPr>
            <w:r w:rsidRPr="00AF37D8">
              <w:t>Amount</w:t>
            </w:r>
          </w:p>
        </w:tc>
      </w:tr>
      <w:tr w:rsidR="00B50F22" w:rsidRPr="00AF37D8" w:rsidTr="0065692A">
        <w:tc>
          <w:tcPr>
            <w:tcW w:w="8118" w:type="dxa"/>
          </w:tcPr>
          <w:p w:rsidR="00B50F22" w:rsidRPr="00AF37D8" w:rsidRDefault="00B50F22" w:rsidP="00B50F22">
            <w:pPr>
              <w:rPr>
                <w:bCs/>
              </w:rPr>
            </w:pPr>
          </w:p>
        </w:tc>
        <w:tc>
          <w:tcPr>
            <w:tcW w:w="1458" w:type="dxa"/>
          </w:tcPr>
          <w:p w:rsidR="00B50F22" w:rsidRPr="00AF37D8" w:rsidRDefault="00B50F22" w:rsidP="00B50F22">
            <w:pPr>
              <w:jc w:val="center"/>
            </w:pPr>
          </w:p>
        </w:tc>
      </w:tr>
      <w:tr w:rsidR="00B50F22" w:rsidRPr="00AF37D8" w:rsidTr="0065692A">
        <w:tc>
          <w:tcPr>
            <w:tcW w:w="8118" w:type="dxa"/>
          </w:tcPr>
          <w:p w:rsidR="00B50F22" w:rsidRPr="00AF37D8" w:rsidRDefault="00B50F22" w:rsidP="00B50F22">
            <w:pPr>
              <w:numPr>
                <w:ilvl w:val="0"/>
                <w:numId w:val="2"/>
              </w:numPr>
              <w:contextualSpacing/>
            </w:pPr>
            <w:r w:rsidRPr="00AF37D8">
              <w:t>UPIS</w:t>
            </w: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pPr>
            <w:r w:rsidRPr="00AF37D8">
              <w:t>To reflect the appropriate balance.</w:t>
            </w:r>
          </w:p>
        </w:tc>
        <w:tc>
          <w:tcPr>
            <w:tcW w:w="1458" w:type="dxa"/>
          </w:tcPr>
          <w:p w:rsidR="00B50F22" w:rsidRPr="00AF37D8" w:rsidRDefault="00B50F22" w:rsidP="00B50F22">
            <w:pPr>
              <w:jc w:val="right"/>
            </w:pPr>
            <w:r w:rsidRPr="00AF37D8">
              <w:t>($179,616)</w:t>
            </w:r>
          </w:p>
        </w:tc>
      </w:tr>
      <w:tr w:rsidR="00B50F22" w:rsidRPr="00AF37D8" w:rsidTr="0065692A">
        <w:tc>
          <w:tcPr>
            <w:tcW w:w="8118" w:type="dxa"/>
          </w:tcPr>
          <w:p w:rsidR="00B50F22" w:rsidRPr="00AF37D8" w:rsidRDefault="00B50F22" w:rsidP="00B50F22"/>
          <w:p w:rsidR="00B50F22" w:rsidRPr="00AF37D8" w:rsidRDefault="00B50F22" w:rsidP="00B50F22">
            <w:pPr>
              <w:ind w:left="360"/>
            </w:pP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numPr>
                <w:ilvl w:val="0"/>
                <w:numId w:val="2"/>
              </w:numPr>
              <w:contextualSpacing/>
            </w:pPr>
            <w:r w:rsidRPr="00AF37D8">
              <w:t>Accumulated Depreciation</w:t>
            </w:r>
          </w:p>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contextualSpacing/>
            </w:pPr>
            <w:r w:rsidRPr="00AF37D8">
              <w:t>To reflect the appropriate balance.</w:t>
            </w:r>
          </w:p>
        </w:tc>
        <w:tc>
          <w:tcPr>
            <w:tcW w:w="1458" w:type="dxa"/>
          </w:tcPr>
          <w:p w:rsidR="00B50F22" w:rsidRPr="00AF37D8" w:rsidRDefault="00B50F22" w:rsidP="00B50F22">
            <w:pPr>
              <w:jc w:val="right"/>
            </w:pPr>
            <w:r w:rsidRPr="00AF37D8">
              <w:t>208,710</w:t>
            </w:r>
          </w:p>
        </w:tc>
      </w:tr>
      <w:tr w:rsidR="00B50F22" w:rsidRPr="00AF37D8" w:rsidTr="0065692A">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rPr>
          <w:trHeight w:val="80"/>
        </w:trPr>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numPr>
                <w:ilvl w:val="0"/>
                <w:numId w:val="2"/>
              </w:numPr>
              <w:contextualSpacing/>
            </w:pPr>
            <w:r w:rsidRPr="00AF37D8">
              <w:t>Accumulated Amortization of CIAC</w:t>
            </w:r>
          </w:p>
        </w:tc>
        <w:tc>
          <w:tcPr>
            <w:tcW w:w="1458" w:type="dxa"/>
          </w:tcPr>
          <w:p w:rsidR="00B50F22" w:rsidRPr="00AF37D8" w:rsidRDefault="00B50F22" w:rsidP="00B50F22">
            <w:pPr>
              <w:jc w:val="right"/>
              <w:rPr>
                <w:u w:val="single"/>
              </w:rPr>
            </w:pPr>
          </w:p>
        </w:tc>
      </w:tr>
      <w:tr w:rsidR="00B50F22" w:rsidRPr="00AF37D8" w:rsidTr="0065692A">
        <w:tc>
          <w:tcPr>
            <w:tcW w:w="8118" w:type="dxa"/>
          </w:tcPr>
          <w:p w:rsidR="00B50F22" w:rsidRPr="00AF37D8" w:rsidRDefault="00B50F22" w:rsidP="00B50F22">
            <w:pPr>
              <w:ind w:left="360"/>
              <w:contextualSpacing/>
            </w:pPr>
            <w:r w:rsidRPr="00AF37D8">
              <w:t>To reflect the appropriate balance.</w:t>
            </w:r>
          </w:p>
        </w:tc>
        <w:tc>
          <w:tcPr>
            <w:tcW w:w="1458" w:type="dxa"/>
          </w:tcPr>
          <w:p w:rsidR="00B50F22" w:rsidRPr="00AF37D8" w:rsidRDefault="00B50F22" w:rsidP="00B50F22">
            <w:pPr>
              <w:jc w:val="right"/>
              <w:rPr>
                <w:u w:val="single"/>
              </w:rPr>
            </w:pPr>
            <w:r w:rsidRPr="00AF37D8">
              <w:rPr>
                <w:u w:val="single"/>
              </w:rPr>
              <w:t>4,575</w:t>
            </w:r>
          </w:p>
        </w:tc>
      </w:tr>
      <w:tr w:rsidR="00B50F22" w:rsidRPr="00AF37D8" w:rsidTr="0065692A">
        <w:tc>
          <w:tcPr>
            <w:tcW w:w="8118" w:type="dxa"/>
          </w:tcPr>
          <w:p w:rsidR="00B50F22" w:rsidRPr="00AF37D8" w:rsidRDefault="00B50F22" w:rsidP="00B50F22"/>
        </w:tc>
        <w:tc>
          <w:tcPr>
            <w:tcW w:w="1458" w:type="dxa"/>
          </w:tcPr>
          <w:p w:rsidR="00B50F22" w:rsidRPr="00AF37D8" w:rsidRDefault="00B50F22" w:rsidP="00B50F22">
            <w:pPr>
              <w:jc w:val="right"/>
            </w:pPr>
          </w:p>
        </w:tc>
      </w:tr>
      <w:tr w:rsidR="00B50F22" w:rsidRPr="00AF37D8" w:rsidTr="0065692A">
        <w:tc>
          <w:tcPr>
            <w:tcW w:w="8118" w:type="dxa"/>
          </w:tcPr>
          <w:p w:rsidR="00B50F22" w:rsidRPr="00AF37D8" w:rsidRDefault="00B50F22" w:rsidP="00B50F22">
            <w:pPr>
              <w:ind w:left="360"/>
            </w:pPr>
          </w:p>
        </w:tc>
        <w:tc>
          <w:tcPr>
            <w:tcW w:w="1458" w:type="dxa"/>
          </w:tcPr>
          <w:p w:rsidR="00B50F22" w:rsidRPr="00AF37D8" w:rsidRDefault="00B50F22" w:rsidP="00B50F22">
            <w:pPr>
              <w:jc w:val="right"/>
              <w:rPr>
                <w:u w:val="single"/>
              </w:rPr>
            </w:pPr>
          </w:p>
        </w:tc>
      </w:tr>
      <w:tr w:rsidR="00B50F22" w:rsidRPr="00AF37D8" w:rsidTr="0065692A">
        <w:tc>
          <w:tcPr>
            <w:tcW w:w="8118" w:type="dxa"/>
          </w:tcPr>
          <w:p w:rsidR="00B50F22" w:rsidRPr="00AF37D8" w:rsidRDefault="00B50F22" w:rsidP="00B50F22">
            <w:r w:rsidRPr="00AF37D8">
              <w:t>Total Adjustments to Wastewater Net Book Value as of February 28, 2022</w:t>
            </w:r>
          </w:p>
        </w:tc>
        <w:tc>
          <w:tcPr>
            <w:tcW w:w="1458" w:type="dxa"/>
          </w:tcPr>
          <w:p w:rsidR="00B50F22" w:rsidRPr="00AF37D8" w:rsidRDefault="00B50F22" w:rsidP="00B50F22">
            <w:pPr>
              <w:jc w:val="right"/>
              <w:rPr>
                <w:u w:val="double"/>
              </w:rPr>
            </w:pPr>
            <w:r w:rsidRPr="00AF37D8">
              <w:rPr>
                <w:u w:val="double"/>
              </w:rPr>
              <w:t>$33,669</w:t>
            </w:r>
          </w:p>
        </w:tc>
      </w:tr>
    </w:tbl>
    <w:p w:rsidR="00B50F22" w:rsidRPr="00AF37D8" w:rsidRDefault="00B50F22" w:rsidP="00B50F22">
      <w:pPr>
        <w:tabs>
          <w:tab w:val="left" w:pos="1140"/>
        </w:tabs>
        <w:spacing w:after="240"/>
        <w:ind w:right="1260"/>
        <w:jc w:val="both"/>
      </w:pPr>
    </w:p>
    <w:p w:rsidR="00B50F22" w:rsidRPr="00AF37D8" w:rsidRDefault="00B50F22" w:rsidP="00745FBC">
      <w:pPr>
        <w:pStyle w:val="OrderBody"/>
        <w:sectPr w:rsidR="00B50F22" w:rsidRPr="00AF37D8">
          <w:headerReference w:type="first" r:id="rId16"/>
          <w:pgSz w:w="12240" w:h="15840" w:code="1"/>
          <w:pgMar w:top="1440" w:right="1440" w:bottom="1440" w:left="1440" w:header="720" w:footer="720" w:gutter="0"/>
          <w:cols w:space="720"/>
          <w:titlePg/>
          <w:docGrid w:linePitch="360"/>
        </w:sectPr>
      </w:pPr>
    </w:p>
    <w:p w:rsidR="00B50F22" w:rsidRPr="00AF37D8" w:rsidRDefault="00B50F22" w:rsidP="00B50F22">
      <w:pPr>
        <w:tabs>
          <w:tab w:val="left" w:pos="1140"/>
        </w:tabs>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keepNext/>
        <w:jc w:val="center"/>
      </w:pPr>
      <w:r w:rsidRPr="00AF37D8">
        <w:t xml:space="preserve">Schedule of </w:t>
      </w:r>
      <w:r w:rsidR="002947A9">
        <w:t>Commission Approved</w:t>
      </w:r>
      <w:r w:rsidRPr="00AF37D8">
        <w:t xml:space="preserve"> Water Account Balances as of February 28, 2022</w:t>
      </w:r>
    </w:p>
    <w:p w:rsidR="00B50F22" w:rsidRPr="00AF37D8" w:rsidRDefault="00B50F22" w:rsidP="00B50F22">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B50F22" w:rsidRPr="00AF37D8" w:rsidTr="0065692A">
        <w:tc>
          <w:tcPr>
            <w:tcW w:w="1098" w:type="dxa"/>
            <w:vAlign w:val="bottom"/>
          </w:tcPr>
          <w:p w:rsidR="00B50F22" w:rsidRPr="00AF37D8" w:rsidRDefault="00B50F22" w:rsidP="00B50F22">
            <w:pPr>
              <w:jc w:val="center"/>
              <w:rPr>
                <w:bCs/>
              </w:rPr>
            </w:pPr>
            <w:r w:rsidRPr="00AF37D8">
              <w:rPr>
                <w:bCs/>
              </w:rPr>
              <w:t>Account</w:t>
            </w:r>
          </w:p>
          <w:p w:rsidR="00B50F22" w:rsidRPr="00AF37D8" w:rsidRDefault="00B50F22" w:rsidP="00B50F22">
            <w:pPr>
              <w:jc w:val="center"/>
              <w:rPr>
                <w:bCs/>
              </w:rPr>
            </w:pPr>
            <w:r w:rsidRPr="00AF37D8">
              <w:rPr>
                <w:bCs/>
              </w:rPr>
              <w:t>No.</w:t>
            </w:r>
          </w:p>
        </w:tc>
        <w:tc>
          <w:tcPr>
            <w:tcW w:w="4320" w:type="dxa"/>
            <w:vAlign w:val="bottom"/>
          </w:tcPr>
          <w:p w:rsidR="00B50F22" w:rsidRPr="00AF37D8" w:rsidRDefault="00B50F22" w:rsidP="00B50F22">
            <w:pPr>
              <w:jc w:val="center"/>
              <w:rPr>
                <w:bCs/>
              </w:rPr>
            </w:pPr>
            <w:r w:rsidRPr="00AF37D8">
              <w:rPr>
                <w:bCs/>
              </w:rPr>
              <w:t>Description</w:t>
            </w:r>
          </w:p>
        </w:tc>
        <w:tc>
          <w:tcPr>
            <w:tcW w:w="2214" w:type="dxa"/>
            <w:vAlign w:val="bottom"/>
          </w:tcPr>
          <w:p w:rsidR="00B50F22" w:rsidRPr="00AF37D8" w:rsidRDefault="00B50F22" w:rsidP="00B50F22">
            <w:pPr>
              <w:jc w:val="center"/>
              <w:rPr>
                <w:bCs/>
              </w:rPr>
            </w:pPr>
            <w:r w:rsidRPr="00AF37D8">
              <w:rPr>
                <w:bCs/>
              </w:rPr>
              <w:t xml:space="preserve">                        UPIS</w:t>
            </w:r>
          </w:p>
        </w:tc>
        <w:tc>
          <w:tcPr>
            <w:tcW w:w="2394" w:type="dxa"/>
            <w:vAlign w:val="bottom"/>
          </w:tcPr>
          <w:p w:rsidR="00B50F22" w:rsidRPr="00AF37D8" w:rsidRDefault="00B50F22" w:rsidP="00B50F22">
            <w:pPr>
              <w:jc w:val="center"/>
              <w:rPr>
                <w:bCs/>
              </w:rPr>
            </w:pPr>
            <w:r w:rsidRPr="00AF37D8">
              <w:rPr>
                <w:bCs/>
              </w:rPr>
              <w:t xml:space="preserve"> Accumulated                         Depreciation</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304</w:t>
            </w:r>
          </w:p>
        </w:tc>
        <w:tc>
          <w:tcPr>
            <w:tcW w:w="4320" w:type="dxa"/>
            <w:vAlign w:val="bottom"/>
          </w:tcPr>
          <w:p w:rsidR="00B50F22" w:rsidRPr="00AF37D8" w:rsidRDefault="00B50F22" w:rsidP="00B50F22">
            <w:pPr>
              <w:rPr>
                <w:color w:val="000000"/>
              </w:rPr>
            </w:pPr>
            <w:r w:rsidRPr="00AF37D8">
              <w:rPr>
                <w:color w:val="000000"/>
              </w:rPr>
              <w:t xml:space="preserve">Structures &amp; Improvements  </w:t>
            </w:r>
          </w:p>
        </w:tc>
        <w:tc>
          <w:tcPr>
            <w:tcW w:w="2214" w:type="dxa"/>
            <w:vAlign w:val="bottom"/>
          </w:tcPr>
          <w:p w:rsidR="00B50F22" w:rsidRPr="00AF37D8" w:rsidRDefault="00B50F22" w:rsidP="00B50F22">
            <w:pPr>
              <w:jc w:val="right"/>
              <w:rPr>
                <w:color w:val="000000"/>
              </w:rPr>
            </w:pPr>
            <w:r w:rsidRPr="00AF37D8">
              <w:rPr>
                <w:color w:val="000000"/>
              </w:rPr>
              <w:t xml:space="preserve"> 23,320</w:t>
            </w:r>
          </w:p>
        </w:tc>
        <w:tc>
          <w:tcPr>
            <w:tcW w:w="2394" w:type="dxa"/>
            <w:vAlign w:val="bottom"/>
          </w:tcPr>
          <w:p w:rsidR="00B50F22" w:rsidRPr="00AF37D8" w:rsidRDefault="00B50F22" w:rsidP="00B50F22">
            <w:pPr>
              <w:jc w:val="right"/>
            </w:pPr>
            <w:r w:rsidRPr="00AF37D8">
              <w:t>(1,141)</w:t>
            </w:r>
          </w:p>
        </w:tc>
      </w:tr>
      <w:tr w:rsidR="00B50F22" w:rsidRPr="00AF37D8" w:rsidTr="0065692A">
        <w:tc>
          <w:tcPr>
            <w:tcW w:w="1098" w:type="dxa"/>
            <w:vAlign w:val="bottom"/>
          </w:tcPr>
          <w:p w:rsidR="00B50F22" w:rsidRPr="00AF37D8" w:rsidRDefault="00B50F22" w:rsidP="00B50F22">
            <w:pPr>
              <w:jc w:val="center"/>
            </w:pPr>
            <w:r w:rsidRPr="00AF37D8">
              <w:rPr>
                <w:color w:val="000000"/>
              </w:rPr>
              <w:t>307</w:t>
            </w:r>
          </w:p>
        </w:tc>
        <w:tc>
          <w:tcPr>
            <w:tcW w:w="4320" w:type="dxa"/>
            <w:vAlign w:val="bottom"/>
          </w:tcPr>
          <w:p w:rsidR="00B50F22" w:rsidRPr="00AF37D8" w:rsidRDefault="00B50F22" w:rsidP="00B50F22">
            <w:r w:rsidRPr="00AF37D8">
              <w:rPr>
                <w:color w:val="000000"/>
              </w:rPr>
              <w:t>Wells &amp; Springs</w:t>
            </w:r>
          </w:p>
        </w:tc>
        <w:tc>
          <w:tcPr>
            <w:tcW w:w="2214" w:type="dxa"/>
            <w:vAlign w:val="bottom"/>
          </w:tcPr>
          <w:p w:rsidR="00B50F22" w:rsidRPr="00AF37D8" w:rsidRDefault="00B50F22" w:rsidP="00B50F22">
            <w:pPr>
              <w:jc w:val="right"/>
            </w:pPr>
            <w:r w:rsidRPr="00AF37D8">
              <w:t>38,888</w:t>
            </w:r>
          </w:p>
        </w:tc>
        <w:tc>
          <w:tcPr>
            <w:tcW w:w="2394" w:type="dxa"/>
            <w:vAlign w:val="bottom"/>
          </w:tcPr>
          <w:p w:rsidR="00B50F22" w:rsidRPr="00AF37D8" w:rsidRDefault="00B50F22" w:rsidP="00B50F22">
            <w:pPr>
              <w:jc w:val="right"/>
            </w:pPr>
            <w:r w:rsidRPr="00AF37D8">
              <w:t>(27,590)</w:t>
            </w:r>
          </w:p>
        </w:tc>
      </w:tr>
      <w:tr w:rsidR="00B50F22" w:rsidRPr="00AF37D8" w:rsidTr="0065692A">
        <w:tc>
          <w:tcPr>
            <w:tcW w:w="1098" w:type="dxa"/>
            <w:vAlign w:val="bottom"/>
          </w:tcPr>
          <w:p w:rsidR="00B50F22" w:rsidRPr="00AF37D8" w:rsidRDefault="00B50F22" w:rsidP="00B50F22">
            <w:pPr>
              <w:jc w:val="center"/>
            </w:pPr>
            <w:r w:rsidRPr="00AF37D8">
              <w:rPr>
                <w:color w:val="000000"/>
              </w:rPr>
              <w:t>310</w:t>
            </w:r>
          </w:p>
        </w:tc>
        <w:tc>
          <w:tcPr>
            <w:tcW w:w="4320" w:type="dxa"/>
            <w:vAlign w:val="bottom"/>
          </w:tcPr>
          <w:p w:rsidR="00B50F22" w:rsidRPr="00AF37D8" w:rsidRDefault="00B50F22" w:rsidP="00B50F22">
            <w:r w:rsidRPr="00AF37D8">
              <w:rPr>
                <w:color w:val="000000"/>
              </w:rPr>
              <w:t>Power Generation Equipment</w:t>
            </w:r>
          </w:p>
        </w:tc>
        <w:tc>
          <w:tcPr>
            <w:tcW w:w="2214" w:type="dxa"/>
            <w:vAlign w:val="bottom"/>
          </w:tcPr>
          <w:p w:rsidR="00B50F22" w:rsidRPr="00AF37D8" w:rsidRDefault="00B50F22" w:rsidP="00B50F22">
            <w:pPr>
              <w:jc w:val="right"/>
            </w:pPr>
            <w:r w:rsidRPr="00AF37D8">
              <w:t>22,587</w:t>
            </w:r>
          </w:p>
        </w:tc>
        <w:tc>
          <w:tcPr>
            <w:tcW w:w="2394" w:type="dxa"/>
            <w:vAlign w:val="bottom"/>
          </w:tcPr>
          <w:p w:rsidR="00B50F22" w:rsidRPr="00AF37D8" w:rsidRDefault="00B50F22" w:rsidP="00B50F22">
            <w:pPr>
              <w:jc w:val="right"/>
            </w:pPr>
            <w:r w:rsidRPr="00AF37D8">
              <w:t>(22,587)</w:t>
            </w:r>
          </w:p>
        </w:tc>
      </w:tr>
      <w:tr w:rsidR="00B50F22" w:rsidRPr="00AF37D8" w:rsidTr="0065692A">
        <w:tc>
          <w:tcPr>
            <w:tcW w:w="1098" w:type="dxa"/>
            <w:vAlign w:val="bottom"/>
          </w:tcPr>
          <w:p w:rsidR="00B50F22" w:rsidRPr="00AF37D8" w:rsidRDefault="00B50F22" w:rsidP="00B50F22">
            <w:pPr>
              <w:jc w:val="center"/>
            </w:pPr>
            <w:r w:rsidRPr="00AF37D8">
              <w:rPr>
                <w:color w:val="000000"/>
              </w:rPr>
              <w:t>311</w:t>
            </w:r>
          </w:p>
        </w:tc>
        <w:tc>
          <w:tcPr>
            <w:tcW w:w="4320" w:type="dxa"/>
            <w:vAlign w:val="bottom"/>
          </w:tcPr>
          <w:p w:rsidR="00B50F22" w:rsidRPr="00AF37D8" w:rsidRDefault="00B50F22" w:rsidP="00B50F22">
            <w:r w:rsidRPr="00AF37D8">
              <w:rPr>
                <w:color w:val="000000"/>
              </w:rPr>
              <w:t xml:space="preserve">Pumping Equipment </w:t>
            </w:r>
          </w:p>
        </w:tc>
        <w:tc>
          <w:tcPr>
            <w:tcW w:w="2214" w:type="dxa"/>
            <w:vAlign w:val="bottom"/>
          </w:tcPr>
          <w:p w:rsidR="00B50F22" w:rsidRPr="00AF37D8" w:rsidRDefault="00B50F22" w:rsidP="00B50F22">
            <w:pPr>
              <w:jc w:val="right"/>
            </w:pPr>
            <w:r w:rsidRPr="00AF37D8">
              <w:t>113,271</w:t>
            </w:r>
          </w:p>
        </w:tc>
        <w:tc>
          <w:tcPr>
            <w:tcW w:w="2394" w:type="dxa"/>
            <w:vAlign w:val="bottom"/>
          </w:tcPr>
          <w:p w:rsidR="00B50F22" w:rsidRPr="00AF37D8" w:rsidRDefault="00B50F22" w:rsidP="00B50F22">
            <w:pPr>
              <w:jc w:val="right"/>
            </w:pPr>
            <w:r w:rsidRPr="00AF37D8">
              <w:t>(77,556)</w:t>
            </w:r>
          </w:p>
        </w:tc>
      </w:tr>
      <w:tr w:rsidR="00B50F22" w:rsidRPr="00AF37D8" w:rsidTr="0065692A">
        <w:tc>
          <w:tcPr>
            <w:tcW w:w="1098" w:type="dxa"/>
            <w:vAlign w:val="bottom"/>
          </w:tcPr>
          <w:p w:rsidR="00B50F22" w:rsidRPr="00AF37D8" w:rsidRDefault="00B50F22" w:rsidP="00B50F22">
            <w:pPr>
              <w:jc w:val="center"/>
            </w:pPr>
            <w:r w:rsidRPr="00AF37D8">
              <w:rPr>
                <w:color w:val="000000"/>
              </w:rPr>
              <w:t>320</w:t>
            </w:r>
          </w:p>
        </w:tc>
        <w:tc>
          <w:tcPr>
            <w:tcW w:w="4320" w:type="dxa"/>
            <w:vAlign w:val="bottom"/>
          </w:tcPr>
          <w:p w:rsidR="00B50F22" w:rsidRPr="00AF37D8" w:rsidRDefault="00B50F22" w:rsidP="00B50F22">
            <w:r w:rsidRPr="00AF37D8">
              <w:rPr>
                <w:color w:val="000000"/>
              </w:rPr>
              <w:t xml:space="preserve">Water Treatment Equipment </w:t>
            </w:r>
          </w:p>
        </w:tc>
        <w:tc>
          <w:tcPr>
            <w:tcW w:w="2214" w:type="dxa"/>
            <w:vAlign w:val="bottom"/>
          </w:tcPr>
          <w:p w:rsidR="00B50F22" w:rsidRPr="00AF37D8" w:rsidRDefault="00B50F22" w:rsidP="00B50F22">
            <w:pPr>
              <w:jc w:val="right"/>
            </w:pPr>
            <w:r w:rsidRPr="00AF37D8">
              <w:t>10,142</w:t>
            </w:r>
          </w:p>
        </w:tc>
        <w:tc>
          <w:tcPr>
            <w:tcW w:w="2394" w:type="dxa"/>
            <w:vAlign w:val="bottom"/>
          </w:tcPr>
          <w:p w:rsidR="00B50F22" w:rsidRPr="00AF37D8" w:rsidRDefault="00B50F22" w:rsidP="00B50F22">
            <w:pPr>
              <w:jc w:val="right"/>
            </w:pPr>
            <w:r w:rsidRPr="00AF37D8">
              <w:t>(6,339)</w:t>
            </w:r>
          </w:p>
        </w:tc>
      </w:tr>
      <w:tr w:rsidR="00B50F22" w:rsidRPr="00AF37D8" w:rsidTr="0065692A">
        <w:tc>
          <w:tcPr>
            <w:tcW w:w="1098" w:type="dxa"/>
            <w:vAlign w:val="bottom"/>
          </w:tcPr>
          <w:p w:rsidR="00B50F22" w:rsidRPr="00AF37D8" w:rsidRDefault="00B50F22" w:rsidP="00B50F22">
            <w:pPr>
              <w:jc w:val="center"/>
            </w:pPr>
            <w:r w:rsidRPr="00AF37D8">
              <w:rPr>
                <w:color w:val="000000"/>
              </w:rPr>
              <w:t>330</w:t>
            </w:r>
          </w:p>
        </w:tc>
        <w:tc>
          <w:tcPr>
            <w:tcW w:w="4320" w:type="dxa"/>
            <w:vAlign w:val="bottom"/>
          </w:tcPr>
          <w:p w:rsidR="00B50F22" w:rsidRPr="00AF37D8" w:rsidRDefault="00B50F22" w:rsidP="00B50F22">
            <w:r w:rsidRPr="00AF37D8">
              <w:rPr>
                <w:color w:val="000000"/>
              </w:rPr>
              <w:t>Distribution Reservoirs &amp; Standpipes</w:t>
            </w:r>
          </w:p>
        </w:tc>
        <w:tc>
          <w:tcPr>
            <w:tcW w:w="2214" w:type="dxa"/>
            <w:vAlign w:val="bottom"/>
          </w:tcPr>
          <w:p w:rsidR="00B50F22" w:rsidRPr="00AF37D8" w:rsidRDefault="00B50F22" w:rsidP="00B50F22">
            <w:pPr>
              <w:jc w:val="right"/>
            </w:pPr>
            <w:r w:rsidRPr="00AF37D8">
              <w:t xml:space="preserve">  198,197</w:t>
            </w:r>
          </w:p>
        </w:tc>
        <w:tc>
          <w:tcPr>
            <w:tcW w:w="2394" w:type="dxa"/>
            <w:vAlign w:val="bottom"/>
          </w:tcPr>
          <w:p w:rsidR="00B50F22" w:rsidRPr="00AF37D8" w:rsidRDefault="00B50F22" w:rsidP="00B50F22">
            <w:pPr>
              <w:jc w:val="right"/>
            </w:pPr>
            <w:r w:rsidRPr="00AF37D8">
              <w:t>(95,877)</w:t>
            </w:r>
          </w:p>
        </w:tc>
      </w:tr>
      <w:tr w:rsidR="00B50F22" w:rsidRPr="00AF37D8" w:rsidTr="0065692A">
        <w:tc>
          <w:tcPr>
            <w:tcW w:w="1098" w:type="dxa"/>
            <w:vAlign w:val="bottom"/>
          </w:tcPr>
          <w:p w:rsidR="00B50F22" w:rsidRPr="00AF37D8" w:rsidRDefault="00B50F22" w:rsidP="00B50F22">
            <w:pPr>
              <w:jc w:val="center"/>
            </w:pPr>
            <w:r w:rsidRPr="00AF37D8">
              <w:rPr>
                <w:color w:val="000000"/>
              </w:rPr>
              <w:t>331</w:t>
            </w:r>
          </w:p>
        </w:tc>
        <w:tc>
          <w:tcPr>
            <w:tcW w:w="4320" w:type="dxa"/>
            <w:vAlign w:val="bottom"/>
          </w:tcPr>
          <w:p w:rsidR="00B50F22" w:rsidRPr="00AF37D8" w:rsidRDefault="00B50F22" w:rsidP="00B50F22">
            <w:r w:rsidRPr="00AF37D8">
              <w:rPr>
                <w:color w:val="000000"/>
              </w:rPr>
              <w:t>Transmission &amp; Distribution Mains</w:t>
            </w:r>
          </w:p>
        </w:tc>
        <w:tc>
          <w:tcPr>
            <w:tcW w:w="2214" w:type="dxa"/>
            <w:vAlign w:val="bottom"/>
          </w:tcPr>
          <w:p w:rsidR="00B50F22" w:rsidRPr="00AF37D8" w:rsidRDefault="00B50F22" w:rsidP="00B50F22">
            <w:pPr>
              <w:jc w:val="right"/>
            </w:pPr>
            <w:r w:rsidRPr="00AF37D8">
              <w:t>74,217</w:t>
            </w:r>
          </w:p>
        </w:tc>
        <w:tc>
          <w:tcPr>
            <w:tcW w:w="2394" w:type="dxa"/>
            <w:vAlign w:val="bottom"/>
          </w:tcPr>
          <w:p w:rsidR="00B50F22" w:rsidRPr="00AF37D8" w:rsidRDefault="00B50F22" w:rsidP="00B50F22">
            <w:pPr>
              <w:jc w:val="right"/>
            </w:pPr>
            <w:r w:rsidRPr="00AF37D8">
              <w:t>(45,969)</w:t>
            </w:r>
          </w:p>
        </w:tc>
      </w:tr>
      <w:tr w:rsidR="00B50F22" w:rsidRPr="00AF37D8" w:rsidTr="0065692A">
        <w:tc>
          <w:tcPr>
            <w:tcW w:w="1098" w:type="dxa"/>
            <w:vAlign w:val="bottom"/>
          </w:tcPr>
          <w:p w:rsidR="00B50F22" w:rsidRPr="00AF37D8" w:rsidRDefault="00B50F22" w:rsidP="00B50F22">
            <w:pPr>
              <w:jc w:val="center"/>
            </w:pPr>
            <w:r w:rsidRPr="00AF37D8">
              <w:t>333</w:t>
            </w:r>
          </w:p>
        </w:tc>
        <w:tc>
          <w:tcPr>
            <w:tcW w:w="4320" w:type="dxa"/>
            <w:vAlign w:val="bottom"/>
          </w:tcPr>
          <w:p w:rsidR="00B50F22" w:rsidRPr="00AF37D8" w:rsidRDefault="00B50F22" w:rsidP="00B50F22">
            <w:pPr>
              <w:rPr>
                <w:color w:val="000000"/>
              </w:rPr>
            </w:pPr>
            <w:r w:rsidRPr="00AF37D8">
              <w:t>Services</w:t>
            </w:r>
          </w:p>
        </w:tc>
        <w:tc>
          <w:tcPr>
            <w:tcW w:w="2214" w:type="dxa"/>
            <w:vAlign w:val="bottom"/>
          </w:tcPr>
          <w:p w:rsidR="00B50F22" w:rsidRPr="00AF37D8" w:rsidRDefault="00B50F22" w:rsidP="00B50F22">
            <w:pPr>
              <w:jc w:val="right"/>
            </w:pPr>
            <w:r w:rsidRPr="00AF37D8">
              <w:t>15,635</w:t>
            </w:r>
          </w:p>
        </w:tc>
        <w:tc>
          <w:tcPr>
            <w:tcW w:w="2394" w:type="dxa"/>
            <w:vAlign w:val="bottom"/>
          </w:tcPr>
          <w:p w:rsidR="00B50F22" w:rsidRPr="00AF37D8" w:rsidRDefault="00B50F22" w:rsidP="00B50F22">
            <w:pPr>
              <w:jc w:val="right"/>
            </w:pPr>
            <w:r w:rsidRPr="00AF37D8">
              <w:t>(14,133)</w:t>
            </w:r>
          </w:p>
        </w:tc>
      </w:tr>
      <w:tr w:rsidR="00B50F22" w:rsidRPr="00AF37D8" w:rsidTr="0065692A">
        <w:tc>
          <w:tcPr>
            <w:tcW w:w="1098" w:type="dxa"/>
            <w:vAlign w:val="bottom"/>
          </w:tcPr>
          <w:p w:rsidR="00B50F22" w:rsidRPr="00AF37D8" w:rsidRDefault="00B50F22" w:rsidP="00B50F22">
            <w:pPr>
              <w:jc w:val="center"/>
            </w:pPr>
            <w:r w:rsidRPr="00AF37D8">
              <w:t>334</w:t>
            </w:r>
          </w:p>
        </w:tc>
        <w:tc>
          <w:tcPr>
            <w:tcW w:w="4320" w:type="dxa"/>
            <w:vAlign w:val="bottom"/>
          </w:tcPr>
          <w:p w:rsidR="00B50F22" w:rsidRPr="00AF37D8" w:rsidRDefault="00B50F22" w:rsidP="00B50F22">
            <w:r w:rsidRPr="00AF37D8">
              <w:t>Meters &amp; Meter Installations</w:t>
            </w:r>
          </w:p>
        </w:tc>
        <w:tc>
          <w:tcPr>
            <w:tcW w:w="2214" w:type="dxa"/>
            <w:vAlign w:val="bottom"/>
          </w:tcPr>
          <w:p w:rsidR="00B50F22" w:rsidRPr="00AF37D8" w:rsidRDefault="00B50F22" w:rsidP="00B50F22">
            <w:pPr>
              <w:jc w:val="right"/>
            </w:pPr>
            <w:r w:rsidRPr="00AF37D8">
              <w:t>48,200</w:t>
            </w:r>
          </w:p>
        </w:tc>
        <w:tc>
          <w:tcPr>
            <w:tcW w:w="2394" w:type="dxa"/>
            <w:vAlign w:val="bottom"/>
          </w:tcPr>
          <w:p w:rsidR="00B50F22" w:rsidRPr="00AF37D8" w:rsidRDefault="00B50F22" w:rsidP="00B50F22">
            <w:pPr>
              <w:jc w:val="right"/>
            </w:pPr>
            <w:r w:rsidRPr="00AF37D8">
              <w:t>(33,635)</w:t>
            </w:r>
          </w:p>
        </w:tc>
      </w:tr>
      <w:tr w:rsidR="00B50F22" w:rsidRPr="00AF37D8" w:rsidTr="0065692A">
        <w:tc>
          <w:tcPr>
            <w:tcW w:w="1098" w:type="dxa"/>
            <w:vAlign w:val="bottom"/>
          </w:tcPr>
          <w:p w:rsidR="00B50F22" w:rsidRPr="00AF37D8" w:rsidRDefault="00B50F22" w:rsidP="00B50F22">
            <w:pPr>
              <w:jc w:val="center"/>
            </w:pPr>
            <w:r w:rsidRPr="00AF37D8">
              <w:t>343</w:t>
            </w:r>
          </w:p>
        </w:tc>
        <w:tc>
          <w:tcPr>
            <w:tcW w:w="4320" w:type="dxa"/>
            <w:vAlign w:val="bottom"/>
          </w:tcPr>
          <w:p w:rsidR="00B50F22" w:rsidRPr="00AF37D8" w:rsidRDefault="00B50F22" w:rsidP="00B50F22">
            <w:r w:rsidRPr="00AF37D8">
              <w:t>Tools, Shop, &amp; Garage Equipment</w:t>
            </w:r>
          </w:p>
        </w:tc>
        <w:tc>
          <w:tcPr>
            <w:tcW w:w="2214" w:type="dxa"/>
            <w:vAlign w:val="bottom"/>
          </w:tcPr>
          <w:p w:rsidR="00B50F22" w:rsidRPr="00AF37D8" w:rsidRDefault="00B50F22" w:rsidP="00B50F22">
            <w:pPr>
              <w:jc w:val="right"/>
            </w:pPr>
            <w:r w:rsidRPr="00AF37D8">
              <w:t>207</w:t>
            </w:r>
          </w:p>
        </w:tc>
        <w:tc>
          <w:tcPr>
            <w:tcW w:w="2394" w:type="dxa"/>
            <w:vAlign w:val="bottom"/>
          </w:tcPr>
          <w:p w:rsidR="00B50F22" w:rsidRPr="00AF37D8" w:rsidRDefault="00B50F22" w:rsidP="00B50F22">
            <w:pPr>
              <w:jc w:val="right"/>
            </w:pPr>
            <w:r w:rsidRPr="00AF37D8">
              <w:t>(207)</w:t>
            </w:r>
          </w:p>
        </w:tc>
      </w:tr>
      <w:tr w:rsidR="00B50F22" w:rsidRPr="00AF37D8" w:rsidTr="0065692A">
        <w:tc>
          <w:tcPr>
            <w:tcW w:w="1098" w:type="dxa"/>
            <w:vAlign w:val="bottom"/>
          </w:tcPr>
          <w:p w:rsidR="00B50F22" w:rsidRPr="00AF37D8" w:rsidRDefault="00B50F22" w:rsidP="00B50F22">
            <w:pPr>
              <w:jc w:val="center"/>
            </w:pPr>
          </w:p>
        </w:tc>
        <w:tc>
          <w:tcPr>
            <w:tcW w:w="4320" w:type="dxa"/>
            <w:vAlign w:val="bottom"/>
          </w:tcPr>
          <w:p w:rsidR="00B50F22" w:rsidRPr="00AF37D8" w:rsidRDefault="00B50F22" w:rsidP="00B50F22"/>
        </w:tc>
        <w:tc>
          <w:tcPr>
            <w:tcW w:w="2214" w:type="dxa"/>
            <w:vAlign w:val="bottom"/>
          </w:tcPr>
          <w:p w:rsidR="00B50F22" w:rsidRPr="00AF37D8" w:rsidRDefault="00B50F22" w:rsidP="00B50F22">
            <w:pPr>
              <w:jc w:val="right"/>
            </w:pPr>
          </w:p>
        </w:tc>
        <w:tc>
          <w:tcPr>
            <w:tcW w:w="2394" w:type="dxa"/>
            <w:vAlign w:val="bottom"/>
          </w:tcPr>
          <w:p w:rsidR="00B50F22" w:rsidRPr="00AF37D8" w:rsidRDefault="00B50F22" w:rsidP="00B50F22">
            <w:pPr>
              <w:jc w:val="right"/>
            </w:pPr>
          </w:p>
        </w:tc>
      </w:tr>
      <w:tr w:rsidR="00B50F22" w:rsidRPr="00AF37D8" w:rsidTr="0065692A">
        <w:tc>
          <w:tcPr>
            <w:tcW w:w="1098" w:type="dxa"/>
            <w:vAlign w:val="bottom"/>
          </w:tcPr>
          <w:p w:rsidR="00B50F22" w:rsidRPr="00AF37D8" w:rsidRDefault="00B50F22" w:rsidP="00B50F22">
            <w:pPr>
              <w:jc w:val="center"/>
            </w:pPr>
          </w:p>
        </w:tc>
        <w:tc>
          <w:tcPr>
            <w:tcW w:w="4320" w:type="dxa"/>
            <w:vAlign w:val="bottom"/>
          </w:tcPr>
          <w:p w:rsidR="00B50F22" w:rsidRPr="00AF37D8" w:rsidRDefault="00B50F22" w:rsidP="00B50F22">
            <w:r w:rsidRPr="00AF37D8">
              <w:rPr>
                <w:color w:val="000000"/>
              </w:rPr>
              <w:t>Total</w:t>
            </w:r>
          </w:p>
        </w:tc>
        <w:tc>
          <w:tcPr>
            <w:tcW w:w="2214" w:type="dxa"/>
            <w:vAlign w:val="bottom"/>
          </w:tcPr>
          <w:p w:rsidR="00B50F22" w:rsidRPr="00AF37D8" w:rsidRDefault="00B50F22" w:rsidP="00B50F22">
            <w:pPr>
              <w:jc w:val="right"/>
            </w:pPr>
            <w:r w:rsidRPr="00AF37D8">
              <w:rPr>
                <w:color w:val="000000"/>
                <w:u w:val="double"/>
              </w:rPr>
              <w:t>$544,665</w:t>
            </w:r>
          </w:p>
        </w:tc>
        <w:tc>
          <w:tcPr>
            <w:tcW w:w="2394" w:type="dxa"/>
            <w:vAlign w:val="bottom"/>
          </w:tcPr>
          <w:p w:rsidR="00B50F22" w:rsidRPr="00AF37D8" w:rsidRDefault="00B50F22" w:rsidP="00B50F22">
            <w:pPr>
              <w:jc w:val="right"/>
            </w:pPr>
            <w:r w:rsidRPr="00AF37D8">
              <w:rPr>
                <w:color w:val="000000"/>
                <w:u w:val="double"/>
              </w:rPr>
              <w:t>($325,034)</w:t>
            </w:r>
          </w:p>
        </w:tc>
      </w:tr>
    </w:tbl>
    <w:p w:rsidR="00B50F22" w:rsidRPr="00AF37D8" w:rsidRDefault="00B50F22" w:rsidP="00B50F22">
      <w:pPr>
        <w:tabs>
          <w:tab w:val="left" w:pos="1140"/>
        </w:tabs>
        <w:spacing w:after="240"/>
        <w:ind w:right="1260"/>
        <w:jc w:val="both"/>
      </w:pPr>
    </w:p>
    <w:p w:rsidR="00B50F22" w:rsidRPr="00AF37D8" w:rsidRDefault="00B50F22" w:rsidP="00745FBC">
      <w:pPr>
        <w:pStyle w:val="OrderBody"/>
        <w:sectPr w:rsidR="00B50F22" w:rsidRPr="00AF37D8">
          <w:headerReference w:type="first" r:id="rId17"/>
          <w:pgSz w:w="12240" w:h="15840" w:code="1"/>
          <w:pgMar w:top="1440" w:right="1440" w:bottom="1440" w:left="1440" w:header="720" w:footer="720" w:gutter="0"/>
          <w:cols w:space="720"/>
          <w:titlePg/>
          <w:docGrid w:linePitch="360"/>
        </w:sectPr>
      </w:pPr>
    </w:p>
    <w:p w:rsidR="00B50F22" w:rsidRPr="00AF37D8" w:rsidRDefault="00B50F22" w:rsidP="00B50F22">
      <w:pPr>
        <w:tabs>
          <w:tab w:val="left" w:pos="1140"/>
        </w:tabs>
        <w:spacing w:after="240"/>
        <w:ind w:right="1260"/>
        <w:jc w:val="both"/>
      </w:pPr>
    </w:p>
    <w:p w:rsidR="00B50F22" w:rsidRPr="00AF37D8" w:rsidRDefault="00B50F22" w:rsidP="00B50F22">
      <w:pPr>
        <w:jc w:val="center"/>
      </w:pPr>
      <w:r w:rsidRPr="00AF37D8">
        <w:t xml:space="preserve">CSWR-Florida Utility Operating Company, LLC </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keepNext/>
        <w:jc w:val="center"/>
      </w:pPr>
      <w:r w:rsidRPr="00AF37D8">
        <w:t xml:space="preserve">Schedule of </w:t>
      </w:r>
      <w:r w:rsidR="002947A9">
        <w:t>Commission Approved</w:t>
      </w:r>
      <w:r w:rsidRPr="00AF37D8">
        <w:t xml:space="preserve"> Wastewater Account Balances as of February 28, 2022</w:t>
      </w:r>
    </w:p>
    <w:p w:rsidR="00B50F22" w:rsidRPr="00AF37D8" w:rsidRDefault="00B50F22" w:rsidP="00B50F22">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B50F22" w:rsidRPr="00AF37D8" w:rsidTr="0065692A">
        <w:tc>
          <w:tcPr>
            <w:tcW w:w="1098" w:type="dxa"/>
            <w:vAlign w:val="bottom"/>
          </w:tcPr>
          <w:p w:rsidR="00B50F22" w:rsidRPr="00AF37D8" w:rsidRDefault="00B50F22" w:rsidP="00B50F22">
            <w:pPr>
              <w:jc w:val="center"/>
              <w:rPr>
                <w:bCs/>
              </w:rPr>
            </w:pPr>
            <w:r w:rsidRPr="00AF37D8">
              <w:rPr>
                <w:bCs/>
              </w:rPr>
              <w:t>Account</w:t>
            </w:r>
          </w:p>
          <w:p w:rsidR="00B50F22" w:rsidRPr="00AF37D8" w:rsidRDefault="00B50F22" w:rsidP="00B50F22">
            <w:pPr>
              <w:jc w:val="center"/>
              <w:rPr>
                <w:bCs/>
              </w:rPr>
            </w:pPr>
            <w:r w:rsidRPr="00AF37D8">
              <w:rPr>
                <w:bCs/>
              </w:rPr>
              <w:t>No.</w:t>
            </w:r>
          </w:p>
        </w:tc>
        <w:tc>
          <w:tcPr>
            <w:tcW w:w="4320" w:type="dxa"/>
            <w:vAlign w:val="bottom"/>
          </w:tcPr>
          <w:p w:rsidR="00B50F22" w:rsidRPr="00AF37D8" w:rsidRDefault="00B50F22" w:rsidP="00B50F22">
            <w:pPr>
              <w:jc w:val="center"/>
              <w:rPr>
                <w:bCs/>
              </w:rPr>
            </w:pPr>
            <w:r w:rsidRPr="00AF37D8">
              <w:rPr>
                <w:bCs/>
              </w:rPr>
              <w:t>Description</w:t>
            </w:r>
          </w:p>
        </w:tc>
        <w:tc>
          <w:tcPr>
            <w:tcW w:w="2214" w:type="dxa"/>
            <w:vAlign w:val="bottom"/>
          </w:tcPr>
          <w:p w:rsidR="00B50F22" w:rsidRPr="00AF37D8" w:rsidRDefault="00B50F22" w:rsidP="00B50F22">
            <w:pPr>
              <w:jc w:val="center"/>
              <w:rPr>
                <w:bCs/>
              </w:rPr>
            </w:pPr>
            <w:r w:rsidRPr="00AF37D8">
              <w:rPr>
                <w:bCs/>
              </w:rPr>
              <w:t xml:space="preserve">                        UPIS</w:t>
            </w:r>
          </w:p>
        </w:tc>
        <w:tc>
          <w:tcPr>
            <w:tcW w:w="2394" w:type="dxa"/>
            <w:vAlign w:val="bottom"/>
          </w:tcPr>
          <w:p w:rsidR="00B50F22" w:rsidRPr="00AF37D8" w:rsidRDefault="00B50F22" w:rsidP="00B50F22">
            <w:pPr>
              <w:jc w:val="center"/>
              <w:rPr>
                <w:bCs/>
              </w:rPr>
            </w:pPr>
            <w:r w:rsidRPr="00AF37D8">
              <w:rPr>
                <w:bCs/>
              </w:rPr>
              <w:t xml:space="preserve"> Accumulated                         Depreciation</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351</w:t>
            </w:r>
          </w:p>
        </w:tc>
        <w:tc>
          <w:tcPr>
            <w:tcW w:w="4320" w:type="dxa"/>
            <w:vAlign w:val="bottom"/>
          </w:tcPr>
          <w:p w:rsidR="00B50F22" w:rsidRPr="00AF37D8" w:rsidRDefault="00B50F22" w:rsidP="00B50F22">
            <w:pPr>
              <w:rPr>
                <w:color w:val="000000"/>
              </w:rPr>
            </w:pPr>
            <w:r w:rsidRPr="00AF37D8">
              <w:rPr>
                <w:color w:val="000000"/>
              </w:rPr>
              <w:t>Organization</w:t>
            </w:r>
          </w:p>
        </w:tc>
        <w:tc>
          <w:tcPr>
            <w:tcW w:w="2214" w:type="dxa"/>
            <w:vAlign w:val="bottom"/>
          </w:tcPr>
          <w:p w:rsidR="00B50F22" w:rsidRPr="00AF37D8" w:rsidRDefault="00B50F22" w:rsidP="00B50F22">
            <w:pPr>
              <w:jc w:val="right"/>
              <w:rPr>
                <w:color w:val="000000"/>
              </w:rPr>
            </w:pPr>
            <w:r w:rsidRPr="00AF37D8">
              <w:rPr>
                <w:color w:val="000000"/>
              </w:rPr>
              <w:t>$2,500</w:t>
            </w:r>
          </w:p>
        </w:tc>
        <w:tc>
          <w:tcPr>
            <w:tcW w:w="2394" w:type="dxa"/>
            <w:vAlign w:val="bottom"/>
          </w:tcPr>
          <w:p w:rsidR="00B50F22" w:rsidRPr="00AF37D8" w:rsidRDefault="00B50F22" w:rsidP="00B50F22">
            <w:pPr>
              <w:jc w:val="right"/>
            </w:pPr>
            <w:r w:rsidRPr="00AF37D8">
              <w:t>($2,500)</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352</w:t>
            </w:r>
          </w:p>
        </w:tc>
        <w:tc>
          <w:tcPr>
            <w:tcW w:w="4320" w:type="dxa"/>
            <w:vAlign w:val="bottom"/>
          </w:tcPr>
          <w:p w:rsidR="00B50F22" w:rsidRPr="00AF37D8" w:rsidRDefault="00B50F22" w:rsidP="00B50F22">
            <w:pPr>
              <w:rPr>
                <w:color w:val="000000"/>
              </w:rPr>
            </w:pPr>
            <w:r w:rsidRPr="00AF37D8">
              <w:rPr>
                <w:color w:val="000000"/>
              </w:rPr>
              <w:t>Franchises</w:t>
            </w:r>
          </w:p>
        </w:tc>
        <w:tc>
          <w:tcPr>
            <w:tcW w:w="2214" w:type="dxa"/>
            <w:vAlign w:val="bottom"/>
          </w:tcPr>
          <w:p w:rsidR="00B50F22" w:rsidRPr="00AF37D8" w:rsidRDefault="00B50F22" w:rsidP="00B50F22">
            <w:pPr>
              <w:jc w:val="right"/>
              <w:rPr>
                <w:color w:val="000000"/>
              </w:rPr>
            </w:pPr>
            <w:r w:rsidRPr="00AF37D8">
              <w:rPr>
                <w:color w:val="000000"/>
              </w:rPr>
              <w:t>2,062</w:t>
            </w:r>
          </w:p>
        </w:tc>
        <w:tc>
          <w:tcPr>
            <w:tcW w:w="2394" w:type="dxa"/>
            <w:vAlign w:val="bottom"/>
          </w:tcPr>
          <w:p w:rsidR="00B50F22" w:rsidRPr="00AF37D8" w:rsidRDefault="00B50F22" w:rsidP="00B50F22">
            <w:pPr>
              <w:jc w:val="right"/>
            </w:pPr>
            <w:r w:rsidRPr="00AF37D8">
              <w:t>(2,062)</w:t>
            </w:r>
          </w:p>
        </w:tc>
      </w:tr>
      <w:tr w:rsidR="00B50F22" w:rsidRPr="00AF37D8" w:rsidTr="0065692A">
        <w:tc>
          <w:tcPr>
            <w:tcW w:w="1098" w:type="dxa"/>
            <w:vAlign w:val="bottom"/>
          </w:tcPr>
          <w:p w:rsidR="00B50F22" w:rsidRPr="00AF37D8" w:rsidRDefault="00B50F22" w:rsidP="00B50F22">
            <w:pPr>
              <w:jc w:val="center"/>
            </w:pPr>
            <w:r w:rsidRPr="00AF37D8">
              <w:rPr>
                <w:color w:val="000000"/>
              </w:rPr>
              <w:t>354</w:t>
            </w:r>
          </w:p>
        </w:tc>
        <w:tc>
          <w:tcPr>
            <w:tcW w:w="4320" w:type="dxa"/>
            <w:vAlign w:val="bottom"/>
          </w:tcPr>
          <w:p w:rsidR="00B50F22" w:rsidRPr="00AF37D8" w:rsidRDefault="00B50F22" w:rsidP="00B50F22">
            <w:r w:rsidRPr="00AF37D8">
              <w:rPr>
                <w:color w:val="000000"/>
              </w:rPr>
              <w:t xml:space="preserve">Structures &amp; Improvements  </w:t>
            </w:r>
          </w:p>
        </w:tc>
        <w:tc>
          <w:tcPr>
            <w:tcW w:w="2214" w:type="dxa"/>
            <w:vAlign w:val="bottom"/>
          </w:tcPr>
          <w:p w:rsidR="00B50F22" w:rsidRPr="00AF37D8" w:rsidRDefault="00B50F22" w:rsidP="00B50F22">
            <w:pPr>
              <w:jc w:val="right"/>
            </w:pPr>
            <w:r w:rsidRPr="00AF37D8">
              <w:rPr>
                <w:color w:val="000000"/>
              </w:rPr>
              <w:t xml:space="preserve"> 32,260</w:t>
            </w:r>
          </w:p>
        </w:tc>
        <w:tc>
          <w:tcPr>
            <w:tcW w:w="2394" w:type="dxa"/>
            <w:vAlign w:val="bottom"/>
          </w:tcPr>
          <w:p w:rsidR="00B50F22" w:rsidRPr="00AF37D8" w:rsidRDefault="00B50F22" w:rsidP="00B50F22">
            <w:pPr>
              <w:jc w:val="right"/>
            </w:pPr>
            <w:r w:rsidRPr="00AF37D8">
              <w:t>(3,905)</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360</w:t>
            </w:r>
          </w:p>
        </w:tc>
        <w:tc>
          <w:tcPr>
            <w:tcW w:w="4320" w:type="dxa"/>
            <w:vAlign w:val="bottom"/>
          </w:tcPr>
          <w:p w:rsidR="00B50F22" w:rsidRPr="00AF37D8" w:rsidRDefault="00B50F22" w:rsidP="00B50F22">
            <w:pPr>
              <w:rPr>
                <w:color w:val="000000"/>
              </w:rPr>
            </w:pPr>
            <w:r w:rsidRPr="00AF37D8">
              <w:rPr>
                <w:color w:val="000000"/>
              </w:rPr>
              <w:t>Collection Sewers - Force</w:t>
            </w:r>
          </w:p>
        </w:tc>
        <w:tc>
          <w:tcPr>
            <w:tcW w:w="2214" w:type="dxa"/>
            <w:vAlign w:val="bottom"/>
          </w:tcPr>
          <w:p w:rsidR="00B50F22" w:rsidRPr="00AF37D8" w:rsidRDefault="00B50F22" w:rsidP="00B50F22">
            <w:pPr>
              <w:jc w:val="right"/>
              <w:rPr>
                <w:color w:val="000000"/>
              </w:rPr>
            </w:pPr>
            <w:r w:rsidRPr="00AF37D8">
              <w:t>7,700</w:t>
            </w:r>
          </w:p>
        </w:tc>
        <w:tc>
          <w:tcPr>
            <w:tcW w:w="2394" w:type="dxa"/>
            <w:vAlign w:val="bottom"/>
          </w:tcPr>
          <w:p w:rsidR="00B50F22" w:rsidRPr="00AF37D8" w:rsidRDefault="00B50F22" w:rsidP="00B50F22">
            <w:pPr>
              <w:jc w:val="right"/>
            </w:pPr>
            <w:r w:rsidRPr="00AF37D8">
              <w:t>(7,700)</w:t>
            </w:r>
          </w:p>
        </w:tc>
      </w:tr>
      <w:tr w:rsidR="00B50F22" w:rsidRPr="00AF37D8" w:rsidTr="0065692A">
        <w:tc>
          <w:tcPr>
            <w:tcW w:w="1098" w:type="dxa"/>
            <w:vAlign w:val="bottom"/>
          </w:tcPr>
          <w:p w:rsidR="00B50F22" w:rsidRPr="00AF37D8" w:rsidRDefault="00B50F22" w:rsidP="00B50F22">
            <w:pPr>
              <w:jc w:val="center"/>
            </w:pPr>
            <w:r w:rsidRPr="00AF37D8">
              <w:rPr>
                <w:color w:val="000000"/>
              </w:rPr>
              <w:t>361</w:t>
            </w:r>
          </w:p>
        </w:tc>
        <w:tc>
          <w:tcPr>
            <w:tcW w:w="4320" w:type="dxa"/>
            <w:vAlign w:val="bottom"/>
          </w:tcPr>
          <w:p w:rsidR="00B50F22" w:rsidRPr="00AF37D8" w:rsidRDefault="00B50F22" w:rsidP="00B50F22">
            <w:r w:rsidRPr="00AF37D8">
              <w:rPr>
                <w:color w:val="000000"/>
              </w:rPr>
              <w:t>Collection Sewers - Gravity</w:t>
            </w:r>
          </w:p>
        </w:tc>
        <w:tc>
          <w:tcPr>
            <w:tcW w:w="2214" w:type="dxa"/>
            <w:vAlign w:val="bottom"/>
          </w:tcPr>
          <w:p w:rsidR="00B50F22" w:rsidRPr="00AF37D8" w:rsidRDefault="00B50F22" w:rsidP="00B50F22">
            <w:pPr>
              <w:jc w:val="right"/>
            </w:pPr>
            <w:r w:rsidRPr="00AF37D8">
              <w:t>45,657</w:t>
            </w:r>
          </w:p>
        </w:tc>
        <w:tc>
          <w:tcPr>
            <w:tcW w:w="2394" w:type="dxa"/>
            <w:vAlign w:val="bottom"/>
          </w:tcPr>
          <w:p w:rsidR="00B50F22" w:rsidRPr="00AF37D8" w:rsidRDefault="00B50F22" w:rsidP="00B50F22">
            <w:pPr>
              <w:jc w:val="right"/>
            </w:pPr>
            <w:r w:rsidRPr="00AF37D8">
              <w:t>(38,698)</w:t>
            </w:r>
          </w:p>
        </w:tc>
      </w:tr>
      <w:tr w:rsidR="00B50F22" w:rsidRPr="00AF37D8" w:rsidTr="0065692A">
        <w:tc>
          <w:tcPr>
            <w:tcW w:w="1098" w:type="dxa"/>
            <w:vAlign w:val="bottom"/>
          </w:tcPr>
          <w:p w:rsidR="00B50F22" w:rsidRPr="00AF37D8" w:rsidRDefault="00B50F22" w:rsidP="00B50F22">
            <w:pPr>
              <w:jc w:val="center"/>
            </w:pPr>
            <w:r w:rsidRPr="00AF37D8">
              <w:rPr>
                <w:color w:val="000000"/>
              </w:rPr>
              <w:t>362</w:t>
            </w:r>
          </w:p>
        </w:tc>
        <w:tc>
          <w:tcPr>
            <w:tcW w:w="4320" w:type="dxa"/>
            <w:vAlign w:val="bottom"/>
          </w:tcPr>
          <w:p w:rsidR="00B50F22" w:rsidRPr="00AF37D8" w:rsidRDefault="00B50F22" w:rsidP="00B50F22">
            <w:r w:rsidRPr="00AF37D8">
              <w:rPr>
                <w:color w:val="000000"/>
              </w:rPr>
              <w:t xml:space="preserve">Special Collection Structures  </w:t>
            </w:r>
          </w:p>
        </w:tc>
        <w:tc>
          <w:tcPr>
            <w:tcW w:w="2214" w:type="dxa"/>
            <w:vAlign w:val="bottom"/>
          </w:tcPr>
          <w:p w:rsidR="00B50F22" w:rsidRPr="00AF37D8" w:rsidRDefault="00B50F22" w:rsidP="00B50F22">
            <w:pPr>
              <w:jc w:val="right"/>
            </w:pPr>
            <w:r w:rsidRPr="00AF37D8">
              <w:t>15,148</w:t>
            </w:r>
          </w:p>
        </w:tc>
        <w:tc>
          <w:tcPr>
            <w:tcW w:w="2394" w:type="dxa"/>
            <w:vAlign w:val="bottom"/>
          </w:tcPr>
          <w:p w:rsidR="00B50F22" w:rsidRPr="00AF37D8" w:rsidRDefault="00B50F22" w:rsidP="00B50F22">
            <w:pPr>
              <w:jc w:val="right"/>
            </w:pPr>
            <w:r w:rsidRPr="00AF37D8">
              <w:t>(14,073)</w:t>
            </w:r>
          </w:p>
        </w:tc>
      </w:tr>
      <w:tr w:rsidR="00B50F22" w:rsidRPr="00AF37D8" w:rsidTr="0065692A">
        <w:tc>
          <w:tcPr>
            <w:tcW w:w="1098" w:type="dxa"/>
            <w:vAlign w:val="bottom"/>
          </w:tcPr>
          <w:p w:rsidR="00B50F22" w:rsidRPr="00AF37D8" w:rsidRDefault="00B50F22" w:rsidP="00B50F22">
            <w:pPr>
              <w:jc w:val="center"/>
            </w:pPr>
            <w:r w:rsidRPr="00AF37D8">
              <w:rPr>
                <w:color w:val="000000"/>
              </w:rPr>
              <w:t>363</w:t>
            </w:r>
          </w:p>
        </w:tc>
        <w:tc>
          <w:tcPr>
            <w:tcW w:w="4320" w:type="dxa"/>
            <w:vAlign w:val="bottom"/>
          </w:tcPr>
          <w:p w:rsidR="00B50F22" w:rsidRPr="00AF37D8" w:rsidRDefault="00B50F22" w:rsidP="00B50F22">
            <w:r w:rsidRPr="00AF37D8">
              <w:rPr>
                <w:color w:val="000000"/>
              </w:rPr>
              <w:t xml:space="preserve">Service to Customers </w:t>
            </w:r>
          </w:p>
        </w:tc>
        <w:tc>
          <w:tcPr>
            <w:tcW w:w="2214" w:type="dxa"/>
            <w:vAlign w:val="bottom"/>
          </w:tcPr>
          <w:p w:rsidR="00B50F22" w:rsidRPr="00AF37D8" w:rsidRDefault="00B50F22" w:rsidP="00B50F22">
            <w:pPr>
              <w:jc w:val="right"/>
            </w:pPr>
            <w:r w:rsidRPr="00AF37D8">
              <w:t>8,500</w:t>
            </w:r>
          </w:p>
        </w:tc>
        <w:tc>
          <w:tcPr>
            <w:tcW w:w="2394" w:type="dxa"/>
            <w:vAlign w:val="bottom"/>
          </w:tcPr>
          <w:p w:rsidR="00B50F22" w:rsidRPr="00AF37D8" w:rsidRDefault="00B50F22" w:rsidP="00B50F22">
            <w:pPr>
              <w:jc w:val="right"/>
            </w:pPr>
            <w:r w:rsidRPr="00AF37D8">
              <w:t>(8,500)</w:t>
            </w:r>
          </w:p>
        </w:tc>
      </w:tr>
      <w:tr w:rsidR="00B50F22" w:rsidRPr="00AF37D8" w:rsidTr="0065692A">
        <w:tc>
          <w:tcPr>
            <w:tcW w:w="1098" w:type="dxa"/>
            <w:vAlign w:val="bottom"/>
          </w:tcPr>
          <w:p w:rsidR="00B50F22" w:rsidRPr="00AF37D8" w:rsidRDefault="00B50F22" w:rsidP="00B50F22">
            <w:pPr>
              <w:jc w:val="center"/>
            </w:pPr>
            <w:r w:rsidRPr="00AF37D8">
              <w:rPr>
                <w:color w:val="000000"/>
              </w:rPr>
              <w:t>364</w:t>
            </w:r>
          </w:p>
        </w:tc>
        <w:tc>
          <w:tcPr>
            <w:tcW w:w="4320" w:type="dxa"/>
            <w:vAlign w:val="bottom"/>
          </w:tcPr>
          <w:p w:rsidR="00B50F22" w:rsidRPr="00AF37D8" w:rsidRDefault="00B50F22" w:rsidP="00B50F22">
            <w:r w:rsidRPr="00AF37D8">
              <w:rPr>
                <w:color w:val="000000"/>
              </w:rPr>
              <w:t>Flow Measuring Devices</w:t>
            </w:r>
          </w:p>
        </w:tc>
        <w:tc>
          <w:tcPr>
            <w:tcW w:w="2214" w:type="dxa"/>
            <w:vAlign w:val="bottom"/>
          </w:tcPr>
          <w:p w:rsidR="00B50F22" w:rsidRPr="00AF37D8" w:rsidRDefault="00B50F22" w:rsidP="00B50F22">
            <w:pPr>
              <w:jc w:val="right"/>
            </w:pPr>
            <w:r w:rsidRPr="00AF37D8">
              <w:t>90</w:t>
            </w:r>
          </w:p>
        </w:tc>
        <w:tc>
          <w:tcPr>
            <w:tcW w:w="2394" w:type="dxa"/>
            <w:vAlign w:val="bottom"/>
          </w:tcPr>
          <w:p w:rsidR="00B50F22" w:rsidRPr="00AF37D8" w:rsidRDefault="00B50F22" w:rsidP="00B50F22">
            <w:pPr>
              <w:jc w:val="right"/>
            </w:pPr>
            <w:r w:rsidRPr="00AF37D8">
              <w:t>(90)</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365</w:t>
            </w:r>
          </w:p>
        </w:tc>
        <w:tc>
          <w:tcPr>
            <w:tcW w:w="4320" w:type="dxa"/>
            <w:vAlign w:val="bottom"/>
          </w:tcPr>
          <w:p w:rsidR="00B50F22" w:rsidRPr="00AF37D8" w:rsidRDefault="00B50F22" w:rsidP="00B50F22">
            <w:pPr>
              <w:rPr>
                <w:color w:val="000000"/>
              </w:rPr>
            </w:pPr>
            <w:r w:rsidRPr="00AF37D8">
              <w:rPr>
                <w:color w:val="000000"/>
              </w:rPr>
              <w:t>Flow Measuring Installations</w:t>
            </w:r>
          </w:p>
        </w:tc>
        <w:tc>
          <w:tcPr>
            <w:tcW w:w="2214" w:type="dxa"/>
            <w:vAlign w:val="bottom"/>
          </w:tcPr>
          <w:p w:rsidR="00B50F22" w:rsidRPr="00AF37D8" w:rsidRDefault="00B50F22" w:rsidP="00B50F22">
            <w:pPr>
              <w:jc w:val="right"/>
            </w:pPr>
            <w:r w:rsidRPr="00AF37D8">
              <w:t xml:space="preserve">  5,610</w:t>
            </w:r>
          </w:p>
        </w:tc>
        <w:tc>
          <w:tcPr>
            <w:tcW w:w="2394" w:type="dxa"/>
            <w:vAlign w:val="bottom"/>
          </w:tcPr>
          <w:p w:rsidR="00B50F22" w:rsidRPr="00AF37D8" w:rsidRDefault="00B50F22" w:rsidP="00B50F22">
            <w:pPr>
              <w:jc w:val="right"/>
            </w:pPr>
            <w:r w:rsidRPr="00AF37D8">
              <w:t>(5,588)</w:t>
            </w:r>
          </w:p>
        </w:tc>
      </w:tr>
      <w:tr w:rsidR="00B50F22" w:rsidRPr="00AF37D8" w:rsidTr="0065692A">
        <w:tc>
          <w:tcPr>
            <w:tcW w:w="1098" w:type="dxa"/>
            <w:vAlign w:val="bottom"/>
          </w:tcPr>
          <w:p w:rsidR="00B50F22" w:rsidRPr="00AF37D8" w:rsidRDefault="00B50F22" w:rsidP="00B50F22">
            <w:pPr>
              <w:jc w:val="center"/>
            </w:pPr>
            <w:r w:rsidRPr="00AF37D8">
              <w:rPr>
                <w:color w:val="000000"/>
              </w:rPr>
              <w:t>371</w:t>
            </w:r>
          </w:p>
        </w:tc>
        <w:tc>
          <w:tcPr>
            <w:tcW w:w="4320" w:type="dxa"/>
            <w:vAlign w:val="bottom"/>
          </w:tcPr>
          <w:p w:rsidR="00B50F22" w:rsidRPr="00AF37D8" w:rsidRDefault="00B50F22" w:rsidP="00B50F22">
            <w:r w:rsidRPr="00AF37D8">
              <w:rPr>
                <w:color w:val="000000"/>
              </w:rPr>
              <w:t>Pumping Equipment</w:t>
            </w:r>
          </w:p>
        </w:tc>
        <w:tc>
          <w:tcPr>
            <w:tcW w:w="2214" w:type="dxa"/>
            <w:vAlign w:val="bottom"/>
          </w:tcPr>
          <w:p w:rsidR="00B50F22" w:rsidRPr="00AF37D8" w:rsidRDefault="00B50F22" w:rsidP="00B50F22">
            <w:pPr>
              <w:jc w:val="right"/>
            </w:pPr>
            <w:r w:rsidRPr="00AF37D8">
              <w:t>48,307</w:t>
            </w:r>
          </w:p>
        </w:tc>
        <w:tc>
          <w:tcPr>
            <w:tcW w:w="2394" w:type="dxa"/>
            <w:vAlign w:val="bottom"/>
          </w:tcPr>
          <w:p w:rsidR="00B50F22" w:rsidRPr="00AF37D8" w:rsidRDefault="00B50F22" w:rsidP="00B50F22">
            <w:pPr>
              <w:jc w:val="right"/>
            </w:pPr>
            <w:r w:rsidRPr="00AF37D8">
              <w:t>(19,722)</w:t>
            </w:r>
          </w:p>
        </w:tc>
      </w:tr>
      <w:tr w:rsidR="00B50F22" w:rsidRPr="00AF37D8" w:rsidTr="0065692A">
        <w:tc>
          <w:tcPr>
            <w:tcW w:w="1098" w:type="dxa"/>
            <w:vAlign w:val="bottom"/>
          </w:tcPr>
          <w:p w:rsidR="00B50F22" w:rsidRPr="00AF37D8" w:rsidRDefault="00B50F22" w:rsidP="00B50F22">
            <w:pPr>
              <w:jc w:val="center"/>
            </w:pPr>
            <w:r w:rsidRPr="00AF37D8">
              <w:rPr>
                <w:color w:val="000000"/>
              </w:rPr>
              <w:t>380</w:t>
            </w:r>
          </w:p>
        </w:tc>
        <w:tc>
          <w:tcPr>
            <w:tcW w:w="4320" w:type="dxa"/>
            <w:vAlign w:val="bottom"/>
          </w:tcPr>
          <w:p w:rsidR="00B50F22" w:rsidRPr="00AF37D8" w:rsidRDefault="00B50F22" w:rsidP="00B50F22">
            <w:r w:rsidRPr="00AF37D8">
              <w:rPr>
                <w:color w:val="000000"/>
              </w:rPr>
              <w:t>Treatment &amp; Disposal Equipment</w:t>
            </w:r>
          </w:p>
        </w:tc>
        <w:tc>
          <w:tcPr>
            <w:tcW w:w="2214" w:type="dxa"/>
            <w:vAlign w:val="bottom"/>
          </w:tcPr>
          <w:p w:rsidR="00B50F22" w:rsidRPr="00AF37D8" w:rsidRDefault="00B50F22" w:rsidP="00B50F22">
            <w:pPr>
              <w:jc w:val="right"/>
            </w:pPr>
            <w:r w:rsidRPr="00AF37D8">
              <w:t>19,164</w:t>
            </w:r>
          </w:p>
        </w:tc>
        <w:tc>
          <w:tcPr>
            <w:tcW w:w="2394" w:type="dxa"/>
            <w:vAlign w:val="bottom"/>
          </w:tcPr>
          <w:p w:rsidR="00B50F22" w:rsidRPr="00AF37D8" w:rsidRDefault="00B50F22" w:rsidP="00B50F22">
            <w:pPr>
              <w:jc w:val="right"/>
            </w:pPr>
            <w:r w:rsidRPr="00AF37D8">
              <w:t>(19,164)</w:t>
            </w:r>
          </w:p>
        </w:tc>
      </w:tr>
      <w:tr w:rsidR="00B50F22" w:rsidRPr="00AF37D8" w:rsidTr="0065692A">
        <w:tc>
          <w:tcPr>
            <w:tcW w:w="1098" w:type="dxa"/>
            <w:vAlign w:val="bottom"/>
          </w:tcPr>
          <w:p w:rsidR="00B50F22" w:rsidRPr="00AF37D8" w:rsidRDefault="00B50F22" w:rsidP="00B50F22">
            <w:pPr>
              <w:jc w:val="center"/>
              <w:rPr>
                <w:color w:val="000000"/>
              </w:rPr>
            </w:pPr>
            <w:r w:rsidRPr="00AF37D8">
              <w:rPr>
                <w:color w:val="000000"/>
              </w:rPr>
              <w:t>389</w:t>
            </w:r>
          </w:p>
        </w:tc>
        <w:tc>
          <w:tcPr>
            <w:tcW w:w="4320" w:type="dxa"/>
            <w:vAlign w:val="bottom"/>
          </w:tcPr>
          <w:p w:rsidR="00B50F22" w:rsidRPr="00AF37D8" w:rsidRDefault="00B50F22" w:rsidP="00B50F22">
            <w:pPr>
              <w:rPr>
                <w:color w:val="000000"/>
              </w:rPr>
            </w:pPr>
            <w:r w:rsidRPr="00AF37D8">
              <w:rPr>
                <w:color w:val="000000"/>
              </w:rPr>
              <w:t>Other Plant &amp; Misc. Equipment</w:t>
            </w:r>
          </w:p>
        </w:tc>
        <w:tc>
          <w:tcPr>
            <w:tcW w:w="2214" w:type="dxa"/>
            <w:vAlign w:val="bottom"/>
          </w:tcPr>
          <w:p w:rsidR="00B50F22" w:rsidRPr="00AF37D8" w:rsidRDefault="00B50F22" w:rsidP="00B50F22">
            <w:pPr>
              <w:jc w:val="right"/>
            </w:pPr>
            <w:r w:rsidRPr="00AF37D8">
              <w:t>13,234</w:t>
            </w:r>
          </w:p>
        </w:tc>
        <w:tc>
          <w:tcPr>
            <w:tcW w:w="2394" w:type="dxa"/>
            <w:vAlign w:val="bottom"/>
          </w:tcPr>
          <w:p w:rsidR="00B50F22" w:rsidRPr="00AF37D8" w:rsidRDefault="00B50F22" w:rsidP="00B50F22">
            <w:pPr>
              <w:jc w:val="right"/>
            </w:pPr>
            <w:r w:rsidRPr="00AF37D8">
              <w:t>(3,235)</w:t>
            </w:r>
          </w:p>
        </w:tc>
      </w:tr>
      <w:tr w:rsidR="00B50F22" w:rsidRPr="00AF37D8" w:rsidTr="0065692A">
        <w:tc>
          <w:tcPr>
            <w:tcW w:w="1098" w:type="dxa"/>
            <w:vAlign w:val="bottom"/>
          </w:tcPr>
          <w:p w:rsidR="00B50F22" w:rsidRPr="00AF37D8" w:rsidRDefault="00B50F22" w:rsidP="00B50F22">
            <w:pPr>
              <w:jc w:val="center"/>
              <w:rPr>
                <w:color w:val="000000"/>
              </w:rPr>
            </w:pPr>
          </w:p>
        </w:tc>
        <w:tc>
          <w:tcPr>
            <w:tcW w:w="4320" w:type="dxa"/>
            <w:vAlign w:val="bottom"/>
          </w:tcPr>
          <w:p w:rsidR="00B50F22" w:rsidRPr="00AF37D8" w:rsidRDefault="00B50F22" w:rsidP="00B50F22">
            <w:pPr>
              <w:rPr>
                <w:color w:val="000000"/>
              </w:rPr>
            </w:pPr>
          </w:p>
        </w:tc>
        <w:tc>
          <w:tcPr>
            <w:tcW w:w="2214" w:type="dxa"/>
            <w:vAlign w:val="bottom"/>
          </w:tcPr>
          <w:p w:rsidR="00B50F22" w:rsidRPr="00AF37D8" w:rsidRDefault="00B50F22" w:rsidP="00B50F22">
            <w:pPr>
              <w:jc w:val="right"/>
            </w:pPr>
          </w:p>
        </w:tc>
        <w:tc>
          <w:tcPr>
            <w:tcW w:w="2394" w:type="dxa"/>
            <w:vAlign w:val="bottom"/>
          </w:tcPr>
          <w:p w:rsidR="00B50F22" w:rsidRPr="00AF37D8" w:rsidRDefault="00B50F22" w:rsidP="00B50F22">
            <w:pPr>
              <w:jc w:val="right"/>
            </w:pPr>
          </w:p>
        </w:tc>
      </w:tr>
      <w:tr w:rsidR="00B50F22" w:rsidRPr="00AF37D8" w:rsidTr="0065692A">
        <w:tc>
          <w:tcPr>
            <w:tcW w:w="1098" w:type="dxa"/>
            <w:vAlign w:val="bottom"/>
          </w:tcPr>
          <w:p w:rsidR="00B50F22" w:rsidRPr="00AF37D8" w:rsidRDefault="00B50F22" w:rsidP="00B50F22">
            <w:pPr>
              <w:jc w:val="center"/>
              <w:rPr>
                <w:color w:val="000000"/>
              </w:rPr>
            </w:pPr>
          </w:p>
        </w:tc>
        <w:tc>
          <w:tcPr>
            <w:tcW w:w="4320" w:type="dxa"/>
            <w:vAlign w:val="bottom"/>
          </w:tcPr>
          <w:p w:rsidR="00B50F22" w:rsidRPr="00AF37D8" w:rsidRDefault="00B50F22" w:rsidP="00B50F22">
            <w:pPr>
              <w:rPr>
                <w:color w:val="000000"/>
              </w:rPr>
            </w:pPr>
            <w:r w:rsidRPr="00AF37D8">
              <w:rPr>
                <w:color w:val="000000"/>
              </w:rPr>
              <w:t>Total</w:t>
            </w:r>
          </w:p>
        </w:tc>
        <w:tc>
          <w:tcPr>
            <w:tcW w:w="2214" w:type="dxa"/>
            <w:vAlign w:val="bottom"/>
          </w:tcPr>
          <w:p w:rsidR="00B50F22" w:rsidRPr="00AF37D8" w:rsidRDefault="00B50F22" w:rsidP="00B50F22">
            <w:pPr>
              <w:jc w:val="right"/>
            </w:pPr>
            <w:r w:rsidRPr="00AF37D8">
              <w:rPr>
                <w:color w:val="000000"/>
                <w:u w:val="double"/>
              </w:rPr>
              <w:t>$200,231</w:t>
            </w:r>
          </w:p>
        </w:tc>
        <w:tc>
          <w:tcPr>
            <w:tcW w:w="2394" w:type="dxa"/>
            <w:vAlign w:val="bottom"/>
          </w:tcPr>
          <w:p w:rsidR="00B50F22" w:rsidRPr="00AF37D8" w:rsidRDefault="00B50F22" w:rsidP="00B50F22">
            <w:pPr>
              <w:jc w:val="right"/>
            </w:pPr>
            <w:r w:rsidRPr="00AF37D8">
              <w:rPr>
                <w:color w:val="000000"/>
                <w:u w:val="double"/>
              </w:rPr>
              <w:t>($125,236)</w:t>
            </w:r>
          </w:p>
        </w:tc>
      </w:tr>
    </w:tbl>
    <w:p w:rsidR="00745FBC" w:rsidRPr="00AF37D8" w:rsidRDefault="00745FBC" w:rsidP="00745FBC">
      <w:pPr>
        <w:pStyle w:val="OrderBody"/>
      </w:pPr>
    </w:p>
    <w:p w:rsidR="00B50F22" w:rsidRPr="00AF37D8" w:rsidRDefault="00B50F22" w:rsidP="00745FBC">
      <w:pPr>
        <w:pStyle w:val="OrderBody"/>
        <w:sectPr w:rsidR="00B50F22" w:rsidRPr="00AF37D8">
          <w:headerReference w:type="first" r:id="rId18"/>
          <w:pgSz w:w="12240" w:h="15840" w:code="1"/>
          <w:pgMar w:top="1440" w:right="1440" w:bottom="1440" w:left="1440" w:header="720" w:footer="720" w:gutter="0"/>
          <w:cols w:space="720"/>
          <w:titlePg/>
          <w:docGrid w:linePitch="360"/>
        </w:sectPr>
      </w:pPr>
    </w:p>
    <w:p w:rsidR="00B50F22" w:rsidRPr="00AF37D8" w:rsidRDefault="00B50F22" w:rsidP="00B50F22">
      <w:pPr>
        <w:jc w:val="center"/>
      </w:pPr>
      <w:r w:rsidRPr="00AF37D8">
        <w:lastRenderedPageBreak/>
        <w:t>CSWR – Florida Utility Operating Company, LLC.</w:t>
      </w:r>
    </w:p>
    <w:p w:rsidR="00B50F22" w:rsidRPr="00AF37D8" w:rsidRDefault="00B50F22" w:rsidP="00B50F22">
      <w:pPr>
        <w:jc w:val="center"/>
      </w:pPr>
      <w:r w:rsidRPr="00AF37D8">
        <w:t>C.F.A.T. H2O, Inc.</w:t>
      </w:r>
    </w:p>
    <w:p w:rsidR="00B50F22" w:rsidRPr="00AF37D8" w:rsidRDefault="00B50F22" w:rsidP="00B50F22">
      <w:pPr>
        <w:jc w:val="center"/>
      </w:pPr>
    </w:p>
    <w:p w:rsidR="00B50F22" w:rsidRPr="00AF37D8" w:rsidRDefault="00B50F22" w:rsidP="00B50F22">
      <w:pPr>
        <w:jc w:val="center"/>
      </w:pPr>
      <w:r w:rsidRPr="00AF37D8">
        <w:t>Monthly Water Rates</w:t>
      </w: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tbl>
      <w:tblPr>
        <w:tblW w:w="10044" w:type="dxa"/>
        <w:tblInd w:w="-72" w:type="dxa"/>
        <w:tblLook w:val="01E0" w:firstRow="1" w:lastRow="1" w:firstColumn="1" w:lastColumn="1" w:noHBand="0" w:noVBand="0"/>
      </w:tblPr>
      <w:tblGrid>
        <w:gridCol w:w="4985"/>
        <w:gridCol w:w="1701"/>
        <w:gridCol w:w="3358"/>
      </w:tblGrid>
      <w:tr w:rsidR="00B50F22" w:rsidRPr="00AF37D8" w:rsidTr="0065692A">
        <w:trPr>
          <w:trHeight w:val="126"/>
        </w:trPr>
        <w:tc>
          <w:tcPr>
            <w:tcW w:w="4985"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Residential and General Service</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74"/>
        </w:trPr>
        <w:tc>
          <w:tcPr>
            <w:tcW w:w="4985"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Base Facility Charge by Meter Size</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74"/>
        </w:trPr>
        <w:tc>
          <w:tcPr>
            <w:tcW w:w="4985" w:type="dxa"/>
          </w:tcPr>
          <w:p w:rsidR="00B50F22" w:rsidRPr="00AF37D8" w:rsidRDefault="00B50F22" w:rsidP="0065692A">
            <w:r w:rsidRPr="00AF37D8">
              <w:t>5/8” x 3/4"</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 xml:space="preserve">$12.67   </w:t>
            </w:r>
          </w:p>
        </w:tc>
      </w:tr>
      <w:tr w:rsidR="00B50F22" w:rsidRPr="00AF37D8" w:rsidTr="0065692A">
        <w:trPr>
          <w:trHeight w:val="274"/>
        </w:trPr>
        <w:tc>
          <w:tcPr>
            <w:tcW w:w="4985" w:type="dxa"/>
          </w:tcPr>
          <w:p w:rsidR="00B50F22" w:rsidRPr="00AF37D8" w:rsidRDefault="00B50F22" w:rsidP="0065692A">
            <w:r w:rsidRPr="00AF37D8">
              <w:t>1”</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$31.68</w:t>
            </w:r>
          </w:p>
        </w:tc>
      </w:tr>
      <w:tr w:rsidR="00B50F22" w:rsidRPr="00AF37D8" w:rsidTr="0065692A">
        <w:trPr>
          <w:trHeight w:val="274"/>
        </w:trPr>
        <w:tc>
          <w:tcPr>
            <w:tcW w:w="4985" w:type="dxa"/>
          </w:tcPr>
          <w:p w:rsidR="00B50F22" w:rsidRPr="00AF37D8" w:rsidRDefault="00B50F22" w:rsidP="0065692A">
            <w:r w:rsidRPr="00AF37D8">
              <w:t>1-1/2”</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$63.35</w:t>
            </w:r>
          </w:p>
        </w:tc>
      </w:tr>
      <w:tr w:rsidR="00B50F22" w:rsidRPr="00AF37D8" w:rsidTr="0065692A">
        <w:trPr>
          <w:trHeight w:val="274"/>
        </w:trPr>
        <w:tc>
          <w:tcPr>
            <w:tcW w:w="4985"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2”</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$101.36</w:t>
            </w:r>
          </w:p>
        </w:tc>
      </w:tr>
      <w:tr w:rsidR="00B50F22" w:rsidRPr="00AF37D8" w:rsidTr="0065692A">
        <w:trPr>
          <w:trHeight w:val="274"/>
        </w:trPr>
        <w:tc>
          <w:tcPr>
            <w:tcW w:w="4985" w:type="dxa"/>
          </w:tcPr>
          <w:p w:rsidR="00B50F22" w:rsidRPr="00AF37D8" w:rsidRDefault="00B50F22" w:rsidP="0065692A">
            <w:r w:rsidRPr="00AF37D8">
              <w:t>3”</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$202.72</w:t>
            </w:r>
          </w:p>
        </w:tc>
      </w:tr>
      <w:tr w:rsidR="00B50F22" w:rsidRPr="00AF37D8" w:rsidTr="0065692A">
        <w:trPr>
          <w:trHeight w:val="274"/>
        </w:trPr>
        <w:tc>
          <w:tcPr>
            <w:tcW w:w="4985" w:type="dxa"/>
          </w:tcPr>
          <w:p w:rsidR="00B50F22" w:rsidRPr="00AF37D8" w:rsidRDefault="00B50F22" w:rsidP="0065692A">
            <w:r w:rsidRPr="00AF37D8">
              <w:t>4”</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$316.75</w:t>
            </w:r>
          </w:p>
        </w:tc>
      </w:tr>
      <w:tr w:rsidR="00B50F22" w:rsidRPr="00AF37D8" w:rsidTr="0065692A">
        <w:trPr>
          <w:trHeight w:val="274"/>
        </w:trPr>
        <w:tc>
          <w:tcPr>
            <w:tcW w:w="4985"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89"/>
        </w:trPr>
        <w:tc>
          <w:tcPr>
            <w:tcW w:w="4985"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F37D8">
              <w:t>Charge Per 1,000 gallons – Residential</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89"/>
        </w:trPr>
        <w:tc>
          <w:tcPr>
            <w:tcW w:w="4985" w:type="dxa"/>
          </w:tcPr>
          <w:p w:rsidR="00B50F22" w:rsidRPr="00AF37D8" w:rsidRDefault="00B50F22" w:rsidP="0065692A">
            <w:r w:rsidRPr="00AF37D8">
              <w:t>0 – 5,000 gallons</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$4.33</w:t>
            </w:r>
          </w:p>
        </w:tc>
      </w:tr>
      <w:tr w:rsidR="00B50F22" w:rsidRPr="00AF37D8" w:rsidTr="0065692A">
        <w:trPr>
          <w:trHeight w:val="289"/>
        </w:trPr>
        <w:tc>
          <w:tcPr>
            <w:tcW w:w="4985" w:type="dxa"/>
          </w:tcPr>
          <w:p w:rsidR="00B50F22" w:rsidRPr="00AF37D8" w:rsidRDefault="00B50F22" w:rsidP="0065692A">
            <w:r w:rsidRPr="00AF37D8">
              <w:t>5,001 – 10,000 gallons</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$8.02</w:t>
            </w:r>
          </w:p>
        </w:tc>
      </w:tr>
      <w:tr w:rsidR="00B50F22" w:rsidRPr="00AF37D8" w:rsidTr="0065692A">
        <w:trPr>
          <w:trHeight w:val="289"/>
        </w:trPr>
        <w:tc>
          <w:tcPr>
            <w:tcW w:w="4985" w:type="dxa"/>
          </w:tcPr>
          <w:p w:rsidR="00B50F22" w:rsidRPr="00AF37D8" w:rsidRDefault="00B50F22" w:rsidP="0065692A">
            <w:r w:rsidRPr="00AF37D8">
              <w:t>Over 10,000 gallons</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jc w:val="right"/>
            </w:pPr>
            <w:r w:rsidRPr="00AF37D8">
              <w:t>$12.02</w:t>
            </w:r>
          </w:p>
        </w:tc>
      </w:tr>
      <w:tr w:rsidR="00B50F22" w:rsidRPr="00AF37D8" w:rsidTr="0065692A">
        <w:trPr>
          <w:trHeight w:val="289"/>
        </w:trPr>
        <w:tc>
          <w:tcPr>
            <w:tcW w:w="4985"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89"/>
        </w:trPr>
        <w:tc>
          <w:tcPr>
            <w:tcW w:w="4985"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F37D8">
              <w:t>Charge Per 1,000 gallons – General Service</w:t>
            </w:r>
          </w:p>
        </w:tc>
        <w:tc>
          <w:tcPr>
            <w:tcW w:w="1701"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58"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F37D8">
              <w:t>$5.99</w:t>
            </w:r>
          </w:p>
        </w:tc>
      </w:tr>
    </w:tbl>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rPr>
      </w:pPr>
      <w:r w:rsidRPr="00AF37D8">
        <w:t>Monthly Wastewater Rates</w:t>
      </w:r>
    </w:p>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rPr>
      </w:pPr>
    </w:p>
    <w:tbl>
      <w:tblPr>
        <w:tblW w:w="10044" w:type="dxa"/>
        <w:tblInd w:w="-72" w:type="dxa"/>
        <w:tblLook w:val="01E0" w:firstRow="1" w:lastRow="1" w:firstColumn="1" w:lastColumn="1" w:noHBand="0" w:noVBand="0"/>
      </w:tblPr>
      <w:tblGrid>
        <w:gridCol w:w="4799"/>
        <w:gridCol w:w="4069"/>
        <w:gridCol w:w="1176"/>
      </w:tblGrid>
      <w:tr w:rsidR="00B50F22" w:rsidRPr="00AF37D8" w:rsidTr="0065692A">
        <w:trPr>
          <w:trHeight w:val="126"/>
        </w:trPr>
        <w:tc>
          <w:tcPr>
            <w:tcW w:w="4799"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Residential Service</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126"/>
        </w:trPr>
        <w:tc>
          <w:tcPr>
            <w:tcW w:w="4799" w:type="dxa"/>
          </w:tcPr>
          <w:p w:rsidR="00B50F22" w:rsidRPr="00AF37D8" w:rsidRDefault="00B50F22" w:rsidP="0065692A">
            <w:r w:rsidRPr="00AF37D8">
              <w:t>All Meter Sizes</w:t>
            </w:r>
          </w:p>
        </w:tc>
        <w:tc>
          <w:tcPr>
            <w:tcW w:w="4069" w:type="dxa"/>
          </w:tcPr>
          <w:p w:rsidR="00B50F22" w:rsidRPr="00AF37D8" w:rsidRDefault="00B50F22" w:rsidP="0065692A">
            <w:pPr>
              <w:jc w:val="right"/>
            </w:pPr>
          </w:p>
        </w:tc>
        <w:tc>
          <w:tcPr>
            <w:tcW w:w="1176" w:type="dxa"/>
          </w:tcPr>
          <w:p w:rsidR="00B50F22" w:rsidRPr="00AF37D8" w:rsidRDefault="00B50F22" w:rsidP="0065692A">
            <w:pPr>
              <w:jc w:val="right"/>
            </w:pPr>
            <w:r w:rsidRPr="00AF37D8">
              <w:t xml:space="preserve">  $17.34</w:t>
            </w:r>
          </w:p>
        </w:tc>
      </w:tr>
      <w:tr w:rsidR="00B50F22" w:rsidRPr="00AF37D8" w:rsidTr="0065692A">
        <w:trPr>
          <w:trHeight w:val="126"/>
        </w:trPr>
        <w:tc>
          <w:tcPr>
            <w:tcW w:w="4799" w:type="dxa"/>
          </w:tcPr>
          <w:p w:rsidR="00B50F22" w:rsidRPr="00AF37D8" w:rsidRDefault="00B50F22" w:rsidP="0065692A"/>
        </w:tc>
        <w:tc>
          <w:tcPr>
            <w:tcW w:w="4069" w:type="dxa"/>
          </w:tcPr>
          <w:p w:rsidR="00B50F22" w:rsidRPr="00AF37D8" w:rsidRDefault="00B50F22" w:rsidP="0065692A">
            <w:pPr>
              <w:jc w:val="right"/>
            </w:pPr>
          </w:p>
        </w:tc>
        <w:tc>
          <w:tcPr>
            <w:tcW w:w="1176" w:type="dxa"/>
          </w:tcPr>
          <w:p w:rsidR="00B50F22" w:rsidRPr="00AF37D8" w:rsidRDefault="00B50F22" w:rsidP="0065692A">
            <w:pPr>
              <w:jc w:val="right"/>
            </w:pPr>
          </w:p>
        </w:tc>
      </w:tr>
      <w:tr w:rsidR="00B50F22" w:rsidRPr="00AF37D8" w:rsidTr="0065692A">
        <w:trPr>
          <w:trHeight w:val="126"/>
        </w:trPr>
        <w:tc>
          <w:tcPr>
            <w:tcW w:w="4799" w:type="dxa"/>
          </w:tcPr>
          <w:p w:rsidR="00B50F22" w:rsidRPr="00AF37D8" w:rsidRDefault="00B50F22" w:rsidP="0065692A">
            <w:r w:rsidRPr="00AF37D8">
              <w:t>Charge Per 1,000 gallons – Residential</w:t>
            </w:r>
          </w:p>
        </w:tc>
        <w:tc>
          <w:tcPr>
            <w:tcW w:w="4069" w:type="dxa"/>
          </w:tcPr>
          <w:p w:rsidR="00B50F22" w:rsidRPr="00AF37D8" w:rsidRDefault="00B50F22" w:rsidP="0065692A"/>
        </w:tc>
        <w:tc>
          <w:tcPr>
            <w:tcW w:w="1176" w:type="dxa"/>
          </w:tcPr>
          <w:p w:rsidR="00B50F22" w:rsidRPr="00AF37D8" w:rsidRDefault="00B50F22" w:rsidP="0065692A">
            <w:pPr>
              <w:jc w:val="right"/>
            </w:pPr>
            <w:r w:rsidRPr="00AF37D8">
              <w:t>$4.76</w:t>
            </w:r>
          </w:p>
        </w:tc>
      </w:tr>
      <w:tr w:rsidR="00B50F22" w:rsidRPr="00AF37D8" w:rsidTr="0065692A">
        <w:trPr>
          <w:trHeight w:val="126"/>
        </w:trPr>
        <w:tc>
          <w:tcPr>
            <w:tcW w:w="4799" w:type="dxa"/>
          </w:tcPr>
          <w:p w:rsidR="00B50F22" w:rsidRPr="00AF37D8" w:rsidRDefault="00B50F22" w:rsidP="0065692A">
            <w:r w:rsidRPr="00AF37D8">
              <w:t>10,000 gallon cap</w:t>
            </w:r>
          </w:p>
        </w:tc>
        <w:tc>
          <w:tcPr>
            <w:tcW w:w="4069" w:type="dxa"/>
          </w:tcPr>
          <w:p w:rsidR="00B50F22" w:rsidRPr="00AF37D8" w:rsidRDefault="00B50F22" w:rsidP="0065692A">
            <w:pPr>
              <w:jc w:val="right"/>
            </w:pPr>
          </w:p>
        </w:tc>
        <w:tc>
          <w:tcPr>
            <w:tcW w:w="1176" w:type="dxa"/>
          </w:tcPr>
          <w:p w:rsidR="00B50F22" w:rsidRPr="00AF37D8" w:rsidRDefault="00B50F22" w:rsidP="0065692A">
            <w:pPr>
              <w:jc w:val="right"/>
            </w:pPr>
          </w:p>
        </w:tc>
      </w:tr>
      <w:tr w:rsidR="00B50F22" w:rsidRPr="00AF37D8" w:rsidTr="0065692A">
        <w:trPr>
          <w:trHeight w:val="126"/>
        </w:trPr>
        <w:tc>
          <w:tcPr>
            <w:tcW w:w="4799" w:type="dxa"/>
          </w:tcPr>
          <w:p w:rsidR="00B50F22" w:rsidRPr="00AF37D8" w:rsidRDefault="00B50F22" w:rsidP="0065692A"/>
        </w:tc>
        <w:tc>
          <w:tcPr>
            <w:tcW w:w="4069" w:type="dxa"/>
          </w:tcPr>
          <w:p w:rsidR="00B50F22" w:rsidRPr="00AF37D8" w:rsidRDefault="00B50F22" w:rsidP="0065692A">
            <w:pPr>
              <w:jc w:val="right"/>
            </w:pPr>
          </w:p>
        </w:tc>
        <w:tc>
          <w:tcPr>
            <w:tcW w:w="1176" w:type="dxa"/>
          </w:tcPr>
          <w:p w:rsidR="00B50F22" w:rsidRPr="00AF37D8" w:rsidRDefault="00B50F22" w:rsidP="0065692A">
            <w:pPr>
              <w:jc w:val="right"/>
            </w:pPr>
          </w:p>
        </w:tc>
      </w:tr>
      <w:tr w:rsidR="00B50F22" w:rsidRPr="00AF37D8" w:rsidTr="0065692A">
        <w:trPr>
          <w:trHeight w:val="126"/>
        </w:trPr>
        <w:tc>
          <w:tcPr>
            <w:tcW w:w="4799" w:type="dxa"/>
          </w:tcPr>
          <w:p w:rsidR="00B50F22" w:rsidRPr="00AF37D8" w:rsidRDefault="00B50F22" w:rsidP="0065692A">
            <w:r w:rsidRPr="00AF37D8">
              <w:t>General Service</w:t>
            </w:r>
          </w:p>
        </w:tc>
        <w:tc>
          <w:tcPr>
            <w:tcW w:w="4069" w:type="dxa"/>
          </w:tcPr>
          <w:p w:rsidR="00B50F22" w:rsidRPr="00AF37D8" w:rsidRDefault="00B50F22" w:rsidP="0065692A">
            <w:pPr>
              <w:jc w:val="right"/>
            </w:pPr>
          </w:p>
        </w:tc>
        <w:tc>
          <w:tcPr>
            <w:tcW w:w="1176" w:type="dxa"/>
          </w:tcPr>
          <w:p w:rsidR="00B50F22" w:rsidRPr="00AF37D8" w:rsidRDefault="00B50F22" w:rsidP="0065692A">
            <w:pPr>
              <w:jc w:val="right"/>
            </w:pPr>
          </w:p>
        </w:tc>
      </w:tr>
      <w:tr w:rsidR="00B50F22" w:rsidRPr="00AF37D8" w:rsidTr="0065692A">
        <w:trPr>
          <w:trHeight w:val="274"/>
        </w:trPr>
        <w:tc>
          <w:tcPr>
            <w:tcW w:w="4799"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Base Facility Charge by Meter Size</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hideMark/>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74"/>
        </w:trPr>
        <w:tc>
          <w:tcPr>
            <w:tcW w:w="4799" w:type="dxa"/>
          </w:tcPr>
          <w:p w:rsidR="00B50F22" w:rsidRPr="00AF37D8" w:rsidRDefault="00B50F22" w:rsidP="0065692A">
            <w:r w:rsidRPr="00AF37D8">
              <w:t>5/8” x 3/4"</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 xml:space="preserve">$17.34 </w:t>
            </w:r>
          </w:p>
        </w:tc>
      </w:tr>
      <w:tr w:rsidR="00B50F22" w:rsidRPr="00AF37D8" w:rsidTr="0065692A">
        <w:trPr>
          <w:trHeight w:val="274"/>
        </w:trPr>
        <w:tc>
          <w:tcPr>
            <w:tcW w:w="4799" w:type="dxa"/>
          </w:tcPr>
          <w:p w:rsidR="00B50F22" w:rsidRPr="00AF37D8" w:rsidRDefault="00B50F22" w:rsidP="0065692A">
            <w:r w:rsidRPr="00AF37D8">
              <w:t>1”</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$43.35</w:t>
            </w:r>
          </w:p>
        </w:tc>
      </w:tr>
      <w:tr w:rsidR="00B50F22" w:rsidRPr="00AF37D8" w:rsidTr="0065692A">
        <w:trPr>
          <w:trHeight w:val="274"/>
        </w:trPr>
        <w:tc>
          <w:tcPr>
            <w:tcW w:w="4799" w:type="dxa"/>
          </w:tcPr>
          <w:p w:rsidR="00B50F22" w:rsidRPr="00AF37D8" w:rsidRDefault="00B50F22" w:rsidP="0065692A">
            <w:r w:rsidRPr="00AF37D8">
              <w:t>1-1/2”</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$86.70</w:t>
            </w:r>
          </w:p>
        </w:tc>
      </w:tr>
      <w:tr w:rsidR="00B50F22" w:rsidRPr="00AF37D8" w:rsidTr="0065692A">
        <w:trPr>
          <w:trHeight w:val="274"/>
        </w:trPr>
        <w:tc>
          <w:tcPr>
            <w:tcW w:w="479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2”</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$138.72</w:t>
            </w:r>
          </w:p>
        </w:tc>
      </w:tr>
      <w:tr w:rsidR="00B50F22" w:rsidRPr="00AF37D8" w:rsidTr="0065692A">
        <w:trPr>
          <w:trHeight w:val="274"/>
        </w:trPr>
        <w:tc>
          <w:tcPr>
            <w:tcW w:w="4799" w:type="dxa"/>
          </w:tcPr>
          <w:p w:rsidR="00B50F22" w:rsidRPr="00AF37D8" w:rsidRDefault="00B50F22" w:rsidP="0065692A">
            <w:r w:rsidRPr="00AF37D8">
              <w:t>3”</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$277.44</w:t>
            </w:r>
          </w:p>
        </w:tc>
      </w:tr>
      <w:tr w:rsidR="00B50F22" w:rsidRPr="00AF37D8" w:rsidTr="0065692A">
        <w:trPr>
          <w:trHeight w:val="274"/>
        </w:trPr>
        <w:tc>
          <w:tcPr>
            <w:tcW w:w="4799" w:type="dxa"/>
          </w:tcPr>
          <w:p w:rsidR="00B50F22" w:rsidRPr="00AF37D8" w:rsidRDefault="00B50F22" w:rsidP="0065692A">
            <w:r w:rsidRPr="00AF37D8">
              <w:t>4”</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jc w:val="right"/>
            </w:pPr>
            <w:r w:rsidRPr="00AF37D8">
              <w:t>$433.50</w:t>
            </w:r>
          </w:p>
        </w:tc>
      </w:tr>
      <w:tr w:rsidR="00B50F22" w:rsidRPr="00AF37D8" w:rsidTr="0065692A">
        <w:trPr>
          <w:trHeight w:val="274"/>
        </w:trPr>
        <w:tc>
          <w:tcPr>
            <w:tcW w:w="479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trHeight w:val="289"/>
        </w:trPr>
        <w:tc>
          <w:tcPr>
            <w:tcW w:w="479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F37D8">
              <w:t>Charge Per 1,000 gallons – General Service</w:t>
            </w:r>
          </w:p>
        </w:tc>
        <w:tc>
          <w:tcPr>
            <w:tcW w:w="4069"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176" w:type="dxa"/>
          </w:tcPr>
          <w:p w:rsidR="00B50F22" w:rsidRPr="00AF37D8" w:rsidRDefault="00B50F22" w:rsidP="006569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F37D8">
              <w:t>$4.76</w:t>
            </w:r>
          </w:p>
        </w:tc>
      </w:tr>
    </w:tbl>
    <w:p w:rsidR="00B50F22" w:rsidRPr="00AF37D8" w:rsidRDefault="00B50F22" w:rsidP="00745FBC">
      <w:pPr>
        <w:pStyle w:val="OrderBody"/>
        <w:sectPr w:rsidR="00B50F22" w:rsidRPr="00AF37D8">
          <w:headerReference w:type="first" r:id="rId19"/>
          <w:pgSz w:w="12240" w:h="15840" w:code="1"/>
          <w:pgMar w:top="1440" w:right="1440" w:bottom="1440" w:left="1440" w:header="720" w:footer="720" w:gutter="0"/>
          <w:cols w:space="720"/>
          <w:titlePg/>
          <w:docGrid w:linePitch="360"/>
        </w:sectPr>
      </w:pPr>
    </w:p>
    <w:p w:rsidR="00B50F22" w:rsidRPr="00AF37D8" w:rsidRDefault="00B50F22" w:rsidP="00B50F22">
      <w:pPr>
        <w:tabs>
          <w:tab w:val="left" w:pos="1140"/>
        </w:tabs>
        <w:spacing w:after="240"/>
        <w:ind w:right="1260"/>
        <w:jc w:val="both"/>
      </w:pPr>
    </w:p>
    <w:tbl>
      <w:tblPr>
        <w:tblW w:w="9720" w:type="dxa"/>
        <w:tblInd w:w="-72" w:type="dxa"/>
        <w:tblLook w:val="01E0" w:firstRow="1" w:lastRow="1" w:firstColumn="1" w:lastColumn="1" w:noHBand="0" w:noVBand="0"/>
      </w:tblPr>
      <w:tblGrid>
        <w:gridCol w:w="5105"/>
        <w:gridCol w:w="260"/>
        <w:gridCol w:w="1205"/>
        <w:gridCol w:w="3060"/>
        <w:gridCol w:w="90"/>
      </w:tblGrid>
      <w:tr w:rsidR="00B50F22" w:rsidRPr="00AF37D8" w:rsidTr="0065692A">
        <w:trPr>
          <w:gridAfter w:val="2"/>
          <w:wAfter w:w="3150" w:type="dxa"/>
          <w:trHeight w:val="540"/>
        </w:trPr>
        <w:tc>
          <w:tcPr>
            <w:tcW w:w="6570" w:type="dxa"/>
            <w:gridSpan w:val="3"/>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F37D8">
              <w:t>Initial Customer Deposits</w:t>
            </w:r>
          </w:p>
        </w:tc>
      </w:tr>
      <w:tr w:rsidR="00B50F22" w:rsidRPr="00AF37D8" w:rsidTr="0065692A">
        <w:trPr>
          <w:gridAfter w:val="1"/>
          <w:wAfter w:w="90" w:type="dxa"/>
        </w:trPr>
        <w:tc>
          <w:tcPr>
            <w:tcW w:w="5105" w:type="dxa"/>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p>
        </w:tc>
        <w:tc>
          <w:tcPr>
            <w:tcW w:w="260" w:type="dxa"/>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65" w:type="dxa"/>
            <w:gridSpan w:val="2"/>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c>
          <w:tcPr>
            <w:tcW w:w="5105" w:type="dxa"/>
            <w:hideMark/>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Residential Service and General Service</w:t>
            </w:r>
          </w:p>
        </w:tc>
        <w:tc>
          <w:tcPr>
            <w:tcW w:w="260" w:type="dxa"/>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55" w:type="dxa"/>
            <w:gridSpan w:val="3"/>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F22" w:rsidRPr="00AF37D8" w:rsidTr="0065692A">
        <w:trPr>
          <w:gridAfter w:val="1"/>
          <w:wAfter w:w="90" w:type="dxa"/>
        </w:trPr>
        <w:tc>
          <w:tcPr>
            <w:tcW w:w="5105" w:type="dxa"/>
            <w:hideMark/>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37D8">
              <w:t xml:space="preserve">   5/8” x 3/4”</w:t>
            </w:r>
          </w:p>
        </w:tc>
        <w:tc>
          <w:tcPr>
            <w:tcW w:w="260" w:type="dxa"/>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65" w:type="dxa"/>
            <w:gridSpan w:val="2"/>
            <w:hideMark/>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F37D8">
              <w:t>$60.00</w:t>
            </w:r>
          </w:p>
        </w:tc>
      </w:tr>
    </w:tbl>
    <w:tbl>
      <w:tblPr>
        <w:tblpPr w:leftFromText="180" w:rightFromText="180" w:vertAnchor="text" w:horzAnchor="margin" w:tblpY="546"/>
        <w:tblOverlap w:val="never"/>
        <w:tblW w:w="9576" w:type="dxa"/>
        <w:tblLook w:val="01E0" w:firstRow="1" w:lastRow="1" w:firstColumn="1" w:lastColumn="1" w:noHBand="0" w:noVBand="0"/>
      </w:tblPr>
      <w:tblGrid>
        <w:gridCol w:w="9576"/>
      </w:tblGrid>
      <w:tr w:rsidR="00B50F22" w:rsidRPr="00AF37D8" w:rsidTr="0065692A">
        <w:tc>
          <w:tcPr>
            <w:tcW w:w="9576" w:type="dxa"/>
          </w:tcPr>
          <w:p w:rsidR="00B50F22" w:rsidRPr="00AF37D8" w:rsidRDefault="00B50F22" w:rsidP="00B50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AF37D8">
              <w:rPr>
                <w:rFonts w:eastAsia="Calibri"/>
              </w:rPr>
              <w:t>Service Availability Charges - Water</w:t>
            </w:r>
          </w:p>
        </w:tc>
      </w:tr>
    </w:tbl>
    <w:p w:rsidR="00B50F22" w:rsidRPr="00AF37D8" w:rsidRDefault="00B50F22" w:rsidP="00B50F22"/>
    <w:p w:rsidR="00B50F22" w:rsidRPr="00AF37D8" w:rsidRDefault="00B50F22" w:rsidP="00B50F22">
      <w:pPr>
        <w:tabs>
          <w:tab w:val="left" w:pos="600"/>
          <w:tab w:val="left" w:pos="840"/>
          <w:tab w:val="left" w:leader="dot" w:pos="6067"/>
          <w:tab w:val="left" w:pos="6480"/>
          <w:tab w:val="decimal" w:pos="8587"/>
        </w:tabs>
        <w:ind w:right="120"/>
        <w:jc w:val="center"/>
        <w:rPr>
          <w:rFonts w:eastAsia="Calibri"/>
        </w:rPr>
      </w:pPr>
      <w:r w:rsidRPr="00AF37D8">
        <w:rPr>
          <w:rFonts w:eastAsia="Calibri"/>
        </w:rPr>
        <w:t>Meter Installation Charge</w:t>
      </w:r>
    </w:p>
    <w:p w:rsidR="00B50F22" w:rsidRPr="00AF37D8" w:rsidRDefault="00B50F22" w:rsidP="00B50F22">
      <w:pPr>
        <w:tabs>
          <w:tab w:val="left" w:pos="600"/>
          <w:tab w:val="left" w:pos="840"/>
          <w:tab w:val="left" w:leader="dot" w:pos="6067"/>
          <w:tab w:val="left" w:pos="6480"/>
          <w:tab w:val="left" w:pos="8587"/>
        </w:tabs>
        <w:ind w:right="120"/>
        <w:jc w:val="both"/>
        <w:rPr>
          <w:rFonts w:eastAsia="Calibri"/>
        </w:rPr>
      </w:pPr>
      <w:r w:rsidRPr="00AF37D8">
        <w:rPr>
          <w:rFonts w:eastAsia="Calibri"/>
        </w:rPr>
        <w:t xml:space="preserve">  5/8” x 3/4" meter size                                                                                                       $100.00</w:t>
      </w:r>
    </w:p>
    <w:p w:rsidR="00B50F22" w:rsidRPr="00AF37D8" w:rsidRDefault="00B50F22" w:rsidP="00B50F22">
      <w:pPr>
        <w:tabs>
          <w:tab w:val="left" w:pos="600"/>
          <w:tab w:val="left" w:pos="840"/>
          <w:tab w:val="left" w:leader="dot" w:pos="6067"/>
          <w:tab w:val="left" w:pos="6480"/>
          <w:tab w:val="left" w:pos="8587"/>
        </w:tabs>
        <w:ind w:right="120"/>
        <w:jc w:val="both"/>
        <w:rPr>
          <w:rFonts w:eastAsia="Calibri"/>
        </w:rPr>
      </w:pPr>
      <w:r w:rsidRPr="00AF37D8">
        <w:rPr>
          <w:rFonts w:eastAsia="Calibri"/>
        </w:rPr>
        <w:t xml:space="preserve">  1”  meter size                                                                                                                    $130.00</w:t>
      </w:r>
    </w:p>
    <w:p w:rsidR="00B50F22" w:rsidRPr="00AF37D8" w:rsidRDefault="00B50F22" w:rsidP="00B50F22">
      <w:pPr>
        <w:tabs>
          <w:tab w:val="left" w:pos="600"/>
          <w:tab w:val="left" w:pos="840"/>
          <w:tab w:val="left" w:leader="dot" w:pos="6067"/>
          <w:tab w:val="left" w:pos="6480"/>
          <w:tab w:val="left" w:pos="8587"/>
        </w:tabs>
        <w:ind w:right="120"/>
        <w:jc w:val="both"/>
        <w:rPr>
          <w:rFonts w:eastAsia="Calibri"/>
        </w:rPr>
      </w:pPr>
      <w:r w:rsidRPr="00AF37D8">
        <w:rPr>
          <w:rFonts w:eastAsia="Calibri"/>
        </w:rPr>
        <w:t xml:space="preserve">  1 1/2" meter size                                                                                                               $180.00</w:t>
      </w:r>
    </w:p>
    <w:p w:rsidR="00B50F22" w:rsidRPr="00AF37D8" w:rsidRDefault="00B50F22" w:rsidP="00B50F22">
      <w:pPr>
        <w:tabs>
          <w:tab w:val="left" w:pos="600"/>
          <w:tab w:val="left" w:pos="840"/>
          <w:tab w:val="left" w:leader="dot" w:pos="6067"/>
          <w:tab w:val="left" w:pos="6480"/>
          <w:tab w:val="left" w:pos="8587"/>
        </w:tabs>
        <w:ind w:right="120"/>
        <w:jc w:val="both"/>
        <w:rPr>
          <w:rFonts w:eastAsia="Calibri"/>
        </w:rPr>
      </w:pPr>
      <w:r w:rsidRPr="00AF37D8">
        <w:rPr>
          <w:rFonts w:eastAsia="Calibri"/>
        </w:rPr>
        <w:t xml:space="preserve">  All Other                                                                                                                     Actual Cost</w:t>
      </w:r>
    </w:p>
    <w:p w:rsidR="00B50F22" w:rsidRPr="00AF37D8" w:rsidRDefault="00B50F22" w:rsidP="00B50F22">
      <w:pPr>
        <w:tabs>
          <w:tab w:val="left" w:pos="1140"/>
        </w:tabs>
        <w:spacing w:after="240"/>
        <w:ind w:right="1260"/>
        <w:jc w:val="both"/>
      </w:pPr>
    </w:p>
    <w:p w:rsidR="00B50F22" w:rsidRPr="00AF37D8" w:rsidRDefault="00B50F22" w:rsidP="00745FBC">
      <w:pPr>
        <w:pStyle w:val="OrderBody"/>
      </w:pPr>
    </w:p>
    <w:sectPr w:rsidR="00B50F22" w:rsidRPr="00AF37D8" w:rsidSect="0065692A">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CA9" w:rsidRDefault="00A64CA9">
      <w:r>
        <w:separator/>
      </w:r>
    </w:p>
  </w:endnote>
  <w:endnote w:type="continuationSeparator" w:id="0">
    <w:p w:rsidR="00A64CA9" w:rsidRDefault="00A6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pPr>
      <w:pStyle w:val="Footer"/>
    </w:pPr>
  </w:p>
  <w:p w:rsidR="00A64CA9" w:rsidRDefault="00A64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CA9" w:rsidRDefault="00A64CA9">
      <w:r>
        <w:separator/>
      </w:r>
    </w:p>
  </w:footnote>
  <w:footnote w:type="continuationSeparator" w:id="0">
    <w:p w:rsidR="00A64CA9" w:rsidRDefault="00A64CA9">
      <w:r>
        <w:continuationSeparator/>
      </w:r>
    </w:p>
  </w:footnote>
  <w:footnote w:id="1">
    <w:p w:rsidR="00A64CA9" w:rsidRPr="005F0590" w:rsidRDefault="00A64CA9" w:rsidP="00745FBC">
      <w:pPr>
        <w:pStyle w:val="FootnoteText"/>
      </w:pPr>
      <w:r w:rsidRPr="001276F0">
        <w:rPr>
          <w:rStyle w:val="FootnoteReference"/>
        </w:rPr>
        <w:footnoteRef/>
      </w:r>
      <w:r>
        <w:t xml:space="preserve"> </w:t>
      </w:r>
      <w:r w:rsidRPr="00FF6CC1">
        <w:t xml:space="preserve">Order No. </w:t>
      </w:r>
      <w:r>
        <w:t>PSC-11-0366-PAA-WU</w:t>
      </w:r>
      <w:r w:rsidRPr="00FF6CC1">
        <w:t xml:space="preserve">, issued </w:t>
      </w:r>
      <w:r>
        <w:t>August</w:t>
      </w:r>
      <w:r w:rsidRPr="00FF6CC1">
        <w:t xml:space="preserve"> </w:t>
      </w:r>
      <w:r>
        <w:t>31</w:t>
      </w:r>
      <w:r w:rsidRPr="00FF6CC1">
        <w:t xml:space="preserve">, </w:t>
      </w:r>
      <w:r>
        <w:t>2011</w:t>
      </w:r>
      <w:r w:rsidRPr="00FF6CC1">
        <w:t xml:space="preserve">, in Docket No. </w:t>
      </w:r>
      <w:r>
        <w:t>20100126</w:t>
      </w:r>
      <w:r w:rsidRPr="00FF6CC1">
        <w:t>-W</w:t>
      </w:r>
      <w:r>
        <w:t>U</w:t>
      </w:r>
      <w:r w:rsidRPr="00FF6CC1">
        <w:t xml:space="preserve">, </w:t>
      </w:r>
      <w:r w:rsidRPr="00FF6CC1">
        <w:rPr>
          <w:i/>
        </w:rPr>
        <w:t xml:space="preserve">In re: </w:t>
      </w:r>
      <w:r w:rsidRPr="009A4AC3">
        <w:rPr>
          <w:i/>
        </w:rPr>
        <w:t xml:space="preserve">Application for </w:t>
      </w:r>
      <w:r w:rsidRPr="00266BCE">
        <w:rPr>
          <w:i/>
        </w:rPr>
        <w:t>increase in water rates in Marion County by C.F.A.T. H2O, Inc.</w:t>
      </w:r>
    </w:p>
  </w:footnote>
  <w:footnote w:id="2">
    <w:p w:rsidR="00A64CA9" w:rsidRDefault="00A64CA9" w:rsidP="00745FBC">
      <w:pPr>
        <w:pStyle w:val="FootnoteText"/>
      </w:pPr>
      <w:r>
        <w:rPr>
          <w:rStyle w:val="FootnoteReference"/>
        </w:rPr>
        <w:footnoteRef/>
      </w:r>
      <w:r>
        <w:t xml:space="preserve"> </w:t>
      </w:r>
      <w:r w:rsidRPr="00266BCE">
        <w:t xml:space="preserve">Order No. PSC-94-0701-FOF-WS, issued June 8, 1994, in Docket No. 931080-WS, </w:t>
      </w:r>
      <w:r w:rsidRPr="00266BCE">
        <w:rPr>
          <w:i/>
        </w:rPr>
        <w:t>In re: Application for transfer of Certificate Nos. 552-W and 481-S in Marion County from The Resolution Trust Corporation to C.F.A.T. H2O, Inc. in Marion County.</w:t>
      </w:r>
    </w:p>
  </w:footnote>
  <w:footnote w:id="3">
    <w:p w:rsidR="00A64CA9" w:rsidRDefault="00A64CA9" w:rsidP="00745FBC">
      <w:pPr>
        <w:pStyle w:val="FootnoteText"/>
      </w:pPr>
      <w:r>
        <w:rPr>
          <w:rStyle w:val="FootnoteReference"/>
        </w:rPr>
        <w:footnoteRef/>
      </w:r>
      <w:r>
        <w:t xml:space="preserve"> Order No. </w:t>
      </w:r>
      <w:r w:rsidRPr="009228CC">
        <w:t>PSC-06-0593-FOF-WS</w:t>
      </w:r>
      <w:r>
        <w:t xml:space="preserve">, issued July 7, 2006, in Docket No. 20060028-WS, </w:t>
      </w:r>
      <w:r w:rsidRPr="004575D4">
        <w:rPr>
          <w:i/>
        </w:rPr>
        <w:t>In re: Application</w:t>
      </w:r>
      <w:r>
        <w:rPr>
          <w:i/>
        </w:rPr>
        <w:t xml:space="preserve"> </w:t>
      </w:r>
      <w:r w:rsidRPr="009228CC">
        <w:rPr>
          <w:i/>
        </w:rPr>
        <w:t>for transfer of majority organizational control of C.F.A.T. H2O, Inc., holder of Certificates 552-W and 481-S in Marion County, from Ronald Chase to Floyd and Eugenia Segarra and Charles deMenzes.</w:t>
      </w:r>
    </w:p>
    <w:p w:rsidR="00A64CA9" w:rsidRDefault="00A64CA9" w:rsidP="00745FBC">
      <w:pPr>
        <w:pStyle w:val="FootnoteText"/>
      </w:pPr>
    </w:p>
  </w:footnote>
  <w:footnote w:id="4">
    <w:p w:rsidR="00A64CA9" w:rsidRDefault="00A64CA9" w:rsidP="00745FBC">
      <w:pPr>
        <w:pStyle w:val="FootnoteText"/>
      </w:pPr>
      <w:r>
        <w:rPr>
          <w:rStyle w:val="FootnoteReference"/>
        </w:rPr>
        <w:footnoteRef/>
      </w:r>
      <w:r>
        <w:t xml:space="preserve"> OGC No. 21-0360.</w:t>
      </w:r>
    </w:p>
  </w:footnote>
  <w:footnote w:id="5">
    <w:p w:rsidR="00A64CA9" w:rsidRPr="00A11D89" w:rsidRDefault="00A64CA9" w:rsidP="00745FBC">
      <w:pPr>
        <w:pStyle w:val="FootnoteText"/>
        <w:keepLines/>
      </w:pPr>
      <w:r>
        <w:rPr>
          <w:rStyle w:val="FootnoteReference"/>
        </w:rPr>
        <w:footnoteRef/>
      </w:r>
      <w:r>
        <w:rPr>
          <w:i/>
        </w:rPr>
        <w:t xml:space="preserve"> </w:t>
      </w:r>
      <w:r w:rsidRPr="00EF1CA0">
        <w:rPr>
          <w:i/>
        </w:rPr>
        <w:t>See</w:t>
      </w:r>
      <w:r w:rsidRPr="006C397E">
        <w:t xml:space="preserv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w:t>
      </w:r>
      <w:r w:rsidRPr="00A140F3">
        <w:rPr>
          <w:i/>
        </w:rPr>
        <w:t xml:space="preserve"> water Certificate No. 517-W, and wastewater Certificate No. 450-S to CSWR-Florida Utility Operating Company, LLC, in Brevard County</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w:t>
      </w:r>
      <w:r>
        <w:rPr>
          <w:i/>
        </w:rPr>
        <w:t xml:space="preserve">g Company, LLC, in Duval County; </w:t>
      </w:r>
      <w:r w:rsidRPr="009C341F">
        <w:t>Order No. PSC-2023-0216-PAA-SU, issued July 27, 2023, in Docket No. 20220149-SU</w:t>
      </w:r>
      <w:r w:rsidRPr="00A55764">
        <w:rPr>
          <w:i/>
        </w:rPr>
        <w:t>, In re: Application for transfer of wastewater Certificate No. 365-S of Sebring Ridge Utilities, Inc. to CSWR-Florida Utility Operating Company, LLC, in Highlands County</w:t>
      </w:r>
      <w:r>
        <w:rPr>
          <w:i/>
        </w:rPr>
        <w:t>.</w:t>
      </w:r>
    </w:p>
  </w:footnote>
  <w:footnote w:id="6">
    <w:p w:rsidR="00A64CA9" w:rsidRDefault="00A64CA9" w:rsidP="00745FBC">
      <w:pPr>
        <w:pStyle w:val="FootnoteText"/>
      </w:pPr>
      <w:r>
        <w:rPr>
          <w:rStyle w:val="FootnoteReference"/>
        </w:rPr>
        <w:footnoteRef/>
      </w:r>
      <w:r>
        <w:t xml:space="preserve"> Order No. PSC-11-0366-PAA-WS, issued August 31, 2011, in Docket No. 20100126-WU, </w:t>
      </w:r>
      <w:r w:rsidRPr="00230BD2">
        <w:rPr>
          <w:i/>
        </w:rPr>
        <w:t>In re: Application for increase in water rates in Marion County</w:t>
      </w:r>
      <w:r>
        <w:rPr>
          <w:i/>
        </w:rPr>
        <w:t xml:space="preserve"> by C.F.A.T. H2O</w:t>
      </w:r>
      <w:r w:rsidRPr="00230BD2">
        <w:rPr>
          <w:i/>
        </w:rPr>
        <w:t>, Inc.</w:t>
      </w:r>
    </w:p>
  </w:footnote>
  <w:footnote w:id="7">
    <w:p w:rsidR="00A64CA9" w:rsidRDefault="00A64CA9" w:rsidP="00745FBC">
      <w:pPr>
        <w:pStyle w:val="FootnoteText"/>
      </w:pPr>
      <w:r>
        <w:rPr>
          <w:rStyle w:val="FootnoteReference"/>
        </w:rPr>
        <w:footnoteRef/>
      </w:r>
      <w:r>
        <w:t xml:space="preserve"> Order No. PSC-94-0701-FOF-WS, issued June 8, 1994, in Docket No. 19931080-WS, </w:t>
      </w:r>
      <w:r>
        <w:rPr>
          <w:i/>
        </w:rPr>
        <w:t>In re: Application for Transfer of Certificates Nos. 552-W and 481-S from the Resolution Trust Corporation to C.F.A.T. H2O, Inc. in Marion County.</w:t>
      </w:r>
    </w:p>
  </w:footnote>
  <w:footnote w:id="8">
    <w:p w:rsidR="00A64CA9" w:rsidRPr="00CC2932" w:rsidRDefault="00A64CA9" w:rsidP="00745FBC">
      <w:pPr>
        <w:pStyle w:val="FootnoteText"/>
      </w:pPr>
      <w:r>
        <w:rPr>
          <w:rStyle w:val="FootnoteReference"/>
        </w:rPr>
        <w:footnoteRef/>
      </w:r>
      <w:r>
        <w:t xml:space="preserve"> Order No. PSC-11-0366-PAA-WU, issued August 31, 2011, in Docket No. 20100126-WU, </w:t>
      </w:r>
      <w:r>
        <w:rPr>
          <w:i/>
        </w:rPr>
        <w:t>In re: Application for increase in water rates in Marion County by C.F.A.T. H2O, Inc.</w:t>
      </w:r>
    </w:p>
  </w:footnote>
  <w:footnote w:id="9">
    <w:p w:rsidR="00A64CA9" w:rsidRDefault="00A64CA9" w:rsidP="00745FBC">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Commission approval. Therefore, </w:t>
      </w:r>
      <w:r>
        <w:t>we are</w:t>
      </w:r>
      <w:r w:rsidRPr="00082D89">
        <w:t xml:space="preserve"> relying on the most current information provided to staff auditors at the time of the filing.</w:t>
      </w:r>
    </w:p>
  </w:footnote>
  <w:footnote w:id="10">
    <w:p w:rsidR="00A64CA9" w:rsidRPr="00965112" w:rsidRDefault="00A64CA9" w:rsidP="00745FBC">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11">
    <w:p w:rsidR="00A64CA9" w:rsidRPr="00121280" w:rsidRDefault="00A64CA9" w:rsidP="00745FBC">
      <w:pPr>
        <w:pStyle w:val="FootnoteText"/>
        <w:rPr>
          <w:rFonts w:eastAsiaTheme="minorHAnsi" w:cstheme="minorBidi"/>
          <w:bCs/>
          <w:i/>
        </w:rPr>
      </w:pPr>
      <w:r>
        <w:rPr>
          <w:rStyle w:val="FootnoteReference"/>
        </w:rPr>
        <w:footnoteRef/>
      </w:r>
      <w:r>
        <w:t xml:space="preserve"> </w:t>
      </w:r>
      <w:r w:rsidRPr="00A47C29">
        <w:t>Order No. PSC-20</w:t>
      </w:r>
      <w:r>
        <w:t>22-0116-PAA-SU</w:t>
      </w:r>
      <w:r w:rsidRPr="00A47C29">
        <w:t xml:space="preserve">, issued </w:t>
      </w:r>
      <w:r>
        <w:t>March 17, 2022, in Docket No. 20210133-SU</w:t>
      </w:r>
      <w:r w:rsidRPr="00A47C29">
        <w:t xml:space="preserve">, </w:t>
      </w:r>
      <w:r w:rsidRPr="00A47C29">
        <w:rPr>
          <w:i/>
        </w:rPr>
        <w:t xml:space="preserve">In re: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rPr>
        <w:t xml:space="preserve">; Order No. PSC-2022-0120-PAA-WU, issued March 18, 2022, in Docket No. 20220095-WU, </w:t>
      </w:r>
      <w:r>
        <w:rPr>
          <w:rFonts w:eastAsiaTheme="minorHAnsi" w:cstheme="minorBidi"/>
          <w:bCs/>
          <w:i/>
        </w:rPr>
        <w:t>In re: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in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 xml:space="preserve">In re: Application for the transfer of water facilities in Neighborhood Utilities, Inc. and water Certificate No. 430-W to CSWR-Florida Utility Operating Company, LLC, in Duval County; </w:t>
      </w:r>
      <w:r w:rsidRPr="00C8231F">
        <w:t>Order No. PSC-2023-0216-PAA-SU, issued July 27, 2023</w:t>
      </w:r>
      <w:r>
        <w:t xml:space="preserve">, in </w:t>
      </w:r>
      <w:r w:rsidRPr="009C341F">
        <w:rPr>
          <w:rFonts w:eastAsiaTheme="minorHAnsi" w:cstheme="minorBidi"/>
        </w:rPr>
        <w:t>Docket No. 20220149-SU,</w:t>
      </w:r>
      <w:r w:rsidRPr="00207E1B">
        <w:rPr>
          <w:rFonts w:eastAsiaTheme="minorHAnsi" w:cstheme="minorBidi"/>
          <w:i/>
        </w:rPr>
        <w:t xml:space="preserve"> In re: Application for transfer of wastewater Certificate No. 365-S of Sebring Ridge Utilities, Inc. to CSWR-Florida Utility Operating Company, LLC, in Highlands County</w:t>
      </w:r>
      <w:r w:rsidRPr="00A11D89">
        <w:rPr>
          <w:rFonts w:eastAsiaTheme="minorHAnsi" w:cstheme="minorBidi"/>
        </w:rPr>
        <w:t>.</w:t>
      </w:r>
    </w:p>
  </w:footnote>
  <w:footnote w:id="12">
    <w:p w:rsidR="00A64CA9" w:rsidRDefault="00A64CA9" w:rsidP="00745FBC">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pPr>
      <w:pStyle w:val="OrderHeader"/>
    </w:pPr>
    <w:r>
      <w:t xml:space="preserve">ORDER NO. </w:t>
    </w:r>
    <w:fldSimple w:instr=" REF OrderNo0266 ">
      <w:r w:rsidR="00B27FCE">
        <w:t>PSC-2023-0266-PAA-WS</w:t>
      </w:r>
    </w:fldSimple>
  </w:p>
  <w:p w:rsidR="00A64CA9" w:rsidRDefault="00A64CA9">
    <w:pPr>
      <w:pStyle w:val="OrderHeader"/>
    </w:pPr>
    <w:bookmarkStart w:id="9" w:name="HeaderDocketNo"/>
    <w:bookmarkEnd w:id="9"/>
    <w:r>
      <w:t>DOCKET NO. 20220062-WS</w:t>
    </w:r>
  </w:p>
  <w:p w:rsidR="00A64CA9" w:rsidRDefault="00A64CA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14</w:t>
    </w:r>
    <w:r>
      <w:rPr>
        <w:rStyle w:val="PageNumber"/>
      </w:rPr>
      <w:fldChar w:fldCharType="end"/>
    </w:r>
  </w:p>
  <w:p w:rsidR="00A64CA9" w:rsidRDefault="00A64CA9">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6</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24</w:t>
    </w:r>
    <w:r>
      <w:rPr>
        <w:rStyle w:val="PageNumber"/>
      </w:rPr>
      <w:fldChar w:fldCharType="end"/>
    </w:r>
  </w:p>
  <w:p w:rsidR="00A64CA9" w:rsidRDefault="00A64C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r>
    <w:r w:rsidR="00BE5C72">
      <w:t xml:space="preserve">   </w:t>
    </w:r>
    <w:r>
      <w:t>Schedule No. 7</w:t>
    </w:r>
  </w:p>
  <w:p w:rsidR="00A64CA9" w:rsidRDefault="00A64CA9" w:rsidP="00745FBC">
    <w:pPr>
      <w:pStyle w:val="OrderHeader"/>
    </w:pPr>
    <w:r>
      <w:t>DOCKET NO. 20220062-WS</w:t>
    </w:r>
    <w:r>
      <w:tab/>
    </w:r>
    <w:r>
      <w:tab/>
      <w:t>Page 1 of 2</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25</w:t>
    </w:r>
    <w:r>
      <w:rPr>
        <w:rStyle w:val="PageNumber"/>
      </w:rPr>
      <w:fldChar w:fldCharType="end"/>
    </w:r>
  </w:p>
  <w:p w:rsidR="00A64CA9" w:rsidRDefault="00A64C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3F7979" w:rsidP="0065692A">
    <w:pPr>
      <w:pStyle w:val="Header"/>
      <w:tabs>
        <w:tab w:val="clear" w:pos="4320"/>
        <w:tab w:val="clear" w:pos="8640"/>
        <w:tab w:val="right" w:pos="9360"/>
      </w:tabs>
    </w:pPr>
    <w:r>
      <w:t xml:space="preserve">ORDER NO. </w:t>
    </w:r>
    <w:fldSimple w:instr=" REF OrderNo0266 ">
      <w:r w:rsidR="00B27FCE">
        <w:t>PSC-2023-0266-PAA-WS</w:t>
      </w:r>
    </w:fldSimple>
    <w:r w:rsidR="00A64CA9">
      <w:tab/>
      <w:t xml:space="preserve">Schedule No. 7 </w:t>
    </w:r>
  </w:p>
  <w:p w:rsidR="00A64CA9" w:rsidRDefault="003F7979" w:rsidP="0065692A">
    <w:pPr>
      <w:pStyle w:val="Header"/>
      <w:tabs>
        <w:tab w:val="clear" w:pos="8640"/>
      </w:tabs>
    </w:pPr>
    <w:r>
      <w:t xml:space="preserve">DOCKET NO. 20220062-WS                                      </w:t>
    </w:r>
    <w:r w:rsidR="00A64CA9">
      <w:tab/>
    </w:r>
    <w:r w:rsidR="00A64CA9">
      <w:tab/>
    </w:r>
    <w:r w:rsidR="00A64CA9">
      <w:tab/>
    </w:r>
    <w:r w:rsidR="00A64CA9">
      <w:tab/>
      <w:t xml:space="preserve">     Page 2 of 2 </w:t>
    </w:r>
  </w:p>
  <w:p w:rsidR="003F7979" w:rsidRDefault="003F7979" w:rsidP="0065692A">
    <w:pPr>
      <w:pStyle w:val="Header"/>
      <w:tabs>
        <w:tab w:val="clear" w:pos="8640"/>
      </w:tabs>
    </w:pPr>
    <w:r>
      <w:t>Page 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Attachment A</w:t>
    </w:r>
  </w:p>
  <w:p w:rsidR="00A64CA9" w:rsidRDefault="00A64CA9" w:rsidP="00745FBC">
    <w:pPr>
      <w:pStyle w:val="OrderHeader"/>
    </w:pPr>
    <w:r>
      <w:t>DOCKET NO. 20220062-WS</w:t>
    </w:r>
    <w:r>
      <w:tab/>
    </w:r>
    <w:r>
      <w:tab/>
      <w:t>Page 1 of 3</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16</w:t>
    </w:r>
    <w:r>
      <w:rPr>
        <w:rStyle w:val="PageNumber"/>
      </w:rPr>
      <w:fldChar w:fldCharType="end"/>
    </w:r>
  </w:p>
  <w:p w:rsidR="00A64CA9" w:rsidRDefault="00A64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Attachment A</w:t>
    </w:r>
  </w:p>
  <w:p w:rsidR="00A64CA9" w:rsidRDefault="00A64CA9" w:rsidP="00745FBC">
    <w:pPr>
      <w:pStyle w:val="OrderHeader"/>
    </w:pPr>
    <w:r>
      <w:t>DOCKET NO. 20220062-WS</w:t>
    </w:r>
    <w:r>
      <w:tab/>
    </w:r>
    <w:r>
      <w:tab/>
      <w:t>Page 2 of 3</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17</w:t>
    </w:r>
    <w:r>
      <w:rPr>
        <w:rStyle w:val="PageNumber"/>
      </w:rPr>
      <w:fldChar w:fldCharType="end"/>
    </w:r>
  </w:p>
  <w:p w:rsidR="00A64CA9" w:rsidRDefault="00A64C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Attachment A</w:t>
    </w:r>
  </w:p>
  <w:p w:rsidR="00A64CA9" w:rsidRDefault="00A64CA9" w:rsidP="00745FBC">
    <w:pPr>
      <w:pStyle w:val="OrderHeader"/>
    </w:pPr>
    <w:r>
      <w:t>DOCKET NO. 20220062-WS</w:t>
    </w:r>
    <w:r>
      <w:tab/>
    </w:r>
    <w:r>
      <w:tab/>
      <w:t>Page 3 of 3</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18</w:t>
    </w:r>
    <w:r>
      <w:rPr>
        <w:rStyle w:val="PageNumber"/>
      </w:rPr>
      <w:fldChar w:fldCharType="end"/>
    </w:r>
  </w:p>
  <w:p w:rsidR="00A64CA9" w:rsidRDefault="00A64C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1</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19</w:t>
    </w:r>
    <w:r>
      <w:rPr>
        <w:rStyle w:val="PageNumber"/>
      </w:rPr>
      <w:fldChar w:fldCharType="end"/>
    </w:r>
  </w:p>
  <w:p w:rsidR="00A64CA9" w:rsidRDefault="00A64C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2</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20</w:t>
    </w:r>
    <w:r>
      <w:rPr>
        <w:rStyle w:val="PageNumber"/>
      </w:rPr>
      <w:fldChar w:fldCharType="end"/>
    </w:r>
  </w:p>
  <w:p w:rsidR="00A64CA9" w:rsidRDefault="00A64C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3</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21</w:t>
    </w:r>
    <w:r>
      <w:rPr>
        <w:rStyle w:val="PageNumber"/>
      </w:rPr>
      <w:fldChar w:fldCharType="end"/>
    </w:r>
  </w:p>
  <w:p w:rsidR="00A64CA9" w:rsidRDefault="00A64C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4</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22</w:t>
    </w:r>
    <w:r>
      <w:rPr>
        <w:rStyle w:val="PageNumber"/>
      </w:rPr>
      <w:fldChar w:fldCharType="end"/>
    </w:r>
  </w:p>
  <w:p w:rsidR="00A64CA9" w:rsidRDefault="00A64C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9" w:rsidRDefault="00A64CA9" w:rsidP="00745FBC">
    <w:pPr>
      <w:pStyle w:val="OrderHeader"/>
    </w:pPr>
    <w:r>
      <w:t xml:space="preserve">ORDER NO. </w:t>
    </w:r>
    <w:fldSimple w:instr=" REF OrderNo0266 ">
      <w:r w:rsidR="00B27FCE">
        <w:t>PSC-2023-0266-PAA-WS</w:t>
      </w:r>
    </w:fldSimple>
    <w:r>
      <w:tab/>
    </w:r>
    <w:r>
      <w:tab/>
      <w:t>Schedule No. 5</w:t>
    </w:r>
  </w:p>
  <w:p w:rsidR="00A64CA9" w:rsidRDefault="00A64CA9" w:rsidP="00745FBC">
    <w:pPr>
      <w:pStyle w:val="OrderHeader"/>
    </w:pPr>
    <w:r>
      <w:t>DOCKET NO. 20220062-WS</w:t>
    </w:r>
    <w:r>
      <w:tab/>
    </w:r>
    <w:r>
      <w:tab/>
      <w:t>Page 1 of 1</w:t>
    </w:r>
  </w:p>
  <w:p w:rsidR="00A64CA9" w:rsidRDefault="00A64CA9" w:rsidP="00745F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CE">
      <w:rPr>
        <w:rStyle w:val="PageNumber"/>
        <w:noProof/>
      </w:rPr>
      <w:t>23</w:t>
    </w:r>
    <w:r>
      <w:rPr>
        <w:rStyle w:val="PageNumber"/>
      </w:rPr>
      <w:fldChar w:fldCharType="end"/>
    </w:r>
  </w:p>
  <w:p w:rsidR="00A64CA9" w:rsidRDefault="00A64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A59"/>
    <w:multiLevelType w:val="hybridMultilevel"/>
    <w:tmpl w:val="16203EF8"/>
    <w:lvl w:ilvl="0" w:tplc="0409000F">
      <w:start w:val="1"/>
      <w:numFmt w:val="decimal"/>
      <w:lvlText w:val="%1."/>
      <w:lvlJc w:val="left"/>
      <w:pPr>
        <w:ind w:left="720" w:hanging="360"/>
      </w:pPr>
      <w:rPr>
        <w:rFonts w:hint="default"/>
      </w:rPr>
    </w:lvl>
    <w:lvl w:ilvl="1" w:tplc="AE8CAEB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2-WS"/>
  </w:docVars>
  <w:rsids>
    <w:rsidRoot w:val="00745FBC"/>
    <w:rsid w:val="000022B8"/>
    <w:rsid w:val="00003883"/>
    <w:rsid w:val="00011251"/>
    <w:rsid w:val="00025C2A"/>
    <w:rsid w:val="00025C9D"/>
    <w:rsid w:val="0003433F"/>
    <w:rsid w:val="00035A8C"/>
    <w:rsid w:val="00036BDD"/>
    <w:rsid w:val="00041FFD"/>
    <w:rsid w:val="00042C99"/>
    <w:rsid w:val="00053AB9"/>
    <w:rsid w:val="00056229"/>
    <w:rsid w:val="00057AF1"/>
    <w:rsid w:val="00063508"/>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E8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36E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7A9"/>
    <w:rsid w:val="00297C37"/>
    <w:rsid w:val="002A11AC"/>
    <w:rsid w:val="002A6F30"/>
    <w:rsid w:val="002B3111"/>
    <w:rsid w:val="002C08D2"/>
    <w:rsid w:val="002C118E"/>
    <w:rsid w:val="002C2096"/>
    <w:rsid w:val="002C7908"/>
    <w:rsid w:val="002D0F8B"/>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65"/>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979"/>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291F"/>
    <w:rsid w:val="00533EF6"/>
    <w:rsid w:val="00540E6B"/>
    <w:rsid w:val="0054109E"/>
    <w:rsid w:val="0055595D"/>
    <w:rsid w:val="00556A10"/>
    <w:rsid w:val="00557F50"/>
    <w:rsid w:val="00571D3D"/>
    <w:rsid w:val="005749DB"/>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692A"/>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560A"/>
    <w:rsid w:val="00745FBC"/>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343"/>
    <w:rsid w:val="00801DAD"/>
    <w:rsid w:val="00803189"/>
    <w:rsid w:val="00804E7A"/>
    <w:rsid w:val="00805FBB"/>
    <w:rsid w:val="00814292"/>
    <w:rsid w:val="008169A4"/>
    <w:rsid w:val="00826E27"/>
    <w:rsid w:val="008278FE"/>
    <w:rsid w:val="00832598"/>
    <w:rsid w:val="0083397E"/>
    <w:rsid w:val="0083534B"/>
    <w:rsid w:val="00842035"/>
    <w:rsid w:val="00842602"/>
    <w:rsid w:val="008449F0"/>
    <w:rsid w:val="00846F11"/>
    <w:rsid w:val="00847B45"/>
    <w:rsid w:val="008518BB"/>
    <w:rsid w:val="00863A66"/>
    <w:rsid w:val="008703D7"/>
    <w:rsid w:val="00874429"/>
    <w:rsid w:val="00875D22"/>
    <w:rsid w:val="00883D9A"/>
    <w:rsid w:val="008919EF"/>
    <w:rsid w:val="00892B20"/>
    <w:rsid w:val="008931BC"/>
    <w:rsid w:val="0089695B"/>
    <w:rsid w:val="00897740"/>
    <w:rsid w:val="008A12EC"/>
    <w:rsid w:val="008B14BE"/>
    <w:rsid w:val="008B19A6"/>
    <w:rsid w:val="008B4838"/>
    <w:rsid w:val="008B4EFB"/>
    <w:rsid w:val="008C21C8"/>
    <w:rsid w:val="008C6375"/>
    <w:rsid w:val="008C6A5B"/>
    <w:rsid w:val="008D441D"/>
    <w:rsid w:val="008D482C"/>
    <w:rsid w:val="008D498D"/>
    <w:rsid w:val="008D6D36"/>
    <w:rsid w:val="008E0693"/>
    <w:rsid w:val="008E26A5"/>
    <w:rsid w:val="008E42D2"/>
    <w:rsid w:val="008E6328"/>
    <w:rsid w:val="008F578F"/>
    <w:rsid w:val="008F5D04"/>
    <w:rsid w:val="009040EE"/>
    <w:rsid w:val="009057FD"/>
    <w:rsid w:val="00906FBA"/>
    <w:rsid w:val="009163E8"/>
    <w:rsid w:val="0092036A"/>
    <w:rsid w:val="00921BD3"/>
    <w:rsid w:val="009228C7"/>
    <w:rsid w:val="00922A7F"/>
    <w:rsid w:val="00922F9F"/>
    <w:rsid w:val="00923A5E"/>
    <w:rsid w:val="00924FE7"/>
    <w:rsid w:val="00926E27"/>
    <w:rsid w:val="009303E4"/>
    <w:rsid w:val="00931C8C"/>
    <w:rsid w:val="00943D21"/>
    <w:rsid w:val="0094504B"/>
    <w:rsid w:val="00964A38"/>
    <w:rsid w:val="00966A9D"/>
    <w:rsid w:val="0096742B"/>
    <w:rsid w:val="00967C64"/>
    <w:rsid w:val="009718C5"/>
    <w:rsid w:val="00976A4F"/>
    <w:rsid w:val="00976AFF"/>
    <w:rsid w:val="00986AED"/>
    <w:rsid w:val="009924CF"/>
    <w:rsid w:val="00994100"/>
    <w:rsid w:val="009A04B7"/>
    <w:rsid w:val="009A6B17"/>
    <w:rsid w:val="009B052E"/>
    <w:rsid w:val="009C341F"/>
    <w:rsid w:val="009D4C29"/>
    <w:rsid w:val="009E58E9"/>
    <w:rsid w:val="009E6803"/>
    <w:rsid w:val="009F6AD2"/>
    <w:rsid w:val="009F7C1B"/>
    <w:rsid w:val="00A00B5B"/>
    <w:rsid w:val="00A00D8D"/>
    <w:rsid w:val="00A01BB6"/>
    <w:rsid w:val="00A108A7"/>
    <w:rsid w:val="00A140F3"/>
    <w:rsid w:val="00A22B28"/>
    <w:rsid w:val="00A3351E"/>
    <w:rsid w:val="00A4303C"/>
    <w:rsid w:val="00A46CAF"/>
    <w:rsid w:val="00A470FD"/>
    <w:rsid w:val="00A50B5E"/>
    <w:rsid w:val="00A62DAB"/>
    <w:rsid w:val="00A64CA9"/>
    <w:rsid w:val="00A6757A"/>
    <w:rsid w:val="00A726A6"/>
    <w:rsid w:val="00A74842"/>
    <w:rsid w:val="00A8269A"/>
    <w:rsid w:val="00A8433D"/>
    <w:rsid w:val="00A86A50"/>
    <w:rsid w:val="00A9178A"/>
    <w:rsid w:val="00A9515B"/>
    <w:rsid w:val="00A97535"/>
    <w:rsid w:val="00AA2BAA"/>
    <w:rsid w:val="00AA6516"/>
    <w:rsid w:val="00AA73F1"/>
    <w:rsid w:val="00AB0E1A"/>
    <w:rsid w:val="00AB1A30"/>
    <w:rsid w:val="00AB21CA"/>
    <w:rsid w:val="00AB3C36"/>
    <w:rsid w:val="00AB3D30"/>
    <w:rsid w:val="00AC4B09"/>
    <w:rsid w:val="00AC5A01"/>
    <w:rsid w:val="00AD10EB"/>
    <w:rsid w:val="00AD1ED3"/>
    <w:rsid w:val="00AD3717"/>
    <w:rsid w:val="00AF37D8"/>
    <w:rsid w:val="00B019C1"/>
    <w:rsid w:val="00B02001"/>
    <w:rsid w:val="00B03C50"/>
    <w:rsid w:val="00B0777D"/>
    <w:rsid w:val="00B11576"/>
    <w:rsid w:val="00B1195F"/>
    <w:rsid w:val="00B14D10"/>
    <w:rsid w:val="00B209C7"/>
    <w:rsid w:val="00B27FCE"/>
    <w:rsid w:val="00B3644F"/>
    <w:rsid w:val="00B4057A"/>
    <w:rsid w:val="00B40894"/>
    <w:rsid w:val="00B41039"/>
    <w:rsid w:val="00B42987"/>
    <w:rsid w:val="00B444AE"/>
    <w:rsid w:val="00B45E75"/>
    <w:rsid w:val="00B50876"/>
    <w:rsid w:val="00B50F22"/>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C72"/>
    <w:rsid w:val="00BE7A0C"/>
    <w:rsid w:val="00BF2928"/>
    <w:rsid w:val="00BF5D60"/>
    <w:rsid w:val="00BF6691"/>
    <w:rsid w:val="00C028FC"/>
    <w:rsid w:val="00C037F2"/>
    <w:rsid w:val="00C0386D"/>
    <w:rsid w:val="00C065A1"/>
    <w:rsid w:val="00C10ED5"/>
    <w:rsid w:val="00C12574"/>
    <w:rsid w:val="00C151A6"/>
    <w:rsid w:val="00C24098"/>
    <w:rsid w:val="00C24547"/>
    <w:rsid w:val="00C30A4E"/>
    <w:rsid w:val="00C411F3"/>
    <w:rsid w:val="00C44105"/>
    <w:rsid w:val="00C518E5"/>
    <w:rsid w:val="00C523EC"/>
    <w:rsid w:val="00C55A33"/>
    <w:rsid w:val="00C62C4B"/>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29C"/>
    <w:rsid w:val="00CE0E6F"/>
    <w:rsid w:val="00CE3B21"/>
    <w:rsid w:val="00CE56FC"/>
    <w:rsid w:val="00CE7A4D"/>
    <w:rsid w:val="00CF0BA4"/>
    <w:rsid w:val="00CF32D2"/>
    <w:rsid w:val="00CF4CFE"/>
    <w:rsid w:val="00D00E8E"/>
    <w:rsid w:val="00D02E0F"/>
    <w:rsid w:val="00D03EE8"/>
    <w:rsid w:val="00D13535"/>
    <w:rsid w:val="00D15497"/>
    <w:rsid w:val="00D17B79"/>
    <w:rsid w:val="00D205F5"/>
    <w:rsid w:val="00D23FEA"/>
    <w:rsid w:val="00D24548"/>
    <w:rsid w:val="00D269CA"/>
    <w:rsid w:val="00D30B48"/>
    <w:rsid w:val="00D3168A"/>
    <w:rsid w:val="00D350D1"/>
    <w:rsid w:val="00D443BE"/>
    <w:rsid w:val="00D46FAA"/>
    <w:rsid w:val="00D47A40"/>
    <w:rsid w:val="00D51D33"/>
    <w:rsid w:val="00D57BB2"/>
    <w:rsid w:val="00D57E57"/>
    <w:rsid w:val="00D70752"/>
    <w:rsid w:val="00D7759F"/>
    <w:rsid w:val="00D80E2D"/>
    <w:rsid w:val="00D84D5E"/>
    <w:rsid w:val="00D8560E"/>
    <w:rsid w:val="00D8758F"/>
    <w:rsid w:val="00DA4EDD"/>
    <w:rsid w:val="00DA6B78"/>
    <w:rsid w:val="00DB122B"/>
    <w:rsid w:val="00DB2B82"/>
    <w:rsid w:val="00DC1D94"/>
    <w:rsid w:val="00DC42CF"/>
    <w:rsid w:val="00DC738A"/>
    <w:rsid w:val="00DD382A"/>
    <w:rsid w:val="00DD592E"/>
    <w:rsid w:val="00DE057F"/>
    <w:rsid w:val="00DE2082"/>
    <w:rsid w:val="00DE2289"/>
    <w:rsid w:val="00DF09A7"/>
    <w:rsid w:val="00DF2B51"/>
    <w:rsid w:val="00E001D6"/>
    <w:rsid w:val="00E00F58"/>
    <w:rsid w:val="00E03A76"/>
    <w:rsid w:val="00E0437C"/>
    <w:rsid w:val="00E04410"/>
    <w:rsid w:val="00E07484"/>
    <w:rsid w:val="00E11351"/>
    <w:rsid w:val="00E20381"/>
    <w:rsid w:val="00E33F44"/>
    <w:rsid w:val="00E37D48"/>
    <w:rsid w:val="00E4225C"/>
    <w:rsid w:val="00E44879"/>
    <w:rsid w:val="00E46914"/>
    <w:rsid w:val="00E72914"/>
    <w:rsid w:val="00E75AE0"/>
    <w:rsid w:val="00E83C1F"/>
    <w:rsid w:val="00E85684"/>
    <w:rsid w:val="00E8794B"/>
    <w:rsid w:val="00E97656"/>
    <w:rsid w:val="00EA004A"/>
    <w:rsid w:val="00EA172C"/>
    <w:rsid w:val="00EA259B"/>
    <w:rsid w:val="00EA35A3"/>
    <w:rsid w:val="00EA3E6A"/>
    <w:rsid w:val="00EA55AA"/>
    <w:rsid w:val="00EB18EF"/>
    <w:rsid w:val="00EB58F4"/>
    <w:rsid w:val="00EB7951"/>
    <w:rsid w:val="00ED6A79"/>
    <w:rsid w:val="00EE17DF"/>
    <w:rsid w:val="00EF1482"/>
    <w:rsid w:val="00EF4621"/>
    <w:rsid w:val="00EF4D52"/>
    <w:rsid w:val="00EF6312"/>
    <w:rsid w:val="00F038B0"/>
    <w:rsid w:val="00F05F34"/>
    <w:rsid w:val="00F21D59"/>
    <w:rsid w:val="00F22B27"/>
    <w:rsid w:val="00F234A7"/>
    <w:rsid w:val="00F277B6"/>
    <w:rsid w:val="00F27DA5"/>
    <w:rsid w:val="00F37E07"/>
    <w:rsid w:val="00F4182A"/>
    <w:rsid w:val="00F43FF4"/>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45FBC"/>
  </w:style>
  <w:style w:type="table" w:customStyle="1" w:styleId="TableGrid121">
    <w:name w:val="Table Grid121"/>
    <w:basedOn w:val="TableNormal"/>
    <w:next w:val="TableGrid"/>
    <w:uiPriority w:val="59"/>
    <w:rsid w:val="00745F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45F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7D8"/>
    <w:pPr>
      <w:ind w:left="720"/>
      <w:contextualSpacing/>
    </w:pPr>
  </w:style>
  <w:style w:type="character" w:styleId="CommentReference">
    <w:name w:val="annotation reference"/>
    <w:basedOn w:val="DefaultParagraphFont"/>
    <w:semiHidden/>
    <w:unhideWhenUsed/>
    <w:rsid w:val="00F21D59"/>
    <w:rPr>
      <w:sz w:val="16"/>
      <w:szCs w:val="16"/>
    </w:rPr>
  </w:style>
  <w:style w:type="paragraph" w:styleId="CommentText">
    <w:name w:val="annotation text"/>
    <w:basedOn w:val="Normal"/>
    <w:link w:val="CommentTextChar"/>
    <w:semiHidden/>
    <w:unhideWhenUsed/>
    <w:rsid w:val="00F21D59"/>
    <w:rPr>
      <w:sz w:val="20"/>
      <w:szCs w:val="20"/>
    </w:rPr>
  </w:style>
  <w:style w:type="character" w:customStyle="1" w:styleId="CommentTextChar">
    <w:name w:val="Comment Text Char"/>
    <w:basedOn w:val="DefaultParagraphFont"/>
    <w:link w:val="CommentText"/>
    <w:semiHidden/>
    <w:rsid w:val="00F21D59"/>
  </w:style>
  <w:style w:type="paragraph" w:styleId="CommentSubject">
    <w:name w:val="annotation subject"/>
    <w:basedOn w:val="CommentText"/>
    <w:next w:val="CommentText"/>
    <w:link w:val="CommentSubjectChar"/>
    <w:semiHidden/>
    <w:unhideWhenUsed/>
    <w:rsid w:val="00F21D59"/>
    <w:rPr>
      <w:b/>
      <w:bCs/>
    </w:rPr>
  </w:style>
  <w:style w:type="character" w:customStyle="1" w:styleId="CommentSubjectChar">
    <w:name w:val="Comment Subject Char"/>
    <w:basedOn w:val="CommentTextChar"/>
    <w:link w:val="CommentSubject"/>
    <w:semiHidden/>
    <w:rsid w:val="00F21D59"/>
    <w:rPr>
      <w:b/>
      <w:bCs/>
    </w:rPr>
  </w:style>
  <w:style w:type="paragraph" w:styleId="BalloonText">
    <w:name w:val="Balloon Text"/>
    <w:basedOn w:val="Normal"/>
    <w:link w:val="BalloonTextChar"/>
    <w:semiHidden/>
    <w:unhideWhenUsed/>
    <w:rsid w:val="00F21D59"/>
    <w:rPr>
      <w:rFonts w:ascii="Segoe UI" w:hAnsi="Segoe UI" w:cs="Segoe UI"/>
      <w:sz w:val="18"/>
      <w:szCs w:val="18"/>
    </w:rPr>
  </w:style>
  <w:style w:type="character" w:customStyle="1" w:styleId="BalloonTextChar">
    <w:name w:val="Balloon Text Char"/>
    <w:basedOn w:val="DefaultParagraphFont"/>
    <w:link w:val="BalloonText"/>
    <w:semiHidden/>
    <w:rsid w:val="00F21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40DA-826F-4FD6-ABCB-434E737B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26</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2023-08-22T13:59:00Z</dcterms:created>
  <dcterms:modified xsi:type="dcterms:W3CDTF">2023-08-22T15:57:00Z</dcterms:modified>
</cp:coreProperties>
</file>